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仿宋_GB2312" w:eastAsia="仿宋_GB2312" w:cs="仿宋_GB2312"/>
          <w:color w:val="auto"/>
          <w:sz w:val="36"/>
          <w:szCs w:val="36"/>
        </w:rPr>
      </w:pPr>
    </w:p>
    <w:p>
      <w:pPr>
        <w:rPr>
          <w:rFonts w:ascii="仿宋_GB2312" w:hAnsi="仿宋_GB2312" w:eastAsia="仿宋_GB2312" w:cs="仿宋_GB2312"/>
          <w:color w:val="auto"/>
          <w:sz w:val="36"/>
          <w:szCs w:val="36"/>
        </w:rPr>
      </w:pPr>
    </w:p>
    <w:p>
      <w:pPr>
        <w:rPr>
          <w:rFonts w:ascii="仿宋_GB2312" w:hAnsi="仿宋_GB2312" w:eastAsia="仿宋_GB2312" w:cs="仿宋_GB2312"/>
          <w:color w:val="auto"/>
          <w:sz w:val="36"/>
          <w:szCs w:val="36"/>
        </w:rPr>
      </w:pPr>
    </w:p>
    <w:p>
      <w:pPr>
        <w:rPr>
          <w:rFonts w:ascii="仿宋_GB2312" w:hAnsi="仿宋_GB2312" w:eastAsia="仿宋_GB2312" w:cs="仿宋_GB2312"/>
          <w:color w:val="auto"/>
          <w:sz w:val="36"/>
          <w:szCs w:val="36"/>
        </w:rPr>
      </w:pPr>
    </w:p>
    <w:p>
      <w:pPr>
        <w:adjustRightInd w:val="0"/>
        <w:snapToGrid w:val="0"/>
        <w:jc w:val="center"/>
        <w:outlineLvl w:val="0"/>
        <w:rPr>
          <w:rFonts w:ascii="方正小标宋_GBK" w:eastAsia="方正小标宋_GBK"/>
          <w:bCs/>
          <w:color w:val="auto"/>
          <w:sz w:val="72"/>
          <w:szCs w:val="72"/>
        </w:rPr>
      </w:pPr>
      <w:bookmarkStart w:id="0" w:name="_Toc25604"/>
      <w:bookmarkStart w:id="1" w:name="_Toc20653"/>
      <w:bookmarkStart w:id="2" w:name="_Toc14192"/>
      <w:bookmarkStart w:id="3" w:name="_Toc32108"/>
      <w:bookmarkStart w:id="4" w:name="_Toc21033"/>
      <w:r>
        <w:rPr>
          <w:rFonts w:hint="eastAsia" w:ascii="方正小标宋_GBK" w:eastAsia="方正小标宋_GBK"/>
          <w:bCs/>
          <w:color w:val="auto"/>
          <w:sz w:val="72"/>
          <w:szCs w:val="72"/>
        </w:rPr>
        <w:t>建设项目环境影响报告表</w:t>
      </w:r>
      <w:bookmarkEnd w:id="0"/>
      <w:bookmarkEnd w:id="1"/>
      <w:bookmarkEnd w:id="2"/>
      <w:bookmarkEnd w:id="3"/>
      <w:bookmarkEnd w:id="4"/>
    </w:p>
    <w:p>
      <w:pPr>
        <w:adjustRightInd w:val="0"/>
        <w:snapToGrid w:val="0"/>
        <w:spacing w:before="192" w:beforeLines="80"/>
        <w:jc w:val="center"/>
        <w:rPr>
          <w:rFonts w:ascii="楷体_GB2312" w:eastAsia="楷体_GB2312"/>
          <w:bCs/>
          <w:color w:val="auto"/>
          <w:sz w:val="48"/>
          <w:szCs w:val="48"/>
        </w:rPr>
      </w:pPr>
      <w:r>
        <w:rPr>
          <w:rFonts w:hint="eastAsia" w:ascii="楷体_GB2312" w:eastAsia="楷体_GB2312"/>
          <w:bCs/>
          <w:color w:val="auto"/>
          <w:sz w:val="48"/>
          <w:szCs w:val="48"/>
        </w:rPr>
        <w:t>（</w:t>
      </w:r>
      <w:r>
        <w:rPr>
          <w:rFonts w:hint="eastAsia" w:ascii="楷体_GB2312" w:eastAsia="楷体_GB2312"/>
          <w:bCs/>
          <w:color w:val="auto"/>
          <w:sz w:val="48"/>
          <w:szCs w:val="48"/>
          <w:lang w:val="en-US" w:eastAsia="zh-CN"/>
        </w:rPr>
        <w:t>生态</w:t>
      </w:r>
      <w:r>
        <w:rPr>
          <w:rFonts w:hint="eastAsia" w:ascii="楷体_GB2312" w:eastAsia="楷体_GB2312"/>
          <w:bCs/>
          <w:color w:val="auto"/>
          <w:sz w:val="48"/>
          <w:szCs w:val="48"/>
        </w:rPr>
        <w:t>影响类）</w:t>
      </w:r>
    </w:p>
    <w:p>
      <w:pPr>
        <w:adjustRightInd w:val="0"/>
        <w:snapToGrid w:val="0"/>
        <w:spacing w:line="288" w:lineRule="auto"/>
        <w:jc w:val="center"/>
        <w:rPr>
          <w:rFonts w:ascii="华文仿宋" w:hAnsi="华文仿宋" w:eastAsia="华文仿宋" w:cs="华文仿宋"/>
          <w:color w:val="auto"/>
          <w:kern w:val="44"/>
          <w:sz w:val="44"/>
          <w:szCs w:val="44"/>
        </w:rPr>
      </w:pPr>
    </w:p>
    <w:p>
      <w:pPr>
        <w:jc w:val="center"/>
        <w:rPr>
          <w:rFonts w:eastAsia="仿宋"/>
          <w:color w:val="auto"/>
          <w:sz w:val="52"/>
          <w:szCs w:val="52"/>
        </w:rPr>
      </w:pPr>
    </w:p>
    <w:p>
      <w:pPr>
        <w:ind w:firstLine="1040"/>
        <w:rPr>
          <w:rFonts w:eastAsia="仿宋"/>
          <w:color w:val="auto"/>
          <w:sz w:val="44"/>
          <w:szCs w:val="44"/>
        </w:rPr>
      </w:pPr>
    </w:p>
    <w:p>
      <w:pPr>
        <w:ind w:firstLine="1040"/>
        <w:rPr>
          <w:rFonts w:eastAsia="仿宋"/>
          <w:color w:val="auto"/>
          <w:sz w:val="44"/>
          <w:szCs w:val="44"/>
        </w:rPr>
      </w:pPr>
    </w:p>
    <w:p>
      <w:pPr>
        <w:ind w:firstLine="1040"/>
        <w:rPr>
          <w:rFonts w:eastAsia="仿宋"/>
          <w:color w:val="auto"/>
          <w:sz w:val="44"/>
          <w:szCs w:val="44"/>
        </w:rPr>
      </w:pPr>
    </w:p>
    <w:p>
      <w:pPr>
        <w:ind w:firstLine="1040"/>
        <w:rPr>
          <w:rFonts w:eastAsia="仿宋"/>
          <w:color w:val="auto"/>
          <w:sz w:val="44"/>
          <w:szCs w:val="44"/>
        </w:rPr>
      </w:pPr>
    </w:p>
    <w:p>
      <w:pPr>
        <w:adjustRightInd w:val="0"/>
        <w:snapToGrid w:val="0"/>
        <w:spacing w:line="288" w:lineRule="auto"/>
        <w:ind w:firstLine="360" w:firstLineChars="100"/>
        <w:rPr>
          <w:rFonts w:hint="eastAsia" w:ascii="仿宋_GB2312" w:hAnsi="Times New Roman" w:eastAsia="仿宋_GB2312" w:cs="Times New Roman"/>
          <w:color w:val="auto"/>
          <w:sz w:val="36"/>
          <w:szCs w:val="36"/>
          <w:u w:val="single"/>
          <w:lang w:val="en-US" w:eastAsia="zh-CN"/>
        </w:rPr>
      </w:pPr>
      <w:r>
        <w:rPr>
          <w:rFonts w:hint="eastAsia" w:ascii="仿宋_GB2312" w:eastAsia="仿宋_GB2312"/>
          <w:color w:val="auto"/>
          <w:sz w:val="36"/>
          <w:szCs w:val="36"/>
        </w:rPr>
        <w:t>项目名称：</w:t>
      </w:r>
      <w:r>
        <w:rPr>
          <w:rFonts w:hint="eastAsia" w:ascii="仿宋_GB2312" w:hAnsi="Times New Roman" w:eastAsia="仿宋_GB2312" w:cs="Times New Roman"/>
          <w:color w:val="auto"/>
          <w:sz w:val="36"/>
          <w:szCs w:val="36"/>
          <w:u w:val="single"/>
          <w:lang w:val="en-US" w:eastAsia="zh-CN"/>
        </w:rPr>
        <w:t>华容县团洲垸灾后重建安置房建设项目</w:t>
      </w:r>
    </w:p>
    <w:p>
      <w:pPr>
        <w:adjustRightInd w:val="0"/>
        <w:snapToGrid w:val="0"/>
        <w:spacing w:line="288" w:lineRule="auto"/>
        <w:ind w:firstLine="2160" w:firstLineChars="600"/>
        <w:rPr>
          <w:rFonts w:hint="eastAsia" w:ascii="仿宋_GB2312" w:hAnsi="Times New Roman" w:eastAsia="仿宋_GB2312" w:cs="Times New Roman"/>
          <w:color w:val="auto"/>
          <w:sz w:val="36"/>
          <w:szCs w:val="36"/>
          <w:u w:val="single"/>
          <w:lang w:val="en-US" w:eastAsia="zh-CN"/>
        </w:rPr>
      </w:pPr>
      <w:r>
        <w:rPr>
          <w:rFonts w:hint="eastAsia" w:ascii="仿宋_GB2312" w:eastAsia="仿宋_GB2312" w:cs="Times New Roman"/>
          <w:color w:val="auto"/>
          <w:sz w:val="36"/>
          <w:szCs w:val="36"/>
          <w:u w:val="single"/>
          <w:lang w:val="en-US" w:eastAsia="zh-CN"/>
        </w:rPr>
        <w:t>（三期）</w:t>
      </w:r>
    </w:p>
    <w:p>
      <w:pPr>
        <w:adjustRightInd w:val="0"/>
        <w:snapToGrid w:val="0"/>
        <w:spacing w:line="288" w:lineRule="auto"/>
        <w:ind w:firstLine="360" w:firstLineChars="100"/>
        <w:rPr>
          <w:rFonts w:ascii="仿宋_GB2312" w:eastAsia="仿宋_GB2312"/>
          <w:color w:val="auto"/>
          <w:sz w:val="36"/>
          <w:szCs w:val="36"/>
          <w:u w:val="single"/>
        </w:rPr>
      </w:pPr>
      <w:r>
        <w:rPr>
          <w:rFonts w:hint="eastAsia" w:ascii="仿宋_GB2312" w:eastAsia="仿宋_GB2312"/>
          <w:color w:val="auto"/>
          <w:sz w:val="36"/>
          <w:szCs w:val="36"/>
        </w:rPr>
        <w:t>建设单位（盖章）：</w:t>
      </w:r>
      <w:r>
        <w:rPr>
          <w:rFonts w:hint="eastAsia" w:ascii="仿宋_GB2312" w:eastAsia="仿宋_GB2312"/>
          <w:color w:val="auto"/>
          <w:sz w:val="36"/>
          <w:szCs w:val="36"/>
          <w:lang w:val="en-US" w:eastAsia="zh-CN"/>
        </w:rPr>
        <w:t xml:space="preserve"> </w:t>
      </w:r>
      <w:r>
        <w:rPr>
          <w:rFonts w:hint="eastAsia" w:ascii="仿宋_GB2312" w:eastAsia="仿宋_GB2312"/>
          <w:color w:val="auto"/>
          <w:sz w:val="36"/>
          <w:szCs w:val="36"/>
          <w:u w:val="single"/>
        </w:rPr>
        <w:t xml:space="preserve">华容县住房和城乡建设局            </w:t>
      </w:r>
    </w:p>
    <w:p>
      <w:pPr>
        <w:adjustRightInd w:val="0"/>
        <w:snapToGrid w:val="0"/>
        <w:spacing w:line="288" w:lineRule="auto"/>
        <w:ind w:firstLine="360" w:firstLineChars="100"/>
        <w:rPr>
          <w:rFonts w:ascii="仿宋_GB2312" w:eastAsia="仿宋_GB2312"/>
          <w:color w:val="auto"/>
          <w:sz w:val="36"/>
          <w:szCs w:val="36"/>
          <w:u w:val="single"/>
        </w:rPr>
      </w:pPr>
      <w:r>
        <w:rPr>
          <w:rFonts w:hint="eastAsia" w:ascii="仿宋_GB2312" w:eastAsia="仿宋_GB2312"/>
          <w:color w:val="auto"/>
          <w:sz w:val="36"/>
          <w:szCs w:val="36"/>
        </w:rPr>
        <w:t>编制日期：</w:t>
      </w:r>
      <w:r>
        <w:rPr>
          <w:rFonts w:hint="eastAsia" w:ascii="仿宋_GB2312" w:eastAsia="仿宋_GB2312"/>
          <w:color w:val="auto"/>
          <w:sz w:val="36"/>
          <w:szCs w:val="36"/>
          <w:u w:val="single"/>
        </w:rPr>
        <w:t xml:space="preserve">      二〇二</w:t>
      </w:r>
      <w:r>
        <w:rPr>
          <w:rFonts w:hint="eastAsia" w:ascii="仿宋_GB2312" w:eastAsia="仿宋_GB2312"/>
          <w:color w:val="auto"/>
          <w:sz w:val="36"/>
          <w:szCs w:val="36"/>
          <w:u w:val="single"/>
          <w:lang w:val="en-US" w:eastAsia="zh-CN"/>
        </w:rPr>
        <w:t>五</w:t>
      </w:r>
      <w:r>
        <w:rPr>
          <w:rFonts w:hint="eastAsia" w:ascii="仿宋_GB2312" w:eastAsia="仿宋_GB2312"/>
          <w:color w:val="auto"/>
          <w:sz w:val="36"/>
          <w:szCs w:val="36"/>
          <w:u w:val="single"/>
        </w:rPr>
        <w:t>年</w:t>
      </w:r>
      <w:r>
        <w:rPr>
          <w:rFonts w:hint="eastAsia" w:ascii="仿宋_GB2312" w:eastAsia="仿宋_GB2312"/>
          <w:color w:val="auto"/>
          <w:sz w:val="36"/>
          <w:szCs w:val="36"/>
          <w:u w:val="single"/>
          <w:lang w:val="en-US" w:eastAsia="zh-CN"/>
        </w:rPr>
        <w:t>五</w:t>
      </w:r>
      <w:r>
        <w:rPr>
          <w:rFonts w:hint="eastAsia" w:ascii="仿宋_GB2312" w:eastAsia="仿宋_GB2312"/>
          <w:color w:val="auto"/>
          <w:sz w:val="36"/>
          <w:szCs w:val="36"/>
          <w:u w:val="single"/>
        </w:rPr>
        <w:t xml:space="preserve">月 </w:t>
      </w:r>
      <w:r>
        <w:rPr>
          <w:rFonts w:ascii="仿宋_GB2312" w:eastAsia="仿宋_GB2312"/>
          <w:color w:val="auto"/>
          <w:sz w:val="36"/>
          <w:szCs w:val="36"/>
          <w:u w:val="single"/>
        </w:rPr>
        <w:t xml:space="preserve">                         </w:t>
      </w:r>
      <w:r>
        <w:rPr>
          <w:rFonts w:hint="eastAsia" w:ascii="仿宋_GB2312" w:eastAsia="仿宋_GB2312"/>
          <w:color w:val="auto"/>
          <w:sz w:val="36"/>
          <w:szCs w:val="36"/>
          <w:u w:val="single"/>
        </w:rPr>
        <w:t xml:space="preserve"> </w:t>
      </w:r>
    </w:p>
    <w:p>
      <w:pPr>
        <w:adjustRightInd w:val="0"/>
        <w:snapToGrid w:val="0"/>
        <w:spacing w:line="288" w:lineRule="auto"/>
        <w:ind w:firstLine="1040"/>
        <w:rPr>
          <w:rFonts w:ascii="仿宋_GB2312" w:eastAsia="仿宋_GB2312"/>
          <w:color w:val="auto"/>
          <w:sz w:val="36"/>
          <w:szCs w:val="36"/>
          <w:u w:val="single"/>
        </w:rPr>
      </w:pPr>
      <w:bookmarkStart w:id="5" w:name="_Hlk57884087"/>
    </w:p>
    <w:p>
      <w:pPr>
        <w:adjustRightInd w:val="0"/>
        <w:snapToGrid w:val="0"/>
        <w:spacing w:line="288" w:lineRule="auto"/>
        <w:ind w:firstLine="1040"/>
        <w:rPr>
          <w:rFonts w:ascii="仿宋_GB2312" w:eastAsia="仿宋_GB2312"/>
          <w:color w:val="auto"/>
          <w:sz w:val="36"/>
          <w:szCs w:val="36"/>
        </w:rPr>
      </w:pPr>
    </w:p>
    <w:p>
      <w:pPr>
        <w:adjustRightInd w:val="0"/>
        <w:snapToGrid w:val="0"/>
        <w:spacing w:line="288" w:lineRule="auto"/>
        <w:ind w:firstLine="1040"/>
        <w:rPr>
          <w:rFonts w:ascii="仿宋_GB2312" w:eastAsia="仿宋_GB2312"/>
          <w:color w:val="auto"/>
          <w:sz w:val="36"/>
          <w:szCs w:val="36"/>
        </w:rPr>
      </w:pPr>
    </w:p>
    <w:p>
      <w:pPr>
        <w:adjustRightInd w:val="0"/>
        <w:snapToGrid w:val="0"/>
        <w:spacing w:line="288" w:lineRule="auto"/>
        <w:ind w:firstLine="1040"/>
        <w:rPr>
          <w:rFonts w:ascii="仿宋_GB2312" w:eastAsia="仿宋_GB2312"/>
          <w:color w:val="auto"/>
          <w:sz w:val="36"/>
          <w:szCs w:val="36"/>
        </w:rPr>
      </w:pPr>
    </w:p>
    <w:p>
      <w:pPr>
        <w:adjustRightInd w:val="0"/>
        <w:snapToGrid w:val="0"/>
        <w:spacing w:line="288" w:lineRule="auto"/>
        <w:ind w:firstLine="1040"/>
        <w:rPr>
          <w:rFonts w:ascii="仿宋_GB2312" w:eastAsia="仿宋_GB2312"/>
          <w:color w:val="auto"/>
          <w:sz w:val="36"/>
          <w:szCs w:val="36"/>
        </w:rPr>
      </w:pPr>
    </w:p>
    <w:bookmarkEnd w:id="5"/>
    <w:p>
      <w:pPr>
        <w:adjustRightInd w:val="0"/>
        <w:snapToGrid w:val="0"/>
        <w:spacing w:line="288" w:lineRule="auto"/>
        <w:jc w:val="center"/>
        <w:rPr>
          <w:rFonts w:hint="eastAsia" w:ascii="楷体_GB2312" w:eastAsia="楷体_GB2312"/>
          <w:color w:val="auto"/>
          <w:sz w:val="36"/>
          <w:szCs w:val="36"/>
        </w:rPr>
      </w:pPr>
      <w:r>
        <w:rPr>
          <w:rFonts w:hint="eastAsia" w:ascii="楷体_GB2312" w:eastAsia="楷体_GB2312"/>
          <w:color w:val="auto"/>
          <w:sz w:val="36"/>
          <w:szCs w:val="36"/>
        </w:rPr>
        <w:t>中华人民共和国生态环境部制</w:t>
      </w:r>
    </w:p>
    <w:p>
      <w:pPr>
        <w:rPr>
          <w:rFonts w:hint="eastAsia" w:ascii="楷体_GB2312" w:eastAsia="楷体_GB2312"/>
          <w:color w:val="auto"/>
          <w:sz w:val="36"/>
          <w:szCs w:val="36"/>
        </w:rPr>
      </w:pPr>
      <w:r>
        <w:rPr>
          <w:rFonts w:hint="eastAsia" w:ascii="楷体_GB2312" w:eastAsia="楷体_GB2312"/>
          <w:color w:val="auto"/>
          <w:sz w:val="36"/>
          <w:szCs w:val="36"/>
        </w:rPr>
        <w:br w:type="page"/>
      </w:r>
    </w:p>
    <w:p>
      <w:pPr>
        <w:rPr>
          <w:rFonts w:hint="eastAsia" w:eastAsia="宋体"/>
          <w:lang w:eastAsia="zh-CN"/>
        </w:rPr>
      </w:pPr>
      <w:r>
        <w:rPr>
          <w:rFonts w:hint="eastAsia" w:eastAsia="宋体"/>
          <w:lang w:eastAsia="zh-CN"/>
        </w:rPr>
        <w:drawing>
          <wp:inline distT="0" distB="0" distL="114300" distR="114300">
            <wp:extent cx="5542915" cy="8538845"/>
            <wp:effectExtent l="0" t="0" r="635" b="14605"/>
            <wp:docPr id="82" name="图片 82" descr="资质页第一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descr="资质页第一页"/>
                    <pic:cNvPicPr>
                      <a:picLocks noChangeAspect="1"/>
                    </pic:cNvPicPr>
                  </pic:nvPicPr>
                  <pic:blipFill>
                    <a:blip r:embed="rId15"/>
                    <a:srcRect t="5991" r="13" b="3286"/>
                    <a:stretch>
                      <a:fillRect/>
                    </a:stretch>
                  </pic:blipFill>
                  <pic:spPr>
                    <a:xfrm>
                      <a:off x="0" y="0"/>
                      <a:ext cx="5542915" cy="8538845"/>
                    </a:xfrm>
                    <a:prstGeom prst="rect">
                      <a:avLst/>
                    </a:prstGeom>
                  </pic:spPr>
                </pic:pic>
              </a:graphicData>
            </a:graphic>
          </wp:inline>
        </w:drawing>
      </w:r>
    </w:p>
    <w:p/>
    <w:p>
      <w:r>
        <w:drawing>
          <wp:inline distT="0" distB="0" distL="114300" distR="114300">
            <wp:extent cx="5314950" cy="7496175"/>
            <wp:effectExtent l="0" t="0" r="0" b="9525"/>
            <wp:docPr id="9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2"/>
                    <pic:cNvPicPr>
                      <a:picLocks noChangeAspect="1"/>
                    </pic:cNvPicPr>
                  </pic:nvPicPr>
                  <pic:blipFill>
                    <a:blip r:embed="rId16"/>
                    <a:stretch>
                      <a:fillRect/>
                    </a:stretch>
                  </pic:blipFill>
                  <pic:spPr>
                    <a:xfrm>
                      <a:off x="0" y="0"/>
                      <a:ext cx="5314950" cy="7496175"/>
                    </a:xfrm>
                    <a:prstGeom prst="rect">
                      <a:avLst/>
                    </a:prstGeom>
                    <a:noFill/>
                    <a:ln>
                      <a:noFill/>
                    </a:ln>
                  </pic:spPr>
                </pic:pic>
              </a:graphicData>
            </a:graphic>
          </wp:inline>
        </w:drawing>
      </w:r>
      <w:r>
        <w:drawing>
          <wp:inline distT="0" distB="0" distL="114300" distR="114300">
            <wp:extent cx="5353050" cy="7610475"/>
            <wp:effectExtent l="0" t="0" r="0" b="9525"/>
            <wp:docPr id="8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2"/>
                    <pic:cNvPicPr>
                      <a:picLocks noChangeAspect="1"/>
                    </pic:cNvPicPr>
                  </pic:nvPicPr>
                  <pic:blipFill>
                    <a:blip r:embed="rId17"/>
                    <a:stretch>
                      <a:fillRect/>
                    </a:stretch>
                  </pic:blipFill>
                  <pic:spPr>
                    <a:xfrm>
                      <a:off x="0" y="0"/>
                      <a:ext cx="5353050" cy="7610475"/>
                    </a:xfrm>
                    <a:prstGeom prst="rect">
                      <a:avLst/>
                    </a:prstGeom>
                    <a:noFill/>
                    <a:ln>
                      <a:noFill/>
                    </a:ln>
                  </pic:spPr>
                </pic:pic>
              </a:graphicData>
            </a:graphic>
          </wp:inline>
        </w:drawing>
      </w:r>
      <w:r>
        <w:drawing>
          <wp:inline distT="0" distB="0" distL="114300" distR="114300">
            <wp:extent cx="4924425" cy="7229475"/>
            <wp:effectExtent l="0" t="0" r="9525" b="9525"/>
            <wp:docPr id="8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3"/>
                    <pic:cNvPicPr>
                      <a:picLocks noChangeAspect="1"/>
                    </pic:cNvPicPr>
                  </pic:nvPicPr>
                  <pic:blipFill>
                    <a:blip r:embed="rId18"/>
                    <a:stretch>
                      <a:fillRect/>
                    </a:stretch>
                  </pic:blipFill>
                  <pic:spPr>
                    <a:xfrm>
                      <a:off x="0" y="0"/>
                      <a:ext cx="4924425" cy="7229475"/>
                    </a:xfrm>
                    <a:prstGeom prst="rect">
                      <a:avLst/>
                    </a:prstGeom>
                    <a:noFill/>
                    <a:ln>
                      <a:noFill/>
                    </a:ln>
                  </pic:spPr>
                </pic:pic>
              </a:graphicData>
            </a:graphic>
          </wp:inline>
        </w:drawing>
      </w:r>
      <w:r>
        <w:drawing>
          <wp:inline distT="0" distB="0" distL="114300" distR="114300">
            <wp:extent cx="5124450" cy="7286625"/>
            <wp:effectExtent l="0" t="0" r="0" b="9525"/>
            <wp:docPr id="9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4"/>
                    <pic:cNvPicPr>
                      <a:picLocks noChangeAspect="1"/>
                    </pic:cNvPicPr>
                  </pic:nvPicPr>
                  <pic:blipFill>
                    <a:blip r:embed="rId19"/>
                    <a:stretch>
                      <a:fillRect/>
                    </a:stretch>
                  </pic:blipFill>
                  <pic:spPr>
                    <a:xfrm>
                      <a:off x="0" y="0"/>
                      <a:ext cx="5124450" cy="7286625"/>
                    </a:xfrm>
                    <a:prstGeom prst="rect">
                      <a:avLst/>
                    </a:prstGeom>
                    <a:noFill/>
                    <a:ln>
                      <a:noFill/>
                    </a:ln>
                  </pic:spPr>
                </pic:pic>
              </a:graphicData>
            </a:graphic>
          </wp:inline>
        </w:drawing>
      </w:r>
      <w:r>
        <w:drawing>
          <wp:inline distT="0" distB="0" distL="114300" distR="114300">
            <wp:extent cx="5038725" cy="6905625"/>
            <wp:effectExtent l="0" t="0" r="9525" b="9525"/>
            <wp:docPr id="9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5"/>
                    <pic:cNvPicPr>
                      <a:picLocks noChangeAspect="1"/>
                    </pic:cNvPicPr>
                  </pic:nvPicPr>
                  <pic:blipFill>
                    <a:blip r:embed="rId20"/>
                    <a:stretch>
                      <a:fillRect/>
                    </a:stretch>
                  </pic:blipFill>
                  <pic:spPr>
                    <a:xfrm>
                      <a:off x="0" y="0"/>
                      <a:ext cx="5038725" cy="6905625"/>
                    </a:xfrm>
                    <a:prstGeom prst="rect">
                      <a:avLst/>
                    </a:prstGeom>
                    <a:noFill/>
                    <a:ln>
                      <a:noFill/>
                    </a:ln>
                  </pic:spPr>
                </pic:pic>
              </a:graphicData>
            </a:graphic>
          </wp:inline>
        </w:drawing>
      </w:r>
      <w:r>
        <w:drawing>
          <wp:inline distT="0" distB="0" distL="114300" distR="114300">
            <wp:extent cx="5191125" cy="6991350"/>
            <wp:effectExtent l="0" t="0" r="9525" b="0"/>
            <wp:docPr id="8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6"/>
                    <pic:cNvPicPr>
                      <a:picLocks noChangeAspect="1"/>
                    </pic:cNvPicPr>
                  </pic:nvPicPr>
                  <pic:blipFill>
                    <a:blip r:embed="rId21"/>
                    <a:stretch>
                      <a:fillRect/>
                    </a:stretch>
                  </pic:blipFill>
                  <pic:spPr>
                    <a:xfrm>
                      <a:off x="0" y="0"/>
                      <a:ext cx="5191125" cy="6991350"/>
                    </a:xfrm>
                    <a:prstGeom prst="rect">
                      <a:avLst/>
                    </a:prstGeom>
                    <a:noFill/>
                    <a:ln>
                      <a:noFill/>
                    </a:ln>
                  </pic:spPr>
                </pic:pic>
              </a:graphicData>
            </a:graphic>
          </wp:inline>
        </w:drawing>
      </w:r>
    </w:p>
    <w:p>
      <w:r>
        <w:br w:type="page"/>
      </w:r>
    </w:p>
    <w:p>
      <w:pPr>
        <w:rPr>
          <w:rFonts w:hint="eastAsia" w:ascii="仿宋_GB2312" w:eastAsia="仿宋_GB2312"/>
          <w:color w:val="auto"/>
          <w:sz w:val="36"/>
          <w:szCs w:val="36"/>
        </w:rPr>
      </w:pPr>
    </w:p>
    <w:p>
      <w:pPr>
        <w:adjustRightInd w:val="0"/>
        <w:snapToGrid w:val="0"/>
        <w:spacing w:line="288" w:lineRule="auto"/>
        <w:ind w:firstLine="0"/>
        <w:jc w:val="center"/>
        <w:rPr>
          <w:rFonts w:ascii="仿宋_GB2312" w:eastAsia="仿宋_GB2312"/>
          <w:b/>
          <w:bCs/>
          <w:color w:val="auto"/>
          <w:sz w:val="36"/>
          <w:szCs w:val="36"/>
        </w:rPr>
      </w:pPr>
      <w:r>
        <w:rPr>
          <w:rFonts w:hint="eastAsia" w:ascii="仿宋_GB2312" w:eastAsia="仿宋_GB2312"/>
          <w:b/>
          <w:bCs/>
          <w:color w:val="auto"/>
          <w:sz w:val="36"/>
          <w:szCs w:val="36"/>
        </w:rPr>
        <w:t>目录</w:t>
      </w:r>
    </w:p>
    <w:p>
      <w:pPr>
        <w:pStyle w:val="16"/>
        <w:tabs>
          <w:tab w:val="right" w:leader="dot" w:pos="8844"/>
        </w:tabs>
        <w:rPr>
          <w:color w:val="auto"/>
          <w:sz w:val="24"/>
          <w:szCs w:val="24"/>
        </w:rPr>
      </w:pPr>
      <w:r>
        <w:rPr>
          <w:color w:val="auto"/>
          <w:sz w:val="24"/>
          <w:szCs w:val="24"/>
        </w:rPr>
        <w:fldChar w:fldCharType="begin"/>
      </w:r>
      <w:r>
        <w:rPr>
          <w:color w:val="auto"/>
          <w:sz w:val="24"/>
          <w:szCs w:val="24"/>
        </w:rPr>
        <w:instrText xml:space="preserve">TOC \o "1-2" \h \u </w:instrText>
      </w:r>
      <w:r>
        <w:rPr>
          <w:color w:val="auto"/>
          <w:sz w:val="24"/>
          <w:szCs w:val="24"/>
        </w:rPr>
        <w:fldChar w:fldCharType="separate"/>
      </w:r>
    </w:p>
    <w:p>
      <w:pPr>
        <w:pStyle w:val="16"/>
        <w:tabs>
          <w:tab w:val="right" w:leader="dot" w:pos="8844"/>
        </w:tabs>
        <w:rPr>
          <w:color w:val="auto"/>
          <w:sz w:val="24"/>
          <w:szCs w:val="24"/>
        </w:rPr>
      </w:pPr>
      <w:r>
        <w:rPr>
          <w:color w:val="auto"/>
          <w:sz w:val="24"/>
          <w:szCs w:val="24"/>
        </w:rPr>
        <w:fldChar w:fldCharType="begin"/>
      </w:r>
      <w:r>
        <w:rPr>
          <w:color w:val="auto"/>
          <w:sz w:val="24"/>
          <w:szCs w:val="24"/>
        </w:rPr>
        <w:instrText xml:space="preserve"> HYPERLINK \l _Toc4173 </w:instrText>
      </w:r>
      <w:r>
        <w:rPr>
          <w:color w:val="auto"/>
          <w:sz w:val="24"/>
          <w:szCs w:val="24"/>
        </w:rPr>
        <w:fldChar w:fldCharType="separate"/>
      </w:r>
      <w:r>
        <w:rPr>
          <w:rFonts w:hint="eastAsia" w:ascii="黑体" w:hAnsi="黑体" w:eastAsia="黑体"/>
          <w:snapToGrid w:val="0"/>
          <w:color w:val="auto"/>
          <w:sz w:val="24"/>
          <w:szCs w:val="24"/>
        </w:rPr>
        <w:t>一、建设项目基本情况</w:t>
      </w:r>
      <w:r>
        <w:rPr>
          <w:color w:val="auto"/>
          <w:sz w:val="24"/>
          <w:szCs w:val="24"/>
        </w:rPr>
        <w:tab/>
      </w:r>
      <w:r>
        <w:rPr>
          <w:color w:val="auto"/>
          <w:sz w:val="24"/>
          <w:szCs w:val="24"/>
        </w:rPr>
        <w:fldChar w:fldCharType="begin"/>
      </w:r>
      <w:r>
        <w:rPr>
          <w:color w:val="auto"/>
          <w:sz w:val="24"/>
          <w:szCs w:val="24"/>
        </w:rPr>
        <w:instrText xml:space="preserve"> PAGEREF _Toc4173 \h </w:instrText>
      </w:r>
      <w:r>
        <w:rPr>
          <w:color w:val="auto"/>
          <w:sz w:val="24"/>
          <w:szCs w:val="24"/>
        </w:rPr>
        <w:fldChar w:fldCharType="separate"/>
      </w:r>
      <w:r>
        <w:rPr>
          <w:color w:val="auto"/>
          <w:sz w:val="24"/>
          <w:szCs w:val="24"/>
        </w:rPr>
        <w:t>1</w:t>
      </w:r>
      <w:r>
        <w:rPr>
          <w:color w:val="auto"/>
          <w:sz w:val="24"/>
          <w:szCs w:val="24"/>
        </w:rPr>
        <w:fldChar w:fldCharType="end"/>
      </w:r>
      <w:r>
        <w:rPr>
          <w:color w:val="auto"/>
          <w:sz w:val="24"/>
          <w:szCs w:val="24"/>
        </w:rPr>
        <w:fldChar w:fldCharType="end"/>
      </w:r>
    </w:p>
    <w:p>
      <w:pPr>
        <w:pStyle w:val="16"/>
        <w:tabs>
          <w:tab w:val="right" w:leader="dot" w:pos="8844"/>
        </w:tabs>
        <w:rPr>
          <w:color w:val="auto"/>
          <w:sz w:val="24"/>
          <w:szCs w:val="24"/>
        </w:rPr>
      </w:pPr>
      <w:r>
        <w:rPr>
          <w:color w:val="auto"/>
          <w:sz w:val="24"/>
          <w:szCs w:val="24"/>
        </w:rPr>
        <w:fldChar w:fldCharType="begin"/>
      </w:r>
      <w:r>
        <w:rPr>
          <w:color w:val="auto"/>
          <w:sz w:val="24"/>
          <w:szCs w:val="24"/>
        </w:rPr>
        <w:instrText xml:space="preserve"> HYPERLINK \l _Toc17350 </w:instrText>
      </w:r>
      <w:r>
        <w:rPr>
          <w:color w:val="auto"/>
          <w:sz w:val="24"/>
          <w:szCs w:val="24"/>
        </w:rPr>
        <w:fldChar w:fldCharType="separate"/>
      </w:r>
      <w:r>
        <w:rPr>
          <w:rFonts w:hint="eastAsia" w:ascii="黑体" w:hAnsi="黑体" w:eastAsia="黑体"/>
          <w:snapToGrid w:val="0"/>
          <w:color w:val="auto"/>
          <w:sz w:val="24"/>
          <w:szCs w:val="24"/>
        </w:rPr>
        <w:t>二、建设项目工程分析</w:t>
      </w:r>
      <w:r>
        <w:rPr>
          <w:color w:val="auto"/>
          <w:sz w:val="24"/>
          <w:szCs w:val="24"/>
        </w:rPr>
        <w:tab/>
      </w:r>
      <w:r>
        <w:rPr>
          <w:color w:val="auto"/>
          <w:sz w:val="24"/>
          <w:szCs w:val="24"/>
        </w:rPr>
        <w:fldChar w:fldCharType="begin"/>
      </w:r>
      <w:r>
        <w:rPr>
          <w:color w:val="auto"/>
          <w:sz w:val="24"/>
          <w:szCs w:val="24"/>
        </w:rPr>
        <w:instrText xml:space="preserve"> PAGEREF _Toc17350 \h </w:instrText>
      </w:r>
      <w:r>
        <w:rPr>
          <w:color w:val="auto"/>
          <w:sz w:val="24"/>
          <w:szCs w:val="24"/>
        </w:rPr>
        <w:fldChar w:fldCharType="separate"/>
      </w:r>
      <w:r>
        <w:rPr>
          <w:color w:val="auto"/>
          <w:sz w:val="24"/>
          <w:szCs w:val="24"/>
        </w:rPr>
        <w:t>10</w:t>
      </w:r>
      <w:r>
        <w:rPr>
          <w:color w:val="auto"/>
          <w:sz w:val="24"/>
          <w:szCs w:val="24"/>
        </w:rPr>
        <w:fldChar w:fldCharType="end"/>
      </w:r>
      <w:r>
        <w:rPr>
          <w:color w:val="auto"/>
          <w:sz w:val="24"/>
          <w:szCs w:val="24"/>
        </w:rPr>
        <w:fldChar w:fldCharType="end"/>
      </w:r>
    </w:p>
    <w:p>
      <w:pPr>
        <w:pStyle w:val="16"/>
        <w:tabs>
          <w:tab w:val="right" w:leader="dot" w:pos="8844"/>
        </w:tabs>
        <w:rPr>
          <w:color w:val="auto"/>
          <w:sz w:val="24"/>
          <w:szCs w:val="24"/>
        </w:rPr>
      </w:pPr>
      <w:r>
        <w:rPr>
          <w:color w:val="auto"/>
          <w:sz w:val="24"/>
          <w:szCs w:val="24"/>
        </w:rPr>
        <w:fldChar w:fldCharType="begin"/>
      </w:r>
      <w:r>
        <w:rPr>
          <w:color w:val="auto"/>
          <w:sz w:val="24"/>
          <w:szCs w:val="24"/>
        </w:rPr>
        <w:instrText xml:space="preserve"> HYPERLINK \l _Toc20806 </w:instrText>
      </w:r>
      <w:r>
        <w:rPr>
          <w:color w:val="auto"/>
          <w:sz w:val="24"/>
          <w:szCs w:val="24"/>
        </w:rPr>
        <w:fldChar w:fldCharType="separate"/>
      </w:r>
      <w:r>
        <w:rPr>
          <w:rFonts w:hint="eastAsia" w:ascii="黑体" w:hAnsi="黑体" w:eastAsia="黑体"/>
          <w:snapToGrid w:val="0"/>
          <w:color w:val="auto"/>
          <w:sz w:val="24"/>
          <w:szCs w:val="24"/>
        </w:rPr>
        <w:t>三、区域环境质量现状、环境保护目标及评价标准</w:t>
      </w:r>
      <w:r>
        <w:rPr>
          <w:color w:val="auto"/>
          <w:sz w:val="24"/>
          <w:szCs w:val="24"/>
        </w:rPr>
        <w:tab/>
      </w:r>
      <w:r>
        <w:rPr>
          <w:color w:val="auto"/>
          <w:sz w:val="24"/>
          <w:szCs w:val="24"/>
        </w:rPr>
        <w:fldChar w:fldCharType="begin"/>
      </w:r>
      <w:r>
        <w:rPr>
          <w:color w:val="auto"/>
          <w:sz w:val="24"/>
          <w:szCs w:val="24"/>
        </w:rPr>
        <w:instrText xml:space="preserve"> PAGEREF _Toc20806 \h </w:instrText>
      </w:r>
      <w:r>
        <w:rPr>
          <w:color w:val="auto"/>
          <w:sz w:val="24"/>
          <w:szCs w:val="24"/>
        </w:rPr>
        <w:fldChar w:fldCharType="separate"/>
      </w:r>
      <w:r>
        <w:rPr>
          <w:color w:val="auto"/>
          <w:sz w:val="24"/>
          <w:szCs w:val="24"/>
        </w:rPr>
        <w:t>19</w:t>
      </w:r>
      <w:r>
        <w:rPr>
          <w:color w:val="auto"/>
          <w:sz w:val="24"/>
          <w:szCs w:val="24"/>
        </w:rPr>
        <w:fldChar w:fldCharType="end"/>
      </w:r>
      <w:r>
        <w:rPr>
          <w:color w:val="auto"/>
          <w:sz w:val="24"/>
          <w:szCs w:val="24"/>
        </w:rPr>
        <w:fldChar w:fldCharType="end"/>
      </w:r>
    </w:p>
    <w:p>
      <w:pPr>
        <w:pStyle w:val="16"/>
        <w:tabs>
          <w:tab w:val="right" w:leader="dot" w:pos="8844"/>
        </w:tabs>
        <w:rPr>
          <w:color w:val="auto"/>
          <w:sz w:val="24"/>
          <w:szCs w:val="24"/>
        </w:rPr>
      </w:pPr>
      <w:r>
        <w:rPr>
          <w:color w:val="auto"/>
          <w:sz w:val="24"/>
          <w:szCs w:val="24"/>
        </w:rPr>
        <w:fldChar w:fldCharType="begin"/>
      </w:r>
      <w:r>
        <w:rPr>
          <w:color w:val="auto"/>
          <w:sz w:val="24"/>
          <w:szCs w:val="24"/>
        </w:rPr>
        <w:instrText xml:space="preserve"> HYPERLINK \l _Toc4081 </w:instrText>
      </w:r>
      <w:r>
        <w:rPr>
          <w:color w:val="auto"/>
          <w:sz w:val="24"/>
          <w:szCs w:val="24"/>
        </w:rPr>
        <w:fldChar w:fldCharType="separate"/>
      </w:r>
      <w:r>
        <w:rPr>
          <w:rFonts w:hint="eastAsia" w:ascii="黑体" w:hAnsi="黑体" w:eastAsia="黑体"/>
          <w:snapToGrid w:val="0"/>
          <w:color w:val="auto"/>
          <w:sz w:val="24"/>
          <w:szCs w:val="24"/>
        </w:rPr>
        <w:t>四、</w:t>
      </w:r>
      <w:r>
        <w:rPr>
          <w:rFonts w:hint="eastAsia" w:ascii="黑体" w:hAnsi="黑体" w:eastAsia="黑体"/>
          <w:snapToGrid w:val="0"/>
          <w:color w:val="auto"/>
          <w:sz w:val="24"/>
          <w:szCs w:val="24"/>
          <w:lang w:val="en-US" w:eastAsia="zh-CN"/>
        </w:rPr>
        <w:t>生态环境影响分析</w:t>
      </w:r>
      <w:r>
        <w:rPr>
          <w:color w:val="auto"/>
          <w:sz w:val="24"/>
          <w:szCs w:val="24"/>
        </w:rPr>
        <w:tab/>
      </w:r>
      <w:r>
        <w:rPr>
          <w:color w:val="auto"/>
          <w:sz w:val="24"/>
          <w:szCs w:val="24"/>
        </w:rPr>
        <w:fldChar w:fldCharType="begin"/>
      </w:r>
      <w:r>
        <w:rPr>
          <w:color w:val="auto"/>
          <w:sz w:val="24"/>
          <w:szCs w:val="24"/>
        </w:rPr>
        <w:instrText xml:space="preserve"> PAGEREF _Toc4081 \h </w:instrText>
      </w:r>
      <w:r>
        <w:rPr>
          <w:color w:val="auto"/>
          <w:sz w:val="24"/>
          <w:szCs w:val="24"/>
        </w:rPr>
        <w:fldChar w:fldCharType="separate"/>
      </w:r>
      <w:r>
        <w:rPr>
          <w:color w:val="auto"/>
          <w:sz w:val="24"/>
          <w:szCs w:val="24"/>
        </w:rPr>
        <w:t>25</w:t>
      </w:r>
      <w:r>
        <w:rPr>
          <w:color w:val="auto"/>
          <w:sz w:val="24"/>
          <w:szCs w:val="24"/>
        </w:rPr>
        <w:fldChar w:fldCharType="end"/>
      </w:r>
      <w:r>
        <w:rPr>
          <w:color w:val="auto"/>
          <w:sz w:val="24"/>
          <w:szCs w:val="24"/>
        </w:rPr>
        <w:fldChar w:fldCharType="end"/>
      </w:r>
    </w:p>
    <w:p>
      <w:pPr>
        <w:pStyle w:val="16"/>
        <w:tabs>
          <w:tab w:val="right" w:leader="dot" w:pos="8844"/>
        </w:tabs>
        <w:rPr>
          <w:color w:val="auto"/>
          <w:sz w:val="24"/>
          <w:szCs w:val="24"/>
        </w:rPr>
      </w:pPr>
      <w:r>
        <w:rPr>
          <w:color w:val="auto"/>
          <w:sz w:val="24"/>
          <w:szCs w:val="24"/>
        </w:rPr>
        <w:fldChar w:fldCharType="begin"/>
      </w:r>
      <w:r>
        <w:rPr>
          <w:color w:val="auto"/>
          <w:sz w:val="24"/>
          <w:szCs w:val="24"/>
        </w:rPr>
        <w:instrText xml:space="preserve"> HYPERLINK \l _Toc25884 </w:instrText>
      </w:r>
      <w:r>
        <w:rPr>
          <w:color w:val="auto"/>
          <w:sz w:val="24"/>
          <w:szCs w:val="24"/>
        </w:rPr>
        <w:fldChar w:fldCharType="separate"/>
      </w:r>
      <w:r>
        <w:rPr>
          <w:rFonts w:hint="eastAsia" w:ascii="黑体" w:hAnsi="黑体" w:eastAsia="黑体"/>
          <w:snapToGrid w:val="0"/>
          <w:color w:val="auto"/>
          <w:sz w:val="24"/>
          <w:szCs w:val="24"/>
        </w:rPr>
        <w:t>五、</w:t>
      </w:r>
      <w:r>
        <w:rPr>
          <w:rFonts w:hint="eastAsia" w:ascii="黑体" w:hAnsi="黑体" w:eastAsia="黑体"/>
          <w:snapToGrid w:val="0"/>
          <w:color w:val="auto"/>
          <w:sz w:val="24"/>
          <w:szCs w:val="24"/>
          <w:lang w:val="en-US" w:eastAsia="zh-CN"/>
        </w:rPr>
        <w:t>主要生态环境保护措施</w:t>
      </w:r>
      <w:r>
        <w:rPr>
          <w:color w:val="auto"/>
          <w:sz w:val="24"/>
          <w:szCs w:val="24"/>
        </w:rPr>
        <w:tab/>
      </w:r>
      <w:r>
        <w:rPr>
          <w:color w:val="auto"/>
          <w:sz w:val="24"/>
          <w:szCs w:val="24"/>
        </w:rPr>
        <w:fldChar w:fldCharType="begin"/>
      </w:r>
      <w:r>
        <w:rPr>
          <w:color w:val="auto"/>
          <w:sz w:val="24"/>
          <w:szCs w:val="24"/>
        </w:rPr>
        <w:instrText xml:space="preserve"> PAGEREF _Toc25884 \h </w:instrText>
      </w:r>
      <w:r>
        <w:rPr>
          <w:color w:val="auto"/>
          <w:sz w:val="24"/>
          <w:szCs w:val="24"/>
        </w:rPr>
        <w:fldChar w:fldCharType="separate"/>
      </w:r>
      <w:r>
        <w:rPr>
          <w:color w:val="auto"/>
          <w:sz w:val="24"/>
          <w:szCs w:val="24"/>
        </w:rPr>
        <w:t>32</w:t>
      </w:r>
      <w:r>
        <w:rPr>
          <w:color w:val="auto"/>
          <w:sz w:val="24"/>
          <w:szCs w:val="24"/>
        </w:rPr>
        <w:fldChar w:fldCharType="end"/>
      </w:r>
      <w:r>
        <w:rPr>
          <w:color w:val="auto"/>
          <w:sz w:val="24"/>
          <w:szCs w:val="24"/>
        </w:rPr>
        <w:fldChar w:fldCharType="end"/>
      </w:r>
    </w:p>
    <w:p>
      <w:pPr>
        <w:pStyle w:val="16"/>
        <w:tabs>
          <w:tab w:val="right" w:leader="dot" w:pos="8844"/>
        </w:tabs>
        <w:rPr>
          <w:color w:val="auto"/>
          <w:sz w:val="24"/>
          <w:szCs w:val="24"/>
        </w:rPr>
      </w:pPr>
      <w:r>
        <w:rPr>
          <w:color w:val="auto"/>
          <w:sz w:val="24"/>
          <w:szCs w:val="24"/>
        </w:rPr>
        <w:fldChar w:fldCharType="begin"/>
      </w:r>
      <w:r>
        <w:rPr>
          <w:color w:val="auto"/>
          <w:sz w:val="24"/>
          <w:szCs w:val="24"/>
        </w:rPr>
        <w:instrText xml:space="preserve"> HYPERLINK \l _Toc2708 </w:instrText>
      </w:r>
      <w:r>
        <w:rPr>
          <w:color w:val="auto"/>
          <w:sz w:val="24"/>
          <w:szCs w:val="24"/>
        </w:rPr>
        <w:fldChar w:fldCharType="separate"/>
      </w:r>
      <w:r>
        <w:rPr>
          <w:rFonts w:hint="eastAsia" w:ascii="Times New Roman" w:hAnsi="Times New Roman" w:eastAsia="黑体" w:cs="Times New Roman"/>
          <w:snapToGrid w:val="0"/>
          <w:color w:val="auto"/>
          <w:sz w:val="24"/>
          <w:szCs w:val="24"/>
        </w:rPr>
        <w:t xml:space="preserve">六、 </w:t>
      </w:r>
      <w:r>
        <w:rPr>
          <w:rFonts w:hint="default" w:ascii="Times New Roman" w:hAnsi="Times New Roman" w:eastAsia="黑体" w:cs="Times New Roman"/>
          <w:snapToGrid w:val="0"/>
          <w:color w:val="auto"/>
          <w:sz w:val="24"/>
          <w:szCs w:val="24"/>
        </w:rPr>
        <w:t>生态环境保护措施监督检查清单</w:t>
      </w:r>
      <w:r>
        <w:rPr>
          <w:color w:val="auto"/>
          <w:sz w:val="24"/>
          <w:szCs w:val="24"/>
        </w:rPr>
        <w:tab/>
      </w:r>
      <w:r>
        <w:rPr>
          <w:color w:val="auto"/>
          <w:sz w:val="24"/>
          <w:szCs w:val="24"/>
        </w:rPr>
        <w:fldChar w:fldCharType="begin"/>
      </w:r>
      <w:r>
        <w:rPr>
          <w:color w:val="auto"/>
          <w:sz w:val="24"/>
          <w:szCs w:val="24"/>
        </w:rPr>
        <w:instrText xml:space="preserve"> PAGEREF _Toc2708 \h </w:instrText>
      </w:r>
      <w:r>
        <w:rPr>
          <w:color w:val="auto"/>
          <w:sz w:val="24"/>
          <w:szCs w:val="24"/>
        </w:rPr>
        <w:fldChar w:fldCharType="separate"/>
      </w:r>
      <w:r>
        <w:rPr>
          <w:color w:val="auto"/>
          <w:sz w:val="24"/>
          <w:szCs w:val="24"/>
        </w:rPr>
        <w:t>36</w:t>
      </w:r>
      <w:r>
        <w:rPr>
          <w:color w:val="auto"/>
          <w:sz w:val="24"/>
          <w:szCs w:val="24"/>
        </w:rPr>
        <w:fldChar w:fldCharType="end"/>
      </w:r>
      <w:r>
        <w:rPr>
          <w:color w:val="auto"/>
          <w:sz w:val="24"/>
          <w:szCs w:val="24"/>
        </w:rPr>
        <w:fldChar w:fldCharType="end"/>
      </w:r>
    </w:p>
    <w:p>
      <w:pPr>
        <w:pStyle w:val="16"/>
        <w:tabs>
          <w:tab w:val="right" w:leader="dot" w:pos="8844"/>
        </w:tabs>
        <w:rPr>
          <w:color w:val="auto"/>
          <w:sz w:val="24"/>
          <w:szCs w:val="24"/>
        </w:rPr>
      </w:pPr>
      <w:r>
        <w:rPr>
          <w:color w:val="auto"/>
          <w:sz w:val="24"/>
          <w:szCs w:val="24"/>
        </w:rPr>
        <w:fldChar w:fldCharType="begin"/>
      </w:r>
      <w:r>
        <w:rPr>
          <w:color w:val="auto"/>
          <w:sz w:val="24"/>
          <w:szCs w:val="24"/>
        </w:rPr>
        <w:instrText xml:space="preserve"> HYPERLINK \l _Toc28334 </w:instrText>
      </w:r>
      <w:r>
        <w:rPr>
          <w:color w:val="auto"/>
          <w:sz w:val="24"/>
          <w:szCs w:val="24"/>
        </w:rPr>
        <w:fldChar w:fldCharType="separate"/>
      </w:r>
      <w:r>
        <w:rPr>
          <w:rFonts w:hint="eastAsia" w:ascii="黑体" w:hAnsi="黑体" w:eastAsia="黑体"/>
          <w:snapToGrid w:val="0"/>
          <w:color w:val="auto"/>
          <w:sz w:val="24"/>
          <w:szCs w:val="24"/>
        </w:rPr>
        <w:t>六、结论</w:t>
      </w:r>
      <w:r>
        <w:rPr>
          <w:color w:val="auto"/>
          <w:sz w:val="24"/>
          <w:szCs w:val="24"/>
        </w:rPr>
        <w:tab/>
      </w:r>
      <w:r>
        <w:rPr>
          <w:color w:val="auto"/>
          <w:sz w:val="24"/>
          <w:szCs w:val="24"/>
        </w:rPr>
        <w:fldChar w:fldCharType="begin"/>
      </w:r>
      <w:r>
        <w:rPr>
          <w:color w:val="auto"/>
          <w:sz w:val="24"/>
          <w:szCs w:val="24"/>
        </w:rPr>
        <w:instrText xml:space="preserve"> PAGEREF _Toc28334 \h </w:instrText>
      </w:r>
      <w:r>
        <w:rPr>
          <w:color w:val="auto"/>
          <w:sz w:val="24"/>
          <w:szCs w:val="24"/>
        </w:rPr>
        <w:fldChar w:fldCharType="separate"/>
      </w:r>
      <w:r>
        <w:rPr>
          <w:color w:val="auto"/>
          <w:sz w:val="24"/>
          <w:szCs w:val="24"/>
        </w:rPr>
        <w:t>37</w:t>
      </w:r>
      <w:r>
        <w:rPr>
          <w:color w:val="auto"/>
          <w:sz w:val="24"/>
          <w:szCs w:val="24"/>
        </w:rPr>
        <w:fldChar w:fldCharType="end"/>
      </w:r>
      <w:r>
        <w:rPr>
          <w:color w:val="auto"/>
          <w:sz w:val="24"/>
          <w:szCs w:val="24"/>
        </w:rPr>
        <w:fldChar w:fldCharType="end"/>
      </w:r>
    </w:p>
    <w:p>
      <w:pPr>
        <w:pStyle w:val="16"/>
        <w:tabs>
          <w:tab w:val="right" w:leader="dot" w:pos="8844"/>
        </w:tabs>
        <w:rPr>
          <w:color w:val="auto"/>
          <w:sz w:val="24"/>
          <w:szCs w:val="24"/>
        </w:rPr>
      </w:pPr>
    </w:p>
    <w:p>
      <w:pPr>
        <w:pStyle w:val="16"/>
        <w:tabs>
          <w:tab w:val="right" w:leader="dot" w:pos="8844"/>
        </w:tabs>
        <w:rPr>
          <w:color w:val="auto"/>
          <w:sz w:val="24"/>
          <w:szCs w:val="24"/>
        </w:rPr>
      </w:pPr>
      <w:r>
        <w:rPr>
          <w:color w:val="auto"/>
          <w:sz w:val="24"/>
          <w:szCs w:val="24"/>
        </w:rPr>
        <w:fldChar w:fldCharType="begin"/>
      </w:r>
      <w:r>
        <w:rPr>
          <w:color w:val="auto"/>
          <w:sz w:val="24"/>
          <w:szCs w:val="24"/>
        </w:rPr>
        <w:instrText xml:space="preserve"> HYPERLINK \l _Toc14988 </w:instrText>
      </w:r>
      <w:r>
        <w:rPr>
          <w:color w:val="auto"/>
          <w:sz w:val="24"/>
          <w:szCs w:val="24"/>
        </w:rPr>
        <w:fldChar w:fldCharType="separate"/>
      </w:r>
      <w:r>
        <w:rPr>
          <w:rFonts w:hint="eastAsia" w:ascii="方正小标宋_GBK" w:hAnsi="黑体" w:eastAsia="方正小标宋_GBK"/>
          <w:snapToGrid w:val="0"/>
          <w:color w:val="auto"/>
          <w:kern w:val="0"/>
          <w:sz w:val="24"/>
          <w:szCs w:val="24"/>
        </w:rPr>
        <w:t>附图</w:t>
      </w:r>
      <w:r>
        <w:rPr>
          <w:color w:val="auto"/>
          <w:sz w:val="24"/>
          <w:szCs w:val="24"/>
        </w:rPr>
        <w:tab/>
      </w:r>
      <w:r>
        <w:rPr>
          <w:color w:val="auto"/>
          <w:sz w:val="24"/>
          <w:szCs w:val="24"/>
        </w:rPr>
        <w:fldChar w:fldCharType="begin"/>
      </w:r>
      <w:r>
        <w:rPr>
          <w:color w:val="auto"/>
          <w:sz w:val="24"/>
          <w:szCs w:val="24"/>
        </w:rPr>
        <w:instrText xml:space="preserve"> PAGEREF _Toc14988 \h </w:instrText>
      </w:r>
      <w:r>
        <w:rPr>
          <w:color w:val="auto"/>
          <w:sz w:val="24"/>
          <w:szCs w:val="24"/>
        </w:rPr>
        <w:fldChar w:fldCharType="separate"/>
      </w:r>
      <w:r>
        <w:rPr>
          <w:color w:val="auto"/>
          <w:sz w:val="24"/>
          <w:szCs w:val="24"/>
        </w:rPr>
        <w:t>38</w:t>
      </w:r>
      <w:r>
        <w:rPr>
          <w:color w:val="auto"/>
          <w:sz w:val="24"/>
          <w:szCs w:val="24"/>
        </w:rPr>
        <w:fldChar w:fldCharType="end"/>
      </w:r>
      <w:r>
        <w:rPr>
          <w:color w:val="auto"/>
          <w:sz w:val="24"/>
          <w:szCs w:val="24"/>
        </w:rPr>
        <w:fldChar w:fldCharType="end"/>
      </w:r>
    </w:p>
    <w:p>
      <w:pPr>
        <w:pStyle w:val="17"/>
        <w:tabs>
          <w:tab w:val="right" w:leader="dot" w:pos="8844"/>
        </w:tabs>
        <w:rPr>
          <w:color w:val="auto"/>
          <w:sz w:val="24"/>
          <w:szCs w:val="24"/>
        </w:rPr>
      </w:pPr>
      <w:r>
        <w:rPr>
          <w:color w:val="auto"/>
          <w:sz w:val="24"/>
          <w:szCs w:val="24"/>
        </w:rPr>
        <w:fldChar w:fldCharType="begin"/>
      </w:r>
      <w:r>
        <w:rPr>
          <w:color w:val="auto"/>
          <w:sz w:val="24"/>
          <w:szCs w:val="24"/>
        </w:rPr>
        <w:instrText xml:space="preserve"> HYPERLINK \l _Toc19809 </w:instrText>
      </w:r>
      <w:r>
        <w:rPr>
          <w:color w:val="auto"/>
          <w:sz w:val="24"/>
          <w:szCs w:val="24"/>
        </w:rPr>
        <w:fldChar w:fldCharType="separate"/>
      </w:r>
      <w:r>
        <w:rPr>
          <w:bCs/>
          <w:color w:val="auto"/>
          <w:sz w:val="24"/>
          <w:szCs w:val="24"/>
        </w:rPr>
        <w:t>附图1 项目地理位置图</w:t>
      </w:r>
      <w:r>
        <w:rPr>
          <w:color w:val="auto"/>
          <w:sz w:val="24"/>
          <w:szCs w:val="24"/>
        </w:rPr>
        <w:tab/>
      </w:r>
      <w:r>
        <w:rPr>
          <w:color w:val="auto"/>
          <w:sz w:val="24"/>
          <w:szCs w:val="24"/>
        </w:rPr>
        <w:fldChar w:fldCharType="begin"/>
      </w:r>
      <w:r>
        <w:rPr>
          <w:color w:val="auto"/>
          <w:sz w:val="24"/>
          <w:szCs w:val="24"/>
        </w:rPr>
        <w:instrText xml:space="preserve"> PAGEREF _Toc19809 \h </w:instrText>
      </w:r>
      <w:r>
        <w:rPr>
          <w:color w:val="auto"/>
          <w:sz w:val="24"/>
          <w:szCs w:val="24"/>
        </w:rPr>
        <w:fldChar w:fldCharType="separate"/>
      </w:r>
      <w:r>
        <w:rPr>
          <w:color w:val="auto"/>
          <w:sz w:val="24"/>
          <w:szCs w:val="24"/>
        </w:rPr>
        <w:t>38</w:t>
      </w:r>
      <w:r>
        <w:rPr>
          <w:color w:val="auto"/>
          <w:sz w:val="24"/>
          <w:szCs w:val="24"/>
        </w:rPr>
        <w:fldChar w:fldCharType="end"/>
      </w:r>
      <w:r>
        <w:rPr>
          <w:color w:val="auto"/>
          <w:sz w:val="24"/>
          <w:szCs w:val="24"/>
        </w:rPr>
        <w:fldChar w:fldCharType="end"/>
      </w:r>
    </w:p>
    <w:p>
      <w:pPr>
        <w:pStyle w:val="17"/>
        <w:tabs>
          <w:tab w:val="right" w:leader="dot" w:pos="8844"/>
        </w:tabs>
        <w:rPr>
          <w:color w:val="auto"/>
          <w:sz w:val="24"/>
          <w:szCs w:val="24"/>
        </w:rPr>
      </w:pPr>
      <w:r>
        <w:rPr>
          <w:color w:val="auto"/>
          <w:sz w:val="24"/>
          <w:szCs w:val="24"/>
        </w:rPr>
        <w:fldChar w:fldCharType="begin"/>
      </w:r>
      <w:r>
        <w:rPr>
          <w:color w:val="auto"/>
          <w:sz w:val="24"/>
          <w:szCs w:val="24"/>
        </w:rPr>
        <w:instrText xml:space="preserve"> HYPERLINK \l _Toc21700 </w:instrText>
      </w:r>
      <w:r>
        <w:rPr>
          <w:color w:val="auto"/>
          <w:sz w:val="24"/>
          <w:szCs w:val="24"/>
        </w:rPr>
        <w:fldChar w:fldCharType="separate"/>
      </w:r>
      <w:r>
        <w:rPr>
          <w:bCs/>
          <w:color w:val="auto"/>
          <w:sz w:val="24"/>
          <w:szCs w:val="24"/>
        </w:rPr>
        <w:t>附图2 厂区平面布置图</w:t>
      </w:r>
      <w:r>
        <w:rPr>
          <w:color w:val="auto"/>
          <w:sz w:val="24"/>
          <w:szCs w:val="24"/>
        </w:rPr>
        <w:tab/>
      </w:r>
      <w:r>
        <w:rPr>
          <w:color w:val="auto"/>
          <w:sz w:val="24"/>
          <w:szCs w:val="24"/>
        </w:rPr>
        <w:fldChar w:fldCharType="begin"/>
      </w:r>
      <w:r>
        <w:rPr>
          <w:color w:val="auto"/>
          <w:sz w:val="24"/>
          <w:szCs w:val="24"/>
        </w:rPr>
        <w:instrText xml:space="preserve"> PAGEREF _Toc21700 \h </w:instrText>
      </w:r>
      <w:r>
        <w:rPr>
          <w:color w:val="auto"/>
          <w:sz w:val="24"/>
          <w:szCs w:val="24"/>
        </w:rPr>
        <w:fldChar w:fldCharType="separate"/>
      </w:r>
      <w:r>
        <w:rPr>
          <w:color w:val="auto"/>
          <w:sz w:val="24"/>
          <w:szCs w:val="24"/>
        </w:rPr>
        <w:t>39</w:t>
      </w:r>
      <w:r>
        <w:rPr>
          <w:color w:val="auto"/>
          <w:sz w:val="24"/>
          <w:szCs w:val="24"/>
        </w:rPr>
        <w:fldChar w:fldCharType="end"/>
      </w:r>
      <w:r>
        <w:rPr>
          <w:color w:val="auto"/>
          <w:sz w:val="24"/>
          <w:szCs w:val="24"/>
        </w:rPr>
        <w:fldChar w:fldCharType="end"/>
      </w:r>
    </w:p>
    <w:p>
      <w:pPr>
        <w:pStyle w:val="17"/>
        <w:tabs>
          <w:tab w:val="right" w:leader="dot" w:pos="8844"/>
        </w:tabs>
        <w:rPr>
          <w:color w:val="auto"/>
          <w:sz w:val="24"/>
          <w:szCs w:val="24"/>
        </w:rPr>
      </w:pPr>
      <w:r>
        <w:rPr>
          <w:color w:val="auto"/>
          <w:sz w:val="24"/>
          <w:szCs w:val="24"/>
        </w:rPr>
        <w:fldChar w:fldCharType="begin"/>
      </w:r>
      <w:r>
        <w:rPr>
          <w:color w:val="auto"/>
          <w:sz w:val="24"/>
          <w:szCs w:val="24"/>
        </w:rPr>
        <w:instrText xml:space="preserve"> HYPERLINK \l _Toc21860 </w:instrText>
      </w:r>
      <w:r>
        <w:rPr>
          <w:color w:val="auto"/>
          <w:sz w:val="24"/>
          <w:szCs w:val="24"/>
        </w:rPr>
        <w:fldChar w:fldCharType="separate"/>
      </w:r>
      <w:r>
        <w:rPr>
          <w:bCs/>
          <w:color w:val="auto"/>
          <w:sz w:val="24"/>
          <w:szCs w:val="24"/>
        </w:rPr>
        <w:t>附图</w:t>
      </w:r>
      <w:r>
        <w:rPr>
          <w:rFonts w:hint="eastAsia"/>
          <w:bCs/>
          <w:color w:val="auto"/>
          <w:sz w:val="24"/>
          <w:szCs w:val="24"/>
        </w:rPr>
        <w:t>3</w:t>
      </w:r>
      <w:r>
        <w:rPr>
          <w:bCs/>
          <w:color w:val="auto"/>
          <w:sz w:val="24"/>
          <w:szCs w:val="24"/>
        </w:rPr>
        <w:t xml:space="preserve"> </w:t>
      </w:r>
      <w:r>
        <w:rPr>
          <w:rFonts w:hint="eastAsia"/>
          <w:bCs/>
          <w:color w:val="auto"/>
          <w:sz w:val="24"/>
          <w:szCs w:val="24"/>
        </w:rPr>
        <w:t>项目周边环境及敏感目标</w:t>
      </w:r>
      <w:r>
        <w:rPr>
          <w:bCs/>
          <w:color w:val="auto"/>
          <w:sz w:val="24"/>
          <w:szCs w:val="24"/>
        </w:rPr>
        <w:t>图</w:t>
      </w:r>
      <w:r>
        <w:rPr>
          <w:color w:val="auto"/>
          <w:sz w:val="24"/>
          <w:szCs w:val="24"/>
        </w:rPr>
        <w:tab/>
      </w:r>
      <w:r>
        <w:rPr>
          <w:color w:val="auto"/>
          <w:sz w:val="24"/>
          <w:szCs w:val="24"/>
        </w:rPr>
        <w:fldChar w:fldCharType="begin"/>
      </w:r>
      <w:r>
        <w:rPr>
          <w:color w:val="auto"/>
          <w:sz w:val="24"/>
          <w:szCs w:val="24"/>
        </w:rPr>
        <w:instrText xml:space="preserve"> PAGEREF _Toc21860 \h </w:instrText>
      </w:r>
      <w:r>
        <w:rPr>
          <w:color w:val="auto"/>
          <w:sz w:val="24"/>
          <w:szCs w:val="24"/>
        </w:rPr>
        <w:fldChar w:fldCharType="separate"/>
      </w:r>
      <w:r>
        <w:rPr>
          <w:color w:val="auto"/>
          <w:sz w:val="24"/>
          <w:szCs w:val="24"/>
        </w:rPr>
        <w:t>40</w:t>
      </w:r>
      <w:r>
        <w:rPr>
          <w:color w:val="auto"/>
          <w:sz w:val="24"/>
          <w:szCs w:val="24"/>
        </w:rPr>
        <w:fldChar w:fldCharType="end"/>
      </w:r>
      <w:r>
        <w:rPr>
          <w:color w:val="auto"/>
          <w:sz w:val="24"/>
          <w:szCs w:val="24"/>
        </w:rPr>
        <w:fldChar w:fldCharType="end"/>
      </w:r>
    </w:p>
    <w:p>
      <w:pPr>
        <w:pStyle w:val="17"/>
        <w:tabs>
          <w:tab w:val="right" w:leader="dot" w:pos="8844"/>
        </w:tabs>
        <w:rPr>
          <w:color w:val="auto"/>
          <w:sz w:val="24"/>
          <w:szCs w:val="24"/>
        </w:rPr>
      </w:pPr>
      <w:r>
        <w:rPr>
          <w:color w:val="auto"/>
          <w:sz w:val="24"/>
          <w:szCs w:val="24"/>
        </w:rPr>
        <w:fldChar w:fldCharType="begin"/>
      </w:r>
      <w:r>
        <w:rPr>
          <w:color w:val="auto"/>
          <w:sz w:val="24"/>
          <w:szCs w:val="24"/>
        </w:rPr>
        <w:instrText xml:space="preserve"> HYPERLINK \l _Toc19421 </w:instrText>
      </w:r>
      <w:r>
        <w:rPr>
          <w:color w:val="auto"/>
          <w:sz w:val="24"/>
          <w:szCs w:val="24"/>
        </w:rPr>
        <w:fldChar w:fldCharType="separate"/>
      </w:r>
      <w:r>
        <w:rPr>
          <w:bCs/>
          <w:color w:val="auto"/>
          <w:sz w:val="24"/>
          <w:szCs w:val="24"/>
        </w:rPr>
        <w:t>附图</w:t>
      </w:r>
      <w:r>
        <w:rPr>
          <w:rFonts w:hint="eastAsia"/>
          <w:bCs/>
          <w:color w:val="auto"/>
          <w:sz w:val="24"/>
          <w:szCs w:val="24"/>
          <w:lang w:val="en-US" w:eastAsia="zh-CN"/>
        </w:rPr>
        <w:t>4</w:t>
      </w:r>
      <w:r>
        <w:rPr>
          <w:bCs/>
          <w:color w:val="auto"/>
          <w:sz w:val="24"/>
          <w:szCs w:val="24"/>
        </w:rPr>
        <w:t xml:space="preserve"> </w:t>
      </w:r>
      <w:r>
        <w:rPr>
          <w:rFonts w:hint="eastAsia"/>
          <w:bCs/>
          <w:color w:val="auto"/>
          <w:sz w:val="24"/>
          <w:szCs w:val="24"/>
          <w:lang w:val="en-US" w:eastAsia="zh-CN"/>
        </w:rPr>
        <w:t>噪声监测布点</w:t>
      </w:r>
      <w:r>
        <w:rPr>
          <w:bCs/>
          <w:color w:val="auto"/>
          <w:sz w:val="24"/>
          <w:szCs w:val="24"/>
        </w:rPr>
        <w:t>图</w:t>
      </w:r>
      <w:r>
        <w:rPr>
          <w:color w:val="auto"/>
          <w:sz w:val="24"/>
          <w:szCs w:val="24"/>
        </w:rPr>
        <w:tab/>
      </w:r>
      <w:r>
        <w:rPr>
          <w:color w:val="auto"/>
          <w:sz w:val="24"/>
          <w:szCs w:val="24"/>
        </w:rPr>
        <w:fldChar w:fldCharType="begin"/>
      </w:r>
      <w:r>
        <w:rPr>
          <w:color w:val="auto"/>
          <w:sz w:val="24"/>
          <w:szCs w:val="24"/>
        </w:rPr>
        <w:instrText xml:space="preserve"> PAGEREF _Toc19421 \h </w:instrText>
      </w:r>
      <w:r>
        <w:rPr>
          <w:color w:val="auto"/>
          <w:sz w:val="24"/>
          <w:szCs w:val="24"/>
        </w:rPr>
        <w:fldChar w:fldCharType="separate"/>
      </w:r>
      <w:r>
        <w:rPr>
          <w:color w:val="auto"/>
          <w:sz w:val="24"/>
          <w:szCs w:val="24"/>
        </w:rPr>
        <w:t>41</w:t>
      </w:r>
      <w:r>
        <w:rPr>
          <w:color w:val="auto"/>
          <w:sz w:val="24"/>
          <w:szCs w:val="24"/>
        </w:rPr>
        <w:fldChar w:fldCharType="end"/>
      </w:r>
      <w:r>
        <w:rPr>
          <w:color w:val="auto"/>
          <w:sz w:val="24"/>
          <w:szCs w:val="24"/>
        </w:rPr>
        <w:fldChar w:fldCharType="end"/>
      </w:r>
    </w:p>
    <w:p>
      <w:pPr>
        <w:pStyle w:val="17"/>
        <w:tabs>
          <w:tab w:val="right" w:leader="dot" w:pos="8844"/>
        </w:tabs>
        <w:rPr>
          <w:color w:val="auto"/>
          <w:sz w:val="24"/>
          <w:szCs w:val="24"/>
        </w:rPr>
      </w:pPr>
      <w:r>
        <w:rPr>
          <w:color w:val="auto"/>
          <w:sz w:val="24"/>
          <w:szCs w:val="24"/>
        </w:rPr>
        <w:fldChar w:fldCharType="begin"/>
      </w:r>
      <w:r>
        <w:rPr>
          <w:color w:val="auto"/>
          <w:sz w:val="24"/>
          <w:szCs w:val="24"/>
        </w:rPr>
        <w:instrText xml:space="preserve"> HYPERLINK \l _Toc2390 </w:instrText>
      </w:r>
      <w:r>
        <w:rPr>
          <w:color w:val="auto"/>
          <w:sz w:val="24"/>
          <w:szCs w:val="24"/>
        </w:rPr>
        <w:fldChar w:fldCharType="separate"/>
      </w:r>
      <w:r>
        <w:rPr>
          <w:bCs/>
          <w:color w:val="auto"/>
          <w:sz w:val="24"/>
          <w:szCs w:val="24"/>
        </w:rPr>
        <w:t>附图</w:t>
      </w:r>
      <w:r>
        <w:rPr>
          <w:rFonts w:hint="eastAsia"/>
          <w:bCs/>
          <w:color w:val="auto"/>
          <w:sz w:val="24"/>
          <w:szCs w:val="24"/>
          <w:lang w:val="en-US" w:eastAsia="zh-CN"/>
        </w:rPr>
        <w:t>5</w:t>
      </w:r>
      <w:r>
        <w:rPr>
          <w:bCs/>
          <w:color w:val="auto"/>
          <w:sz w:val="24"/>
          <w:szCs w:val="24"/>
        </w:rPr>
        <w:t xml:space="preserve"> </w:t>
      </w:r>
      <w:r>
        <w:rPr>
          <w:rFonts w:hint="eastAsia"/>
          <w:bCs/>
          <w:color w:val="auto"/>
          <w:sz w:val="24"/>
          <w:szCs w:val="24"/>
          <w:lang w:val="en-US" w:eastAsia="zh-CN"/>
        </w:rPr>
        <w:t>本项目与湖南东洞庭湖国家级自然保护区位置示意图（调整前及调整后）</w:t>
      </w:r>
      <w:r>
        <w:rPr>
          <w:color w:val="auto"/>
          <w:sz w:val="24"/>
          <w:szCs w:val="24"/>
        </w:rPr>
        <w:tab/>
      </w:r>
      <w:r>
        <w:rPr>
          <w:color w:val="auto"/>
          <w:sz w:val="24"/>
          <w:szCs w:val="24"/>
        </w:rPr>
        <w:fldChar w:fldCharType="begin"/>
      </w:r>
      <w:r>
        <w:rPr>
          <w:color w:val="auto"/>
          <w:sz w:val="24"/>
          <w:szCs w:val="24"/>
        </w:rPr>
        <w:instrText xml:space="preserve"> PAGEREF _Toc2390 \h </w:instrText>
      </w:r>
      <w:r>
        <w:rPr>
          <w:color w:val="auto"/>
          <w:sz w:val="24"/>
          <w:szCs w:val="24"/>
        </w:rPr>
        <w:fldChar w:fldCharType="separate"/>
      </w:r>
      <w:r>
        <w:rPr>
          <w:color w:val="auto"/>
          <w:sz w:val="24"/>
          <w:szCs w:val="24"/>
        </w:rPr>
        <w:t>42</w:t>
      </w:r>
      <w:r>
        <w:rPr>
          <w:color w:val="auto"/>
          <w:sz w:val="24"/>
          <w:szCs w:val="24"/>
        </w:rPr>
        <w:fldChar w:fldCharType="end"/>
      </w:r>
      <w:r>
        <w:rPr>
          <w:color w:val="auto"/>
          <w:sz w:val="24"/>
          <w:szCs w:val="24"/>
        </w:rPr>
        <w:fldChar w:fldCharType="end"/>
      </w:r>
    </w:p>
    <w:p>
      <w:pPr>
        <w:pStyle w:val="17"/>
        <w:tabs>
          <w:tab w:val="right" w:leader="dot" w:pos="8844"/>
        </w:tabs>
        <w:rPr>
          <w:color w:val="auto"/>
          <w:sz w:val="24"/>
          <w:szCs w:val="24"/>
        </w:rPr>
      </w:pPr>
      <w:r>
        <w:rPr>
          <w:color w:val="auto"/>
          <w:sz w:val="24"/>
          <w:szCs w:val="24"/>
        </w:rPr>
        <w:fldChar w:fldCharType="begin"/>
      </w:r>
      <w:r>
        <w:rPr>
          <w:color w:val="auto"/>
          <w:sz w:val="24"/>
          <w:szCs w:val="24"/>
        </w:rPr>
        <w:instrText xml:space="preserve"> HYPERLINK \l _Toc4209 </w:instrText>
      </w:r>
      <w:r>
        <w:rPr>
          <w:color w:val="auto"/>
          <w:sz w:val="24"/>
          <w:szCs w:val="24"/>
        </w:rPr>
        <w:fldChar w:fldCharType="separate"/>
      </w:r>
      <w:r>
        <w:rPr>
          <w:bCs/>
          <w:color w:val="auto"/>
          <w:sz w:val="24"/>
          <w:szCs w:val="24"/>
        </w:rPr>
        <w:t>附图</w:t>
      </w:r>
      <w:r>
        <w:rPr>
          <w:rFonts w:hint="eastAsia"/>
          <w:bCs/>
          <w:color w:val="auto"/>
          <w:sz w:val="24"/>
          <w:szCs w:val="24"/>
          <w:lang w:val="en-US" w:eastAsia="zh-CN"/>
        </w:rPr>
        <w:t>6</w:t>
      </w:r>
      <w:r>
        <w:rPr>
          <w:bCs/>
          <w:color w:val="auto"/>
          <w:sz w:val="24"/>
          <w:szCs w:val="24"/>
        </w:rPr>
        <w:t xml:space="preserve"> </w:t>
      </w:r>
      <w:r>
        <w:rPr>
          <w:rFonts w:hint="eastAsia"/>
          <w:bCs/>
          <w:color w:val="auto"/>
          <w:sz w:val="24"/>
          <w:szCs w:val="24"/>
          <w:lang w:val="en-US" w:eastAsia="zh-CN"/>
        </w:rPr>
        <w:t>项目及周边土地利用现状图</w:t>
      </w:r>
      <w:r>
        <w:rPr>
          <w:color w:val="auto"/>
          <w:sz w:val="24"/>
          <w:szCs w:val="24"/>
        </w:rPr>
        <w:tab/>
      </w:r>
      <w:r>
        <w:rPr>
          <w:color w:val="auto"/>
          <w:sz w:val="24"/>
          <w:szCs w:val="24"/>
        </w:rPr>
        <w:fldChar w:fldCharType="begin"/>
      </w:r>
      <w:r>
        <w:rPr>
          <w:color w:val="auto"/>
          <w:sz w:val="24"/>
          <w:szCs w:val="24"/>
        </w:rPr>
        <w:instrText xml:space="preserve"> PAGEREF _Toc4209 \h </w:instrText>
      </w:r>
      <w:r>
        <w:rPr>
          <w:color w:val="auto"/>
          <w:sz w:val="24"/>
          <w:szCs w:val="24"/>
        </w:rPr>
        <w:fldChar w:fldCharType="separate"/>
      </w:r>
      <w:r>
        <w:rPr>
          <w:color w:val="auto"/>
          <w:sz w:val="24"/>
          <w:szCs w:val="24"/>
        </w:rPr>
        <w:t>45</w:t>
      </w:r>
      <w:r>
        <w:rPr>
          <w:color w:val="auto"/>
          <w:sz w:val="24"/>
          <w:szCs w:val="24"/>
        </w:rPr>
        <w:fldChar w:fldCharType="end"/>
      </w:r>
      <w:r>
        <w:rPr>
          <w:color w:val="auto"/>
          <w:sz w:val="24"/>
          <w:szCs w:val="24"/>
        </w:rPr>
        <w:fldChar w:fldCharType="end"/>
      </w:r>
    </w:p>
    <w:p>
      <w:pPr>
        <w:pStyle w:val="17"/>
        <w:tabs>
          <w:tab w:val="right" w:leader="dot" w:pos="8844"/>
        </w:tabs>
        <w:rPr>
          <w:color w:val="auto"/>
          <w:sz w:val="24"/>
          <w:szCs w:val="24"/>
        </w:rPr>
      </w:pPr>
      <w:r>
        <w:rPr>
          <w:color w:val="auto"/>
          <w:sz w:val="24"/>
          <w:szCs w:val="24"/>
        </w:rPr>
        <w:fldChar w:fldCharType="begin"/>
      </w:r>
      <w:r>
        <w:rPr>
          <w:color w:val="auto"/>
          <w:sz w:val="24"/>
          <w:szCs w:val="24"/>
        </w:rPr>
        <w:instrText xml:space="preserve"> HYPERLINK \l _Toc5626 </w:instrText>
      </w:r>
      <w:r>
        <w:rPr>
          <w:color w:val="auto"/>
          <w:sz w:val="24"/>
          <w:szCs w:val="24"/>
        </w:rPr>
        <w:fldChar w:fldCharType="separate"/>
      </w:r>
      <w:r>
        <w:rPr>
          <w:bCs/>
          <w:color w:val="auto"/>
          <w:sz w:val="24"/>
          <w:szCs w:val="24"/>
        </w:rPr>
        <w:t>附图</w:t>
      </w:r>
      <w:r>
        <w:rPr>
          <w:rFonts w:hint="eastAsia"/>
          <w:bCs/>
          <w:color w:val="auto"/>
          <w:sz w:val="24"/>
          <w:szCs w:val="24"/>
          <w:lang w:val="en-US" w:eastAsia="zh-CN"/>
        </w:rPr>
        <w:t>7</w:t>
      </w:r>
      <w:r>
        <w:rPr>
          <w:bCs/>
          <w:color w:val="auto"/>
          <w:sz w:val="24"/>
          <w:szCs w:val="24"/>
        </w:rPr>
        <w:t xml:space="preserve"> </w:t>
      </w:r>
      <w:r>
        <w:rPr>
          <w:rFonts w:hint="eastAsia"/>
          <w:bCs/>
          <w:color w:val="auto"/>
          <w:sz w:val="24"/>
          <w:szCs w:val="24"/>
          <w:lang w:val="en-US" w:eastAsia="zh-CN"/>
        </w:rPr>
        <w:t>项目及周边区域植被分布图</w:t>
      </w:r>
      <w:r>
        <w:rPr>
          <w:color w:val="auto"/>
          <w:sz w:val="24"/>
          <w:szCs w:val="24"/>
        </w:rPr>
        <w:tab/>
      </w:r>
      <w:r>
        <w:rPr>
          <w:color w:val="auto"/>
          <w:sz w:val="24"/>
          <w:szCs w:val="24"/>
        </w:rPr>
        <w:fldChar w:fldCharType="begin"/>
      </w:r>
      <w:r>
        <w:rPr>
          <w:color w:val="auto"/>
          <w:sz w:val="24"/>
          <w:szCs w:val="24"/>
        </w:rPr>
        <w:instrText xml:space="preserve"> PAGEREF _Toc5626 \h </w:instrText>
      </w:r>
      <w:r>
        <w:rPr>
          <w:color w:val="auto"/>
          <w:sz w:val="24"/>
          <w:szCs w:val="24"/>
        </w:rPr>
        <w:fldChar w:fldCharType="separate"/>
      </w:r>
      <w:r>
        <w:rPr>
          <w:color w:val="auto"/>
          <w:sz w:val="24"/>
          <w:szCs w:val="24"/>
        </w:rPr>
        <w:t>46</w:t>
      </w:r>
      <w:r>
        <w:rPr>
          <w:color w:val="auto"/>
          <w:sz w:val="24"/>
          <w:szCs w:val="24"/>
        </w:rPr>
        <w:fldChar w:fldCharType="end"/>
      </w:r>
      <w:r>
        <w:rPr>
          <w:color w:val="auto"/>
          <w:sz w:val="24"/>
          <w:szCs w:val="24"/>
        </w:rPr>
        <w:fldChar w:fldCharType="end"/>
      </w:r>
    </w:p>
    <w:p>
      <w:pPr>
        <w:pStyle w:val="17"/>
        <w:tabs>
          <w:tab w:val="right" w:leader="dot" w:pos="8844"/>
        </w:tabs>
        <w:rPr>
          <w:color w:val="auto"/>
          <w:sz w:val="24"/>
          <w:szCs w:val="24"/>
        </w:rPr>
      </w:pPr>
      <w:r>
        <w:rPr>
          <w:color w:val="auto"/>
          <w:sz w:val="24"/>
          <w:szCs w:val="24"/>
        </w:rPr>
        <w:fldChar w:fldCharType="begin"/>
      </w:r>
      <w:r>
        <w:rPr>
          <w:color w:val="auto"/>
          <w:sz w:val="24"/>
          <w:szCs w:val="24"/>
        </w:rPr>
        <w:instrText xml:space="preserve"> HYPERLINK \l _Toc26755 </w:instrText>
      </w:r>
      <w:r>
        <w:rPr>
          <w:color w:val="auto"/>
          <w:sz w:val="24"/>
          <w:szCs w:val="24"/>
        </w:rPr>
        <w:fldChar w:fldCharType="separate"/>
      </w:r>
      <w:r>
        <w:rPr>
          <w:bCs/>
          <w:color w:val="auto"/>
          <w:sz w:val="24"/>
          <w:szCs w:val="24"/>
        </w:rPr>
        <w:t>附图</w:t>
      </w:r>
      <w:r>
        <w:rPr>
          <w:rFonts w:hint="eastAsia"/>
          <w:bCs/>
          <w:color w:val="auto"/>
          <w:sz w:val="24"/>
          <w:szCs w:val="24"/>
          <w:lang w:val="en-US" w:eastAsia="zh-CN"/>
        </w:rPr>
        <w:t>8</w:t>
      </w:r>
      <w:r>
        <w:rPr>
          <w:bCs/>
          <w:color w:val="auto"/>
          <w:sz w:val="24"/>
          <w:szCs w:val="24"/>
        </w:rPr>
        <w:t xml:space="preserve"> </w:t>
      </w:r>
      <w:r>
        <w:rPr>
          <w:rFonts w:hint="eastAsia"/>
          <w:bCs/>
          <w:color w:val="auto"/>
          <w:sz w:val="24"/>
          <w:szCs w:val="24"/>
          <w:lang w:val="en-US" w:eastAsia="zh-CN"/>
        </w:rPr>
        <w:t>项目三区三线套合图</w:t>
      </w:r>
      <w:r>
        <w:rPr>
          <w:color w:val="auto"/>
          <w:sz w:val="24"/>
          <w:szCs w:val="24"/>
        </w:rPr>
        <w:tab/>
      </w:r>
      <w:r>
        <w:rPr>
          <w:color w:val="auto"/>
          <w:sz w:val="24"/>
          <w:szCs w:val="24"/>
        </w:rPr>
        <w:fldChar w:fldCharType="begin"/>
      </w:r>
      <w:r>
        <w:rPr>
          <w:color w:val="auto"/>
          <w:sz w:val="24"/>
          <w:szCs w:val="24"/>
        </w:rPr>
        <w:instrText xml:space="preserve"> PAGEREF _Toc26755 \h </w:instrText>
      </w:r>
      <w:r>
        <w:rPr>
          <w:color w:val="auto"/>
          <w:sz w:val="24"/>
          <w:szCs w:val="24"/>
        </w:rPr>
        <w:fldChar w:fldCharType="separate"/>
      </w:r>
      <w:r>
        <w:rPr>
          <w:color w:val="auto"/>
          <w:sz w:val="24"/>
          <w:szCs w:val="24"/>
        </w:rPr>
        <w:t>47</w:t>
      </w:r>
      <w:r>
        <w:rPr>
          <w:color w:val="auto"/>
          <w:sz w:val="24"/>
          <w:szCs w:val="24"/>
        </w:rPr>
        <w:fldChar w:fldCharType="end"/>
      </w:r>
      <w:r>
        <w:rPr>
          <w:color w:val="auto"/>
          <w:sz w:val="24"/>
          <w:szCs w:val="24"/>
        </w:rPr>
        <w:fldChar w:fldCharType="end"/>
      </w:r>
    </w:p>
    <w:p>
      <w:pPr>
        <w:pStyle w:val="17"/>
        <w:tabs>
          <w:tab w:val="right" w:leader="dot" w:pos="8844"/>
        </w:tabs>
        <w:rPr>
          <w:color w:val="auto"/>
          <w:sz w:val="24"/>
          <w:szCs w:val="24"/>
        </w:rPr>
      </w:pPr>
      <w:r>
        <w:rPr>
          <w:color w:val="auto"/>
          <w:sz w:val="24"/>
          <w:szCs w:val="24"/>
        </w:rPr>
        <w:fldChar w:fldCharType="begin"/>
      </w:r>
      <w:r>
        <w:rPr>
          <w:color w:val="auto"/>
          <w:sz w:val="24"/>
          <w:szCs w:val="24"/>
        </w:rPr>
        <w:instrText xml:space="preserve"> HYPERLINK \l _Toc27755 </w:instrText>
      </w:r>
      <w:r>
        <w:rPr>
          <w:color w:val="auto"/>
          <w:sz w:val="24"/>
          <w:szCs w:val="24"/>
        </w:rPr>
        <w:fldChar w:fldCharType="separate"/>
      </w:r>
      <w:r>
        <w:rPr>
          <w:bCs/>
          <w:color w:val="auto"/>
          <w:sz w:val="24"/>
          <w:szCs w:val="24"/>
        </w:rPr>
        <w:t>附图</w:t>
      </w:r>
      <w:r>
        <w:rPr>
          <w:rFonts w:hint="eastAsia"/>
          <w:bCs/>
          <w:color w:val="auto"/>
          <w:sz w:val="24"/>
          <w:szCs w:val="24"/>
          <w:lang w:val="en-US" w:eastAsia="zh-CN"/>
        </w:rPr>
        <w:t>9</w:t>
      </w:r>
      <w:r>
        <w:rPr>
          <w:bCs/>
          <w:color w:val="auto"/>
          <w:sz w:val="24"/>
          <w:szCs w:val="24"/>
        </w:rPr>
        <w:t xml:space="preserve"> </w:t>
      </w:r>
      <w:r>
        <w:rPr>
          <w:rFonts w:hint="eastAsia"/>
          <w:bCs/>
          <w:color w:val="auto"/>
          <w:sz w:val="24"/>
          <w:szCs w:val="24"/>
          <w:lang w:val="en-US" w:eastAsia="zh-CN"/>
        </w:rPr>
        <w:t>项目调查样方调查分布图</w:t>
      </w:r>
      <w:r>
        <w:rPr>
          <w:color w:val="auto"/>
          <w:sz w:val="24"/>
          <w:szCs w:val="24"/>
        </w:rPr>
        <w:tab/>
      </w:r>
      <w:r>
        <w:rPr>
          <w:color w:val="auto"/>
          <w:sz w:val="24"/>
          <w:szCs w:val="24"/>
        </w:rPr>
        <w:fldChar w:fldCharType="begin"/>
      </w:r>
      <w:r>
        <w:rPr>
          <w:color w:val="auto"/>
          <w:sz w:val="24"/>
          <w:szCs w:val="24"/>
        </w:rPr>
        <w:instrText xml:space="preserve"> PAGEREF _Toc27755 \h </w:instrText>
      </w:r>
      <w:r>
        <w:rPr>
          <w:color w:val="auto"/>
          <w:sz w:val="24"/>
          <w:szCs w:val="24"/>
        </w:rPr>
        <w:fldChar w:fldCharType="separate"/>
      </w:r>
      <w:r>
        <w:rPr>
          <w:color w:val="auto"/>
          <w:sz w:val="24"/>
          <w:szCs w:val="24"/>
        </w:rPr>
        <w:t>48</w:t>
      </w:r>
      <w:r>
        <w:rPr>
          <w:color w:val="auto"/>
          <w:sz w:val="24"/>
          <w:szCs w:val="24"/>
        </w:rPr>
        <w:fldChar w:fldCharType="end"/>
      </w:r>
      <w:r>
        <w:rPr>
          <w:color w:val="auto"/>
          <w:sz w:val="24"/>
          <w:szCs w:val="24"/>
        </w:rPr>
        <w:fldChar w:fldCharType="end"/>
      </w:r>
    </w:p>
    <w:p>
      <w:pPr>
        <w:pStyle w:val="16"/>
        <w:tabs>
          <w:tab w:val="right" w:leader="dot" w:pos="8844"/>
        </w:tabs>
        <w:rPr>
          <w:color w:val="auto"/>
          <w:sz w:val="24"/>
          <w:szCs w:val="24"/>
        </w:rPr>
      </w:pPr>
    </w:p>
    <w:p>
      <w:pPr>
        <w:pStyle w:val="16"/>
        <w:tabs>
          <w:tab w:val="right" w:leader="dot" w:pos="8844"/>
        </w:tabs>
        <w:rPr>
          <w:color w:val="auto"/>
          <w:sz w:val="24"/>
          <w:szCs w:val="24"/>
        </w:rPr>
      </w:pPr>
      <w:r>
        <w:rPr>
          <w:color w:val="auto"/>
          <w:sz w:val="24"/>
          <w:szCs w:val="24"/>
        </w:rPr>
        <w:fldChar w:fldCharType="begin"/>
      </w:r>
      <w:r>
        <w:rPr>
          <w:color w:val="auto"/>
          <w:sz w:val="24"/>
          <w:szCs w:val="24"/>
        </w:rPr>
        <w:instrText xml:space="preserve"> HYPERLINK \l _Toc16221 </w:instrText>
      </w:r>
      <w:r>
        <w:rPr>
          <w:color w:val="auto"/>
          <w:sz w:val="24"/>
          <w:szCs w:val="24"/>
        </w:rPr>
        <w:fldChar w:fldCharType="separate"/>
      </w:r>
      <w:r>
        <w:rPr>
          <w:rFonts w:hint="eastAsia" w:ascii="方正小标宋_GBK" w:hAnsi="黑体" w:eastAsia="方正小标宋_GBK"/>
          <w:snapToGrid w:val="0"/>
          <w:color w:val="auto"/>
          <w:kern w:val="0"/>
          <w:sz w:val="24"/>
          <w:szCs w:val="24"/>
        </w:rPr>
        <w:t>附件</w:t>
      </w:r>
      <w:r>
        <w:rPr>
          <w:color w:val="auto"/>
          <w:sz w:val="24"/>
          <w:szCs w:val="24"/>
        </w:rPr>
        <w:tab/>
      </w:r>
      <w:r>
        <w:rPr>
          <w:color w:val="auto"/>
          <w:sz w:val="24"/>
          <w:szCs w:val="24"/>
        </w:rPr>
        <w:fldChar w:fldCharType="begin"/>
      </w:r>
      <w:r>
        <w:rPr>
          <w:color w:val="auto"/>
          <w:sz w:val="24"/>
          <w:szCs w:val="24"/>
        </w:rPr>
        <w:instrText xml:space="preserve"> PAGEREF _Toc16221 \h </w:instrText>
      </w:r>
      <w:r>
        <w:rPr>
          <w:color w:val="auto"/>
          <w:sz w:val="24"/>
          <w:szCs w:val="24"/>
        </w:rPr>
        <w:fldChar w:fldCharType="separate"/>
      </w:r>
      <w:r>
        <w:rPr>
          <w:color w:val="auto"/>
          <w:sz w:val="24"/>
          <w:szCs w:val="24"/>
        </w:rPr>
        <w:t>49</w:t>
      </w:r>
      <w:r>
        <w:rPr>
          <w:color w:val="auto"/>
          <w:sz w:val="24"/>
          <w:szCs w:val="24"/>
        </w:rPr>
        <w:fldChar w:fldCharType="end"/>
      </w:r>
      <w:r>
        <w:rPr>
          <w:color w:val="auto"/>
          <w:sz w:val="24"/>
          <w:szCs w:val="24"/>
        </w:rPr>
        <w:fldChar w:fldCharType="end"/>
      </w:r>
    </w:p>
    <w:p>
      <w:pPr>
        <w:pStyle w:val="17"/>
        <w:tabs>
          <w:tab w:val="right" w:leader="dot" w:pos="8844"/>
        </w:tabs>
        <w:rPr>
          <w:color w:val="auto"/>
          <w:sz w:val="24"/>
          <w:szCs w:val="24"/>
        </w:rPr>
      </w:pPr>
      <w:r>
        <w:rPr>
          <w:color w:val="auto"/>
          <w:sz w:val="24"/>
          <w:szCs w:val="24"/>
        </w:rPr>
        <w:fldChar w:fldCharType="begin"/>
      </w:r>
      <w:r>
        <w:rPr>
          <w:color w:val="auto"/>
          <w:sz w:val="24"/>
          <w:szCs w:val="24"/>
        </w:rPr>
        <w:instrText xml:space="preserve"> HYPERLINK \l _Toc30462 </w:instrText>
      </w:r>
      <w:r>
        <w:rPr>
          <w:color w:val="auto"/>
          <w:sz w:val="24"/>
          <w:szCs w:val="24"/>
        </w:rPr>
        <w:fldChar w:fldCharType="separate"/>
      </w:r>
      <w:r>
        <w:rPr>
          <w:bCs/>
          <w:color w:val="auto"/>
          <w:sz w:val="24"/>
          <w:szCs w:val="24"/>
        </w:rPr>
        <w:t>附</w:t>
      </w:r>
      <w:r>
        <w:rPr>
          <w:rFonts w:hint="eastAsia"/>
          <w:bCs/>
          <w:color w:val="auto"/>
          <w:sz w:val="24"/>
          <w:szCs w:val="24"/>
        </w:rPr>
        <w:t>件</w:t>
      </w:r>
      <w:r>
        <w:rPr>
          <w:bCs/>
          <w:color w:val="auto"/>
          <w:sz w:val="24"/>
          <w:szCs w:val="24"/>
        </w:rPr>
        <w:t xml:space="preserve">1 </w:t>
      </w:r>
      <w:r>
        <w:rPr>
          <w:rFonts w:hint="eastAsia"/>
          <w:bCs/>
          <w:color w:val="auto"/>
          <w:sz w:val="24"/>
          <w:szCs w:val="24"/>
        </w:rPr>
        <w:t>环评委托书</w:t>
      </w:r>
      <w:r>
        <w:rPr>
          <w:color w:val="auto"/>
          <w:sz w:val="24"/>
          <w:szCs w:val="24"/>
        </w:rPr>
        <w:tab/>
      </w:r>
      <w:r>
        <w:rPr>
          <w:color w:val="auto"/>
          <w:sz w:val="24"/>
          <w:szCs w:val="24"/>
        </w:rPr>
        <w:fldChar w:fldCharType="begin"/>
      </w:r>
      <w:r>
        <w:rPr>
          <w:color w:val="auto"/>
          <w:sz w:val="24"/>
          <w:szCs w:val="24"/>
        </w:rPr>
        <w:instrText xml:space="preserve"> PAGEREF _Toc30462 \h </w:instrText>
      </w:r>
      <w:r>
        <w:rPr>
          <w:color w:val="auto"/>
          <w:sz w:val="24"/>
          <w:szCs w:val="24"/>
        </w:rPr>
        <w:fldChar w:fldCharType="separate"/>
      </w:r>
      <w:r>
        <w:rPr>
          <w:color w:val="auto"/>
          <w:sz w:val="24"/>
          <w:szCs w:val="24"/>
        </w:rPr>
        <w:t>49</w:t>
      </w:r>
      <w:r>
        <w:rPr>
          <w:color w:val="auto"/>
          <w:sz w:val="24"/>
          <w:szCs w:val="24"/>
        </w:rPr>
        <w:fldChar w:fldCharType="end"/>
      </w:r>
      <w:r>
        <w:rPr>
          <w:color w:val="auto"/>
          <w:sz w:val="24"/>
          <w:szCs w:val="24"/>
        </w:rPr>
        <w:fldChar w:fldCharType="end"/>
      </w:r>
    </w:p>
    <w:p>
      <w:pPr>
        <w:pStyle w:val="17"/>
        <w:tabs>
          <w:tab w:val="right" w:leader="dot" w:pos="8844"/>
        </w:tabs>
        <w:rPr>
          <w:color w:val="auto"/>
          <w:sz w:val="24"/>
          <w:szCs w:val="24"/>
        </w:rPr>
      </w:pPr>
      <w:r>
        <w:rPr>
          <w:color w:val="auto"/>
          <w:sz w:val="24"/>
          <w:szCs w:val="24"/>
        </w:rPr>
        <w:fldChar w:fldCharType="begin"/>
      </w:r>
      <w:r>
        <w:rPr>
          <w:color w:val="auto"/>
          <w:sz w:val="24"/>
          <w:szCs w:val="24"/>
        </w:rPr>
        <w:instrText xml:space="preserve"> HYPERLINK \l _Toc6502 </w:instrText>
      </w:r>
      <w:r>
        <w:rPr>
          <w:color w:val="auto"/>
          <w:sz w:val="24"/>
          <w:szCs w:val="24"/>
        </w:rPr>
        <w:fldChar w:fldCharType="separate"/>
      </w:r>
      <w:r>
        <w:rPr>
          <w:bCs/>
          <w:color w:val="auto"/>
          <w:sz w:val="24"/>
          <w:szCs w:val="24"/>
          <w:highlight w:val="none"/>
        </w:rPr>
        <w:t>附</w:t>
      </w:r>
      <w:r>
        <w:rPr>
          <w:rFonts w:hint="eastAsia"/>
          <w:bCs/>
          <w:color w:val="auto"/>
          <w:sz w:val="24"/>
          <w:szCs w:val="24"/>
          <w:highlight w:val="none"/>
        </w:rPr>
        <w:t>件2</w:t>
      </w:r>
      <w:r>
        <w:rPr>
          <w:bCs/>
          <w:color w:val="auto"/>
          <w:sz w:val="24"/>
          <w:szCs w:val="24"/>
          <w:highlight w:val="none"/>
        </w:rPr>
        <w:t xml:space="preserve"> </w:t>
      </w:r>
      <w:r>
        <w:rPr>
          <w:rFonts w:hint="eastAsia"/>
          <w:bCs/>
          <w:color w:val="auto"/>
          <w:sz w:val="24"/>
          <w:szCs w:val="24"/>
          <w:highlight w:val="none"/>
        </w:rPr>
        <w:t>营业执照</w:t>
      </w:r>
      <w:r>
        <w:rPr>
          <w:color w:val="auto"/>
          <w:sz w:val="24"/>
          <w:szCs w:val="24"/>
        </w:rPr>
        <w:tab/>
      </w:r>
      <w:r>
        <w:rPr>
          <w:color w:val="auto"/>
          <w:sz w:val="24"/>
          <w:szCs w:val="24"/>
        </w:rPr>
        <w:fldChar w:fldCharType="begin"/>
      </w:r>
      <w:r>
        <w:rPr>
          <w:color w:val="auto"/>
          <w:sz w:val="24"/>
          <w:szCs w:val="24"/>
        </w:rPr>
        <w:instrText xml:space="preserve"> PAGEREF _Toc6502 \h </w:instrText>
      </w:r>
      <w:r>
        <w:rPr>
          <w:color w:val="auto"/>
          <w:sz w:val="24"/>
          <w:szCs w:val="24"/>
        </w:rPr>
        <w:fldChar w:fldCharType="separate"/>
      </w:r>
      <w:r>
        <w:rPr>
          <w:color w:val="auto"/>
          <w:sz w:val="24"/>
          <w:szCs w:val="24"/>
        </w:rPr>
        <w:t>50</w:t>
      </w:r>
      <w:r>
        <w:rPr>
          <w:color w:val="auto"/>
          <w:sz w:val="24"/>
          <w:szCs w:val="24"/>
        </w:rPr>
        <w:fldChar w:fldCharType="end"/>
      </w:r>
      <w:r>
        <w:rPr>
          <w:color w:val="auto"/>
          <w:sz w:val="24"/>
          <w:szCs w:val="24"/>
        </w:rPr>
        <w:fldChar w:fldCharType="end"/>
      </w:r>
    </w:p>
    <w:p>
      <w:pPr>
        <w:pStyle w:val="17"/>
        <w:tabs>
          <w:tab w:val="right" w:leader="dot" w:pos="8844"/>
        </w:tabs>
        <w:rPr>
          <w:color w:val="auto"/>
          <w:sz w:val="24"/>
          <w:szCs w:val="24"/>
        </w:rPr>
      </w:pPr>
      <w:r>
        <w:rPr>
          <w:color w:val="auto"/>
          <w:sz w:val="24"/>
          <w:szCs w:val="24"/>
        </w:rPr>
        <w:fldChar w:fldCharType="begin"/>
      </w:r>
      <w:r>
        <w:rPr>
          <w:color w:val="auto"/>
          <w:sz w:val="24"/>
          <w:szCs w:val="24"/>
        </w:rPr>
        <w:instrText xml:space="preserve"> HYPERLINK \l _Toc1595 </w:instrText>
      </w:r>
      <w:r>
        <w:rPr>
          <w:color w:val="auto"/>
          <w:sz w:val="24"/>
          <w:szCs w:val="24"/>
        </w:rPr>
        <w:fldChar w:fldCharType="separate"/>
      </w:r>
      <w:r>
        <w:rPr>
          <w:bCs/>
          <w:color w:val="auto"/>
          <w:sz w:val="24"/>
          <w:szCs w:val="24"/>
          <w:highlight w:val="none"/>
        </w:rPr>
        <w:t>附</w:t>
      </w:r>
      <w:r>
        <w:rPr>
          <w:rFonts w:hint="eastAsia"/>
          <w:bCs/>
          <w:color w:val="auto"/>
          <w:sz w:val="24"/>
          <w:szCs w:val="24"/>
          <w:highlight w:val="none"/>
        </w:rPr>
        <w:t>件3</w:t>
      </w:r>
      <w:r>
        <w:rPr>
          <w:bCs/>
          <w:color w:val="auto"/>
          <w:sz w:val="24"/>
          <w:szCs w:val="24"/>
          <w:highlight w:val="none"/>
        </w:rPr>
        <w:t xml:space="preserve"> </w:t>
      </w:r>
      <w:r>
        <w:rPr>
          <w:rFonts w:hint="eastAsia"/>
          <w:bCs/>
          <w:color w:val="auto"/>
          <w:sz w:val="24"/>
          <w:szCs w:val="24"/>
          <w:highlight w:val="none"/>
          <w:lang w:val="en-US" w:eastAsia="zh-CN"/>
        </w:rPr>
        <w:t>用地预审意见书</w:t>
      </w:r>
      <w:r>
        <w:rPr>
          <w:color w:val="auto"/>
          <w:sz w:val="24"/>
          <w:szCs w:val="24"/>
        </w:rPr>
        <w:tab/>
      </w:r>
      <w:r>
        <w:rPr>
          <w:color w:val="auto"/>
          <w:sz w:val="24"/>
          <w:szCs w:val="24"/>
        </w:rPr>
        <w:fldChar w:fldCharType="begin"/>
      </w:r>
      <w:r>
        <w:rPr>
          <w:color w:val="auto"/>
          <w:sz w:val="24"/>
          <w:szCs w:val="24"/>
        </w:rPr>
        <w:instrText xml:space="preserve"> PAGEREF _Toc1595 \h </w:instrText>
      </w:r>
      <w:r>
        <w:rPr>
          <w:color w:val="auto"/>
          <w:sz w:val="24"/>
          <w:szCs w:val="24"/>
        </w:rPr>
        <w:fldChar w:fldCharType="separate"/>
      </w:r>
      <w:r>
        <w:rPr>
          <w:color w:val="auto"/>
          <w:sz w:val="24"/>
          <w:szCs w:val="24"/>
        </w:rPr>
        <w:t>51</w:t>
      </w:r>
      <w:r>
        <w:rPr>
          <w:color w:val="auto"/>
          <w:sz w:val="24"/>
          <w:szCs w:val="24"/>
        </w:rPr>
        <w:fldChar w:fldCharType="end"/>
      </w:r>
      <w:r>
        <w:rPr>
          <w:color w:val="auto"/>
          <w:sz w:val="24"/>
          <w:szCs w:val="24"/>
        </w:rPr>
        <w:fldChar w:fldCharType="end"/>
      </w:r>
    </w:p>
    <w:p>
      <w:pPr>
        <w:pStyle w:val="17"/>
        <w:tabs>
          <w:tab w:val="right" w:leader="dot" w:pos="8844"/>
        </w:tabs>
        <w:rPr>
          <w:color w:val="auto"/>
          <w:sz w:val="24"/>
          <w:szCs w:val="24"/>
        </w:rPr>
      </w:pPr>
      <w:r>
        <w:rPr>
          <w:color w:val="auto"/>
          <w:sz w:val="24"/>
          <w:szCs w:val="24"/>
        </w:rPr>
        <w:fldChar w:fldCharType="begin"/>
      </w:r>
      <w:r>
        <w:rPr>
          <w:color w:val="auto"/>
          <w:sz w:val="24"/>
          <w:szCs w:val="24"/>
        </w:rPr>
        <w:instrText xml:space="preserve"> HYPERLINK \l _Toc29632 </w:instrText>
      </w:r>
      <w:r>
        <w:rPr>
          <w:color w:val="auto"/>
          <w:sz w:val="24"/>
          <w:szCs w:val="24"/>
        </w:rPr>
        <w:fldChar w:fldCharType="separate"/>
      </w:r>
      <w:r>
        <w:rPr>
          <w:rFonts w:hint="eastAsia" w:ascii="Times New Roman" w:hAnsi="Times New Roman" w:eastAsia="宋体" w:cs="Times New Roman"/>
          <w:bCs/>
          <w:color w:val="auto"/>
          <w:sz w:val="24"/>
          <w:szCs w:val="24"/>
          <w:lang w:val="en-US" w:eastAsia="zh-CN"/>
        </w:rPr>
        <w:t>附件4华容县住房和城乡建设局关于华容县团洲垸灾后重建安置房建设项目</w:t>
      </w:r>
      <w:r>
        <w:rPr>
          <w:rFonts w:hint="eastAsia" w:cs="Times New Roman"/>
          <w:bCs/>
          <w:color w:val="auto"/>
          <w:sz w:val="24"/>
          <w:szCs w:val="24"/>
          <w:lang w:val="en-US" w:eastAsia="zh-CN"/>
        </w:rPr>
        <w:t>（三期）</w:t>
      </w:r>
      <w:r>
        <w:rPr>
          <w:rFonts w:hint="eastAsia" w:ascii="Times New Roman" w:hAnsi="Times New Roman" w:eastAsia="宋体" w:cs="Times New Roman"/>
          <w:bCs/>
          <w:color w:val="auto"/>
          <w:sz w:val="24"/>
          <w:szCs w:val="24"/>
          <w:lang w:val="en-US" w:eastAsia="zh-CN"/>
        </w:rPr>
        <w:t>的审查意见</w:t>
      </w:r>
      <w:r>
        <w:rPr>
          <w:color w:val="auto"/>
          <w:sz w:val="24"/>
          <w:szCs w:val="24"/>
        </w:rPr>
        <w:tab/>
      </w:r>
      <w:r>
        <w:rPr>
          <w:color w:val="auto"/>
          <w:sz w:val="24"/>
          <w:szCs w:val="24"/>
        </w:rPr>
        <w:fldChar w:fldCharType="begin"/>
      </w:r>
      <w:r>
        <w:rPr>
          <w:color w:val="auto"/>
          <w:sz w:val="24"/>
          <w:szCs w:val="24"/>
        </w:rPr>
        <w:instrText xml:space="preserve"> PAGEREF _Toc29632 \h </w:instrText>
      </w:r>
      <w:r>
        <w:rPr>
          <w:color w:val="auto"/>
          <w:sz w:val="24"/>
          <w:szCs w:val="24"/>
        </w:rPr>
        <w:fldChar w:fldCharType="separate"/>
      </w:r>
      <w:r>
        <w:rPr>
          <w:color w:val="auto"/>
          <w:sz w:val="24"/>
          <w:szCs w:val="24"/>
        </w:rPr>
        <w:t>52</w:t>
      </w:r>
      <w:r>
        <w:rPr>
          <w:color w:val="auto"/>
          <w:sz w:val="24"/>
          <w:szCs w:val="24"/>
        </w:rPr>
        <w:fldChar w:fldCharType="end"/>
      </w:r>
      <w:r>
        <w:rPr>
          <w:color w:val="auto"/>
          <w:sz w:val="24"/>
          <w:szCs w:val="24"/>
        </w:rPr>
        <w:fldChar w:fldCharType="end"/>
      </w:r>
    </w:p>
    <w:p>
      <w:pPr>
        <w:pStyle w:val="17"/>
        <w:tabs>
          <w:tab w:val="right" w:leader="dot" w:pos="8844"/>
        </w:tabs>
        <w:rPr>
          <w:color w:val="auto"/>
          <w:sz w:val="24"/>
          <w:szCs w:val="24"/>
        </w:rPr>
      </w:pPr>
      <w:r>
        <w:rPr>
          <w:color w:val="auto"/>
          <w:sz w:val="24"/>
          <w:szCs w:val="24"/>
        </w:rPr>
        <w:fldChar w:fldCharType="begin"/>
      </w:r>
      <w:r>
        <w:rPr>
          <w:color w:val="auto"/>
          <w:sz w:val="24"/>
          <w:szCs w:val="24"/>
        </w:rPr>
        <w:instrText xml:space="preserve"> HYPERLINK \l _Toc16020 </w:instrText>
      </w:r>
      <w:r>
        <w:rPr>
          <w:color w:val="auto"/>
          <w:sz w:val="24"/>
          <w:szCs w:val="24"/>
        </w:rPr>
        <w:fldChar w:fldCharType="separate"/>
      </w:r>
      <w:r>
        <w:rPr>
          <w:rFonts w:hint="eastAsia" w:ascii="Times New Roman" w:hAnsi="Times New Roman" w:eastAsia="宋体" w:cs="Times New Roman"/>
          <w:bCs/>
          <w:color w:val="auto"/>
          <w:sz w:val="24"/>
          <w:szCs w:val="24"/>
        </w:rPr>
        <w:t xml:space="preserve">附件5 </w:t>
      </w:r>
      <w:r>
        <w:rPr>
          <w:rFonts w:hint="eastAsia" w:cs="Times New Roman"/>
          <w:bCs/>
          <w:color w:val="auto"/>
          <w:sz w:val="24"/>
          <w:szCs w:val="24"/>
          <w:lang w:val="en-US" w:eastAsia="zh-CN"/>
        </w:rPr>
        <w:t>生物多样性影响评价报告</w:t>
      </w:r>
      <w:r>
        <w:rPr>
          <w:color w:val="auto"/>
          <w:sz w:val="24"/>
          <w:szCs w:val="24"/>
        </w:rPr>
        <w:tab/>
      </w:r>
      <w:r>
        <w:rPr>
          <w:color w:val="auto"/>
          <w:sz w:val="24"/>
          <w:szCs w:val="24"/>
        </w:rPr>
        <w:fldChar w:fldCharType="begin"/>
      </w:r>
      <w:r>
        <w:rPr>
          <w:color w:val="auto"/>
          <w:sz w:val="24"/>
          <w:szCs w:val="24"/>
        </w:rPr>
        <w:instrText xml:space="preserve"> PAGEREF _Toc16020 \h </w:instrText>
      </w:r>
      <w:r>
        <w:rPr>
          <w:color w:val="auto"/>
          <w:sz w:val="24"/>
          <w:szCs w:val="24"/>
        </w:rPr>
        <w:fldChar w:fldCharType="separate"/>
      </w:r>
      <w:r>
        <w:rPr>
          <w:color w:val="auto"/>
          <w:sz w:val="24"/>
          <w:szCs w:val="24"/>
        </w:rPr>
        <w:t>78</w:t>
      </w:r>
      <w:r>
        <w:rPr>
          <w:color w:val="auto"/>
          <w:sz w:val="24"/>
          <w:szCs w:val="24"/>
        </w:rPr>
        <w:fldChar w:fldCharType="end"/>
      </w:r>
      <w:r>
        <w:rPr>
          <w:color w:val="auto"/>
          <w:sz w:val="24"/>
          <w:szCs w:val="24"/>
        </w:rPr>
        <w:fldChar w:fldCharType="end"/>
      </w:r>
    </w:p>
    <w:p>
      <w:pPr>
        <w:pStyle w:val="17"/>
        <w:tabs>
          <w:tab w:val="right" w:leader="dot" w:pos="8844"/>
        </w:tabs>
        <w:rPr>
          <w:color w:val="auto"/>
          <w:sz w:val="24"/>
          <w:szCs w:val="24"/>
        </w:rPr>
      </w:pPr>
      <w:r>
        <w:rPr>
          <w:color w:val="auto"/>
          <w:sz w:val="24"/>
          <w:szCs w:val="24"/>
        </w:rPr>
        <w:fldChar w:fldCharType="begin"/>
      </w:r>
      <w:r>
        <w:rPr>
          <w:color w:val="auto"/>
          <w:sz w:val="24"/>
          <w:szCs w:val="24"/>
        </w:rPr>
        <w:instrText xml:space="preserve"> HYPERLINK \l _Toc21925 </w:instrText>
      </w:r>
      <w:r>
        <w:rPr>
          <w:color w:val="auto"/>
          <w:sz w:val="24"/>
          <w:szCs w:val="24"/>
        </w:rPr>
        <w:fldChar w:fldCharType="separate"/>
      </w:r>
      <w:r>
        <w:rPr>
          <w:rFonts w:hint="eastAsia" w:ascii="Times New Roman" w:hAnsi="Times New Roman" w:eastAsia="宋体" w:cs="Times New Roman"/>
          <w:bCs/>
          <w:color w:val="auto"/>
          <w:sz w:val="24"/>
          <w:szCs w:val="24"/>
        </w:rPr>
        <w:t>附件</w:t>
      </w:r>
      <w:r>
        <w:rPr>
          <w:rFonts w:hint="eastAsia" w:cs="Times New Roman"/>
          <w:bCs/>
          <w:color w:val="auto"/>
          <w:sz w:val="24"/>
          <w:szCs w:val="24"/>
          <w:lang w:val="en-US" w:eastAsia="zh-CN"/>
        </w:rPr>
        <w:t>6</w:t>
      </w:r>
      <w:r>
        <w:rPr>
          <w:rFonts w:hint="eastAsia" w:ascii="Times New Roman" w:hAnsi="Times New Roman" w:eastAsia="宋体" w:cs="Times New Roman"/>
          <w:bCs/>
          <w:color w:val="auto"/>
          <w:sz w:val="24"/>
          <w:szCs w:val="24"/>
        </w:rPr>
        <w:t xml:space="preserve"> </w:t>
      </w:r>
      <w:r>
        <w:rPr>
          <w:rFonts w:hint="eastAsia" w:cs="Times New Roman"/>
          <w:bCs/>
          <w:color w:val="auto"/>
          <w:sz w:val="24"/>
          <w:szCs w:val="24"/>
          <w:lang w:val="en-US" w:eastAsia="zh-CN"/>
        </w:rPr>
        <w:t>林业局关于</w:t>
      </w:r>
      <w:r>
        <w:rPr>
          <w:rFonts w:hint="eastAsia" w:ascii="Times New Roman" w:hAnsi="Times New Roman" w:eastAsia="宋体" w:cs="Times New Roman"/>
          <w:bCs/>
          <w:color w:val="auto"/>
          <w:sz w:val="24"/>
          <w:szCs w:val="24"/>
          <w:lang w:val="en-US" w:eastAsia="zh-CN"/>
        </w:rPr>
        <w:t>华容县团洲垸灾后重建安置房建设项目的</w:t>
      </w:r>
      <w:r>
        <w:rPr>
          <w:rFonts w:hint="eastAsia" w:cs="Times New Roman"/>
          <w:bCs/>
          <w:color w:val="auto"/>
          <w:sz w:val="24"/>
          <w:szCs w:val="24"/>
          <w:lang w:val="en-US" w:eastAsia="zh-CN"/>
        </w:rPr>
        <w:t>意见</w:t>
      </w:r>
      <w:r>
        <w:rPr>
          <w:color w:val="auto"/>
          <w:sz w:val="24"/>
          <w:szCs w:val="24"/>
        </w:rPr>
        <w:tab/>
      </w:r>
      <w:r>
        <w:rPr>
          <w:color w:val="auto"/>
          <w:sz w:val="24"/>
          <w:szCs w:val="24"/>
        </w:rPr>
        <w:fldChar w:fldCharType="begin"/>
      </w:r>
      <w:r>
        <w:rPr>
          <w:color w:val="auto"/>
          <w:sz w:val="24"/>
          <w:szCs w:val="24"/>
        </w:rPr>
        <w:instrText xml:space="preserve"> PAGEREF _Toc21925 \h </w:instrText>
      </w:r>
      <w:r>
        <w:rPr>
          <w:color w:val="auto"/>
          <w:sz w:val="24"/>
          <w:szCs w:val="24"/>
        </w:rPr>
        <w:fldChar w:fldCharType="separate"/>
      </w:r>
      <w:r>
        <w:rPr>
          <w:color w:val="auto"/>
          <w:sz w:val="24"/>
          <w:szCs w:val="24"/>
        </w:rPr>
        <w:t>83</w:t>
      </w:r>
      <w:r>
        <w:rPr>
          <w:color w:val="auto"/>
          <w:sz w:val="24"/>
          <w:szCs w:val="24"/>
        </w:rPr>
        <w:fldChar w:fldCharType="end"/>
      </w:r>
      <w:r>
        <w:rPr>
          <w:color w:val="auto"/>
          <w:sz w:val="24"/>
          <w:szCs w:val="24"/>
        </w:rPr>
        <w:fldChar w:fldCharType="end"/>
      </w:r>
    </w:p>
    <w:p>
      <w:pPr>
        <w:pStyle w:val="17"/>
        <w:tabs>
          <w:tab w:val="right" w:leader="dot" w:pos="8844"/>
        </w:tabs>
        <w:rPr>
          <w:color w:val="auto"/>
          <w:sz w:val="24"/>
          <w:szCs w:val="24"/>
        </w:rPr>
      </w:pPr>
      <w:r>
        <w:rPr>
          <w:color w:val="auto"/>
          <w:sz w:val="24"/>
          <w:szCs w:val="24"/>
        </w:rPr>
        <w:fldChar w:fldCharType="begin"/>
      </w:r>
      <w:r>
        <w:rPr>
          <w:color w:val="auto"/>
          <w:sz w:val="24"/>
          <w:szCs w:val="24"/>
        </w:rPr>
        <w:instrText xml:space="preserve"> HYPERLINK \l _Toc18911 </w:instrText>
      </w:r>
      <w:r>
        <w:rPr>
          <w:color w:val="auto"/>
          <w:sz w:val="24"/>
          <w:szCs w:val="24"/>
        </w:rPr>
        <w:fldChar w:fldCharType="separate"/>
      </w:r>
      <w:r>
        <w:rPr>
          <w:rFonts w:hint="eastAsia" w:cs="Times New Roman"/>
          <w:bCs/>
          <w:color w:val="auto"/>
          <w:sz w:val="24"/>
          <w:szCs w:val="24"/>
          <w:lang w:val="en-US" w:eastAsia="zh-CN"/>
        </w:rPr>
        <w:t xml:space="preserve">附件7 </w:t>
      </w:r>
      <w:r>
        <w:rPr>
          <w:rFonts w:hint="eastAsia" w:ascii="Times New Roman" w:hAnsi="Times New Roman" w:eastAsia="宋体" w:cs="Times New Roman"/>
          <w:bCs/>
          <w:color w:val="auto"/>
          <w:sz w:val="24"/>
          <w:szCs w:val="24"/>
          <w:lang w:val="en-US" w:eastAsia="zh-CN"/>
        </w:rPr>
        <w:t>华容县人民政府县长办公会议纪要</w:t>
      </w:r>
      <w:r>
        <w:rPr>
          <w:color w:val="auto"/>
          <w:sz w:val="24"/>
          <w:szCs w:val="24"/>
        </w:rPr>
        <w:tab/>
      </w:r>
      <w:r>
        <w:rPr>
          <w:color w:val="auto"/>
          <w:sz w:val="24"/>
          <w:szCs w:val="24"/>
        </w:rPr>
        <w:fldChar w:fldCharType="begin"/>
      </w:r>
      <w:r>
        <w:rPr>
          <w:color w:val="auto"/>
          <w:sz w:val="24"/>
          <w:szCs w:val="24"/>
        </w:rPr>
        <w:instrText xml:space="preserve"> PAGEREF _Toc18911 \h </w:instrText>
      </w:r>
      <w:r>
        <w:rPr>
          <w:color w:val="auto"/>
          <w:sz w:val="24"/>
          <w:szCs w:val="24"/>
        </w:rPr>
        <w:fldChar w:fldCharType="separate"/>
      </w:r>
      <w:r>
        <w:rPr>
          <w:color w:val="auto"/>
          <w:sz w:val="24"/>
          <w:szCs w:val="24"/>
        </w:rPr>
        <w:t>87</w:t>
      </w:r>
      <w:r>
        <w:rPr>
          <w:color w:val="auto"/>
          <w:sz w:val="24"/>
          <w:szCs w:val="24"/>
        </w:rPr>
        <w:fldChar w:fldCharType="end"/>
      </w:r>
      <w:r>
        <w:rPr>
          <w:color w:val="auto"/>
          <w:sz w:val="24"/>
          <w:szCs w:val="24"/>
        </w:rPr>
        <w:fldChar w:fldCharType="end"/>
      </w:r>
    </w:p>
    <w:p>
      <w:pPr>
        <w:pStyle w:val="17"/>
        <w:tabs>
          <w:tab w:val="right" w:leader="dot" w:pos="8844"/>
        </w:tabs>
        <w:rPr>
          <w:color w:val="auto"/>
          <w:sz w:val="24"/>
          <w:szCs w:val="24"/>
        </w:rPr>
      </w:pPr>
      <w:r>
        <w:rPr>
          <w:color w:val="auto"/>
          <w:sz w:val="24"/>
          <w:szCs w:val="24"/>
        </w:rPr>
        <w:fldChar w:fldCharType="begin"/>
      </w:r>
      <w:r>
        <w:rPr>
          <w:color w:val="auto"/>
          <w:sz w:val="24"/>
          <w:szCs w:val="24"/>
        </w:rPr>
        <w:instrText xml:space="preserve"> HYPERLINK \l _Toc5565 </w:instrText>
      </w:r>
      <w:r>
        <w:rPr>
          <w:color w:val="auto"/>
          <w:sz w:val="24"/>
          <w:szCs w:val="24"/>
        </w:rPr>
        <w:fldChar w:fldCharType="separate"/>
      </w:r>
      <w:r>
        <w:rPr>
          <w:rFonts w:hint="eastAsia"/>
          <w:bCs/>
          <w:color w:val="auto"/>
          <w:sz w:val="24"/>
          <w:szCs w:val="24"/>
          <w:lang w:val="en-US" w:eastAsia="zh-CN"/>
        </w:rPr>
        <w:t>附件8 备案文件</w:t>
      </w:r>
      <w:r>
        <w:rPr>
          <w:color w:val="auto"/>
          <w:sz w:val="24"/>
          <w:szCs w:val="24"/>
        </w:rPr>
        <w:tab/>
      </w:r>
      <w:r>
        <w:rPr>
          <w:color w:val="auto"/>
          <w:sz w:val="24"/>
          <w:szCs w:val="24"/>
        </w:rPr>
        <w:fldChar w:fldCharType="begin"/>
      </w:r>
      <w:r>
        <w:rPr>
          <w:color w:val="auto"/>
          <w:sz w:val="24"/>
          <w:szCs w:val="24"/>
        </w:rPr>
        <w:instrText xml:space="preserve"> PAGEREF _Toc5565 \h </w:instrText>
      </w:r>
      <w:r>
        <w:rPr>
          <w:color w:val="auto"/>
          <w:sz w:val="24"/>
          <w:szCs w:val="24"/>
        </w:rPr>
        <w:fldChar w:fldCharType="separate"/>
      </w:r>
      <w:r>
        <w:rPr>
          <w:color w:val="auto"/>
          <w:sz w:val="24"/>
          <w:szCs w:val="24"/>
        </w:rPr>
        <w:t>91</w:t>
      </w:r>
      <w:r>
        <w:rPr>
          <w:color w:val="auto"/>
          <w:sz w:val="24"/>
          <w:szCs w:val="24"/>
        </w:rPr>
        <w:fldChar w:fldCharType="end"/>
      </w:r>
      <w:r>
        <w:rPr>
          <w:color w:val="auto"/>
          <w:sz w:val="24"/>
          <w:szCs w:val="24"/>
        </w:rPr>
        <w:fldChar w:fldCharType="end"/>
      </w:r>
    </w:p>
    <w:p>
      <w:pPr>
        <w:pStyle w:val="17"/>
        <w:tabs>
          <w:tab w:val="right" w:leader="dot" w:pos="8844"/>
        </w:tabs>
        <w:rPr>
          <w:color w:val="auto"/>
          <w:sz w:val="24"/>
          <w:szCs w:val="24"/>
        </w:rPr>
      </w:pPr>
      <w:r>
        <w:rPr>
          <w:color w:val="auto"/>
          <w:sz w:val="24"/>
          <w:szCs w:val="24"/>
        </w:rPr>
        <w:fldChar w:fldCharType="begin"/>
      </w:r>
      <w:r>
        <w:rPr>
          <w:color w:val="auto"/>
          <w:sz w:val="24"/>
          <w:szCs w:val="24"/>
        </w:rPr>
        <w:instrText xml:space="preserve"> HYPERLINK \l _Toc26832 </w:instrText>
      </w:r>
      <w:r>
        <w:rPr>
          <w:color w:val="auto"/>
          <w:sz w:val="24"/>
          <w:szCs w:val="24"/>
        </w:rPr>
        <w:fldChar w:fldCharType="separate"/>
      </w:r>
      <w:r>
        <w:rPr>
          <w:rFonts w:hint="eastAsia"/>
          <w:bCs/>
          <w:color w:val="auto"/>
          <w:sz w:val="24"/>
          <w:szCs w:val="24"/>
          <w:lang w:val="en-US" w:eastAsia="zh-CN"/>
        </w:rPr>
        <w:t xml:space="preserve">附件9 </w:t>
      </w:r>
      <w:r>
        <w:rPr>
          <w:bCs/>
          <w:color w:val="auto"/>
          <w:sz w:val="24"/>
          <w:szCs w:val="24"/>
        </w:rPr>
        <w:t>环境现状监测报告</w:t>
      </w:r>
      <w:r>
        <w:rPr>
          <w:color w:val="auto"/>
          <w:sz w:val="24"/>
          <w:szCs w:val="24"/>
        </w:rPr>
        <w:tab/>
      </w:r>
      <w:r>
        <w:rPr>
          <w:color w:val="auto"/>
          <w:sz w:val="24"/>
          <w:szCs w:val="24"/>
        </w:rPr>
        <w:fldChar w:fldCharType="begin"/>
      </w:r>
      <w:r>
        <w:rPr>
          <w:color w:val="auto"/>
          <w:sz w:val="24"/>
          <w:szCs w:val="24"/>
        </w:rPr>
        <w:instrText xml:space="preserve"> PAGEREF _Toc26832 \h </w:instrText>
      </w:r>
      <w:r>
        <w:rPr>
          <w:color w:val="auto"/>
          <w:sz w:val="24"/>
          <w:szCs w:val="24"/>
        </w:rPr>
        <w:fldChar w:fldCharType="separate"/>
      </w:r>
      <w:r>
        <w:rPr>
          <w:color w:val="auto"/>
          <w:sz w:val="24"/>
          <w:szCs w:val="24"/>
        </w:rPr>
        <w:t>94</w:t>
      </w:r>
      <w:r>
        <w:rPr>
          <w:color w:val="auto"/>
          <w:sz w:val="24"/>
          <w:szCs w:val="24"/>
        </w:rPr>
        <w:fldChar w:fldCharType="end"/>
      </w:r>
      <w:r>
        <w:rPr>
          <w:color w:val="auto"/>
          <w:sz w:val="24"/>
          <w:szCs w:val="24"/>
        </w:rPr>
        <w:fldChar w:fldCharType="end"/>
      </w:r>
    </w:p>
    <w:p>
      <w:pPr>
        <w:pStyle w:val="16"/>
        <w:tabs>
          <w:tab w:val="right" w:leader="dot" w:pos="8844"/>
        </w:tabs>
        <w:rPr>
          <w:color w:val="auto"/>
          <w:sz w:val="24"/>
          <w:szCs w:val="24"/>
        </w:rPr>
      </w:pPr>
    </w:p>
    <w:p>
      <w:pPr>
        <w:pStyle w:val="16"/>
        <w:tabs>
          <w:tab w:val="right" w:leader="dot" w:pos="8844"/>
        </w:tabs>
        <w:rPr>
          <w:color w:val="auto"/>
          <w:sz w:val="24"/>
          <w:szCs w:val="24"/>
        </w:rPr>
      </w:pPr>
      <w:r>
        <w:rPr>
          <w:color w:val="auto"/>
          <w:sz w:val="24"/>
          <w:szCs w:val="24"/>
        </w:rPr>
        <w:fldChar w:fldCharType="begin"/>
      </w:r>
      <w:r>
        <w:rPr>
          <w:color w:val="auto"/>
          <w:sz w:val="24"/>
          <w:szCs w:val="24"/>
        </w:rPr>
        <w:instrText xml:space="preserve"> HYPERLINK \l _Toc24961 </w:instrText>
      </w:r>
      <w:r>
        <w:rPr>
          <w:color w:val="auto"/>
          <w:sz w:val="24"/>
          <w:szCs w:val="24"/>
        </w:rPr>
        <w:fldChar w:fldCharType="separate"/>
      </w:r>
      <w:r>
        <w:rPr>
          <w:rFonts w:hint="eastAsia" w:ascii="方正小标宋_GBK" w:hAnsi="黑体" w:eastAsia="方正小标宋_GBK" w:cs="Times New Roman"/>
          <w:snapToGrid w:val="0"/>
          <w:color w:val="auto"/>
          <w:kern w:val="0"/>
          <w:sz w:val="24"/>
          <w:szCs w:val="24"/>
          <w:lang w:val="en-US" w:eastAsia="zh-CN"/>
        </w:rPr>
        <w:t>华容县团洲垸灾后重建安置房建设项目（三期）</w:t>
      </w:r>
      <w:r>
        <w:rPr>
          <w:color w:val="auto"/>
          <w:sz w:val="24"/>
          <w:szCs w:val="24"/>
        </w:rPr>
        <w:fldChar w:fldCharType="end"/>
      </w:r>
      <w:r>
        <w:rPr>
          <w:color w:val="auto"/>
          <w:sz w:val="24"/>
          <w:szCs w:val="24"/>
        </w:rPr>
        <w:fldChar w:fldCharType="begin"/>
      </w:r>
      <w:r>
        <w:rPr>
          <w:color w:val="auto"/>
          <w:sz w:val="24"/>
          <w:szCs w:val="24"/>
        </w:rPr>
        <w:instrText xml:space="preserve"> HYPERLINK \l _Toc8161 </w:instrText>
      </w:r>
      <w:r>
        <w:rPr>
          <w:color w:val="auto"/>
          <w:sz w:val="24"/>
          <w:szCs w:val="24"/>
        </w:rPr>
        <w:fldChar w:fldCharType="separate"/>
      </w:r>
      <w:r>
        <w:rPr>
          <w:rFonts w:hint="eastAsia" w:ascii="方正小标宋_GBK" w:hAnsi="黑体" w:eastAsia="方正小标宋_GBK" w:cs="Times New Roman"/>
          <w:snapToGrid w:val="0"/>
          <w:color w:val="auto"/>
          <w:kern w:val="0"/>
          <w:sz w:val="24"/>
          <w:szCs w:val="24"/>
          <w:lang w:eastAsia="zh-CN"/>
        </w:rPr>
        <w:t>生态</w:t>
      </w:r>
      <w:r>
        <w:rPr>
          <w:rFonts w:hint="default" w:ascii="方正小标宋_GBK" w:hAnsi="黑体" w:eastAsia="方正小标宋_GBK" w:cs="Times New Roman"/>
          <w:snapToGrid w:val="0"/>
          <w:color w:val="auto"/>
          <w:kern w:val="0"/>
          <w:sz w:val="24"/>
          <w:szCs w:val="24"/>
        </w:rPr>
        <w:t>环境影响专项报告</w:t>
      </w:r>
      <w:r>
        <w:rPr>
          <w:color w:val="auto"/>
          <w:sz w:val="24"/>
          <w:szCs w:val="24"/>
        </w:rPr>
        <w:tab/>
      </w:r>
      <w:r>
        <w:rPr>
          <w:color w:val="auto"/>
          <w:sz w:val="24"/>
          <w:szCs w:val="24"/>
        </w:rPr>
        <w:fldChar w:fldCharType="begin"/>
      </w:r>
      <w:r>
        <w:rPr>
          <w:color w:val="auto"/>
          <w:sz w:val="24"/>
          <w:szCs w:val="24"/>
        </w:rPr>
        <w:instrText xml:space="preserve"> PAGEREF _Toc8161 \h </w:instrText>
      </w:r>
      <w:r>
        <w:rPr>
          <w:color w:val="auto"/>
          <w:sz w:val="24"/>
          <w:szCs w:val="24"/>
        </w:rPr>
        <w:fldChar w:fldCharType="separate"/>
      </w:r>
      <w:r>
        <w:rPr>
          <w:color w:val="auto"/>
          <w:sz w:val="24"/>
          <w:szCs w:val="24"/>
        </w:rPr>
        <w:t>95</w:t>
      </w:r>
      <w:r>
        <w:rPr>
          <w:color w:val="auto"/>
          <w:sz w:val="24"/>
          <w:szCs w:val="24"/>
        </w:rPr>
        <w:fldChar w:fldCharType="end"/>
      </w:r>
      <w:r>
        <w:rPr>
          <w:color w:val="auto"/>
          <w:sz w:val="24"/>
          <w:szCs w:val="24"/>
        </w:rPr>
        <w:fldChar w:fldCharType="end"/>
      </w:r>
    </w:p>
    <w:p>
      <w:pPr>
        <w:pStyle w:val="16"/>
        <w:tabs>
          <w:tab w:val="right" w:leader="dot" w:pos="8844"/>
        </w:tabs>
        <w:rPr>
          <w:color w:val="auto"/>
          <w:sz w:val="24"/>
          <w:szCs w:val="24"/>
        </w:rPr>
      </w:pPr>
      <w:r>
        <w:rPr>
          <w:color w:val="auto"/>
          <w:sz w:val="24"/>
          <w:szCs w:val="24"/>
        </w:rPr>
        <w:fldChar w:fldCharType="begin"/>
      </w:r>
      <w:r>
        <w:rPr>
          <w:color w:val="auto"/>
          <w:sz w:val="24"/>
          <w:szCs w:val="24"/>
        </w:rPr>
        <w:instrText xml:space="preserve"> HYPERLINK \l _Toc12505 </w:instrText>
      </w:r>
      <w:r>
        <w:rPr>
          <w:color w:val="auto"/>
          <w:sz w:val="24"/>
          <w:szCs w:val="24"/>
        </w:rPr>
        <w:fldChar w:fldCharType="separate"/>
      </w:r>
      <w:r>
        <w:rPr>
          <w:rFonts w:ascii="Times New Roman" w:hAnsi="Times New Roman" w:eastAsia="宋体" w:cs="Times New Roman"/>
          <w:snapToGrid w:val="0"/>
          <w:color w:val="auto"/>
          <w:kern w:val="0"/>
          <w:sz w:val="24"/>
          <w:szCs w:val="24"/>
          <w:lang w:val="en-US" w:eastAsia="zh-CN" w:bidi="ar-SA"/>
        </w:rPr>
        <w:t>1总则</w:t>
      </w:r>
      <w:r>
        <w:rPr>
          <w:color w:val="auto"/>
          <w:sz w:val="24"/>
          <w:szCs w:val="24"/>
        </w:rPr>
        <w:tab/>
      </w:r>
      <w:r>
        <w:rPr>
          <w:color w:val="auto"/>
          <w:sz w:val="24"/>
          <w:szCs w:val="24"/>
        </w:rPr>
        <w:fldChar w:fldCharType="begin"/>
      </w:r>
      <w:r>
        <w:rPr>
          <w:color w:val="auto"/>
          <w:sz w:val="24"/>
          <w:szCs w:val="24"/>
        </w:rPr>
        <w:instrText xml:space="preserve"> PAGEREF _Toc12505 \h </w:instrText>
      </w:r>
      <w:r>
        <w:rPr>
          <w:color w:val="auto"/>
          <w:sz w:val="24"/>
          <w:szCs w:val="24"/>
        </w:rPr>
        <w:fldChar w:fldCharType="separate"/>
      </w:r>
      <w:r>
        <w:rPr>
          <w:color w:val="auto"/>
          <w:sz w:val="24"/>
          <w:szCs w:val="24"/>
        </w:rPr>
        <w:t>1</w:t>
      </w:r>
      <w:r>
        <w:rPr>
          <w:color w:val="auto"/>
          <w:sz w:val="24"/>
          <w:szCs w:val="24"/>
        </w:rPr>
        <w:fldChar w:fldCharType="end"/>
      </w:r>
      <w:r>
        <w:rPr>
          <w:color w:val="auto"/>
          <w:sz w:val="24"/>
          <w:szCs w:val="24"/>
        </w:rPr>
        <w:fldChar w:fldCharType="end"/>
      </w:r>
    </w:p>
    <w:p>
      <w:pPr>
        <w:pStyle w:val="17"/>
        <w:tabs>
          <w:tab w:val="right" w:leader="dot" w:pos="8844"/>
        </w:tabs>
        <w:rPr>
          <w:color w:val="auto"/>
          <w:sz w:val="24"/>
          <w:szCs w:val="24"/>
        </w:rPr>
      </w:pPr>
      <w:r>
        <w:rPr>
          <w:color w:val="auto"/>
          <w:sz w:val="24"/>
          <w:szCs w:val="24"/>
        </w:rPr>
        <w:fldChar w:fldCharType="begin"/>
      </w:r>
      <w:r>
        <w:rPr>
          <w:color w:val="auto"/>
          <w:sz w:val="24"/>
          <w:szCs w:val="24"/>
        </w:rPr>
        <w:instrText xml:space="preserve"> HYPERLINK \l _Toc2392 </w:instrText>
      </w:r>
      <w:r>
        <w:rPr>
          <w:color w:val="auto"/>
          <w:sz w:val="24"/>
          <w:szCs w:val="24"/>
        </w:rPr>
        <w:fldChar w:fldCharType="separate"/>
      </w:r>
      <w:r>
        <w:rPr>
          <w:rFonts w:ascii="Times New Roman" w:hAnsi="Times New Roman" w:eastAsia="宋体" w:cs="Times New Roman"/>
          <w:bCs/>
          <w:color w:val="auto"/>
          <w:kern w:val="2"/>
          <w:sz w:val="24"/>
          <w:szCs w:val="24"/>
          <w:lang w:val="en-US" w:eastAsia="zh-CN" w:bidi="ar-SA"/>
        </w:rPr>
        <w:t>1.1项目由来</w:t>
      </w:r>
      <w:r>
        <w:rPr>
          <w:color w:val="auto"/>
          <w:sz w:val="24"/>
          <w:szCs w:val="24"/>
        </w:rPr>
        <w:tab/>
      </w:r>
      <w:r>
        <w:rPr>
          <w:color w:val="auto"/>
          <w:sz w:val="24"/>
          <w:szCs w:val="24"/>
        </w:rPr>
        <w:fldChar w:fldCharType="begin"/>
      </w:r>
      <w:r>
        <w:rPr>
          <w:color w:val="auto"/>
          <w:sz w:val="24"/>
          <w:szCs w:val="24"/>
        </w:rPr>
        <w:instrText xml:space="preserve"> PAGEREF _Toc2392 \h </w:instrText>
      </w:r>
      <w:r>
        <w:rPr>
          <w:color w:val="auto"/>
          <w:sz w:val="24"/>
          <w:szCs w:val="24"/>
        </w:rPr>
        <w:fldChar w:fldCharType="separate"/>
      </w:r>
      <w:r>
        <w:rPr>
          <w:color w:val="auto"/>
          <w:sz w:val="24"/>
          <w:szCs w:val="24"/>
        </w:rPr>
        <w:t>1</w:t>
      </w:r>
      <w:r>
        <w:rPr>
          <w:color w:val="auto"/>
          <w:sz w:val="24"/>
          <w:szCs w:val="24"/>
        </w:rPr>
        <w:fldChar w:fldCharType="end"/>
      </w:r>
      <w:r>
        <w:rPr>
          <w:color w:val="auto"/>
          <w:sz w:val="24"/>
          <w:szCs w:val="24"/>
        </w:rPr>
        <w:fldChar w:fldCharType="end"/>
      </w:r>
    </w:p>
    <w:p>
      <w:pPr>
        <w:pStyle w:val="17"/>
        <w:tabs>
          <w:tab w:val="right" w:leader="dot" w:pos="8844"/>
        </w:tabs>
        <w:rPr>
          <w:color w:val="auto"/>
          <w:sz w:val="24"/>
          <w:szCs w:val="24"/>
        </w:rPr>
      </w:pPr>
      <w:r>
        <w:rPr>
          <w:color w:val="auto"/>
          <w:sz w:val="24"/>
          <w:szCs w:val="24"/>
        </w:rPr>
        <w:fldChar w:fldCharType="begin"/>
      </w:r>
      <w:r>
        <w:rPr>
          <w:color w:val="auto"/>
          <w:sz w:val="24"/>
          <w:szCs w:val="24"/>
        </w:rPr>
        <w:instrText xml:space="preserve"> HYPERLINK \l _Toc20118 </w:instrText>
      </w:r>
      <w:r>
        <w:rPr>
          <w:color w:val="auto"/>
          <w:sz w:val="24"/>
          <w:szCs w:val="24"/>
        </w:rPr>
        <w:fldChar w:fldCharType="separate"/>
      </w:r>
      <w:r>
        <w:rPr>
          <w:rFonts w:ascii="Times New Roman" w:hAnsi="Times New Roman" w:eastAsia="宋体" w:cs="Times New Roman"/>
          <w:bCs/>
          <w:color w:val="auto"/>
          <w:kern w:val="2"/>
          <w:sz w:val="24"/>
          <w:szCs w:val="24"/>
          <w:lang w:val="en-US" w:eastAsia="zh-CN" w:bidi="ar-SA"/>
        </w:rPr>
        <w:t>1.2评价目的和评价原则</w:t>
      </w:r>
      <w:r>
        <w:rPr>
          <w:color w:val="auto"/>
          <w:sz w:val="24"/>
          <w:szCs w:val="24"/>
        </w:rPr>
        <w:tab/>
      </w:r>
      <w:r>
        <w:rPr>
          <w:color w:val="auto"/>
          <w:sz w:val="24"/>
          <w:szCs w:val="24"/>
        </w:rPr>
        <w:fldChar w:fldCharType="begin"/>
      </w:r>
      <w:r>
        <w:rPr>
          <w:color w:val="auto"/>
          <w:sz w:val="24"/>
          <w:szCs w:val="24"/>
        </w:rPr>
        <w:instrText xml:space="preserve"> PAGEREF _Toc20118 \h </w:instrText>
      </w:r>
      <w:r>
        <w:rPr>
          <w:color w:val="auto"/>
          <w:sz w:val="24"/>
          <w:szCs w:val="24"/>
        </w:rPr>
        <w:fldChar w:fldCharType="separate"/>
      </w:r>
      <w:r>
        <w:rPr>
          <w:color w:val="auto"/>
          <w:sz w:val="24"/>
          <w:szCs w:val="24"/>
        </w:rPr>
        <w:t>1</w:t>
      </w:r>
      <w:r>
        <w:rPr>
          <w:color w:val="auto"/>
          <w:sz w:val="24"/>
          <w:szCs w:val="24"/>
        </w:rPr>
        <w:fldChar w:fldCharType="end"/>
      </w:r>
      <w:r>
        <w:rPr>
          <w:color w:val="auto"/>
          <w:sz w:val="24"/>
          <w:szCs w:val="24"/>
        </w:rPr>
        <w:fldChar w:fldCharType="end"/>
      </w:r>
    </w:p>
    <w:p>
      <w:pPr>
        <w:pStyle w:val="17"/>
        <w:tabs>
          <w:tab w:val="right" w:leader="dot" w:pos="8844"/>
        </w:tabs>
        <w:rPr>
          <w:color w:val="auto"/>
          <w:sz w:val="24"/>
          <w:szCs w:val="24"/>
        </w:rPr>
      </w:pPr>
      <w:r>
        <w:rPr>
          <w:color w:val="auto"/>
          <w:sz w:val="24"/>
          <w:szCs w:val="24"/>
        </w:rPr>
        <w:fldChar w:fldCharType="begin"/>
      </w:r>
      <w:r>
        <w:rPr>
          <w:color w:val="auto"/>
          <w:sz w:val="24"/>
          <w:szCs w:val="24"/>
        </w:rPr>
        <w:instrText xml:space="preserve"> HYPERLINK \l _Toc32734 </w:instrText>
      </w:r>
      <w:r>
        <w:rPr>
          <w:color w:val="auto"/>
          <w:sz w:val="24"/>
          <w:szCs w:val="24"/>
        </w:rPr>
        <w:fldChar w:fldCharType="separate"/>
      </w:r>
      <w:r>
        <w:rPr>
          <w:rFonts w:ascii="Times New Roman" w:hAnsi="Times New Roman" w:eastAsia="宋体" w:cs="Times New Roman"/>
          <w:bCs/>
          <w:color w:val="auto"/>
          <w:kern w:val="2"/>
          <w:sz w:val="24"/>
          <w:szCs w:val="24"/>
          <w:lang w:val="en-US" w:eastAsia="zh-CN" w:bidi="ar-SA"/>
        </w:rPr>
        <w:t>1.3工作原则</w:t>
      </w:r>
      <w:r>
        <w:rPr>
          <w:color w:val="auto"/>
          <w:sz w:val="24"/>
          <w:szCs w:val="24"/>
        </w:rPr>
        <w:tab/>
      </w:r>
      <w:r>
        <w:rPr>
          <w:color w:val="auto"/>
          <w:sz w:val="24"/>
          <w:szCs w:val="24"/>
        </w:rPr>
        <w:fldChar w:fldCharType="begin"/>
      </w:r>
      <w:r>
        <w:rPr>
          <w:color w:val="auto"/>
          <w:sz w:val="24"/>
          <w:szCs w:val="24"/>
        </w:rPr>
        <w:instrText xml:space="preserve"> PAGEREF _Toc32734 \h </w:instrText>
      </w:r>
      <w:r>
        <w:rPr>
          <w:color w:val="auto"/>
          <w:sz w:val="24"/>
          <w:szCs w:val="24"/>
        </w:rPr>
        <w:fldChar w:fldCharType="separate"/>
      </w:r>
      <w:r>
        <w:rPr>
          <w:color w:val="auto"/>
          <w:sz w:val="24"/>
          <w:szCs w:val="24"/>
        </w:rPr>
        <w:t>2</w:t>
      </w:r>
      <w:r>
        <w:rPr>
          <w:color w:val="auto"/>
          <w:sz w:val="24"/>
          <w:szCs w:val="24"/>
        </w:rPr>
        <w:fldChar w:fldCharType="end"/>
      </w:r>
      <w:r>
        <w:rPr>
          <w:color w:val="auto"/>
          <w:sz w:val="24"/>
          <w:szCs w:val="24"/>
        </w:rPr>
        <w:fldChar w:fldCharType="end"/>
      </w:r>
    </w:p>
    <w:p>
      <w:pPr>
        <w:pStyle w:val="17"/>
        <w:tabs>
          <w:tab w:val="right" w:leader="dot" w:pos="8844"/>
        </w:tabs>
        <w:rPr>
          <w:color w:val="auto"/>
          <w:sz w:val="24"/>
          <w:szCs w:val="24"/>
        </w:rPr>
      </w:pPr>
      <w:r>
        <w:rPr>
          <w:color w:val="auto"/>
          <w:sz w:val="24"/>
          <w:szCs w:val="24"/>
        </w:rPr>
        <w:fldChar w:fldCharType="begin"/>
      </w:r>
      <w:r>
        <w:rPr>
          <w:color w:val="auto"/>
          <w:sz w:val="24"/>
          <w:szCs w:val="24"/>
        </w:rPr>
        <w:instrText xml:space="preserve"> HYPERLINK \l _Toc24939 </w:instrText>
      </w:r>
      <w:r>
        <w:rPr>
          <w:color w:val="auto"/>
          <w:sz w:val="24"/>
          <w:szCs w:val="24"/>
        </w:rPr>
        <w:fldChar w:fldCharType="separate"/>
      </w:r>
      <w:r>
        <w:rPr>
          <w:rFonts w:ascii="Times New Roman" w:hAnsi="Times New Roman" w:eastAsia="宋体" w:cs="Times New Roman"/>
          <w:bCs/>
          <w:color w:val="auto"/>
          <w:kern w:val="2"/>
          <w:sz w:val="24"/>
          <w:szCs w:val="24"/>
          <w:lang w:val="en-US" w:eastAsia="zh-CN" w:bidi="ar-SA"/>
        </w:rPr>
        <w:t>1.4评价依据</w:t>
      </w:r>
      <w:r>
        <w:rPr>
          <w:color w:val="auto"/>
          <w:sz w:val="24"/>
          <w:szCs w:val="24"/>
        </w:rPr>
        <w:tab/>
      </w:r>
      <w:r>
        <w:rPr>
          <w:color w:val="auto"/>
          <w:sz w:val="24"/>
          <w:szCs w:val="24"/>
        </w:rPr>
        <w:fldChar w:fldCharType="begin"/>
      </w:r>
      <w:r>
        <w:rPr>
          <w:color w:val="auto"/>
          <w:sz w:val="24"/>
          <w:szCs w:val="24"/>
        </w:rPr>
        <w:instrText xml:space="preserve"> PAGEREF _Toc24939 \h </w:instrText>
      </w:r>
      <w:r>
        <w:rPr>
          <w:color w:val="auto"/>
          <w:sz w:val="24"/>
          <w:szCs w:val="24"/>
        </w:rPr>
        <w:fldChar w:fldCharType="separate"/>
      </w:r>
      <w:r>
        <w:rPr>
          <w:color w:val="auto"/>
          <w:sz w:val="24"/>
          <w:szCs w:val="24"/>
        </w:rPr>
        <w:t>2</w:t>
      </w:r>
      <w:r>
        <w:rPr>
          <w:color w:val="auto"/>
          <w:sz w:val="24"/>
          <w:szCs w:val="24"/>
        </w:rPr>
        <w:fldChar w:fldCharType="end"/>
      </w:r>
      <w:r>
        <w:rPr>
          <w:color w:val="auto"/>
          <w:sz w:val="24"/>
          <w:szCs w:val="24"/>
        </w:rPr>
        <w:fldChar w:fldCharType="end"/>
      </w:r>
    </w:p>
    <w:p>
      <w:pPr>
        <w:pStyle w:val="17"/>
        <w:tabs>
          <w:tab w:val="right" w:leader="dot" w:pos="8844"/>
        </w:tabs>
        <w:rPr>
          <w:color w:val="auto"/>
          <w:sz w:val="24"/>
          <w:szCs w:val="24"/>
        </w:rPr>
      </w:pPr>
      <w:r>
        <w:rPr>
          <w:color w:val="auto"/>
          <w:sz w:val="24"/>
          <w:szCs w:val="24"/>
        </w:rPr>
        <w:fldChar w:fldCharType="begin"/>
      </w:r>
      <w:r>
        <w:rPr>
          <w:color w:val="auto"/>
          <w:sz w:val="24"/>
          <w:szCs w:val="24"/>
        </w:rPr>
        <w:instrText xml:space="preserve"> HYPERLINK \l _Toc13123 </w:instrText>
      </w:r>
      <w:r>
        <w:rPr>
          <w:color w:val="auto"/>
          <w:sz w:val="24"/>
          <w:szCs w:val="24"/>
        </w:rPr>
        <w:fldChar w:fldCharType="separate"/>
      </w:r>
      <w:r>
        <w:rPr>
          <w:rFonts w:ascii="Times New Roman" w:hAnsi="Times New Roman" w:eastAsia="宋体" w:cs="Times New Roman"/>
          <w:bCs/>
          <w:color w:val="auto"/>
          <w:kern w:val="2"/>
          <w:sz w:val="24"/>
          <w:szCs w:val="24"/>
          <w:lang w:val="en-US" w:eastAsia="zh-CN" w:bidi="ar-SA"/>
        </w:rPr>
        <w:t>1.5生态环境评价工作等级及范围</w:t>
      </w:r>
      <w:r>
        <w:rPr>
          <w:color w:val="auto"/>
          <w:sz w:val="24"/>
          <w:szCs w:val="24"/>
        </w:rPr>
        <w:tab/>
      </w:r>
      <w:r>
        <w:rPr>
          <w:color w:val="auto"/>
          <w:sz w:val="24"/>
          <w:szCs w:val="24"/>
        </w:rPr>
        <w:fldChar w:fldCharType="begin"/>
      </w:r>
      <w:r>
        <w:rPr>
          <w:color w:val="auto"/>
          <w:sz w:val="24"/>
          <w:szCs w:val="24"/>
        </w:rPr>
        <w:instrText xml:space="preserve"> PAGEREF _Toc13123 \h </w:instrText>
      </w:r>
      <w:r>
        <w:rPr>
          <w:color w:val="auto"/>
          <w:sz w:val="24"/>
          <w:szCs w:val="24"/>
        </w:rPr>
        <w:fldChar w:fldCharType="separate"/>
      </w:r>
      <w:r>
        <w:rPr>
          <w:color w:val="auto"/>
          <w:sz w:val="24"/>
          <w:szCs w:val="24"/>
        </w:rPr>
        <w:t>5</w:t>
      </w:r>
      <w:r>
        <w:rPr>
          <w:color w:val="auto"/>
          <w:sz w:val="24"/>
          <w:szCs w:val="24"/>
        </w:rPr>
        <w:fldChar w:fldCharType="end"/>
      </w:r>
      <w:r>
        <w:rPr>
          <w:color w:val="auto"/>
          <w:sz w:val="24"/>
          <w:szCs w:val="24"/>
        </w:rPr>
        <w:fldChar w:fldCharType="end"/>
      </w:r>
    </w:p>
    <w:p>
      <w:pPr>
        <w:pStyle w:val="17"/>
        <w:tabs>
          <w:tab w:val="right" w:leader="dot" w:pos="8844"/>
        </w:tabs>
        <w:rPr>
          <w:color w:val="auto"/>
          <w:sz w:val="24"/>
          <w:szCs w:val="24"/>
        </w:rPr>
      </w:pPr>
      <w:r>
        <w:rPr>
          <w:color w:val="auto"/>
          <w:sz w:val="24"/>
          <w:szCs w:val="24"/>
        </w:rPr>
        <w:fldChar w:fldCharType="begin"/>
      </w:r>
      <w:r>
        <w:rPr>
          <w:color w:val="auto"/>
          <w:sz w:val="24"/>
          <w:szCs w:val="24"/>
        </w:rPr>
        <w:instrText xml:space="preserve"> HYPERLINK \l _Toc5680 </w:instrText>
      </w:r>
      <w:r>
        <w:rPr>
          <w:color w:val="auto"/>
          <w:sz w:val="24"/>
          <w:szCs w:val="24"/>
        </w:rPr>
        <w:fldChar w:fldCharType="separate"/>
      </w:r>
      <w:r>
        <w:rPr>
          <w:rFonts w:hint="eastAsia" w:ascii="Times New Roman" w:hAnsi="Times New Roman" w:eastAsia="宋体" w:cs="Times New Roman"/>
          <w:bCs/>
          <w:color w:val="auto"/>
          <w:kern w:val="2"/>
          <w:sz w:val="24"/>
          <w:szCs w:val="24"/>
          <w:lang w:val="en-US" w:eastAsia="zh-CN" w:bidi="ar-SA"/>
        </w:rPr>
        <w:t>1.6评价因子筛选及评价重点</w:t>
      </w:r>
      <w:r>
        <w:rPr>
          <w:color w:val="auto"/>
          <w:sz w:val="24"/>
          <w:szCs w:val="24"/>
        </w:rPr>
        <w:tab/>
      </w:r>
      <w:r>
        <w:rPr>
          <w:color w:val="auto"/>
          <w:sz w:val="24"/>
          <w:szCs w:val="24"/>
        </w:rPr>
        <w:fldChar w:fldCharType="begin"/>
      </w:r>
      <w:r>
        <w:rPr>
          <w:color w:val="auto"/>
          <w:sz w:val="24"/>
          <w:szCs w:val="24"/>
        </w:rPr>
        <w:instrText xml:space="preserve"> PAGEREF _Toc5680 \h </w:instrText>
      </w:r>
      <w:r>
        <w:rPr>
          <w:color w:val="auto"/>
          <w:sz w:val="24"/>
          <w:szCs w:val="24"/>
        </w:rPr>
        <w:fldChar w:fldCharType="separate"/>
      </w:r>
      <w:r>
        <w:rPr>
          <w:color w:val="auto"/>
          <w:sz w:val="24"/>
          <w:szCs w:val="24"/>
        </w:rPr>
        <w:t>6</w:t>
      </w:r>
      <w:r>
        <w:rPr>
          <w:color w:val="auto"/>
          <w:sz w:val="24"/>
          <w:szCs w:val="24"/>
        </w:rPr>
        <w:fldChar w:fldCharType="end"/>
      </w:r>
      <w:r>
        <w:rPr>
          <w:color w:val="auto"/>
          <w:sz w:val="24"/>
          <w:szCs w:val="24"/>
        </w:rPr>
        <w:fldChar w:fldCharType="end"/>
      </w:r>
    </w:p>
    <w:p>
      <w:pPr>
        <w:pStyle w:val="17"/>
        <w:tabs>
          <w:tab w:val="right" w:leader="dot" w:pos="8844"/>
        </w:tabs>
        <w:rPr>
          <w:color w:val="auto"/>
          <w:sz w:val="24"/>
          <w:szCs w:val="24"/>
        </w:rPr>
      </w:pPr>
      <w:r>
        <w:rPr>
          <w:color w:val="auto"/>
          <w:sz w:val="24"/>
          <w:szCs w:val="24"/>
        </w:rPr>
        <w:fldChar w:fldCharType="begin"/>
      </w:r>
      <w:r>
        <w:rPr>
          <w:color w:val="auto"/>
          <w:sz w:val="24"/>
          <w:szCs w:val="24"/>
        </w:rPr>
        <w:instrText xml:space="preserve"> HYPERLINK \l _Toc28730 </w:instrText>
      </w:r>
      <w:r>
        <w:rPr>
          <w:color w:val="auto"/>
          <w:sz w:val="24"/>
          <w:szCs w:val="24"/>
        </w:rPr>
        <w:fldChar w:fldCharType="separate"/>
      </w:r>
      <w:r>
        <w:rPr>
          <w:rFonts w:ascii="Times New Roman" w:hAnsi="Times New Roman" w:eastAsia="宋体" w:cs="Times New Roman"/>
          <w:color w:val="auto"/>
          <w:kern w:val="2"/>
          <w:sz w:val="24"/>
          <w:szCs w:val="24"/>
          <w:lang w:val="en-US" w:eastAsia="zh-CN" w:bidi="ar-SA"/>
        </w:rPr>
        <w:t>1.</w:t>
      </w:r>
      <w:r>
        <w:rPr>
          <w:rFonts w:hint="eastAsia" w:ascii="Times New Roman" w:hAnsi="Times New Roman" w:eastAsia="宋体" w:cs="Times New Roman"/>
          <w:color w:val="auto"/>
          <w:kern w:val="2"/>
          <w:sz w:val="24"/>
          <w:szCs w:val="24"/>
          <w:lang w:val="en-US" w:eastAsia="zh-CN" w:bidi="ar-SA"/>
        </w:rPr>
        <w:t>7</w:t>
      </w:r>
      <w:r>
        <w:rPr>
          <w:rFonts w:ascii="Times New Roman" w:hAnsi="Times New Roman" w:eastAsia="宋体" w:cs="Times New Roman"/>
          <w:color w:val="auto"/>
          <w:kern w:val="2"/>
          <w:sz w:val="24"/>
          <w:szCs w:val="24"/>
          <w:lang w:val="en-US" w:eastAsia="zh-CN" w:bidi="ar-SA"/>
        </w:rPr>
        <w:t>生态环境保护目标</w:t>
      </w:r>
      <w:r>
        <w:rPr>
          <w:color w:val="auto"/>
          <w:sz w:val="24"/>
          <w:szCs w:val="24"/>
        </w:rPr>
        <w:tab/>
      </w:r>
      <w:r>
        <w:rPr>
          <w:color w:val="auto"/>
          <w:sz w:val="24"/>
          <w:szCs w:val="24"/>
        </w:rPr>
        <w:fldChar w:fldCharType="begin"/>
      </w:r>
      <w:r>
        <w:rPr>
          <w:color w:val="auto"/>
          <w:sz w:val="24"/>
          <w:szCs w:val="24"/>
        </w:rPr>
        <w:instrText xml:space="preserve"> PAGEREF _Toc28730 \h </w:instrText>
      </w:r>
      <w:r>
        <w:rPr>
          <w:color w:val="auto"/>
          <w:sz w:val="24"/>
          <w:szCs w:val="24"/>
        </w:rPr>
        <w:fldChar w:fldCharType="separate"/>
      </w:r>
      <w:r>
        <w:rPr>
          <w:color w:val="auto"/>
          <w:sz w:val="24"/>
          <w:szCs w:val="24"/>
        </w:rPr>
        <w:t>7</w:t>
      </w:r>
      <w:r>
        <w:rPr>
          <w:color w:val="auto"/>
          <w:sz w:val="24"/>
          <w:szCs w:val="24"/>
        </w:rPr>
        <w:fldChar w:fldCharType="end"/>
      </w:r>
      <w:r>
        <w:rPr>
          <w:color w:val="auto"/>
          <w:sz w:val="24"/>
          <w:szCs w:val="24"/>
        </w:rPr>
        <w:fldChar w:fldCharType="end"/>
      </w:r>
    </w:p>
    <w:p>
      <w:pPr>
        <w:pStyle w:val="16"/>
        <w:tabs>
          <w:tab w:val="right" w:leader="dot" w:pos="8844"/>
        </w:tabs>
        <w:rPr>
          <w:color w:val="auto"/>
          <w:sz w:val="24"/>
          <w:szCs w:val="24"/>
        </w:rPr>
      </w:pPr>
      <w:r>
        <w:rPr>
          <w:color w:val="auto"/>
          <w:sz w:val="24"/>
          <w:szCs w:val="24"/>
        </w:rPr>
        <w:fldChar w:fldCharType="begin"/>
      </w:r>
      <w:r>
        <w:rPr>
          <w:color w:val="auto"/>
          <w:sz w:val="24"/>
          <w:szCs w:val="24"/>
        </w:rPr>
        <w:instrText xml:space="preserve"> HYPERLINK \l _Toc29981 </w:instrText>
      </w:r>
      <w:r>
        <w:rPr>
          <w:color w:val="auto"/>
          <w:sz w:val="24"/>
          <w:szCs w:val="24"/>
        </w:rPr>
        <w:fldChar w:fldCharType="separate"/>
      </w:r>
      <w:r>
        <w:rPr>
          <w:rFonts w:ascii="Times New Roman" w:hAnsi="Times New Roman" w:eastAsia="宋体" w:cs="Times New Roman"/>
          <w:snapToGrid w:val="0"/>
          <w:color w:val="auto"/>
          <w:kern w:val="0"/>
          <w:sz w:val="24"/>
          <w:szCs w:val="24"/>
          <w:lang w:val="en-US" w:eastAsia="zh-CN" w:bidi="ar-SA"/>
        </w:rPr>
        <w:t>2项目工程分析</w:t>
      </w:r>
      <w:r>
        <w:rPr>
          <w:color w:val="auto"/>
          <w:sz w:val="24"/>
          <w:szCs w:val="24"/>
        </w:rPr>
        <w:tab/>
      </w:r>
      <w:r>
        <w:rPr>
          <w:color w:val="auto"/>
          <w:sz w:val="24"/>
          <w:szCs w:val="24"/>
        </w:rPr>
        <w:fldChar w:fldCharType="begin"/>
      </w:r>
      <w:r>
        <w:rPr>
          <w:color w:val="auto"/>
          <w:sz w:val="24"/>
          <w:szCs w:val="24"/>
        </w:rPr>
        <w:instrText xml:space="preserve"> PAGEREF _Toc29981 \h </w:instrText>
      </w:r>
      <w:r>
        <w:rPr>
          <w:color w:val="auto"/>
          <w:sz w:val="24"/>
          <w:szCs w:val="24"/>
        </w:rPr>
        <w:fldChar w:fldCharType="separate"/>
      </w:r>
      <w:r>
        <w:rPr>
          <w:color w:val="auto"/>
          <w:sz w:val="24"/>
          <w:szCs w:val="24"/>
        </w:rPr>
        <w:t>8</w:t>
      </w:r>
      <w:r>
        <w:rPr>
          <w:color w:val="auto"/>
          <w:sz w:val="24"/>
          <w:szCs w:val="24"/>
        </w:rPr>
        <w:fldChar w:fldCharType="end"/>
      </w:r>
      <w:r>
        <w:rPr>
          <w:color w:val="auto"/>
          <w:sz w:val="24"/>
          <w:szCs w:val="24"/>
        </w:rPr>
        <w:fldChar w:fldCharType="end"/>
      </w:r>
    </w:p>
    <w:p>
      <w:pPr>
        <w:pStyle w:val="17"/>
        <w:tabs>
          <w:tab w:val="right" w:leader="dot" w:pos="8844"/>
        </w:tabs>
        <w:rPr>
          <w:color w:val="auto"/>
          <w:sz w:val="24"/>
          <w:szCs w:val="24"/>
        </w:rPr>
      </w:pPr>
      <w:r>
        <w:rPr>
          <w:color w:val="auto"/>
          <w:sz w:val="24"/>
          <w:szCs w:val="24"/>
        </w:rPr>
        <w:fldChar w:fldCharType="begin"/>
      </w:r>
      <w:r>
        <w:rPr>
          <w:color w:val="auto"/>
          <w:sz w:val="24"/>
          <w:szCs w:val="24"/>
        </w:rPr>
        <w:instrText xml:space="preserve"> HYPERLINK \l _Toc6948 </w:instrText>
      </w:r>
      <w:r>
        <w:rPr>
          <w:color w:val="auto"/>
          <w:sz w:val="24"/>
          <w:szCs w:val="24"/>
        </w:rPr>
        <w:fldChar w:fldCharType="separate"/>
      </w:r>
      <w:r>
        <w:rPr>
          <w:rFonts w:ascii="Times New Roman" w:hAnsi="Times New Roman" w:eastAsia="宋体" w:cs="Times New Roman"/>
          <w:bCs/>
          <w:color w:val="auto"/>
          <w:kern w:val="2"/>
          <w:sz w:val="24"/>
          <w:szCs w:val="24"/>
          <w:lang w:val="en-US" w:eastAsia="zh-CN" w:bidi="ar-SA"/>
        </w:rPr>
        <w:t>2.1</w:t>
      </w:r>
      <w:r>
        <w:rPr>
          <w:rFonts w:hint="eastAsia" w:ascii="Times New Roman" w:hAnsi="Times New Roman" w:eastAsia="宋体" w:cs="Times New Roman"/>
          <w:bCs/>
          <w:color w:val="auto"/>
          <w:kern w:val="2"/>
          <w:sz w:val="24"/>
          <w:szCs w:val="24"/>
          <w:lang w:val="en-US" w:eastAsia="zh-CN" w:bidi="ar-SA"/>
        </w:rPr>
        <w:t>项目概况</w:t>
      </w:r>
      <w:r>
        <w:rPr>
          <w:color w:val="auto"/>
          <w:sz w:val="24"/>
          <w:szCs w:val="24"/>
        </w:rPr>
        <w:tab/>
      </w:r>
      <w:r>
        <w:rPr>
          <w:color w:val="auto"/>
          <w:sz w:val="24"/>
          <w:szCs w:val="24"/>
        </w:rPr>
        <w:fldChar w:fldCharType="begin"/>
      </w:r>
      <w:r>
        <w:rPr>
          <w:color w:val="auto"/>
          <w:sz w:val="24"/>
          <w:szCs w:val="24"/>
        </w:rPr>
        <w:instrText xml:space="preserve"> PAGEREF _Toc6948 \h </w:instrText>
      </w:r>
      <w:r>
        <w:rPr>
          <w:color w:val="auto"/>
          <w:sz w:val="24"/>
          <w:szCs w:val="24"/>
        </w:rPr>
        <w:fldChar w:fldCharType="separate"/>
      </w:r>
      <w:r>
        <w:rPr>
          <w:color w:val="auto"/>
          <w:sz w:val="24"/>
          <w:szCs w:val="24"/>
        </w:rPr>
        <w:t>8</w:t>
      </w:r>
      <w:r>
        <w:rPr>
          <w:color w:val="auto"/>
          <w:sz w:val="24"/>
          <w:szCs w:val="24"/>
        </w:rPr>
        <w:fldChar w:fldCharType="end"/>
      </w:r>
      <w:r>
        <w:rPr>
          <w:color w:val="auto"/>
          <w:sz w:val="24"/>
          <w:szCs w:val="24"/>
        </w:rPr>
        <w:fldChar w:fldCharType="end"/>
      </w:r>
    </w:p>
    <w:p>
      <w:pPr>
        <w:pStyle w:val="17"/>
        <w:tabs>
          <w:tab w:val="right" w:leader="dot" w:pos="8844"/>
        </w:tabs>
        <w:rPr>
          <w:color w:val="auto"/>
          <w:sz w:val="24"/>
          <w:szCs w:val="24"/>
        </w:rPr>
      </w:pPr>
      <w:r>
        <w:rPr>
          <w:color w:val="auto"/>
          <w:sz w:val="24"/>
          <w:szCs w:val="24"/>
        </w:rPr>
        <w:fldChar w:fldCharType="begin"/>
      </w:r>
      <w:r>
        <w:rPr>
          <w:color w:val="auto"/>
          <w:sz w:val="24"/>
          <w:szCs w:val="24"/>
        </w:rPr>
        <w:instrText xml:space="preserve"> HYPERLINK \l _Toc491 </w:instrText>
      </w:r>
      <w:r>
        <w:rPr>
          <w:color w:val="auto"/>
          <w:sz w:val="24"/>
          <w:szCs w:val="24"/>
        </w:rPr>
        <w:fldChar w:fldCharType="separate"/>
      </w:r>
      <w:r>
        <w:rPr>
          <w:rFonts w:hint="eastAsia" w:ascii="Times New Roman" w:hAnsi="Times New Roman" w:eastAsia="宋体" w:cs="Times New Roman"/>
          <w:bCs/>
          <w:color w:val="auto"/>
          <w:kern w:val="2"/>
          <w:sz w:val="24"/>
          <w:szCs w:val="24"/>
          <w:lang w:val="en-US" w:eastAsia="zh-CN" w:bidi="ar-SA"/>
        </w:rPr>
        <w:t>2.2</w:t>
      </w:r>
      <w:r>
        <w:rPr>
          <w:rFonts w:ascii="Times New Roman" w:hAnsi="Times New Roman" w:eastAsia="宋体" w:cs="Times New Roman"/>
          <w:bCs/>
          <w:color w:val="auto"/>
          <w:kern w:val="2"/>
          <w:sz w:val="24"/>
          <w:szCs w:val="24"/>
          <w:lang w:val="en-US" w:eastAsia="zh-CN" w:bidi="ar-SA"/>
        </w:rPr>
        <w:t>工程建设内容</w:t>
      </w:r>
      <w:r>
        <w:rPr>
          <w:color w:val="auto"/>
          <w:sz w:val="24"/>
          <w:szCs w:val="24"/>
        </w:rPr>
        <w:tab/>
      </w:r>
      <w:r>
        <w:rPr>
          <w:color w:val="auto"/>
          <w:sz w:val="24"/>
          <w:szCs w:val="24"/>
        </w:rPr>
        <w:fldChar w:fldCharType="begin"/>
      </w:r>
      <w:r>
        <w:rPr>
          <w:color w:val="auto"/>
          <w:sz w:val="24"/>
          <w:szCs w:val="24"/>
        </w:rPr>
        <w:instrText xml:space="preserve"> PAGEREF _Toc491 \h </w:instrText>
      </w:r>
      <w:r>
        <w:rPr>
          <w:color w:val="auto"/>
          <w:sz w:val="24"/>
          <w:szCs w:val="24"/>
        </w:rPr>
        <w:fldChar w:fldCharType="separate"/>
      </w:r>
      <w:r>
        <w:rPr>
          <w:color w:val="auto"/>
          <w:sz w:val="24"/>
          <w:szCs w:val="24"/>
        </w:rPr>
        <w:t>8</w:t>
      </w:r>
      <w:r>
        <w:rPr>
          <w:color w:val="auto"/>
          <w:sz w:val="24"/>
          <w:szCs w:val="24"/>
        </w:rPr>
        <w:fldChar w:fldCharType="end"/>
      </w:r>
      <w:r>
        <w:rPr>
          <w:color w:val="auto"/>
          <w:sz w:val="24"/>
          <w:szCs w:val="24"/>
        </w:rPr>
        <w:fldChar w:fldCharType="end"/>
      </w:r>
    </w:p>
    <w:p>
      <w:pPr>
        <w:pStyle w:val="16"/>
        <w:tabs>
          <w:tab w:val="right" w:leader="dot" w:pos="8844"/>
        </w:tabs>
        <w:rPr>
          <w:color w:val="auto"/>
          <w:sz w:val="24"/>
          <w:szCs w:val="24"/>
        </w:rPr>
      </w:pPr>
      <w:r>
        <w:rPr>
          <w:color w:val="auto"/>
          <w:sz w:val="24"/>
          <w:szCs w:val="24"/>
        </w:rPr>
        <w:fldChar w:fldCharType="begin"/>
      </w:r>
      <w:r>
        <w:rPr>
          <w:color w:val="auto"/>
          <w:sz w:val="24"/>
          <w:szCs w:val="24"/>
        </w:rPr>
        <w:instrText xml:space="preserve"> HYPERLINK \l _Toc7729 </w:instrText>
      </w:r>
      <w:r>
        <w:rPr>
          <w:color w:val="auto"/>
          <w:sz w:val="24"/>
          <w:szCs w:val="24"/>
        </w:rPr>
        <w:fldChar w:fldCharType="separate"/>
      </w:r>
      <w:r>
        <w:rPr>
          <w:rFonts w:ascii="Times New Roman" w:hAnsi="Times New Roman" w:eastAsia="宋体" w:cs="Times New Roman"/>
          <w:bCs w:val="0"/>
          <w:snapToGrid w:val="0"/>
          <w:color w:val="auto"/>
          <w:kern w:val="0"/>
          <w:sz w:val="24"/>
          <w:szCs w:val="24"/>
          <w:lang w:val="en-US" w:eastAsia="zh-CN" w:bidi="ar-SA"/>
        </w:rPr>
        <w:t>3生态环境现状调查与评价</w:t>
      </w:r>
      <w:r>
        <w:rPr>
          <w:color w:val="auto"/>
          <w:sz w:val="24"/>
          <w:szCs w:val="24"/>
        </w:rPr>
        <w:tab/>
      </w:r>
      <w:r>
        <w:rPr>
          <w:color w:val="auto"/>
          <w:sz w:val="24"/>
          <w:szCs w:val="24"/>
        </w:rPr>
        <w:fldChar w:fldCharType="begin"/>
      </w:r>
      <w:r>
        <w:rPr>
          <w:color w:val="auto"/>
          <w:sz w:val="24"/>
          <w:szCs w:val="24"/>
        </w:rPr>
        <w:instrText xml:space="preserve"> PAGEREF _Toc7729 \h </w:instrText>
      </w:r>
      <w:r>
        <w:rPr>
          <w:color w:val="auto"/>
          <w:sz w:val="24"/>
          <w:szCs w:val="24"/>
        </w:rPr>
        <w:fldChar w:fldCharType="separate"/>
      </w:r>
      <w:r>
        <w:rPr>
          <w:color w:val="auto"/>
          <w:sz w:val="24"/>
          <w:szCs w:val="24"/>
        </w:rPr>
        <w:t>9</w:t>
      </w:r>
      <w:r>
        <w:rPr>
          <w:color w:val="auto"/>
          <w:sz w:val="24"/>
          <w:szCs w:val="24"/>
        </w:rPr>
        <w:fldChar w:fldCharType="end"/>
      </w:r>
      <w:r>
        <w:rPr>
          <w:color w:val="auto"/>
          <w:sz w:val="24"/>
          <w:szCs w:val="24"/>
        </w:rPr>
        <w:fldChar w:fldCharType="end"/>
      </w:r>
    </w:p>
    <w:p>
      <w:pPr>
        <w:pStyle w:val="17"/>
        <w:tabs>
          <w:tab w:val="right" w:leader="dot" w:pos="8844"/>
        </w:tabs>
        <w:rPr>
          <w:color w:val="auto"/>
          <w:sz w:val="24"/>
          <w:szCs w:val="24"/>
        </w:rPr>
      </w:pPr>
      <w:r>
        <w:rPr>
          <w:color w:val="auto"/>
          <w:sz w:val="24"/>
          <w:szCs w:val="24"/>
        </w:rPr>
        <w:fldChar w:fldCharType="begin"/>
      </w:r>
      <w:r>
        <w:rPr>
          <w:color w:val="auto"/>
          <w:sz w:val="24"/>
          <w:szCs w:val="24"/>
        </w:rPr>
        <w:instrText xml:space="preserve"> HYPERLINK \l _Toc1540 </w:instrText>
      </w:r>
      <w:r>
        <w:rPr>
          <w:color w:val="auto"/>
          <w:sz w:val="24"/>
          <w:szCs w:val="24"/>
        </w:rPr>
        <w:fldChar w:fldCharType="separate"/>
      </w:r>
      <w:r>
        <w:rPr>
          <w:rFonts w:ascii="Times New Roman" w:hAnsi="Times New Roman" w:eastAsia="宋体" w:cs="Times New Roman"/>
          <w:bCs/>
          <w:color w:val="auto"/>
          <w:kern w:val="2"/>
          <w:sz w:val="24"/>
          <w:szCs w:val="24"/>
          <w:lang w:val="en-US" w:eastAsia="zh-CN" w:bidi="ar-SA"/>
        </w:rPr>
        <w:t>3.1</w:t>
      </w:r>
      <w:r>
        <w:rPr>
          <w:rFonts w:hint="eastAsia" w:ascii="Times New Roman" w:hAnsi="Times New Roman" w:eastAsia="宋体" w:cs="Times New Roman"/>
          <w:bCs/>
          <w:color w:val="auto"/>
          <w:kern w:val="2"/>
          <w:sz w:val="24"/>
          <w:szCs w:val="24"/>
          <w:lang w:val="en-US" w:eastAsia="zh-CN" w:bidi="ar-SA"/>
        </w:rPr>
        <w:t>土地利用现状</w:t>
      </w:r>
      <w:r>
        <w:rPr>
          <w:color w:val="auto"/>
          <w:sz w:val="24"/>
          <w:szCs w:val="24"/>
        </w:rPr>
        <w:tab/>
      </w:r>
      <w:r>
        <w:rPr>
          <w:color w:val="auto"/>
          <w:sz w:val="24"/>
          <w:szCs w:val="24"/>
        </w:rPr>
        <w:fldChar w:fldCharType="begin"/>
      </w:r>
      <w:r>
        <w:rPr>
          <w:color w:val="auto"/>
          <w:sz w:val="24"/>
          <w:szCs w:val="24"/>
        </w:rPr>
        <w:instrText xml:space="preserve"> PAGEREF _Toc1540 \h </w:instrText>
      </w:r>
      <w:r>
        <w:rPr>
          <w:color w:val="auto"/>
          <w:sz w:val="24"/>
          <w:szCs w:val="24"/>
        </w:rPr>
        <w:fldChar w:fldCharType="separate"/>
      </w:r>
      <w:r>
        <w:rPr>
          <w:color w:val="auto"/>
          <w:sz w:val="24"/>
          <w:szCs w:val="24"/>
        </w:rPr>
        <w:t>9</w:t>
      </w:r>
      <w:r>
        <w:rPr>
          <w:color w:val="auto"/>
          <w:sz w:val="24"/>
          <w:szCs w:val="24"/>
        </w:rPr>
        <w:fldChar w:fldCharType="end"/>
      </w:r>
      <w:r>
        <w:rPr>
          <w:color w:val="auto"/>
          <w:sz w:val="24"/>
          <w:szCs w:val="24"/>
        </w:rPr>
        <w:fldChar w:fldCharType="end"/>
      </w:r>
    </w:p>
    <w:p>
      <w:pPr>
        <w:pStyle w:val="17"/>
        <w:tabs>
          <w:tab w:val="right" w:leader="dot" w:pos="8844"/>
        </w:tabs>
        <w:rPr>
          <w:color w:val="auto"/>
          <w:sz w:val="24"/>
          <w:szCs w:val="24"/>
        </w:rPr>
      </w:pPr>
      <w:r>
        <w:rPr>
          <w:color w:val="auto"/>
          <w:sz w:val="24"/>
          <w:szCs w:val="24"/>
        </w:rPr>
        <w:fldChar w:fldCharType="begin"/>
      </w:r>
      <w:r>
        <w:rPr>
          <w:color w:val="auto"/>
          <w:sz w:val="24"/>
          <w:szCs w:val="24"/>
        </w:rPr>
        <w:instrText xml:space="preserve"> HYPERLINK \l _Toc19787 </w:instrText>
      </w:r>
      <w:r>
        <w:rPr>
          <w:color w:val="auto"/>
          <w:sz w:val="24"/>
          <w:szCs w:val="24"/>
        </w:rPr>
        <w:fldChar w:fldCharType="separate"/>
      </w:r>
      <w:r>
        <w:rPr>
          <w:rFonts w:hint="eastAsia" w:ascii="Times New Roman" w:hAnsi="Times New Roman" w:eastAsia="宋体" w:cs="Times New Roman"/>
          <w:bCs/>
          <w:color w:val="auto"/>
          <w:kern w:val="2"/>
          <w:sz w:val="24"/>
          <w:szCs w:val="24"/>
          <w:lang w:val="en-US" w:eastAsia="zh-CN" w:bidi="ar-SA"/>
        </w:rPr>
        <w:t>3</w:t>
      </w:r>
      <w:r>
        <w:rPr>
          <w:rFonts w:hint="default" w:ascii="Times New Roman" w:hAnsi="Times New Roman" w:eastAsia="宋体" w:cs="Times New Roman"/>
          <w:bCs/>
          <w:color w:val="auto"/>
          <w:kern w:val="2"/>
          <w:sz w:val="24"/>
          <w:szCs w:val="24"/>
          <w:lang w:val="en-US" w:eastAsia="zh-CN" w:bidi="ar-SA"/>
        </w:rPr>
        <w:t>.2生态环境</w:t>
      </w:r>
      <w:r>
        <w:rPr>
          <w:rFonts w:hint="eastAsia" w:ascii="Times New Roman" w:hAnsi="Times New Roman" w:eastAsia="宋体" w:cs="Times New Roman"/>
          <w:bCs/>
          <w:color w:val="auto"/>
          <w:kern w:val="2"/>
          <w:sz w:val="24"/>
          <w:szCs w:val="24"/>
          <w:lang w:val="en-US" w:eastAsia="zh-CN" w:bidi="ar-SA"/>
        </w:rPr>
        <w:t>调查与评价</w:t>
      </w:r>
      <w:r>
        <w:rPr>
          <w:color w:val="auto"/>
          <w:sz w:val="24"/>
          <w:szCs w:val="24"/>
        </w:rPr>
        <w:tab/>
      </w:r>
      <w:r>
        <w:rPr>
          <w:color w:val="auto"/>
          <w:sz w:val="24"/>
          <w:szCs w:val="24"/>
        </w:rPr>
        <w:fldChar w:fldCharType="begin"/>
      </w:r>
      <w:r>
        <w:rPr>
          <w:color w:val="auto"/>
          <w:sz w:val="24"/>
          <w:szCs w:val="24"/>
        </w:rPr>
        <w:instrText xml:space="preserve"> PAGEREF _Toc19787 \h </w:instrText>
      </w:r>
      <w:r>
        <w:rPr>
          <w:color w:val="auto"/>
          <w:sz w:val="24"/>
          <w:szCs w:val="24"/>
        </w:rPr>
        <w:fldChar w:fldCharType="separate"/>
      </w:r>
      <w:r>
        <w:rPr>
          <w:color w:val="auto"/>
          <w:sz w:val="24"/>
          <w:szCs w:val="24"/>
        </w:rPr>
        <w:t>9</w:t>
      </w:r>
      <w:r>
        <w:rPr>
          <w:color w:val="auto"/>
          <w:sz w:val="24"/>
          <w:szCs w:val="24"/>
        </w:rPr>
        <w:fldChar w:fldCharType="end"/>
      </w:r>
      <w:r>
        <w:rPr>
          <w:color w:val="auto"/>
          <w:sz w:val="24"/>
          <w:szCs w:val="24"/>
        </w:rPr>
        <w:fldChar w:fldCharType="end"/>
      </w:r>
    </w:p>
    <w:p>
      <w:pPr>
        <w:pStyle w:val="17"/>
        <w:tabs>
          <w:tab w:val="right" w:leader="dot" w:pos="8844"/>
        </w:tabs>
        <w:rPr>
          <w:color w:val="auto"/>
          <w:sz w:val="24"/>
          <w:szCs w:val="24"/>
        </w:rPr>
      </w:pPr>
      <w:r>
        <w:rPr>
          <w:color w:val="auto"/>
          <w:sz w:val="24"/>
          <w:szCs w:val="24"/>
        </w:rPr>
        <w:fldChar w:fldCharType="begin"/>
      </w:r>
      <w:r>
        <w:rPr>
          <w:color w:val="auto"/>
          <w:sz w:val="24"/>
          <w:szCs w:val="24"/>
        </w:rPr>
        <w:instrText xml:space="preserve"> HYPERLINK \l _Toc7462 </w:instrText>
      </w:r>
      <w:r>
        <w:rPr>
          <w:color w:val="auto"/>
          <w:sz w:val="24"/>
          <w:szCs w:val="24"/>
        </w:rPr>
        <w:fldChar w:fldCharType="separate"/>
      </w:r>
      <w:r>
        <w:rPr>
          <w:rFonts w:hint="eastAsia" w:ascii="Times New Roman" w:hAnsi="Times New Roman" w:eastAsia="宋体" w:cs="Times New Roman"/>
          <w:bCs/>
          <w:color w:val="auto"/>
          <w:kern w:val="2"/>
          <w:sz w:val="24"/>
          <w:szCs w:val="24"/>
          <w:lang w:val="en-US" w:eastAsia="zh-CN" w:bidi="ar-SA"/>
        </w:rPr>
        <w:t>3</w:t>
      </w:r>
      <w:r>
        <w:rPr>
          <w:rFonts w:hint="default" w:ascii="Times New Roman" w:hAnsi="Times New Roman" w:eastAsia="宋体" w:cs="Times New Roman"/>
          <w:bCs/>
          <w:color w:val="auto"/>
          <w:kern w:val="2"/>
          <w:sz w:val="24"/>
          <w:szCs w:val="24"/>
          <w:lang w:val="en-US" w:eastAsia="zh-CN" w:bidi="ar-SA"/>
        </w:rPr>
        <w:t>.</w:t>
      </w:r>
      <w:r>
        <w:rPr>
          <w:rFonts w:hint="eastAsia" w:ascii="Times New Roman" w:hAnsi="Times New Roman" w:eastAsia="宋体" w:cs="Times New Roman"/>
          <w:bCs/>
          <w:color w:val="auto"/>
          <w:kern w:val="2"/>
          <w:sz w:val="24"/>
          <w:szCs w:val="24"/>
          <w:lang w:val="en-US" w:eastAsia="zh-CN" w:bidi="ar-SA"/>
        </w:rPr>
        <w:t>3湖南东洞庭湖国家级自然保护区</w:t>
      </w:r>
      <w:r>
        <w:rPr>
          <w:color w:val="auto"/>
          <w:sz w:val="24"/>
          <w:szCs w:val="24"/>
        </w:rPr>
        <w:tab/>
      </w:r>
      <w:r>
        <w:rPr>
          <w:color w:val="auto"/>
          <w:sz w:val="24"/>
          <w:szCs w:val="24"/>
        </w:rPr>
        <w:fldChar w:fldCharType="begin"/>
      </w:r>
      <w:r>
        <w:rPr>
          <w:color w:val="auto"/>
          <w:sz w:val="24"/>
          <w:szCs w:val="24"/>
        </w:rPr>
        <w:instrText xml:space="preserve"> PAGEREF _Toc7462 \h </w:instrText>
      </w:r>
      <w:r>
        <w:rPr>
          <w:color w:val="auto"/>
          <w:sz w:val="24"/>
          <w:szCs w:val="24"/>
        </w:rPr>
        <w:fldChar w:fldCharType="separate"/>
      </w:r>
      <w:r>
        <w:rPr>
          <w:color w:val="auto"/>
          <w:sz w:val="24"/>
          <w:szCs w:val="24"/>
        </w:rPr>
        <w:t>29</w:t>
      </w:r>
      <w:r>
        <w:rPr>
          <w:color w:val="auto"/>
          <w:sz w:val="24"/>
          <w:szCs w:val="24"/>
        </w:rPr>
        <w:fldChar w:fldCharType="end"/>
      </w:r>
      <w:r>
        <w:rPr>
          <w:color w:val="auto"/>
          <w:sz w:val="24"/>
          <w:szCs w:val="24"/>
        </w:rPr>
        <w:fldChar w:fldCharType="end"/>
      </w:r>
    </w:p>
    <w:p>
      <w:pPr>
        <w:pStyle w:val="16"/>
        <w:tabs>
          <w:tab w:val="right" w:leader="dot" w:pos="8844"/>
        </w:tabs>
        <w:rPr>
          <w:color w:val="auto"/>
          <w:sz w:val="24"/>
          <w:szCs w:val="24"/>
        </w:rPr>
      </w:pPr>
      <w:r>
        <w:rPr>
          <w:color w:val="auto"/>
          <w:sz w:val="24"/>
          <w:szCs w:val="24"/>
        </w:rPr>
        <w:fldChar w:fldCharType="begin"/>
      </w:r>
      <w:r>
        <w:rPr>
          <w:color w:val="auto"/>
          <w:sz w:val="24"/>
          <w:szCs w:val="24"/>
        </w:rPr>
        <w:instrText xml:space="preserve"> HYPERLINK \l _Toc5810 </w:instrText>
      </w:r>
      <w:r>
        <w:rPr>
          <w:color w:val="auto"/>
          <w:sz w:val="24"/>
          <w:szCs w:val="24"/>
        </w:rPr>
        <w:fldChar w:fldCharType="separate"/>
      </w:r>
      <w:r>
        <w:rPr>
          <w:rFonts w:hint="eastAsia" w:ascii="Times New Roman" w:hAnsi="Times New Roman" w:eastAsia="宋体" w:cs="Times New Roman"/>
          <w:bCs w:val="0"/>
          <w:snapToGrid w:val="0"/>
          <w:color w:val="auto"/>
          <w:kern w:val="0"/>
          <w:sz w:val="24"/>
          <w:szCs w:val="24"/>
          <w:lang w:val="en-US" w:eastAsia="zh-CN" w:bidi="ar-SA"/>
        </w:rPr>
        <w:t>4</w:t>
      </w:r>
      <w:r>
        <w:rPr>
          <w:rFonts w:ascii="Times New Roman" w:hAnsi="Times New Roman" w:eastAsia="宋体" w:cs="Times New Roman"/>
          <w:bCs w:val="0"/>
          <w:snapToGrid w:val="0"/>
          <w:color w:val="auto"/>
          <w:kern w:val="0"/>
          <w:sz w:val="24"/>
          <w:szCs w:val="24"/>
          <w:lang w:val="en-US" w:eastAsia="zh-CN" w:bidi="ar-SA"/>
        </w:rPr>
        <w:t>生态环境</w:t>
      </w:r>
      <w:r>
        <w:rPr>
          <w:rFonts w:hint="eastAsia" w:ascii="Times New Roman" w:hAnsi="Times New Roman" w:eastAsia="宋体" w:cs="Times New Roman"/>
          <w:bCs w:val="0"/>
          <w:snapToGrid w:val="0"/>
          <w:color w:val="auto"/>
          <w:kern w:val="0"/>
          <w:sz w:val="24"/>
          <w:szCs w:val="24"/>
          <w:lang w:val="en-US" w:eastAsia="zh-CN" w:bidi="ar-SA"/>
        </w:rPr>
        <w:t>影响</w:t>
      </w:r>
      <w:r>
        <w:rPr>
          <w:rFonts w:ascii="Times New Roman" w:hAnsi="Times New Roman" w:eastAsia="宋体" w:cs="Times New Roman"/>
          <w:bCs w:val="0"/>
          <w:snapToGrid w:val="0"/>
          <w:color w:val="auto"/>
          <w:kern w:val="0"/>
          <w:sz w:val="24"/>
          <w:szCs w:val="24"/>
          <w:lang w:val="en-US" w:eastAsia="zh-CN" w:bidi="ar-SA"/>
        </w:rPr>
        <w:t>评价</w:t>
      </w:r>
      <w:r>
        <w:rPr>
          <w:color w:val="auto"/>
          <w:sz w:val="24"/>
          <w:szCs w:val="24"/>
        </w:rPr>
        <w:tab/>
      </w:r>
      <w:r>
        <w:rPr>
          <w:color w:val="auto"/>
          <w:sz w:val="24"/>
          <w:szCs w:val="24"/>
        </w:rPr>
        <w:fldChar w:fldCharType="begin"/>
      </w:r>
      <w:r>
        <w:rPr>
          <w:color w:val="auto"/>
          <w:sz w:val="24"/>
          <w:szCs w:val="24"/>
        </w:rPr>
        <w:instrText xml:space="preserve"> PAGEREF _Toc5810 \h </w:instrText>
      </w:r>
      <w:r>
        <w:rPr>
          <w:color w:val="auto"/>
          <w:sz w:val="24"/>
          <w:szCs w:val="24"/>
        </w:rPr>
        <w:fldChar w:fldCharType="separate"/>
      </w:r>
      <w:r>
        <w:rPr>
          <w:color w:val="auto"/>
          <w:sz w:val="24"/>
          <w:szCs w:val="24"/>
        </w:rPr>
        <w:t>34</w:t>
      </w:r>
      <w:r>
        <w:rPr>
          <w:color w:val="auto"/>
          <w:sz w:val="24"/>
          <w:szCs w:val="24"/>
        </w:rPr>
        <w:fldChar w:fldCharType="end"/>
      </w:r>
      <w:r>
        <w:rPr>
          <w:color w:val="auto"/>
          <w:sz w:val="24"/>
          <w:szCs w:val="24"/>
        </w:rPr>
        <w:fldChar w:fldCharType="end"/>
      </w:r>
    </w:p>
    <w:p>
      <w:pPr>
        <w:pStyle w:val="17"/>
        <w:tabs>
          <w:tab w:val="right" w:leader="dot" w:pos="8844"/>
        </w:tabs>
        <w:rPr>
          <w:color w:val="auto"/>
          <w:sz w:val="24"/>
          <w:szCs w:val="24"/>
        </w:rPr>
      </w:pPr>
      <w:r>
        <w:rPr>
          <w:color w:val="auto"/>
          <w:sz w:val="24"/>
          <w:szCs w:val="24"/>
        </w:rPr>
        <w:fldChar w:fldCharType="begin"/>
      </w:r>
      <w:r>
        <w:rPr>
          <w:color w:val="auto"/>
          <w:sz w:val="24"/>
          <w:szCs w:val="24"/>
        </w:rPr>
        <w:instrText xml:space="preserve"> HYPERLINK \l _Toc8228 </w:instrText>
      </w:r>
      <w:r>
        <w:rPr>
          <w:color w:val="auto"/>
          <w:sz w:val="24"/>
          <w:szCs w:val="24"/>
        </w:rPr>
        <w:fldChar w:fldCharType="separate"/>
      </w:r>
      <w:r>
        <w:rPr>
          <w:rFonts w:ascii="Times New Roman" w:hAnsi="Times New Roman" w:eastAsia="宋体" w:cs="Times New Roman"/>
          <w:bCs/>
          <w:color w:val="auto"/>
          <w:kern w:val="2"/>
          <w:sz w:val="24"/>
          <w:szCs w:val="24"/>
          <w:lang w:val="en-US" w:eastAsia="zh-CN" w:bidi="ar-SA"/>
        </w:rPr>
        <w:t xml:space="preserve">4.1 </w:t>
      </w:r>
      <w:r>
        <w:rPr>
          <w:rFonts w:hint="eastAsia" w:ascii="Times New Roman" w:hAnsi="Times New Roman" w:eastAsia="宋体" w:cs="Times New Roman"/>
          <w:bCs/>
          <w:color w:val="auto"/>
          <w:kern w:val="2"/>
          <w:sz w:val="24"/>
          <w:szCs w:val="24"/>
          <w:lang w:val="en-US" w:eastAsia="zh-CN" w:bidi="ar-SA"/>
        </w:rPr>
        <w:t>施工期生态环境影响分析与评价</w:t>
      </w:r>
      <w:r>
        <w:rPr>
          <w:color w:val="auto"/>
          <w:sz w:val="24"/>
          <w:szCs w:val="24"/>
        </w:rPr>
        <w:tab/>
      </w:r>
      <w:r>
        <w:rPr>
          <w:color w:val="auto"/>
          <w:sz w:val="24"/>
          <w:szCs w:val="24"/>
        </w:rPr>
        <w:fldChar w:fldCharType="begin"/>
      </w:r>
      <w:r>
        <w:rPr>
          <w:color w:val="auto"/>
          <w:sz w:val="24"/>
          <w:szCs w:val="24"/>
        </w:rPr>
        <w:instrText xml:space="preserve"> PAGEREF _Toc8228 \h </w:instrText>
      </w:r>
      <w:r>
        <w:rPr>
          <w:color w:val="auto"/>
          <w:sz w:val="24"/>
          <w:szCs w:val="24"/>
        </w:rPr>
        <w:fldChar w:fldCharType="separate"/>
      </w:r>
      <w:r>
        <w:rPr>
          <w:color w:val="auto"/>
          <w:sz w:val="24"/>
          <w:szCs w:val="24"/>
        </w:rPr>
        <w:t>34</w:t>
      </w:r>
      <w:r>
        <w:rPr>
          <w:color w:val="auto"/>
          <w:sz w:val="24"/>
          <w:szCs w:val="24"/>
        </w:rPr>
        <w:fldChar w:fldCharType="end"/>
      </w:r>
      <w:r>
        <w:rPr>
          <w:color w:val="auto"/>
          <w:sz w:val="24"/>
          <w:szCs w:val="24"/>
        </w:rPr>
        <w:fldChar w:fldCharType="end"/>
      </w:r>
    </w:p>
    <w:p>
      <w:pPr>
        <w:pStyle w:val="17"/>
        <w:tabs>
          <w:tab w:val="right" w:leader="dot" w:pos="8844"/>
        </w:tabs>
        <w:rPr>
          <w:color w:val="auto"/>
          <w:sz w:val="24"/>
          <w:szCs w:val="24"/>
        </w:rPr>
      </w:pPr>
      <w:r>
        <w:rPr>
          <w:color w:val="auto"/>
          <w:sz w:val="24"/>
          <w:szCs w:val="24"/>
        </w:rPr>
        <w:fldChar w:fldCharType="begin"/>
      </w:r>
      <w:r>
        <w:rPr>
          <w:color w:val="auto"/>
          <w:sz w:val="24"/>
          <w:szCs w:val="24"/>
        </w:rPr>
        <w:instrText xml:space="preserve"> HYPERLINK \l _Toc19769 </w:instrText>
      </w:r>
      <w:r>
        <w:rPr>
          <w:color w:val="auto"/>
          <w:sz w:val="24"/>
          <w:szCs w:val="24"/>
        </w:rPr>
        <w:fldChar w:fldCharType="separate"/>
      </w:r>
      <w:r>
        <w:rPr>
          <w:rFonts w:ascii="Times New Roman" w:hAnsi="Times New Roman" w:eastAsia="宋体" w:cs="Times New Roman"/>
          <w:bCs/>
          <w:color w:val="auto"/>
          <w:kern w:val="2"/>
          <w:sz w:val="24"/>
          <w:szCs w:val="24"/>
          <w:lang w:val="en-US" w:eastAsia="zh-CN" w:bidi="ar-SA"/>
        </w:rPr>
        <w:t>4.</w:t>
      </w:r>
      <w:r>
        <w:rPr>
          <w:rFonts w:hint="eastAsia" w:ascii="Times New Roman" w:hAnsi="Times New Roman" w:eastAsia="宋体" w:cs="Times New Roman"/>
          <w:bCs/>
          <w:color w:val="auto"/>
          <w:kern w:val="2"/>
          <w:sz w:val="24"/>
          <w:szCs w:val="24"/>
          <w:lang w:val="en-US" w:eastAsia="zh-CN" w:bidi="ar-SA"/>
        </w:rPr>
        <w:t>2</w:t>
      </w:r>
      <w:r>
        <w:rPr>
          <w:rFonts w:ascii="Times New Roman" w:hAnsi="Times New Roman" w:eastAsia="宋体" w:cs="Times New Roman"/>
          <w:bCs/>
          <w:color w:val="auto"/>
          <w:kern w:val="2"/>
          <w:sz w:val="24"/>
          <w:szCs w:val="24"/>
          <w:lang w:val="en-US" w:eastAsia="zh-CN" w:bidi="ar-SA"/>
        </w:rPr>
        <w:t xml:space="preserve"> </w:t>
      </w:r>
      <w:r>
        <w:rPr>
          <w:rFonts w:hint="eastAsia" w:ascii="Times New Roman" w:hAnsi="Times New Roman" w:eastAsia="宋体" w:cs="Times New Roman"/>
          <w:bCs/>
          <w:color w:val="auto"/>
          <w:kern w:val="2"/>
          <w:sz w:val="24"/>
          <w:szCs w:val="24"/>
          <w:lang w:val="en-US" w:eastAsia="zh-CN" w:bidi="ar-SA"/>
        </w:rPr>
        <w:t>运营期生态环境影响分析与评价</w:t>
      </w:r>
      <w:r>
        <w:rPr>
          <w:color w:val="auto"/>
          <w:sz w:val="24"/>
          <w:szCs w:val="24"/>
        </w:rPr>
        <w:tab/>
      </w:r>
      <w:r>
        <w:rPr>
          <w:color w:val="auto"/>
          <w:sz w:val="24"/>
          <w:szCs w:val="24"/>
        </w:rPr>
        <w:fldChar w:fldCharType="begin"/>
      </w:r>
      <w:r>
        <w:rPr>
          <w:color w:val="auto"/>
          <w:sz w:val="24"/>
          <w:szCs w:val="24"/>
        </w:rPr>
        <w:instrText xml:space="preserve"> PAGEREF _Toc19769 \h </w:instrText>
      </w:r>
      <w:r>
        <w:rPr>
          <w:color w:val="auto"/>
          <w:sz w:val="24"/>
          <w:szCs w:val="24"/>
        </w:rPr>
        <w:fldChar w:fldCharType="separate"/>
      </w:r>
      <w:r>
        <w:rPr>
          <w:color w:val="auto"/>
          <w:sz w:val="24"/>
          <w:szCs w:val="24"/>
        </w:rPr>
        <w:t>37</w:t>
      </w:r>
      <w:r>
        <w:rPr>
          <w:color w:val="auto"/>
          <w:sz w:val="24"/>
          <w:szCs w:val="24"/>
        </w:rPr>
        <w:fldChar w:fldCharType="end"/>
      </w:r>
      <w:r>
        <w:rPr>
          <w:color w:val="auto"/>
          <w:sz w:val="24"/>
          <w:szCs w:val="24"/>
        </w:rPr>
        <w:fldChar w:fldCharType="end"/>
      </w:r>
    </w:p>
    <w:p>
      <w:pPr>
        <w:pStyle w:val="16"/>
        <w:tabs>
          <w:tab w:val="right" w:leader="dot" w:pos="8844"/>
        </w:tabs>
        <w:rPr>
          <w:color w:val="auto"/>
          <w:sz w:val="24"/>
          <w:szCs w:val="24"/>
        </w:rPr>
      </w:pPr>
      <w:r>
        <w:rPr>
          <w:color w:val="auto"/>
          <w:sz w:val="24"/>
          <w:szCs w:val="24"/>
        </w:rPr>
        <w:fldChar w:fldCharType="begin"/>
      </w:r>
      <w:r>
        <w:rPr>
          <w:color w:val="auto"/>
          <w:sz w:val="24"/>
          <w:szCs w:val="24"/>
        </w:rPr>
        <w:instrText xml:space="preserve"> HYPERLINK \l _Toc9900 </w:instrText>
      </w:r>
      <w:r>
        <w:rPr>
          <w:color w:val="auto"/>
          <w:sz w:val="24"/>
          <w:szCs w:val="24"/>
        </w:rPr>
        <w:fldChar w:fldCharType="separate"/>
      </w:r>
      <w:r>
        <w:rPr>
          <w:rFonts w:ascii="Times New Roman" w:hAnsi="Times New Roman" w:eastAsia="宋体" w:cs="Times New Roman"/>
          <w:bCs w:val="0"/>
          <w:snapToGrid w:val="0"/>
          <w:color w:val="auto"/>
          <w:kern w:val="0"/>
          <w:sz w:val="24"/>
          <w:szCs w:val="24"/>
          <w:lang w:val="en-US" w:eastAsia="zh-CN" w:bidi="ar-SA"/>
        </w:rPr>
        <w:t>5生态保护对策措施</w:t>
      </w:r>
      <w:r>
        <w:rPr>
          <w:color w:val="auto"/>
          <w:sz w:val="24"/>
          <w:szCs w:val="24"/>
        </w:rPr>
        <w:tab/>
      </w:r>
      <w:r>
        <w:rPr>
          <w:color w:val="auto"/>
          <w:sz w:val="24"/>
          <w:szCs w:val="24"/>
        </w:rPr>
        <w:fldChar w:fldCharType="begin"/>
      </w:r>
      <w:r>
        <w:rPr>
          <w:color w:val="auto"/>
          <w:sz w:val="24"/>
          <w:szCs w:val="24"/>
        </w:rPr>
        <w:instrText xml:space="preserve"> PAGEREF _Toc9900 \h </w:instrText>
      </w:r>
      <w:r>
        <w:rPr>
          <w:color w:val="auto"/>
          <w:sz w:val="24"/>
          <w:szCs w:val="24"/>
        </w:rPr>
        <w:fldChar w:fldCharType="separate"/>
      </w:r>
      <w:r>
        <w:rPr>
          <w:color w:val="auto"/>
          <w:sz w:val="24"/>
          <w:szCs w:val="24"/>
        </w:rPr>
        <w:t>39</w:t>
      </w:r>
      <w:r>
        <w:rPr>
          <w:color w:val="auto"/>
          <w:sz w:val="24"/>
          <w:szCs w:val="24"/>
        </w:rPr>
        <w:fldChar w:fldCharType="end"/>
      </w:r>
      <w:r>
        <w:rPr>
          <w:color w:val="auto"/>
          <w:sz w:val="24"/>
          <w:szCs w:val="24"/>
        </w:rPr>
        <w:fldChar w:fldCharType="end"/>
      </w:r>
    </w:p>
    <w:p>
      <w:pPr>
        <w:pStyle w:val="17"/>
        <w:tabs>
          <w:tab w:val="right" w:leader="dot" w:pos="8844"/>
        </w:tabs>
        <w:rPr>
          <w:color w:val="auto"/>
          <w:sz w:val="24"/>
          <w:szCs w:val="24"/>
        </w:rPr>
      </w:pPr>
      <w:r>
        <w:rPr>
          <w:color w:val="auto"/>
          <w:sz w:val="24"/>
          <w:szCs w:val="24"/>
        </w:rPr>
        <w:fldChar w:fldCharType="begin"/>
      </w:r>
      <w:r>
        <w:rPr>
          <w:color w:val="auto"/>
          <w:sz w:val="24"/>
          <w:szCs w:val="24"/>
        </w:rPr>
        <w:instrText xml:space="preserve"> HYPERLINK \l _Toc369 </w:instrText>
      </w:r>
      <w:r>
        <w:rPr>
          <w:color w:val="auto"/>
          <w:sz w:val="24"/>
          <w:szCs w:val="24"/>
        </w:rPr>
        <w:fldChar w:fldCharType="separate"/>
      </w:r>
      <w:r>
        <w:rPr>
          <w:rFonts w:ascii="Times New Roman" w:hAnsi="Times New Roman" w:eastAsia="宋体" w:cs="Times New Roman"/>
          <w:bCs/>
          <w:color w:val="auto"/>
          <w:kern w:val="2"/>
          <w:sz w:val="24"/>
          <w:szCs w:val="24"/>
          <w:lang w:val="en-US" w:eastAsia="zh-CN" w:bidi="ar-SA"/>
        </w:rPr>
        <w:t>5.1施工期生态保护措施</w:t>
      </w:r>
      <w:r>
        <w:rPr>
          <w:color w:val="auto"/>
          <w:sz w:val="24"/>
          <w:szCs w:val="24"/>
        </w:rPr>
        <w:tab/>
      </w:r>
      <w:r>
        <w:rPr>
          <w:color w:val="auto"/>
          <w:sz w:val="24"/>
          <w:szCs w:val="24"/>
        </w:rPr>
        <w:fldChar w:fldCharType="begin"/>
      </w:r>
      <w:r>
        <w:rPr>
          <w:color w:val="auto"/>
          <w:sz w:val="24"/>
          <w:szCs w:val="24"/>
        </w:rPr>
        <w:instrText xml:space="preserve"> PAGEREF _Toc369 \h </w:instrText>
      </w:r>
      <w:r>
        <w:rPr>
          <w:color w:val="auto"/>
          <w:sz w:val="24"/>
          <w:szCs w:val="24"/>
        </w:rPr>
        <w:fldChar w:fldCharType="separate"/>
      </w:r>
      <w:r>
        <w:rPr>
          <w:color w:val="auto"/>
          <w:sz w:val="24"/>
          <w:szCs w:val="24"/>
        </w:rPr>
        <w:t>39</w:t>
      </w:r>
      <w:r>
        <w:rPr>
          <w:color w:val="auto"/>
          <w:sz w:val="24"/>
          <w:szCs w:val="24"/>
        </w:rPr>
        <w:fldChar w:fldCharType="end"/>
      </w:r>
      <w:r>
        <w:rPr>
          <w:color w:val="auto"/>
          <w:sz w:val="24"/>
          <w:szCs w:val="24"/>
        </w:rPr>
        <w:fldChar w:fldCharType="end"/>
      </w:r>
    </w:p>
    <w:p>
      <w:pPr>
        <w:pStyle w:val="17"/>
        <w:tabs>
          <w:tab w:val="right" w:leader="dot" w:pos="8844"/>
        </w:tabs>
        <w:rPr>
          <w:color w:val="auto"/>
          <w:sz w:val="24"/>
          <w:szCs w:val="24"/>
        </w:rPr>
      </w:pPr>
      <w:r>
        <w:rPr>
          <w:color w:val="auto"/>
          <w:sz w:val="24"/>
          <w:szCs w:val="24"/>
        </w:rPr>
        <w:fldChar w:fldCharType="begin"/>
      </w:r>
      <w:r>
        <w:rPr>
          <w:color w:val="auto"/>
          <w:sz w:val="24"/>
          <w:szCs w:val="24"/>
        </w:rPr>
        <w:instrText xml:space="preserve"> HYPERLINK \l _Toc24631 </w:instrText>
      </w:r>
      <w:r>
        <w:rPr>
          <w:color w:val="auto"/>
          <w:sz w:val="24"/>
          <w:szCs w:val="24"/>
        </w:rPr>
        <w:fldChar w:fldCharType="separate"/>
      </w:r>
      <w:r>
        <w:rPr>
          <w:rFonts w:ascii="Times New Roman" w:hAnsi="Times New Roman" w:eastAsia="宋体" w:cs="Times New Roman"/>
          <w:bCs/>
          <w:color w:val="auto"/>
          <w:kern w:val="2"/>
          <w:sz w:val="24"/>
          <w:szCs w:val="24"/>
          <w:lang w:val="en-US" w:eastAsia="zh-CN" w:bidi="ar-SA"/>
        </w:rPr>
        <w:t>5.2营运期生态保护措施</w:t>
      </w:r>
      <w:r>
        <w:rPr>
          <w:color w:val="auto"/>
          <w:sz w:val="24"/>
          <w:szCs w:val="24"/>
        </w:rPr>
        <w:tab/>
      </w:r>
      <w:r>
        <w:rPr>
          <w:color w:val="auto"/>
          <w:sz w:val="24"/>
          <w:szCs w:val="24"/>
        </w:rPr>
        <w:fldChar w:fldCharType="begin"/>
      </w:r>
      <w:r>
        <w:rPr>
          <w:color w:val="auto"/>
          <w:sz w:val="24"/>
          <w:szCs w:val="24"/>
        </w:rPr>
        <w:instrText xml:space="preserve"> PAGEREF _Toc24631 \h </w:instrText>
      </w:r>
      <w:r>
        <w:rPr>
          <w:color w:val="auto"/>
          <w:sz w:val="24"/>
          <w:szCs w:val="24"/>
        </w:rPr>
        <w:fldChar w:fldCharType="separate"/>
      </w:r>
      <w:r>
        <w:rPr>
          <w:color w:val="auto"/>
          <w:sz w:val="24"/>
          <w:szCs w:val="24"/>
        </w:rPr>
        <w:t>41</w:t>
      </w:r>
      <w:r>
        <w:rPr>
          <w:color w:val="auto"/>
          <w:sz w:val="24"/>
          <w:szCs w:val="24"/>
        </w:rPr>
        <w:fldChar w:fldCharType="end"/>
      </w:r>
      <w:r>
        <w:rPr>
          <w:color w:val="auto"/>
          <w:sz w:val="24"/>
          <w:szCs w:val="24"/>
        </w:rPr>
        <w:fldChar w:fldCharType="end"/>
      </w:r>
    </w:p>
    <w:p>
      <w:pPr>
        <w:pStyle w:val="16"/>
        <w:tabs>
          <w:tab w:val="right" w:leader="dot" w:pos="8844"/>
        </w:tabs>
        <w:rPr>
          <w:color w:val="auto"/>
          <w:sz w:val="24"/>
          <w:szCs w:val="24"/>
        </w:rPr>
      </w:pPr>
      <w:r>
        <w:rPr>
          <w:color w:val="auto"/>
          <w:sz w:val="24"/>
          <w:szCs w:val="24"/>
        </w:rPr>
        <w:fldChar w:fldCharType="begin"/>
      </w:r>
      <w:r>
        <w:rPr>
          <w:color w:val="auto"/>
          <w:sz w:val="24"/>
          <w:szCs w:val="24"/>
        </w:rPr>
        <w:instrText xml:space="preserve"> HYPERLINK \l _Toc18775 </w:instrText>
      </w:r>
      <w:r>
        <w:rPr>
          <w:color w:val="auto"/>
          <w:sz w:val="24"/>
          <w:szCs w:val="24"/>
        </w:rPr>
        <w:fldChar w:fldCharType="separate"/>
      </w:r>
      <w:r>
        <w:rPr>
          <w:rFonts w:ascii="Times New Roman" w:hAnsi="Times New Roman" w:eastAsia="宋体" w:cs="Times New Roman"/>
          <w:snapToGrid w:val="0"/>
          <w:color w:val="auto"/>
          <w:kern w:val="0"/>
          <w:sz w:val="24"/>
          <w:szCs w:val="24"/>
          <w:lang w:val="en-US" w:eastAsia="zh-CN" w:bidi="ar-SA"/>
        </w:rPr>
        <w:t>6评价结论和建议</w:t>
      </w:r>
      <w:r>
        <w:rPr>
          <w:color w:val="auto"/>
          <w:sz w:val="24"/>
          <w:szCs w:val="24"/>
        </w:rPr>
        <w:tab/>
      </w:r>
      <w:r>
        <w:rPr>
          <w:color w:val="auto"/>
          <w:sz w:val="24"/>
          <w:szCs w:val="24"/>
        </w:rPr>
        <w:fldChar w:fldCharType="begin"/>
      </w:r>
      <w:r>
        <w:rPr>
          <w:color w:val="auto"/>
          <w:sz w:val="24"/>
          <w:szCs w:val="24"/>
        </w:rPr>
        <w:instrText xml:space="preserve"> PAGEREF _Toc18775 \h </w:instrText>
      </w:r>
      <w:r>
        <w:rPr>
          <w:color w:val="auto"/>
          <w:sz w:val="24"/>
          <w:szCs w:val="24"/>
        </w:rPr>
        <w:fldChar w:fldCharType="separate"/>
      </w:r>
      <w:r>
        <w:rPr>
          <w:color w:val="auto"/>
          <w:sz w:val="24"/>
          <w:szCs w:val="24"/>
        </w:rPr>
        <w:t>42</w:t>
      </w:r>
      <w:r>
        <w:rPr>
          <w:color w:val="auto"/>
          <w:sz w:val="24"/>
          <w:szCs w:val="24"/>
        </w:rPr>
        <w:fldChar w:fldCharType="end"/>
      </w:r>
      <w:r>
        <w:rPr>
          <w:color w:val="auto"/>
          <w:sz w:val="24"/>
          <w:szCs w:val="24"/>
        </w:rPr>
        <w:fldChar w:fldCharType="end"/>
      </w:r>
    </w:p>
    <w:p>
      <w:pPr>
        <w:pStyle w:val="17"/>
        <w:tabs>
          <w:tab w:val="right" w:leader="dot" w:pos="8844"/>
        </w:tabs>
        <w:rPr>
          <w:color w:val="auto"/>
          <w:sz w:val="24"/>
          <w:szCs w:val="24"/>
        </w:rPr>
      </w:pPr>
      <w:r>
        <w:rPr>
          <w:color w:val="auto"/>
          <w:sz w:val="24"/>
          <w:szCs w:val="24"/>
        </w:rPr>
        <w:fldChar w:fldCharType="begin"/>
      </w:r>
      <w:r>
        <w:rPr>
          <w:color w:val="auto"/>
          <w:sz w:val="24"/>
          <w:szCs w:val="24"/>
        </w:rPr>
        <w:instrText xml:space="preserve"> HYPERLINK \l _Toc17812 </w:instrText>
      </w:r>
      <w:r>
        <w:rPr>
          <w:color w:val="auto"/>
          <w:sz w:val="24"/>
          <w:szCs w:val="24"/>
        </w:rPr>
        <w:fldChar w:fldCharType="separate"/>
      </w:r>
      <w:r>
        <w:rPr>
          <w:rFonts w:ascii="Times New Roman" w:hAnsi="Times New Roman" w:eastAsia="宋体" w:cs="Times New Roman"/>
          <w:bCs/>
          <w:color w:val="auto"/>
          <w:kern w:val="2"/>
          <w:sz w:val="24"/>
          <w:szCs w:val="24"/>
          <w:lang w:val="en-US" w:eastAsia="zh-CN" w:bidi="ar-SA"/>
        </w:rPr>
        <w:t>6.1评价结论</w:t>
      </w:r>
      <w:r>
        <w:rPr>
          <w:color w:val="auto"/>
          <w:sz w:val="24"/>
          <w:szCs w:val="24"/>
        </w:rPr>
        <w:tab/>
      </w:r>
      <w:r>
        <w:rPr>
          <w:color w:val="auto"/>
          <w:sz w:val="24"/>
          <w:szCs w:val="24"/>
        </w:rPr>
        <w:fldChar w:fldCharType="begin"/>
      </w:r>
      <w:r>
        <w:rPr>
          <w:color w:val="auto"/>
          <w:sz w:val="24"/>
          <w:szCs w:val="24"/>
        </w:rPr>
        <w:instrText xml:space="preserve"> PAGEREF _Toc17812 \h </w:instrText>
      </w:r>
      <w:r>
        <w:rPr>
          <w:color w:val="auto"/>
          <w:sz w:val="24"/>
          <w:szCs w:val="24"/>
        </w:rPr>
        <w:fldChar w:fldCharType="separate"/>
      </w:r>
      <w:r>
        <w:rPr>
          <w:color w:val="auto"/>
          <w:sz w:val="24"/>
          <w:szCs w:val="24"/>
        </w:rPr>
        <w:t>42</w:t>
      </w:r>
      <w:r>
        <w:rPr>
          <w:color w:val="auto"/>
          <w:sz w:val="24"/>
          <w:szCs w:val="24"/>
        </w:rPr>
        <w:fldChar w:fldCharType="end"/>
      </w:r>
      <w:r>
        <w:rPr>
          <w:color w:val="auto"/>
          <w:sz w:val="24"/>
          <w:szCs w:val="24"/>
        </w:rPr>
        <w:fldChar w:fldCharType="end"/>
      </w:r>
    </w:p>
    <w:p>
      <w:pPr>
        <w:pStyle w:val="17"/>
        <w:tabs>
          <w:tab w:val="right" w:leader="dot" w:pos="8844"/>
        </w:tabs>
        <w:rPr>
          <w:color w:val="auto"/>
          <w:sz w:val="24"/>
          <w:szCs w:val="24"/>
        </w:rPr>
      </w:pPr>
      <w:r>
        <w:rPr>
          <w:color w:val="auto"/>
          <w:sz w:val="24"/>
          <w:szCs w:val="24"/>
        </w:rPr>
        <w:fldChar w:fldCharType="begin"/>
      </w:r>
      <w:r>
        <w:rPr>
          <w:color w:val="auto"/>
          <w:sz w:val="24"/>
          <w:szCs w:val="24"/>
        </w:rPr>
        <w:instrText xml:space="preserve"> HYPERLINK \l _Toc4664 </w:instrText>
      </w:r>
      <w:r>
        <w:rPr>
          <w:color w:val="auto"/>
          <w:sz w:val="24"/>
          <w:szCs w:val="24"/>
        </w:rPr>
        <w:fldChar w:fldCharType="separate"/>
      </w:r>
      <w:r>
        <w:rPr>
          <w:rFonts w:ascii="Times New Roman" w:hAnsi="Times New Roman" w:eastAsia="宋体" w:cs="Times New Roman"/>
          <w:bCs/>
          <w:color w:val="auto"/>
          <w:kern w:val="2"/>
          <w:sz w:val="24"/>
          <w:szCs w:val="24"/>
          <w:lang w:val="en-US" w:eastAsia="zh-CN" w:bidi="ar-SA"/>
        </w:rPr>
        <w:t>6.2评价建议</w:t>
      </w:r>
      <w:r>
        <w:rPr>
          <w:color w:val="auto"/>
          <w:sz w:val="24"/>
          <w:szCs w:val="24"/>
        </w:rPr>
        <w:tab/>
      </w:r>
      <w:r>
        <w:rPr>
          <w:color w:val="auto"/>
          <w:sz w:val="24"/>
          <w:szCs w:val="24"/>
        </w:rPr>
        <w:fldChar w:fldCharType="begin"/>
      </w:r>
      <w:r>
        <w:rPr>
          <w:color w:val="auto"/>
          <w:sz w:val="24"/>
          <w:szCs w:val="24"/>
        </w:rPr>
        <w:instrText xml:space="preserve"> PAGEREF _Toc4664 \h </w:instrText>
      </w:r>
      <w:r>
        <w:rPr>
          <w:color w:val="auto"/>
          <w:sz w:val="24"/>
          <w:szCs w:val="24"/>
        </w:rPr>
        <w:fldChar w:fldCharType="separate"/>
      </w:r>
      <w:r>
        <w:rPr>
          <w:color w:val="auto"/>
          <w:sz w:val="24"/>
          <w:szCs w:val="24"/>
        </w:rPr>
        <w:t>42</w:t>
      </w:r>
      <w:r>
        <w:rPr>
          <w:color w:val="auto"/>
          <w:sz w:val="24"/>
          <w:szCs w:val="24"/>
        </w:rPr>
        <w:fldChar w:fldCharType="end"/>
      </w:r>
      <w:r>
        <w:rPr>
          <w:color w:val="auto"/>
          <w:sz w:val="24"/>
          <w:szCs w:val="24"/>
        </w:rPr>
        <w:fldChar w:fldCharType="end"/>
      </w:r>
    </w:p>
    <w:p>
      <w:pPr>
        <w:pStyle w:val="17"/>
        <w:tabs>
          <w:tab w:val="right" w:leader="dot" w:pos="8844"/>
        </w:tabs>
        <w:rPr>
          <w:color w:val="auto"/>
          <w:sz w:val="24"/>
          <w:szCs w:val="24"/>
        </w:rPr>
      </w:pPr>
      <w:r>
        <w:rPr>
          <w:color w:val="auto"/>
          <w:sz w:val="24"/>
          <w:szCs w:val="24"/>
        </w:rPr>
        <w:fldChar w:fldCharType="begin"/>
      </w:r>
      <w:r>
        <w:rPr>
          <w:color w:val="auto"/>
          <w:sz w:val="24"/>
          <w:szCs w:val="24"/>
        </w:rPr>
        <w:instrText xml:space="preserve"> HYPERLINK \l _Toc14055 </w:instrText>
      </w:r>
      <w:r>
        <w:rPr>
          <w:color w:val="auto"/>
          <w:sz w:val="24"/>
          <w:szCs w:val="24"/>
        </w:rPr>
        <w:fldChar w:fldCharType="separate"/>
      </w:r>
      <w:r>
        <w:rPr>
          <w:rFonts w:hint="default" w:ascii="Times New Roman" w:hAnsi="Times New Roman" w:eastAsia="宋体" w:cs="Times New Roman"/>
          <w:bCs/>
          <w:color w:val="auto"/>
          <w:sz w:val="24"/>
          <w:szCs w:val="24"/>
          <w:lang w:val="en-US" w:eastAsia="zh-CN"/>
        </w:rPr>
        <w:t>生态影响评价自查表</w:t>
      </w:r>
      <w:r>
        <w:rPr>
          <w:color w:val="auto"/>
          <w:sz w:val="24"/>
          <w:szCs w:val="24"/>
        </w:rPr>
        <w:tab/>
      </w:r>
      <w:r>
        <w:rPr>
          <w:color w:val="auto"/>
          <w:sz w:val="24"/>
          <w:szCs w:val="24"/>
        </w:rPr>
        <w:fldChar w:fldCharType="begin"/>
      </w:r>
      <w:r>
        <w:rPr>
          <w:color w:val="auto"/>
          <w:sz w:val="24"/>
          <w:szCs w:val="24"/>
        </w:rPr>
        <w:instrText xml:space="preserve"> PAGEREF _Toc14055 \h </w:instrText>
      </w:r>
      <w:r>
        <w:rPr>
          <w:color w:val="auto"/>
          <w:sz w:val="24"/>
          <w:szCs w:val="24"/>
        </w:rPr>
        <w:fldChar w:fldCharType="separate"/>
      </w:r>
      <w:r>
        <w:rPr>
          <w:color w:val="auto"/>
          <w:sz w:val="24"/>
          <w:szCs w:val="24"/>
        </w:rPr>
        <w:t>43</w:t>
      </w:r>
      <w:r>
        <w:rPr>
          <w:color w:val="auto"/>
          <w:sz w:val="24"/>
          <w:szCs w:val="24"/>
        </w:rPr>
        <w:fldChar w:fldCharType="end"/>
      </w:r>
      <w:r>
        <w:rPr>
          <w:color w:val="auto"/>
          <w:sz w:val="24"/>
          <w:szCs w:val="24"/>
        </w:rPr>
        <w:fldChar w:fldCharType="end"/>
      </w:r>
    </w:p>
    <w:p>
      <w:pPr>
        <w:rPr>
          <w:color w:val="auto"/>
          <w:sz w:val="28"/>
          <w:szCs w:val="28"/>
        </w:rPr>
        <w:sectPr>
          <w:footerReference r:id="rId3" w:type="default"/>
          <w:footerReference r:id="rId4" w:type="even"/>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r>
        <w:rPr>
          <w:color w:val="auto"/>
          <w:sz w:val="24"/>
          <w:szCs w:val="24"/>
        </w:rPr>
        <w:fldChar w:fldCharType="end"/>
      </w:r>
    </w:p>
    <w:p>
      <w:pPr>
        <w:pStyle w:val="18"/>
        <w:jc w:val="center"/>
        <w:outlineLvl w:val="0"/>
        <w:rPr>
          <w:rFonts w:ascii="黑体" w:hAnsi="黑体" w:eastAsia="黑体"/>
          <w:snapToGrid w:val="0"/>
          <w:color w:val="auto"/>
          <w:sz w:val="30"/>
          <w:szCs w:val="30"/>
        </w:rPr>
      </w:pPr>
      <w:bookmarkStart w:id="6" w:name="_Toc4173"/>
      <w:bookmarkStart w:id="7" w:name="_Toc29286"/>
      <w:r>
        <w:rPr>
          <w:rFonts w:hint="eastAsia" w:ascii="黑体" w:hAnsi="黑体" w:eastAsia="黑体"/>
          <w:snapToGrid w:val="0"/>
          <w:color w:val="auto"/>
          <w:sz w:val="30"/>
          <w:szCs w:val="30"/>
        </w:rPr>
        <w:t>一、建设项目基本情况</w:t>
      </w:r>
      <w:bookmarkEnd w:id="6"/>
      <w:bookmarkEnd w:id="7"/>
    </w:p>
    <w:tbl>
      <w:tblPr>
        <w:tblStyle w:val="22"/>
        <w:tblW w:w="902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182"/>
        <w:gridCol w:w="2837"/>
        <w:gridCol w:w="2212"/>
        <w:gridCol w:w="278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182" w:type="dxa"/>
            <w:tcMar>
              <w:top w:w="16" w:type="dxa"/>
              <w:left w:w="16" w:type="dxa"/>
              <w:right w:w="16" w:type="dxa"/>
            </w:tcMar>
            <w:vAlign w:val="center"/>
          </w:tcPr>
          <w:p>
            <w:pPr>
              <w:adjustRightInd w:val="0"/>
              <w:snapToGrid w:val="0"/>
              <w:jc w:val="center"/>
              <w:rPr>
                <w:rFonts w:cs="宋体"/>
                <w:color w:val="auto"/>
                <w:sz w:val="24"/>
                <w:szCs w:val="21"/>
              </w:rPr>
            </w:pPr>
            <w:r>
              <w:rPr>
                <w:rFonts w:hint="eastAsia" w:cs="宋体"/>
                <w:color w:val="auto"/>
                <w:sz w:val="24"/>
                <w:szCs w:val="21"/>
              </w:rPr>
              <w:t>建设项目</w:t>
            </w:r>
          </w:p>
          <w:p>
            <w:pPr>
              <w:adjustRightInd w:val="0"/>
              <w:snapToGrid w:val="0"/>
              <w:jc w:val="center"/>
              <w:rPr>
                <w:rFonts w:cs="宋体"/>
                <w:color w:val="auto"/>
                <w:sz w:val="24"/>
                <w:szCs w:val="21"/>
              </w:rPr>
            </w:pPr>
            <w:r>
              <w:rPr>
                <w:rFonts w:hint="eastAsia" w:cs="宋体"/>
                <w:color w:val="auto"/>
                <w:sz w:val="24"/>
                <w:szCs w:val="21"/>
              </w:rPr>
              <w:t>名称</w:t>
            </w:r>
          </w:p>
        </w:tc>
        <w:tc>
          <w:tcPr>
            <w:tcW w:w="7838" w:type="dxa"/>
            <w:gridSpan w:val="3"/>
            <w:vAlign w:val="center"/>
          </w:tcPr>
          <w:p>
            <w:pPr>
              <w:adjustRightInd w:val="0"/>
              <w:snapToGrid w:val="0"/>
              <w:jc w:val="center"/>
              <w:rPr>
                <w:rFonts w:cs="宋体"/>
                <w:color w:val="auto"/>
                <w:sz w:val="24"/>
                <w:szCs w:val="21"/>
              </w:rPr>
            </w:pPr>
            <w:r>
              <w:rPr>
                <w:rFonts w:hint="eastAsia" w:ascii="Times New Roman" w:hAnsi="Times New Roman" w:cs="宋体"/>
                <w:color w:val="auto"/>
                <w:sz w:val="24"/>
                <w:szCs w:val="21"/>
                <w:lang w:val="en-US" w:eastAsia="zh-CN"/>
              </w:rPr>
              <w:t>华容县团洲垸灾后重建安置房建设项目（</w:t>
            </w:r>
            <w:r>
              <w:rPr>
                <w:rFonts w:hint="eastAsia" w:cs="宋体"/>
                <w:color w:val="auto"/>
                <w:sz w:val="24"/>
                <w:szCs w:val="21"/>
                <w:lang w:val="en-US" w:eastAsia="zh-CN"/>
              </w:rPr>
              <w:t>三期</w:t>
            </w:r>
            <w:r>
              <w:rPr>
                <w:rFonts w:hint="eastAsia" w:ascii="Times New Roman" w:hAnsi="Times New Roman" w:cs="宋体"/>
                <w:color w:val="auto"/>
                <w:sz w:val="24"/>
                <w:szCs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182" w:type="dxa"/>
            <w:tcMar>
              <w:top w:w="16" w:type="dxa"/>
              <w:left w:w="16" w:type="dxa"/>
              <w:right w:w="16" w:type="dxa"/>
            </w:tcMar>
            <w:vAlign w:val="center"/>
          </w:tcPr>
          <w:p>
            <w:pPr>
              <w:adjustRightInd w:val="0"/>
              <w:snapToGrid w:val="0"/>
              <w:jc w:val="center"/>
              <w:rPr>
                <w:rFonts w:cs="宋体"/>
                <w:color w:val="auto"/>
                <w:sz w:val="24"/>
                <w:szCs w:val="21"/>
              </w:rPr>
            </w:pPr>
            <w:r>
              <w:rPr>
                <w:rFonts w:hint="eastAsia" w:cs="宋体"/>
                <w:color w:val="auto"/>
                <w:sz w:val="24"/>
                <w:szCs w:val="21"/>
              </w:rPr>
              <w:t>项目代码</w:t>
            </w:r>
          </w:p>
        </w:tc>
        <w:tc>
          <w:tcPr>
            <w:tcW w:w="7838" w:type="dxa"/>
            <w:gridSpan w:val="3"/>
            <w:vAlign w:val="center"/>
          </w:tcPr>
          <w:p>
            <w:pPr>
              <w:adjustRightInd w:val="0"/>
              <w:snapToGrid w:val="0"/>
              <w:jc w:val="center"/>
              <w:rPr>
                <w:rFonts w:hint="default" w:eastAsia="宋体" w:cs="宋体"/>
                <w:color w:val="auto"/>
                <w:sz w:val="24"/>
                <w:szCs w:val="21"/>
                <w:lang w:val="en-US" w:eastAsia="zh-CN"/>
              </w:rPr>
            </w:pPr>
            <w:r>
              <w:rPr>
                <w:rFonts w:hint="eastAsia" w:cs="宋体"/>
                <w:color w:val="auto"/>
                <w:sz w:val="24"/>
                <w:szCs w:val="21"/>
                <w:lang w:val="en-US" w:eastAsia="zh-CN"/>
              </w:rPr>
              <w:t>2404-430623-04-01-484219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182" w:type="dxa"/>
            <w:tcMar>
              <w:top w:w="16" w:type="dxa"/>
              <w:left w:w="16" w:type="dxa"/>
              <w:right w:w="16" w:type="dxa"/>
            </w:tcMar>
            <w:vAlign w:val="center"/>
          </w:tcPr>
          <w:p>
            <w:pPr>
              <w:adjustRightInd w:val="0"/>
              <w:snapToGrid w:val="0"/>
              <w:jc w:val="center"/>
              <w:rPr>
                <w:rFonts w:cs="宋体"/>
                <w:color w:val="auto"/>
                <w:sz w:val="24"/>
                <w:szCs w:val="21"/>
              </w:rPr>
            </w:pPr>
            <w:r>
              <w:rPr>
                <w:rFonts w:hint="eastAsia" w:cs="宋体"/>
                <w:color w:val="auto"/>
                <w:sz w:val="24"/>
                <w:szCs w:val="21"/>
              </w:rPr>
              <w:t>建设单位</w:t>
            </w:r>
          </w:p>
          <w:p>
            <w:pPr>
              <w:adjustRightInd w:val="0"/>
              <w:snapToGrid w:val="0"/>
              <w:jc w:val="center"/>
              <w:rPr>
                <w:rFonts w:cs="宋体"/>
                <w:color w:val="auto"/>
                <w:sz w:val="24"/>
                <w:szCs w:val="21"/>
              </w:rPr>
            </w:pPr>
            <w:r>
              <w:rPr>
                <w:rFonts w:hint="eastAsia" w:cs="宋体"/>
                <w:color w:val="auto"/>
                <w:sz w:val="24"/>
                <w:szCs w:val="21"/>
              </w:rPr>
              <w:t>联系人</w:t>
            </w:r>
          </w:p>
        </w:tc>
        <w:tc>
          <w:tcPr>
            <w:tcW w:w="2837" w:type="dxa"/>
            <w:vAlign w:val="center"/>
          </w:tcPr>
          <w:p>
            <w:pPr>
              <w:adjustRightInd w:val="0"/>
              <w:snapToGrid w:val="0"/>
              <w:jc w:val="center"/>
              <w:rPr>
                <w:rFonts w:hint="default" w:eastAsia="宋体" w:cs="宋体"/>
                <w:color w:val="auto"/>
                <w:sz w:val="24"/>
                <w:szCs w:val="21"/>
                <w:lang w:val="en-US" w:eastAsia="zh-CN"/>
              </w:rPr>
            </w:pPr>
            <w:r>
              <w:rPr>
                <w:rFonts w:hint="eastAsia" w:cs="宋体"/>
                <w:color w:val="auto"/>
                <w:sz w:val="24"/>
                <w:szCs w:val="21"/>
                <w:lang w:val="en-US" w:eastAsia="zh-CN"/>
              </w:rPr>
              <w:t>蔡翔</w:t>
            </w:r>
          </w:p>
        </w:tc>
        <w:tc>
          <w:tcPr>
            <w:tcW w:w="2212" w:type="dxa"/>
            <w:vAlign w:val="center"/>
          </w:tcPr>
          <w:p>
            <w:pPr>
              <w:adjustRightInd w:val="0"/>
              <w:snapToGrid w:val="0"/>
              <w:jc w:val="center"/>
              <w:rPr>
                <w:rFonts w:cs="宋体"/>
                <w:color w:val="auto"/>
                <w:sz w:val="24"/>
                <w:szCs w:val="21"/>
              </w:rPr>
            </w:pPr>
            <w:r>
              <w:rPr>
                <w:rFonts w:hint="eastAsia" w:cs="宋体"/>
                <w:color w:val="auto"/>
                <w:sz w:val="24"/>
                <w:szCs w:val="21"/>
              </w:rPr>
              <w:t>联系方式</w:t>
            </w:r>
          </w:p>
        </w:tc>
        <w:tc>
          <w:tcPr>
            <w:tcW w:w="2789" w:type="dxa"/>
            <w:vAlign w:val="center"/>
          </w:tcPr>
          <w:p>
            <w:pPr>
              <w:adjustRightInd w:val="0"/>
              <w:snapToGrid w:val="0"/>
              <w:jc w:val="center"/>
              <w:rPr>
                <w:rFonts w:hint="default" w:eastAsia="宋体" w:cs="宋体"/>
                <w:color w:val="auto"/>
                <w:sz w:val="24"/>
                <w:szCs w:val="21"/>
                <w:lang w:val="en-US" w:eastAsia="zh-CN"/>
              </w:rPr>
            </w:pPr>
            <w:r>
              <w:rPr>
                <w:rFonts w:hint="eastAsia" w:cs="宋体"/>
                <w:color w:val="auto"/>
                <w:sz w:val="24"/>
                <w:szCs w:val="21"/>
                <w:highlight w:val="none"/>
                <w:lang w:val="en-US" w:eastAsia="zh-CN"/>
              </w:rPr>
              <w:t>13337301653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182" w:type="dxa"/>
            <w:tcMar>
              <w:top w:w="16" w:type="dxa"/>
              <w:left w:w="16" w:type="dxa"/>
              <w:right w:w="16" w:type="dxa"/>
            </w:tcMar>
            <w:vAlign w:val="center"/>
          </w:tcPr>
          <w:p>
            <w:pPr>
              <w:adjustRightInd w:val="0"/>
              <w:snapToGrid w:val="0"/>
              <w:jc w:val="center"/>
              <w:rPr>
                <w:rFonts w:cs="宋体"/>
                <w:color w:val="auto"/>
                <w:sz w:val="24"/>
                <w:szCs w:val="21"/>
              </w:rPr>
            </w:pPr>
            <w:r>
              <w:rPr>
                <w:rFonts w:hint="eastAsia" w:cs="宋体"/>
                <w:color w:val="auto"/>
                <w:sz w:val="24"/>
                <w:szCs w:val="21"/>
              </w:rPr>
              <w:t>建设地点</w:t>
            </w:r>
          </w:p>
        </w:tc>
        <w:tc>
          <w:tcPr>
            <w:tcW w:w="7838" w:type="dxa"/>
            <w:gridSpan w:val="3"/>
            <w:vAlign w:val="center"/>
          </w:tcPr>
          <w:p>
            <w:pPr>
              <w:adjustRightInd w:val="0"/>
              <w:snapToGrid w:val="0"/>
              <w:jc w:val="center"/>
              <w:rPr>
                <w:rFonts w:hint="default" w:ascii="Times New Roman" w:hAnsi="Times New Roman" w:cs="宋体"/>
                <w:color w:val="auto"/>
                <w:sz w:val="24"/>
                <w:szCs w:val="21"/>
                <w:lang w:val="en-US" w:eastAsia="zh-CN"/>
              </w:rPr>
            </w:pPr>
            <w:r>
              <w:rPr>
                <w:rFonts w:hint="eastAsia" w:ascii="Times New Roman" w:hAnsi="Times New Roman" w:cs="宋体"/>
                <w:color w:val="auto"/>
                <w:sz w:val="24"/>
                <w:szCs w:val="21"/>
                <w:lang w:val="en-US" w:eastAsia="zh-CN"/>
              </w:rPr>
              <w:t>位于</w:t>
            </w:r>
            <w:r>
              <w:rPr>
                <w:rFonts w:hint="eastAsia" w:cs="宋体"/>
                <w:color w:val="auto"/>
                <w:sz w:val="24"/>
                <w:szCs w:val="21"/>
                <w:lang w:val="en-US" w:eastAsia="zh-CN"/>
              </w:rPr>
              <w:t>湖南省岳阳市</w:t>
            </w:r>
            <w:r>
              <w:rPr>
                <w:rFonts w:hint="eastAsia" w:ascii="Times New Roman" w:hAnsi="Times New Roman" w:cs="宋体"/>
                <w:color w:val="auto"/>
                <w:sz w:val="24"/>
                <w:szCs w:val="21"/>
                <w:lang w:val="en-US" w:eastAsia="zh-CN"/>
              </w:rPr>
              <w:t>华容县团洲安全垸内团洲花园小区</w:t>
            </w:r>
            <w:r>
              <w:rPr>
                <w:rFonts w:hint="eastAsia" w:cs="宋体"/>
                <w:color w:val="auto"/>
                <w:sz w:val="24"/>
                <w:szCs w:val="21"/>
                <w:lang w:val="en-US" w:eastAsia="zh-CN"/>
              </w:rPr>
              <w:t>东南</w:t>
            </w:r>
            <w:r>
              <w:rPr>
                <w:rFonts w:hint="eastAsia" w:ascii="Times New Roman" w:hAnsi="Times New Roman" w:cs="宋体"/>
                <w:color w:val="auto"/>
                <w:sz w:val="24"/>
                <w:szCs w:val="21"/>
                <w:lang w:val="en-US" w:eastAsia="zh-CN"/>
              </w:rPr>
              <w:t>侧</w:t>
            </w:r>
            <w:r>
              <w:rPr>
                <w:rFonts w:hint="eastAsia" w:cs="宋体"/>
                <w:color w:val="auto"/>
                <w:sz w:val="24"/>
                <w:szCs w:val="21"/>
                <w:lang w:val="en-US" w:eastAsia="zh-CN"/>
              </w:rPr>
              <w:t>，南电排渠西侧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60" w:hRule="atLeast"/>
          <w:jc w:val="center"/>
        </w:trPr>
        <w:tc>
          <w:tcPr>
            <w:tcW w:w="1182" w:type="dxa"/>
            <w:tcMar>
              <w:top w:w="16" w:type="dxa"/>
              <w:left w:w="16" w:type="dxa"/>
              <w:right w:w="16" w:type="dxa"/>
            </w:tcMar>
            <w:vAlign w:val="center"/>
          </w:tcPr>
          <w:p>
            <w:pPr>
              <w:adjustRightInd w:val="0"/>
              <w:snapToGrid w:val="0"/>
              <w:jc w:val="center"/>
              <w:rPr>
                <w:rFonts w:cs="宋体"/>
                <w:color w:val="auto"/>
                <w:sz w:val="24"/>
                <w:szCs w:val="21"/>
              </w:rPr>
            </w:pPr>
            <w:r>
              <w:rPr>
                <w:rFonts w:hint="eastAsia" w:cs="宋体"/>
                <w:color w:val="auto"/>
                <w:sz w:val="24"/>
                <w:szCs w:val="21"/>
              </w:rPr>
              <w:t>地理坐标</w:t>
            </w:r>
          </w:p>
        </w:tc>
        <w:tc>
          <w:tcPr>
            <w:tcW w:w="7838" w:type="dxa"/>
            <w:gridSpan w:val="3"/>
            <w:vAlign w:val="center"/>
          </w:tcPr>
          <w:p>
            <w:pPr>
              <w:adjustRightInd w:val="0"/>
              <w:snapToGrid w:val="0"/>
              <w:jc w:val="center"/>
              <w:rPr>
                <w:rFonts w:hint="default" w:cs="宋体"/>
                <w:color w:val="auto"/>
                <w:sz w:val="24"/>
                <w:szCs w:val="21"/>
                <w:highlight w:val="none"/>
                <w:lang w:val="en-US" w:eastAsia="zh-CN"/>
              </w:rPr>
            </w:pPr>
            <w:r>
              <w:rPr>
                <w:rFonts w:hint="eastAsia" w:ascii="Times New Roman" w:hAnsi="Times New Roman" w:cs="宋体"/>
                <w:color w:val="auto"/>
                <w:sz w:val="24"/>
                <w:szCs w:val="24"/>
                <w:highlight w:val="none"/>
                <w:lang w:val="en-US" w:eastAsia="zh-CN"/>
              </w:rPr>
              <w:t>东经</w:t>
            </w:r>
            <w:r>
              <w:rPr>
                <w:rFonts w:hint="eastAsia" w:cs="宋体"/>
                <w:color w:val="auto"/>
                <w:sz w:val="24"/>
                <w:szCs w:val="24"/>
                <w:highlight w:val="none"/>
                <w:lang w:val="en-US" w:eastAsia="zh-CN"/>
              </w:rPr>
              <w:t>：</w:t>
            </w:r>
            <w:r>
              <w:rPr>
                <w:rFonts w:hint="default" w:ascii="Times New Roman" w:hAnsi="Times New Roman" w:cs="Times New Roman"/>
                <w:sz w:val="24"/>
                <w:szCs w:val="24"/>
                <w:u w:val="single"/>
              </w:rPr>
              <w:t xml:space="preserve"> 112  </w:t>
            </w:r>
            <w:r>
              <w:rPr>
                <w:rFonts w:hint="default" w:ascii="Times New Roman" w:hAnsi="Times New Roman" w:cs="Times New Roman"/>
                <w:sz w:val="24"/>
                <w:szCs w:val="24"/>
              </w:rPr>
              <w:t>度</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u w:val="single"/>
                <w:lang w:val="en-US" w:eastAsia="zh-CN"/>
              </w:rPr>
              <w:t>47</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分</w:t>
            </w:r>
            <w:r>
              <w:rPr>
                <w:rFonts w:hint="default" w:ascii="Times New Roman" w:hAnsi="Times New Roman" w:cs="Times New Roman"/>
                <w:sz w:val="24"/>
                <w:szCs w:val="24"/>
                <w:u w:val="single"/>
              </w:rPr>
              <w:t xml:space="preserve">  </w:t>
            </w:r>
            <w:r>
              <w:rPr>
                <w:rFonts w:hint="eastAsia" w:cs="Times New Roman"/>
                <w:sz w:val="24"/>
                <w:szCs w:val="24"/>
                <w:u w:val="single"/>
                <w:lang w:val="en-US" w:eastAsia="zh-CN"/>
              </w:rPr>
              <w:t>51.75600</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秒</w:t>
            </w:r>
            <w:r>
              <w:rPr>
                <w:rFonts w:hint="default" w:ascii="Times New Roman" w:hAnsi="Times New Roman" w:cs="Times New Roman"/>
                <w:color w:val="auto"/>
                <w:sz w:val="24"/>
                <w:szCs w:val="24"/>
                <w:highlight w:val="none"/>
                <w:lang w:val="en-US" w:eastAsia="zh-CN"/>
              </w:rPr>
              <w:t>；北纬：</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u w:val="single"/>
                <w:lang w:val="en-US" w:eastAsia="zh-CN"/>
              </w:rPr>
              <w:t>29</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度</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u w:val="single"/>
                <w:lang w:val="en-US" w:eastAsia="zh-CN"/>
              </w:rPr>
              <w:t>20</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分</w:t>
            </w:r>
            <w:r>
              <w:rPr>
                <w:rFonts w:hint="default" w:ascii="Times New Roman" w:hAnsi="Times New Roman" w:cs="Times New Roman"/>
                <w:sz w:val="24"/>
                <w:szCs w:val="24"/>
                <w:u w:val="single"/>
              </w:rPr>
              <w:t xml:space="preserve"> </w:t>
            </w:r>
            <w:r>
              <w:rPr>
                <w:rFonts w:hint="eastAsia" w:cs="Times New Roman"/>
                <w:sz w:val="24"/>
                <w:szCs w:val="24"/>
                <w:u w:val="single"/>
                <w:lang w:val="en-US" w:eastAsia="zh-CN"/>
              </w:rPr>
              <w:t>2.43240</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秒</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182" w:type="dxa"/>
            <w:tcMar>
              <w:top w:w="16" w:type="dxa"/>
              <w:left w:w="16" w:type="dxa"/>
              <w:right w:w="16" w:type="dxa"/>
            </w:tcMar>
            <w:vAlign w:val="center"/>
          </w:tcPr>
          <w:p>
            <w:pPr>
              <w:adjustRightInd w:val="0"/>
              <w:snapToGrid w:val="0"/>
              <w:jc w:val="center"/>
              <w:rPr>
                <w:rFonts w:cs="宋体"/>
                <w:color w:val="auto"/>
                <w:sz w:val="24"/>
                <w:szCs w:val="21"/>
              </w:rPr>
            </w:pPr>
            <w:r>
              <w:rPr>
                <w:rFonts w:hint="eastAsia" w:cs="宋体"/>
                <w:color w:val="auto"/>
                <w:sz w:val="24"/>
                <w:szCs w:val="21"/>
              </w:rPr>
              <w:t>国民经济</w:t>
            </w:r>
          </w:p>
          <w:p>
            <w:pPr>
              <w:adjustRightInd w:val="0"/>
              <w:snapToGrid w:val="0"/>
              <w:jc w:val="center"/>
              <w:rPr>
                <w:rFonts w:cs="宋体"/>
                <w:color w:val="auto"/>
                <w:sz w:val="24"/>
                <w:szCs w:val="21"/>
              </w:rPr>
            </w:pPr>
            <w:r>
              <w:rPr>
                <w:rFonts w:hint="eastAsia" w:cs="宋体"/>
                <w:color w:val="auto"/>
                <w:sz w:val="24"/>
                <w:szCs w:val="21"/>
              </w:rPr>
              <w:t>行业类别</w:t>
            </w:r>
          </w:p>
        </w:tc>
        <w:tc>
          <w:tcPr>
            <w:tcW w:w="2837" w:type="dxa"/>
            <w:vAlign w:val="center"/>
          </w:tcPr>
          <w:p>
            <w:pPr>
              <w:adjustRightInd w:val="0"/>
              <w:snapToGrid w:val="0"/>
              <w:jc w:val="center"/>
              <w:rPr>
                <w:rFonts w:hint="default" w:eastAsia="宋体" w:cs="宋体"/>
                <w:color w:val="auto"/>
                <w:sz w:val="24"/>
                <w:szCs w:val="21"/>
                <w:highlight w:val="none"/>
                <w:lang w:val="en-US" w:eastAsia="zh-CN"/>
              </w:rPr>
            </w:pPr>
            <w:r>
              <w:rPr>
                <w:rFonts w:hint="eastAsia" w:cs="宋体"/>
                <w:color w:val="auto"/>
                <w:sz w:val="24"/>
                <w:szCs w:val="21"/>
                <w:highlight w:val="none"/>
                <w:lang w:val="en-US" w:eastAsia="zh-CN"/>
              </w:rPr>
              <w:t>K7010房地产开发经营</w:t>
            </w:r>
          </w:p>
        </w:tc>
        <w:tc>
          <w:tcPr>
            <w:tcW w:w="2212" w:type="dxa"/>
            <w:vAlign w:val="center"/>
          </w:tcPr>
          <w:p>
            <w:pPr>
              <w:adjustRightInd w:val="0"/>
              <w:snapToGrid w:val="0"/>
              <w:jc w:val="center"/>
              <w:rPr>
                <w:rFonts w:cs="宋体"/>
                <w:color w:val="auto"/>
                <w:spacing w:val="-6"/>
                <w:sz w:val="24"/>
                <w:szCs w:val="21"/>
              </w:rPr>
            </w:pPr>
            <w:r>
              <w:rPr>
                <w:rFonts w:hint="eastAsia" w:cs="宋体"/>
                <w:color w:val="auto"/>
                <w:spacing w:val="-6"/>
                <w:sz w:val="24"/>
                <w:szCs w:val="21"/>
              </w:rPr>
              <w:t>用地（用海）</w:t>
            </w:r>
          </w:p>
          <w:p>
            <w:pPr>
              <w:adjustRightInd w:val="0"/>
              <w:snapToGrid w:val="0"/>
              <w:jc w:val="center"/>
              <w:rPr>
                <w:rFonts w:cs="宋体"/>
                <w:color w:val="auto"/>
                <w:sz w:val="24"/>
                <w:szCs w:val="21"/>
                <w:highlight w:val="none"/>
              </w:rPr>
            </w:pPr>
            <w:r>
              <w:rPr>
                <w:rFonts w:hint="eastAsia" w:cs="宋体"/>
                <w:color w:val="auto"/>
                <w:spacing w:val="-6"/>
                <w:sz w:val="24"/>
                <w:szCs w:val="21"/>
              </w:rPr>
              <w:t>面积（</w:t>
            </w:r>
            <w:r>
              <w:rPr>
                <w:rFonts w:cs="宋体"/>
                <w:color w:val="auto"/>
                <w:spacing w:val="-6"/>
                <w:sz w:val="24"/>
                <w:szCs w:val="21"/>
              </w:rPr>
              <w:t>m</w:t>
            </w:r>
            <w:r>
              <w:rPr>
                <w:rFonts w:cs="宋体"/>
                <w:color w:val="auto"/>
                <w:spacing w:val="-6"/>
                <w:sz w:val="24"/>
                <w:szCs w:val="21"/>
                <w:vertAlign w:val="superscript"/>
              </w:rPr>
              <w:t>2</w:t>
            </w:r>
            <w:r>
              <w:rPr>
                <w:rFonts w:hint="eastAsia" w:cs="宋体"/>
                <w:color w:val="auto"/>
                <w:spacing w:val="-6"/>
                <w:sz w:val="24"/>
                <w:szCs w:val="21"/>
              </w:rPr>
              <w:t>）</w:t>
            </w:r>
          </w:p>
        </w:tc>
        <w:tc>
          <w:tcPr>
            <w:tcW w:w="2789" w:type="dxa"/>
            <w:vAlign w:val="center"/>
          </w:tcPr>
          <w:p>
            <w:pPr>
              <w:adjustRightInd w:val="0"/>
              <w:snapToGrid w:val="0"/>
              <w:jc w:val="center"/>
              <w:rPr>
                <w:rFonts w:cs="宋体"/>
                <w:color w:val="auto"/>
                <w:sz w:val="24"/>
                <w:szCs w:val="21"/>
                <w:highlight w:val="none"/>
              </w:rPr>
            </w:pPr>
            <w:r>
              <w:rPr>
                <w:rFonts w:hint="eastAsia" w:cs="宋体"/>
                <w:color w:val="auto"/>
                <w:sz w:val="24"/>
                <w:szCs w:val="21"/>
                <w:lang w:val="en-US" w:eastAsia="zh-CN"/>
              </w:rPr>
              <w:t>112978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182" w:type="dxa"/>
            <w:tcMar>
              <w:top w:w="16" w:type="dxa"/>
              <w:left w:w="16" w:type="dxa"/>
              <w:right w:w="16" w:type="dxa"/>
            </w:tcMar>
            <w:vAlign w:val="center"/>
          </w:tcPr>
          <w:p>
            <w:pPr>
              <w:adjustRightInd w:val="0"/>
              <w:snapToGrid w:val="0"/>
              <w:jc w:val="center"/>
              <w:rPr>
                <w:rFonts w:cs="宋体"/>
                <w:color w:val="auto"/>
                <w:sz w:val="24"/>
                <w:szCs w:val="21"/>
              </w:rPr>
            </w:pPr>
            <w:r>
              <w:rPr>
                <w:rFonts w:hint="eastAsia" w:cs="宋体"/>
                <w:color w:val="auto"/>
                <w:sz w:val="24"/>
                <w:szCs w:val="21"/>
              </w:rPr>
              <w:t>建设性质</w:t>
            </w:r>
          </w:p>
        </w:tc>
        <w:tc>
          <w:tcPr>
            <w:tcW w:w="2837" w:type="dxa"/>
            <w:vAlign w:val="center"/>
          </w:tcPr>
          <w:p>
            <w:pPr>
              <w:jc w:val="left"/>
              <w:rPr>
                <w:rFonts w:cs="宋体"/>
                <w:color w:val="auto"/>
                <w:sz w:val="24"/>
                <w:szCs w:val="21"/>
              </w:rPr>
            </w:pPr>
            <w:r>
              <w:rPr>
                <w:rFonts w:hint="eastAsia" w:cs="宋体"/>
                <w:color w:val="auto"/>
                <w:sz w:val="24"/>
                <w:szCs w:val="21"/>
              </w:rPr>
              <w:sym w:font="Wingdings 2" w:char="0052"/>
            </w:r>
            <w:r>
              <w:rPr>
                <w:rFonts w:hint="eastAsia" w:cs="宋体"/>
                <w:color w:val="auto"/>
                <w:sz w:val="24"/>
                <w:szCs w:val="21"/>
              </w:rPr>
              <w:t>新建（迁建）</w:t>
            </w:r>
          </w:p>
          <w:p>
            <w:pPr>
              <w:jc w:val="left"/>
              <w:rPr>
                <w:rFonts w:cs="宋体"/>
                <w:color w:val="auto"/>
                <w:sz w:val="24"/>
                <w:szCs w:val="21"/>
              </w:rPr>
            </w:pPr>
            <w:r>
              <w:rPr>
                <w:rFonts w:hint="eastAsia" w:cs="宋体"/>
                <w:color w:val="auto"/>
                <w:sz w:val="24"/>
                <w:szCs w:val="21"/>
              </w:rPr>
              <w:t>□改建</w:t>
            </w:r>
          </w:p>
          <w:p>
            <w:pPr>
              <w:jc w:val="left"/>
              <w:rPr>
                <w:rFonts w:cs="宋体"/>
                <w:color w:val="auto"/>
                <w:sz w:val="24"/>
                <w:szCs w:val="21"/>
              </w:rPr>
            </w:pPr>
            <w:r>
              <w:rPr>
                <w:rFonts w:hint="eastAsia" w:cs="宋体"/>
                <w:color w:val="auto"/>
                <w:sz w:val="24"/>
                <w:szCs w:val="21"/>
              </w:rPr>
              <w:t>□扩建</w:t>
            </w:r>
          </w:p>
          <w:p>
            <w:pPr>
              <w:jc w:val="left"/>
              <w:rPr>
                <w:rFonts w:cs="宋体"/>
                <w:color w:val="auto"/>
                <w:sz w:val="24"/>
                <w:szCs w:val="21"/>
              </w:rPr>
            </w:pPr>
            <w:r>
              <w:rPr>
                <w:rFonts w:hint="eastAsia" w:cs="宋体"/>
                <w:color w:val="auto"/>
                <w:sz w:val="24"/>
                <w:szCs w:val="21"/>
              </w:rPr>
              <w:t>□技术改造</w:t>
            </w:r>
          </w:p>
        </w:tc>
        <w:tc>
          <w:tcPr>
            <w:tcW w:w="2212" w:type="dxa"/>
            <w:vAlign w:val="center"/>
          </w:tcPr>
          <w:p>
            <w:pPr>
              <w:adjustRightInd w:val="0"/>
              <w:snapToGrid w:val="0"/>
              <w:jc w:val="center"/>
              <w:rPr>
                <w:rFonts w:cs="宋体"/>
                <w:color w:val="auto"/>
                <w:sz w:val="24"/>
                <w:szCs w:val="21"/>
              </w:rPr>
            </w:pPr>
            <w:r>
              <w:rPr>
                <w:rFonts w:hint="eastAsia" w:cs="宋体"/>
                <w:color w:val="auto"/>
                <w:sz w:val="24"/>
                <w:szCs w:val="21"/>
              </w:rPr>
              <w:t>建设项目</w:t>
            </w:r>
          </w:p>
          <w:p>
            <w:pPr>
              <w:adjustRightInd w:val="0"/>
              <w:snapToGrid w:val="0"/>
              <w:jc w:val="center"/>
              <w:rPr>
                <w:rFonts w:cs="宋体"/>
                <w:color w:val="auto"/>
                <w:sz w:val="24"/>
                <w:szCs w:val="21"/>
              </w:rPr>
            </w:pPr>
            <w:r>
              <w:rPr>
                <w:rFonts w:hint="eastAsia" w:cs="宋体"/>
                <w:color w:val="auto"/>
                <w:sz w:val="24"/>
                <w:szCs w:val="21"/>
              </w:rPr>
              <w:t>申报情形</w:t>
            </w:r>
          </w:p>
        </w:tc>
        <w:tc>
          <w:tcPr>
            <w:tcW w:w="2789" w:type="dxa"/>
            <w:vAlign w:val="center"/>
          </w:tcPr>
          <w:p>
            <w:pPr>
              <w:jc w:val="left"/>
              <w:rPr>
                <w:rFonts w:cs="宋体"/>
                <w:color w:val="auto"/>
                <w:sz w:val="24"/>
                <w:szCs w:val="21"/>
              </w:rPr>
            </w:pPr>
            <w:r>
              <w:rPr>
                <w:rFonts w:hint="eastAsia" w:cs="宋体"/>
                <w:color w:val="auto"/>
                <w:sz w:val="24"/>
                <w:szCs w:val="21"/>
              </w:rPr>
              <w:sym w:font="Wingdings 2" w:char="0052"/>
            </w:r>
            <w:r>
              <w:rPr>
                <w:rFonts w:hint="eastAsia" w:cs="宋体"/>
                <w:color w:val="auto"/>
                <w:sz w:val="24"/>
                <w:szCs w:val="21"/>
              </w:rPr>
              <w:t>首次申报项目</w:t>
            </w:r>
            <w:r>
              <w:rPr>
                <w:rFonts w:cs="宋体"/>
                <w:color w:val="auto"/>
                <w:sz w:val="24"/>
                <w:szCs w:val="21"/>
              </w:rPr>
              <w:t xml:space="preserve">             </w:t>
            </w:r>
          </w:p>
          <w:p>
            <w:pPr>
              <w:jc w:val="left"/>
              <w:rPr>
                <w:rFonts w:cs="宋体"/>
                <w:color w:val="auto"/>
                <w:sz w:val="24"/>
                <w:szCs w:val="21"/>
              </w:rPr>
            </w:pPr>
            <w:r>
              <w:rPr>
                <w:rFonts w:hint="eastAsia" w:cs="宋体"/>
                <w:color w:val="auto"/>
                <w:sz w:val="24"/>
                <w:szCs w:val="21"/>
              </w:rPr>
              <w:t>□不予批准后再次申报项目</w:t>
            </w:r>
          </w:p>
          <w:p>
            <w:pPr>
              <w:jc w:val="left"/>
              <w:rPr>
                <w:rFonts w:cs="宋体"/>
                <w:color w:val="auto"/>
                <w:sz w:val="24"/>
                <w:szCs w:val="21"/>
              </w:rPr>
            </w:pPr>
            <w:r>
              <w:rPr>
                <w:rFonts w:hint="eastAsia" w:cs="宋体"/>
                <w:color w:val="auto"/>
                <w:sz w:val="24"/>
                <w:szCs w:val="21"/>
              </w:rPr>
              <w:sym w:font="Wingdings 2" w:char="00A3"/>
            </w:r>
            <w:r>
              <w:rPr>
                <w:rFonts w:hint="eastAsia" w:cs="宋体"/>
                <w:color w:val="auto"/>
                <w:sz w:val="24"/>
                <w:szCs w:val="21"/>
              </w:rPr>
              <w:t>超五年重新审核项目</w:t>
            </w:r>
            <w:r>
              <w:rPr>
                <w:rFonts w:cs="宋体"/>
                <w:color w:val="auto"/>
                <w:sz w:val="24"/>
                <w:szCs w:val="21"/>
              </w:rPr>
              <w:t xml:space="preserve">     </w:t>
            </w:r>
          </w:p>
          <w:p>
            <w:pPr>
              <w:jc w:val="left"/>
              <w:rPr>
                <w:rFonts w:cs="宋体"/>
                <w:color w:val="auto"/>
                <w:sz w:val="24"/>
                <w:szCs w:val="21"/>
              </w:rPr>
            </w:pPr>
            <w:r>
              <w:rPr>
                <w:rFonts w:hint="eastAsia" w:cs="宋体"/>
                <w:color w:val="auto"/>
                <w:sz w:val="24"/>
                <w:szCs w:val="21"/>
              </w:rPr>
              <w:t>□重大变动重新报批项目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182" w:type="dxa"/>
            <w:tcMar>
              <w:top w:w="16" w:type="dxa"/>
              <w:left w:w="16" w:type="dxa"/>
              <w:right w:w="16" w:type="dxa"/>
            </w:tcMar>
            <w:vAlign w:val="center"/>
          </w:tcPr>
          <w:p>
            <w:pPr>
              <w:adjustRightInd w:val="0"/>
              <w:snapToGrid w:val="0"/>
              <w:jc w:val="center"/>
              <w:rPr>
                <w:rFonts w:cs="宋体"/>
                <w:color w:val="auto"/>
                <w:sz w:val="24"/>
                <w:szCs w:val="21"/>
              </w:rPr>
            </w:pPr>
            <w:r>
              <w:rPr>
                <w:rFonts w:hint="eastAsia" w:cs="宋体"/>
                <w:color w:val="auto"/>
                <w:sz w:val="24"/>
                <w:szCs w:val="21"/>
              </w:rPr>
              <w:t>项目审批（核准</w:t>
            </w:r>
            <w:r>
              <w:rPr>
                <w:rFonts w:cs="宋体"/>
                <w:color w:val="auto"/>
                <w:sz w:val="24"/>
                <w:szCs w:val="21"/>
              </w:rPr>
              <w:t>/</w:t>
            </w:r>
          </w:p>
          <w:p>
            <w:pPr>
              <w:adjustRightInd w:val="0"/>
              <w:snapToGrid w:val="0"/>
              <w:jc w:val="center"/>
              <w:rPr>
                <w:rFonts w:cs="宋体"/>
                <w:color w:val="auto"/>
                <w:sz w:val="24"/>
                <w:szCs w:val="21"/>
              </w:rPr>
            </w:pPr>
            <w:r>
              <w:rPr>
                <w:rFonts w:hint="eastAsia" w:cs="宋体"/>
                <w:color w:val="auto"/>
                <w:sz w:val="24"/>
                <w:szCs w:val="21"/>
              </w:rPr>
              <w:t>备案）</w:t>
            </w:r>
          </w:p>
          <w:p>
            <w:pPr>
              <w:adjustRightInd w:val="0"/>
              <w:snapToGrid w:val="0"/>
              <w:jc w:val="center"/>
              <w:rPr>
                <w:rFonts w:cs="宋体"/>
                <w:color w:val="auto"/>
                <w:sz w:val="24"/>
                <w:szCs w:val="21"/>
              </w:rPr>
            </w:pPr>
            <w:r>
              <w:rPr>
                <w:rFonts w:hint="eastAsia" w:cs="宋体"/>
                <w:color w:val="auto"/>
                <w:sz w:val="24"/>
                <w:szCs w:val="21"/>
              </w:rPr>
              <w:t>部门（选填）</w:t>
            </w:r>
          </w:p>
        </w:tc>
        <w:tc>
          <w:tcPr>
            <w:tcW w:w="2837" w:type="dxa"/>
            <w:vAlign w:val="center"/>
          </w:tcPr>
          <w:p>
            <w:pPr>
              <w:adjustRightInd w:val="0"/>
              <w:snapToGrid w:val="0"/>
              <w:jc w:val="center"/>
              <w:rPr>
                <w:rFonts w:cs="宋体"/>
                <w:color w:val="auto"/>
                <w:sz w:val="24"/>
                <w:szCs w:val="21"/>
              </w:rPr>
            </w:pPr>
            <w:r>
              <w:rPr>
                <w:rFonts w:hint="default" w:ascii="Times New Roman" w:hAnsi="Times New Roman" w:cs="Times New Roman"/>
                <w:color w:val="auto"/>
                <w:kern w:val="21"/>
                <w:sz w:val="24"/>
                <w:szCs w:val="24"/>
              </w:rPr>
              <w:t>华容县发展和改革局</w:t>
            </w:r>
          </w:p>
        </w:tc>
        <w:tc>
          <w:tcPr>
            <w:tcW w:w="2212" w:type="dxa"/>
            <w:vAlign w:val="center"/>
          </w:tcPr>
          <w:p>
            <w:pPr>
              <w:adjustRightInd w:val="0"/>
              <w:snapToGrid w:val="0"/>
              <w:jc w:val="center"/>
              <w:rPr>
                <w:rFonts w:cs="宋体"/>
                <w:color w:val="auto"/>
                <w:sz w:val="24"/>
                <w:szCs w:val="21"/>
              </w:rPr>
            </w:pPr>
            <w:r>
              <w:rPr>
                <w:rFonts w:hint="eastAsia" w:cs="宋体"/>
                <w:color w:val="auto"/>
                <w:sz w:val="24"/>
                <w:szCs w:val="21"/>
              </w:rPr>
              <w:t>项目审批（核准</w:t>
            </w:r>
            <w:r>
              <w:rPr>
                <w:rFonts w:cs="宋体"/>
                <w:color w:val="auto"/>
                <w:sz w:val="24"/>
                <w:szCs w:val="21"/>
              </w:rPr>
              <w:t>/</w:t>
            </w:r>
          </w:p>
          <w:p>
            <w:pPr>
              <w:adjustRightInd w:val="0"/>
              <w:snapToGrid w:val="0"/>
              <w:jc w:val="center"/>
              <w:rPr>
                <w:rFonts w:cs="宋体"/>
                <w:color w:val="auto"/>
                <w:sz w:val="24"/>
                <w:szCs w:val="21"/>
              </w:rPr>
            </w:pPr>
            <w:r>
              <w:rPr>
                <w:rFonts w:hint="eastAsia" w:cs="宋体"/>
                <w:color w:val="auto"/>
                <w:sz w:val="24"/>
                <w:szCs w:val="21"/>
              </w:rPr>
              <w:t>备案）文号（选填）</w:t>
            </w:r>
          </w:p>
        </w:tc>
        <w:tc>
          <w:tcPr>
            <w:tcW w:w="2789" w:type="dxa"/>
            <w:vAlign w:val="center"/>
          </w:tcPr>
          <w:p>
            <w:pPr>
              <w:adjustRightInd w:val="0"/>
              <w:snapToGrid w:val="0"/>
              <w:jc w:val="center"/>
              <w:rPr>
                <w:rFonts w:cs="宋体"/>
                <w:color w:val="auto"/>
                <w:sz w:val="24"/>
                <w:szCs w:val="21"/>
              </w:rPr>
            </w:pPr>
            <w:r>
              <w:rPr>
                <w:rFonts w:hint="eastAsia" w:cs="宋体"/>
                <w:color w:val="auto"/>
                <w:sz w:val="24"/>
                <w:szCs w:val="21"/>
                <w:lang w:val="en-US" w:eastAsia="zh-CN"/>
              </w:rPr>
              <w:t>华发改投审[2024]69号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182" w:type="dxa"/>
            <w:tcMar>
              <w:top w:w="16" w:type="dxa"/>
              <w:left w:w="16" w:type="dxa"/>
              <w:right w:w="16" w:type="dxa"/>
            </w:tcMar>
            <w:vAlign w:val="center"/>
          </w:tcPr>
          <w:p>
            <w:pPr>
              <w:adjustRightInd w:val="0"/>
              <w:snapToGrid w:val="0"/>
              <w:jc w:val="center"/>
              <w:rPr>
                <w:rFonts w:cs="宋体"/>
                <w:color w:val="auto"/>
                <w:sz w:val="24"/>
                <w:szCs w:val="21"/>
              </w:rPr>
            </w:pPr>
            <w:r>
              <w:rPr>
                <w:rFonts w:hint="eastAsia" w:cs="宋体"/>
                <w:color w:val="auto"/>
                <w:sz w:val="24"/>
                <w:szCs w:val="21"/>
              </w:rPr>
              <w:t>总投资</w:t>
            </w:r>
          </w:p>
          <w:p>
            <w:pPr>
              <w:adjustRightInd w:val="0"/>
              <w:snapToGrid w:val="0"/>
              <w:jc w:val="center"/>
              <w:rPr>
                <w:rFonts w:cs="宋体"/>
                <w:color w:val="auto"/>
                <w:sz w:val="24"/>
                <w:szCs w:val="21"/>
              </w:rPr>
            </w:pPr>
            <w:r>
              <w:rPr>
                <w:rFonts w:hint="eastAsia" w:cs="宋体"/>
                <w:color w:val="auto"/>
                <w:sz w:val="24"/>
                <w:szCs w:val="21"/>
              </w:rPr>
              <w:t>（万元）</w:t>
            </w:r>
          </w:p>
        </w:tc>
        <w:tc>
          <w:tcPr>
            <w:tcW w:w="2837" w:type="dxa"/>
            <w:vAlign w:val="center"/>
          </w:tcPr>
          <w:p>
            <w:pPr>
              <w:adjustRightInd w:val="0"/>
              <w:snapToGrid w:val="0"/>
              <w:jc w:val="center"/>
              <w:rPr>
                <w:rFonts w:hint="default" w:eastAsia="宋体" w:cs="宋体"/>
                <w:color w:val="auto"/>
                <w:sz w:val="24"/>
                <w:szCs w:val="21"/>
                <w:highlight w:val="none"/>
                <w:lang w:val="en-US" w:eastAsia="zh-CN"/>
              </w:rPr>
            </w:pPr>
            <w:r>
              <w:rPr>
                <w:rFonts w:hint="eastAsia" w:cs="宋体"/>
                <w:color w:val="auto"/>
                <w:sz w:val="24"/>
                <w:szCs w:val="21"/>
                <w:highlight w:val="none"/>
                <w:lang w:val="en-US" w:eastAsia="zh-CN"/>
              </w:rPr>
              <w:t>44879</w:t>
            </w:r>
          </w:p>
        </w:tc>
        <w:tc>
          <w:tcPr>
            <w:tcW w:w="2212" w:type="dxa"/>
            <w:tcMar>
              <w:top w:w="16" w:type="dxa"/>
              <w:left w:w="16" w:type="dxa"/>
              <w:right w:w="16" w:type="dxa"/>
            </w:tcMar>
            <w:vAlign w:val="center"/>
          </w:tcPr>
          <w:p>
            <w:pPr>
              <w:adjustRightInd w:val="0"/>
              <w:snapToGrid w:val="0"/>
              <w:jc w:val="center"/>
              <w:rPr>
                <w:rFonts w:cs="宋体"/>
                <w:color w:val="auto"/>
                <w:sz w:val="24"/>
                <w:szCs w:val="21"/>
                <w:highlight w:val="none"/>
              </w:rPr>
            </w:pPr>
            <w:r>
              <w:rPr>
                <w:rFonts w:hint="eastAsia" w:cs="宋体"/>
                <w:color w:val="auto"/>
                <w:sz w:val="24"/>
                <w:szCs w:val="21"/>
                <w:highlight w:val="none"/>
              </w:rPr>
              <w:t>环保投资（万元）</w:t>
            </w:r>
          </w:p>
        </w:tc>
        <w:tc>
          <w:tcPr>
            <w:tcW w:w="2789" w:type="dxa"/>
            <w:vAlign w:val="center"/>
          </w:tcPr>
          <w:p>
            <w:pPr>
              <w:adjustRightInd w:val="0"/>
              <w:snapToGrid w:val="0"/>
              <w:jc w:val="center"/>
              <w:rPr>
                <w:rFonts w:hint="default" w:eastAsia="宋体" w:cs="宋体"/>
                <w:color w:val="auto"/>
                <w:sz w:val="24"/>
                <w:szCs w:val="21"/>
                <w:highlight w:val="none"/>
                <w:lang w:val="en-US" w:eastAsia="zh-CN"/>
              </w:rPr>
            </w:pPr>
            <w:r>
              <w:rPr>
                <w:rFonts w:hint="eastAsia" w:cs="宋体"/>
                <w:color w:val="auto"/>
                <w:sz w:val="24"/>
                <w:szCs w:val="21"/>
                <w:highlight w:val="none"/>
                <w:lang w:val="en-US" w:eastAsia="zh-CN"/>
              </w:rPr>
              <w:t>250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182" w:type="dxa"/>
            <w:tcMar>
              <w:top w:w="16" w:type="dxa"/>
              <w:left w:w="16" w:type="dxa"/>
              <w:right w:w="16" w:type="dxa"/>
            </w:tcMar>
            <w:vAlign w:val="center"/>
          </w:tcPr>
          <w:p>
            <w:pPr>
              <w:adjustRightInd w:val="0"/>
              <w:snapToGrid w:val="0"/>
              <w:jc w:val="center"/>
              <w:rPr>
                <w:rFonts w:cs="宋体"/>
                <w:color w:val="auto"/>
                <w:sz w:val="24"/>
                <w:szCs w:val="21"/>
              </w:rPr>
            </w:pPr>
            <w:r>
              <w:rPr>
                <w:rFonts w:hint="eastAsia" w:cs="宋体"/>
                <w:color w:val="auto"/>
                <w:sz w:val="24"/>
                <w:szCs w:val="21"/>
              </w:rPr>
              <w:t>环保投资</w:t>
            </w:r>
          </w:p>
          <w:p>
            <w:pPr>
              <w:adjustRightInd w:val="0"/>
              <w:snapToGrid w:val="0"/>
              <w:jc w:val="center"/>
              <w:rPr>
                <w:rFonts w:cs="宋体"/>
                <w:color w:val="auto"/>
                <w:sz w:val="24"/>
                <w:szCs w:val="21"/>
              </w:rPr>
            </w:pPr>
            <w:r>
              <w:rPr>
                <w:rFonts w:hint="eastAsia" w:cs="宋体"/>
                <w:color w:val="auto"/>
                <w:sz w:val="24"/>
                <w:szCs w:val="21"/>
              </w:rPr>
              <w:t>占比（</w:t>
            </w:r>
            <w:r>
              <w:rPr>
                <w:rFonts w:cs="宋体"/>
                <w:color w:val="auto"/>
                <w:sz w:val="24"/>
                <w:szCs w:val="21"/>
              </w:rPr>
              <w:t>%</w:t>
            </w:r>
            <w:r>
              <w:rPr>
                <w:rFonts w:hint="eastAsia" w:cs="宋体"/>
                <w:color w:val="auto"/>
                <w:sz w:val="24"/>
                <w:szCs w:val="21"/>
              </w:rPr>
              <w:t>）</w:t>
            </w:r>
          </w:p>
        </w:tc>
        <w:tc>
          <w:tcPr>
            <w:tcW w:w="2837" w:type="dxa"/>
            <w:vAlign w:val="center"/>
          </w:tcPr>
          <w:p>
            <w:pPr>
              <w:adjustRightInd w:val="0"/>
              <w:snapToGrid w:val="0"/>
              <w:jc w:val="center"/>
              <w:rPr>
                <w:rFonts w:hint="default" w:eastAsia="宋体" w:cs="宋体"/>
                <w:color w:val="auto"/>
                <w:sz w:val="24"/>
                <w:szCs w:val="21"/>
                <w:highlight w:val="none"/>
                <w:lang w:val="en-US" w:eastAsia="zh-CN"/>
              </w:rPr>
            </w:pPr>
            <w:r>
              <w:rPr>
                <w:rFonts w:hint="eastAsia" w:cs="宋体"/>
                <w:color w:val="auto"/>
                <w:sz w:val="24"/>
                <w:szCs w:val="21"/>
                <w:highlight w:val="none"/>
                <w:lang w:val="en-US" w:eastAsia="zh-CN"/>
              </w:rPr>
              <w:t>0.56</w:t>
            </w:r>
          </w:p>
        </w:tc>
        <w:tc>
          <w:tcPr>
            <w:tcW w:w="2212" w:type="dxa"/>
            <w:tcMar>
              <w:top w:w="16" w:type="dxa"/>
              <w:left w:w="16" w:type="dxa"/>
              <w:right w:w="16" w:type="dxa"/>
            </w:tcMar>
            <w:vAlign w:val="center"/>
          </w:tcPr>
          <w:p>
            <w:pPr>
              <w:adjustRightInd w:val="0"/>
              <w:snapToGrid w:val="0"/>
              <w:jc w:val="center"/>
              <w:rPr>
                <w:rFonts w:cs="宋体"/>
                <w:color w:val="auto"/>
                <w:sz w:val="24"/>
                <w:szCs w:val="21"/>
                <w:highlight w:val="none"/>
              </w:rPr>
            </w:pPr>
            <w:r>
              <w:rPr>
                <w:rFonts w:hint="eastAsia" w:cs="宋体"/>
                <w:color w:val="auto"/>
                <w:sz w:val="24"/>
                <w:szCs w:val="21"/>
                <w:highlight w:val="none"/>
              </w:rPr>
              <w:t>施工工期</w:t>
            </w:r>
          </w:p>
        </w:tc>
        <w:tc>
          <w:tcPr>
            <w:tcW w:w="2789" w:type="dxa"/>
            <w:vAlign w:val="center"/>
          </w:tcPr>
          <w:p>
            <w:pPr>
              <w:adjustRightInd w:val="0"/>
              <w:snapToGrid w:val="0"/>
              <w:jc w:val="center"/>
              <w:rPr>
                <w:rFonts w:hint="eastAsia" w:eastAsia="宋体" w:cs="宋体"/>
                <w:color w:val="auto"/>
                <w:sz w:val="24"/>
                <w:szCs w:val="21"/>
                <w:highlight w:val="none"/>
                <w:lang w:val="en-US" w:eastAsia="zh-CN"/>
              </w:rPr>
            </w:pPr>
            <w:r>
              <w:rPr>
                <w:rFonts w:hint="eastAsia" w:cs="宋体"/>
                <w:color w:val="auto"/>
                <w:sz w:val="24"/>
                <w:szCs w:val="21"/>
                <w:highlight w:val="none"/>
                <w:lang w:val="en-US" w:eastAsia="zh-CN"/>
              </w:rPr>
              <w:t>已建成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182" w:type="dxa"/>
            <w:tcMar>
              <w:top w:w="16" w:type="dxa"/>
              <w:left w:w="16" w:type="dxa"/>
              <w:right w:w="16" w:type="dxa"/>
            </w:tcMar>
            <w:vAlign w:val="center"/>
          </w:tcPr>
          <w:p>
            <w:pPr>
              <w:adjustRightInd w:val="0"/>
              <w:snapToGrid w:val="0"/>
              <w:jc w:val="center"/>
              <w:rPr>
                <w:rFonts w:cs="宋体"/>
                <w:color w:val="auto"/>
                <w:sz w:val="24"/>
                <w:szCs w:val="21"/>
              </w:rPr>
            </w:pPr>
            <w:r>
              <w:rPr>
                <w:rFonts w:hint="eastAsia" w:cs="宋体"/>
                <w:color w:val="auto"/>
                <w:sz w:val="24"/>
                <w:szCs w:val="21"/>
              </w:rPr>
              <w:t>是否开工</w:t>
            </w:r>
          </w:p>
          <w:p>
            <w:pPr>
              <w:adjustRightInd w:val="0"/>
              <w:snapToGrid w:val="0"/>
              <w:jc w:val="center"/>
              <w:rPr>
                <w:rFonts w:cs="宋体"/>
                <w:color w:val="auto"/>
                <w:sz w:val="24"/>
                <w:szCs w:val="21"/>
              </w:rPr>
            </w:pPr>
            <w:r>
              <w:rPr>
                <w:rFonts w:hint="eastAsia" w:cs="宋体"/>
                <w:color w:val="auto"/>
                <w:sz w:val="24"/>
                <w:szCs w:val="21"/>
              </w:rPr>
              <w:t>建设</w:t>
            </w:r>
          </w:p>
        </w:tc>
        <w:tc>
          <w:tcPr>
            <w:tcW w:w="7838" w:type="dxa"/>
            <w:gridSpan w:val="3"/>
            <w:vAlign w:val="center"/>
          </w:tcPr>
          <w:p>
            <w:pPr>
              <w:adjustRightInd w:val="0"/>
              <w:snapToGrid w:val="0"/>
              <w:rPr>
                <w:rFonts w:cs="宋体"/>
                <w:color w:val="auto"/>
                <w:sz w:val="24"/>
                <w:szCs w:val="21"/>
              </w:rPr>
            </w:pPr>
            <w:r>
              <w:rPr>
                <w:rFonts w:hint="eastAsia" w:cs="宋体"/>
                <w:color w:val="auto"/>
                <w:sz w:val="24"/>
                <w:szCs w:val="21"/>
              </w:rPr>
              <w:sym w:font="Wingdings 2" w:char="00A3"/>
            </w:r>
            <w:r>
              <w:rPr>
                <w:rFonts w:hint="eastAsia" w:cs="宋体"/>
                <w:color w:val="auto"/>
                <w:sz w:val="24"/>
                <w:szCs w:val="21"/>
              </w:rPr>
              <w:t>否</w:t>
            </w:r>
          </w:p>
          <w:p>
            <w:pPr>
              <w:adjustRightInd w:val="0"/>
              <w:snapToGrid w:val="0"/>
              <w:jc w:val="center"/>
              <w:rPr>
                <w:rFonts w:hint="default" w:eastAsia="宋体" w:cs="宋体"/>
                <w:color w:val="auto"/>
                <w:sz w:val="24"/>
                <w:szCs w:val="21"/>
                <w:lang w:val="en-US" w:eastAsia="zh-CN"/>
              </w:rPr>
            </w:pPr>
            <w:r>
              <w:rPr>
                <w:rFonts w:hint="eastAsia" w:cs="宋体"/>
                <w:color w:val="auto"/>
                <w:sz w:val="24"/>
                <w:szCs w:val="21"/>
              </w:rPr>
              <w:sym w:font="Wingdings 2" w:char="0052"/>
            </w:r>
            <w:r>
              <w:rPr>
                <w:rFonts w:hint="eastAsia" w:cs="宋体"/>
                <w:color w:val="auto"/>
                <w:sz w:val="24"/>
                <w:szCs w:val="21"/>
              </w:rPr>
              <w:t>是：</w:t>
            </w:r>
            <w:r>
              <w:rPr>
                <w:rFonts w:hint="eastAsia" w:cs="宋体"/>
                <w:color w:val="auto"/>
                <w:sz w:val="24"/>
                <w:szCs w:val="21"/>
                <w:u w:val="single"/>
                <w:lang w:val="en-US" w:eastAsia="zh-CN"/>
              </w:rPr>
              <w:t>项目为灾后重建应急工程，为保证进度提前开工建设，目前项目主体工程已建设完成，正在进行收尾工作。</w:t>
            </w:r>
            <w:r>
              <w:rPr>
                <w:rFonts w:hint="eastAsia" w:cs="宋体"/>
                <w:color w:val="auto"/>
                <w:sz w:val="24"/>
                <w:szCs w:val="21"/>
                <w:u w:val="single"/>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182" w:type="dxa"/>
            <w:vAlign w:val="center"/>
          </w:tcPr>
          <w:p>
            <w:pPr>
              <w:autoSpaceDE w:val="0"/>
              <w:autoSpaceDN w:val="0"/>
              <w:adjustRightInd w:val="0"/>
              <w:snapToGrid w:val="0"/>
              <w:jc w:val="center"/>
              <w:rPr>
                <w:rFonts w:cs="宋体"/>
                <w:color w:val="auto"/>
                <w:kern w:val="0"/>
                <w:sz w:val="24"/>
                <w:szCs w:val="21"/>
              </w:rPr>
            </w:pPr>
            <w:r>
              <w:rPr>
                <w:rFonts w:hint="eastAsia" w:cs="宋体"/>
                <w:color w:val="auto"/>
                <w:kern w:val="0"/>
                <w:sz w:val="24"/>
                <w:szCs w:val="21"/>
              </w:rPr>
              <w:t>专项评价设置情况</w:t>
            </w:r>
          </w:p>
        </w:tc>
        <w:tc>
          <w:tcPr>
            <w:tcW w:w="7838" w:type="dxa"/>
            <w:gridSpan w:val="3"/>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新宋体" w:cs="Times New Roman"/>
                <w:color w:val="auto"/>
                <w:kern w:val="0"/>
                <w:sz w:val="24"/>
                <w:szCs w:val="24"/>
                <w:u w:val="single"/>
                <w:lang w:val="en-US" w:eastAsia="zh-CN"/>
              </w:rPr>
            </w:pPr>
            <w:r>
              <w:rPr>
                <w:rFonts w:hint="default" w:ascii="Times New Roman" w:hAnsi="Times New Roman" w:eastAsia="新宋体" w:cs="Times New Roman"/>
                <w:color w:val="auto"/>
                <w:kern w:val="0"/>
                <w:sz w:val="24"/>
                <w:szCs w:val="24"/>
                <w:lang w:val="en-US" w:eastAsia="zh-CN"/>
              </w:rPr>
              <w:t>本项目</w:t>
            </w:r>
            <w:r>
              <w:rPr>
                <w:rFonts w:hint="eastAsia" w:eastAsia="新宋体" w:cs="Times New Roman"/>
                <w:color w:val="auto"/>
                <w:kern w:val="0"/>
                <w:sz w:val="24"/>
                <w:szCs w:val="24"/>
                <w:lang w:val="en-US" w:eastAsia="zh-CN"/>
              </w:rPr>
              <w:t>涉及房地产业</w:t>
            </w:r>
            <w:r>
              <w:rPr>
                <w:rFonts w:hint="default" w:ascii="Times New Roman" w:hAnsi="Times New Roman" w:eastAsia="新宋体" w:cs="Times New Roman"/>
                <w:color w:val="auto"/>
                <w:kern w:val="0"/>
                <w:sz w:val="24"/>
                <w:szCs w:val="24"/>
                <w:lang w:val="en-US" w:eastAsia="zh-CN"/>
              </w:rPr>
              <w:t>，该部分为生态影响类，应参照</w:t>
            </w:r>
            <w:r>
              <w:rPr>
                <w:rFonts w:hint="default" w:ascii="Times New Roman" w:hAnsi="Times New Roman" w:eastAsia="新宋体" w:cs="Times New Roman"/>
                <w:color w:val="auto"/>
                <w:kern w:val="0"/>
                <w:sz w:val="24"/>
                <w:szCs w:val="24"/>
              </w:rPr>
              <w:t>《建设项目环境影响报告表编制技术指南（</w:t>
            </w:r>
            <w:r>
              <w:rPr>
                <w:rFonts w:hint="default" w:ascii="Times New Roman" w:hAnsi="Times New Roman" w:eastAsia="新宋体" w:cs="Times New Roman"/>
                <w:color w:val="auto"/>
                <w:kern w:val="0"/>
                <w:sz w:val="24"/>
                <w:szCs w:val="24"/>
                <w:lang w:val="en-US" w:eastAsia="zh-CN"/>
              </w:rPr>
              <w:t>生态</w:t>
            </w:r>
            <w:r>
              <w:rPr>
                <w:rFonts w:hint="default" w:ascii="Times New Roman" w:hAnsi="Times New Roman" w:eastAsia="新宋体" w:cs="Times New Roman"/>
                <w:color w:val="auto"/>
                <w:kern w:val="0"/>
                <w:sz w:val="24"/>
                <w:szCs w:val="24"/>
              </w:rPr>
              <w:t>影响类）（试行）》</w:t>
            </w:r>
            <w:r>
              <w:rPr>
                <w:rFonts w:hint="default" w:ascii="Times New Roman" w:hAnsi="Times New Roman" w:eastAsia="新宋体" w:cs="Times New Roman"/>
                <w:color w:val="auto"/>
                <w:kern w:val="0"/>
                <w:sz w:val="24"/>
                <w:szCs w:val="24"/>
                <w:lang w:val="en-US" w:eastAsia="zh-CN"/>
              </w:rPr>
              <w:t>进行</w:t>
            </w:r>
            <w:r>
              <w:rPr>
                <w:rFonts w:hint="default" w:ascii="Times New Roman" w:hAnsi="Times New Roman" w:eastAsia="新宋体" w:cs="Times New Roman"/>
                <w:color w:val="auto"/>
                <w:kern w:val="0"/>
                <w:sz w:val="24"/>
                <w:szCs w:val="24"/>
              </w:rPr>
              <w:t>专项评价设置情况</w:t>
            </w:r>
            <w:r>
              <w:rPr>
                <w:rFonts w:hint="default" w:ascii="Times New Roman" w:hAnsi="Times New Roman" w:eastAsia="新宋体" w:cs="Times New Roman"/>
                <w:color w:val="auto"/>
                <w:kern w:val="0"/>
                <w:sz w:val="24"/>
                <w:szCs w:val="24"/>
                <w:lang w:val="en-US" w:eastAsia="zh-CN"/>
              </w:rPr>
              <w:t>的分析，</w:t>
            </w:r>
            <w:r>
              <w:rPr>
                <w:rFonts w:hint="eastAsia" w:ascii="Times New Roman" w:hAnsi="Times New Roman" w:eastAsia="新宋体" w:cs="Times New Roman"/>
                <w:color w:val="auto"/>
                <w:kern w:val="0"/>
                <w:sz w:val="24"/>
                <w:szCs w:val="24"/>
                <w:lang w:val="en-US" w:eastAsia="zh-CN"/>
              </w:rPr>
              <w:t>专题设置判定</w:t>
            </w:r>
            <w:r>
              <w:rPr>
                <w:rFonts w:hint="default" w:ascii="Times New Roman" w:hAnsi="Times New Roman" w:eastAsia="新宋体" w:cs="Times New Roman"/>
                <w:color w:val="auto"/>
                <w:kern w:val="0"/>
                <w:sz w:val="24"/>
                <w:szCs w:val="24"/>
                <w:lang w:val="en-US" w:eastAsia="zh-CN"/>
              </w:rPr>
              <w:t>详见</w:t>
            </w:r>
            <w:r>
              <w:rPr>
                <w:rFonts w:hint="default" w:ascii="Times New Roman" w:hAnsi="Times New Roman" w:eastAsia="新宋体" w:cs="Times New Roman"/>
                <w:color w:val="auto"/>
                <w:kern w:val="0"/>
                <w:sz w:val="24"/>
                <w:szCs w:val="24"/>
              </w:rPr>
              <w:t>下</w:t>
            </w:r>
            <w:r>
              <w:rPr>
                <w:rFonts w:hint="default" w:ascii="Times New Roman" w:hAnsi="Times New Roman" w:eastAsia="新宋体" w:cs="Times New Roman"/>
                <w:color w:val="auto"/>
                <w:kern w:val="0"/>
                <w:sz w:val="24"/>
                <w:szCs w:val="24"/>
                <w:lang w:val="en-US" w:eastAsia="zh-CN"/>
              </w:rPr>
              <w:t>表1-1</w:t>
            </w:r>
            <w:r>
              <w:rPr>
                <w:rFonts w:hint="eastAsia" w:ascii="Times New Roman" w:hAnsi="Times New Roman" w:eastAsia="新宋体" w:cs="Times New Roman"/>
                <w:color w:val="auto"/>
                <w:kern w:val="0"/>
                <w:sz w:val="24"/>
                <w:szCs w:val="24"/>
                <w:lang w:val="en-US" w:eastAsia="zh-CN"/>
              </w:rPr>
              <w:t>所示</w:t>
            </w:r>
            <w:r>
              <w:rPr>
                <w:rFonts w:hint="default" w:ascii="Times New Roman" w:hAnsi="Times New Roman" w:eastAsia="新宋体" w:cs="Times New Roman"/>
                <w:color w:val="auto"/>
                <w:kern w:val="0"/>
                <w:sz w:val="24"/>
                <w:szCs w:val="24"/>
                <w:lang w:eastAsia="zh-CN"/>
              </w:rPr>
              <w:t>。</w:t>
            </w:r>
          </w:p>
          <w:p>
            <w:pPr>
              <w:pStyle w:val="66"/>
              <w:keepNext w:val="0"/>
              <w:keepLines w:val="0"/>
              <w:pageBreakBefore w:val="0"/>
              <w:widowControl w:val="0"/>
              <w:kinsoku/>
              <w:wordWrap/>
              <w:overflowPunct/>
              <w:topLinePunct w:val="0"/>
              <w:autoSpaceDE/>
              <w:autoSpaceDN/>
              <w:bidi w:val="0"/>
              <w:adjustRightInd/>
              <w:snapToGrid/>
              <w:spacing w:beforeLines="0"/>
              <w:textAlignment w:val="auto"/>
              <w:rPr>
                <w:rFonts w:hint="eastAsia" w:ascii="Times New Roman" w:hAnsi="Times New Roman" w:eastAsia="宋体" w:cs="Times New Roman"/>
                <w:color w:val="auto"/>
                <w:u w:val="none"/>
                <w:lang w:eastAsia="zh-CN"/>
              </w:rPr>
            </w:pPr>
            <w:r>
              <w:rPr>
                <w:rFonts w:hint="default" w:ascii="Times New Roman" w:hAnsi="Times New Roman" w:cs="Times New Roman"/>
                <w:color w:val="auto"/>
                <w:u w:val="none"/>
              </w:rPr>
              <w:t>表1-1专项评价设置原则表</w:t>
            </w:r>
            <w:r>
              <w:rPr>
                <w:rFonts w:hint="eastAsia" w:cs="Times New Roman"/>
                <w:color w:val="auto"/>
                <w:u w:val="none"/>
                <w:lang w:eastAsia="zh-CN"/>
              </w:rPr>
              <w:t>（</w:t>
            </w:r>
            <w:r>
              <w:rPr>
                <w:rFonts w:hint="eastAsia" w:cs="Times New Roman"/>
                <w:color w:val="auto"/>
                <w:u w:val="none"/>
                <w:lang w:val="en-US" w:eastAsia="zh-CN"/>
              </w:rPr>
              <w:t>生态影响类</w:t>
            </w:r>
            <w:r>
              <w:rPr>
                <w:rFonts w:hint="eastAsia" w:cs="Times New Roman"/>
                <w:color w:val="auto"/>
                <w:u w:val="none"/>
                <w:lang w:eastAsia="zh-CN"/>
              </w:rPr>
              <w:t>）</w:t>
            </w:r>
          </w:p>
          <w:tbl>
            <w:tblPr>
              <w:tblStyle w:val="22"/>
              <w:tblW w:w="5077"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28" w:type="dxa"/>
                <w:left w:w="0" w:type="dxa"/>
                <w:bottom w:w="28" w:type="dxa"/>
                <w:right w:w="0" w:type="dxa"/>
              </w:tblCellMar>
            </w:tblPr>
            <w:tblGrid>
              <w:gridCol w:w="922"/>
              <w:gridCol w:w="3501"/>
              <w:gridCol w:w="2349"/>
              <w:gridCol w:w="938"/>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0" w:type="dxa"/>
                  <w:bottom w:w="28" w:type="dxa"/>
                  <w:right w:w="0" w:type="dxa"/>
                </w:tblCellMar>
              </w:tblPrEx>
              <w:trPr>
                <w:trHeight w:val="548" w:hRule="atLeast"/>
                <w:jc w:val="center"/>
              </w:trPr>
              <w:tc>
                <w:tcPr>
                  <w:tcW w:w="597" w:type="pct"/>
                  <w:tcBorders>
                    <w:tl2br w:val="nil"/>
                    <w:tr2bl w:val="nil"/>
                  </w:tcBorders>
                  <w:noWrap w:val="0"/>
                  <w:vAlign w:val="center"/>
                </w:tcPr>
                <w:p>
                  <w:pPr>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专项评价的类别</w:t>
                  </w:r>
                </w:p>
              </w:tc>
              <w:tc>
                <w:tcPr>
                  <w:tcW w:w="2270" w:type="pct"/>
                  <w:tcBorders>
                    <w:tl2br w:val="nil"/>
                    <w:tr2bl w:val="nil"/>
                  </w:tcBorders>
                  <w:noWrap w:val="0"/>
                  <w:vAlign w:val="center"/>
                </w:tcPr>
                <w:p>
                  <w:pPr>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涉及项目类别</w:t>
                  </w:r>
                </w:p>
              </w:tc>
              <w:tc>
                <w:tcPr>
                  <w:tcW w:w="1523" w:type="pct"/>
                  <w:tcBorders>
                    <w:tl2br w:val="nil"/>
                    <w:tr2bl w:val="nil"/>
                  </w:tcBorders>
                  <w:noWrap w:val="0"/>
                  <w:vAlign w:val="center"/>
                </w:tcPr>
                <w:p>
                  <w:pPr>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本项目情况</w:t>
                  </w:r>
                </w:p>
              </w:tc>
              <w:tc>
                <w:tcPr>
                  <w:tcW w:w="608" w:type="pct"/>
                  <w:tcBorders>
                    <w:tl2br w:val="nil"/>
                    <w:tr2bl w:val="nil"/>
                  </w:tcBorders>
                  <w:noWrap w:val="0"/>
                  <w:vAlign w:val="center"/>
                </w:tcPr>
                <w:p>
                  <w:pPr>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是否设置专项评价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0" w:type="dxa"/>
                  <w:bottom w:w="28" w:type="dxa"/>
                  <w:right w:w="0" w:type="dxa"/>
                </w:tblCellMar>
              </w:tblPrEx>
              <w:trPr>
                <w:trHeight w:val="534" w:hRule="atLeast"/>
                <w:jc w:val="center"/>
              </w:trPr>
              <w:tc>
                <w:tcPr>
                  <w:tcW w:w="597" w:type="pct"/>
                  <w:tcBorders>
                    <w:tl2br w:val="nil"/>
                    <w:tr2bl w:val="nil"/>
                  </w:tcBorders>
                  <w:noWrap w:val="0"/>
                  <w:vAlign w:val="center"/>
                </w:tcPr>
                <w:p>
                  <w:pPr>
                    <w:autoSpaceDE w:val="0"/>
                    <w:autoSpaceDN w:val="0"/>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rPr>
                    <w:t>地表水</w:t>
                  </w:r>
                </w:p>
              </w:tc>
              <w:tc>
                <w:tcPr>
                  <w:tcW w:w="2270" w:type="pct"/>
                  <w:tcBorders>
                    <w:tl2br w:val="nil"/>
                    <w:tr2bl w:val="nil"/>
                  </w:tcBorders>
                  <w:noWrap w:val="0"/>
                  <w:vAlign w:val="center"/>
                </w:tcPr>
                <w:p>
                  <w:pPr>
                    <w:autoSpaceDE w:val="0"/>
                    <w:autoSpaceDN w:val="0"/>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水力发电：引水式发电、涉及发电的项目；</w:t>
                  </w:r>
                </w:p>
                <w:p>
                  <w:pPr>
                    <w:autoSpaceDE w:val="0"/>
                    <w:autoSpaceDN w:val="0"/>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人工湖、人工湿地：全部水库：全部；</w:t>
                  </w:r>
                </w:p>
                <w:p>
                  <w:pPr>
                    <w:autoSpaceDE w:val="0"/>
                    <w:autoSpaceDN w:val="0"/>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引水工程：全部（配套的管线工程等除外）；</w:t>
                  </w:r>
                </w:p>
                <w:p>
                  <w:pPr>
                    <w:autoSpaceDE w:val="0"/>
                    <w:autoSpaceDN w:val="0"/>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防洪除涝工程：包含水库的项目；</w:t>
                  </w:r>
                </w:p>
                <w:p>
                  <w:pPr>
                    <w:autoSpaceDE w:val="0"/>
                    <w:autoSpaceDN w:val="0"/>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河湖整治：涉及清淤且底泥存在重金属污染的项目</w:t>
                  </w:r>
                </w:p>
              </w:tc>
              <w:tc>
                <w:tcPr>
                  <w:tcW w:w="1523" w:type="pct"/>
                  <w:tcBorders>
                    <w:tl2br w:val="nil"/>
                    <w:tr2bl w:val="nil"/>
                  </w:tcBorders>
                  <w:noWrap w:val="0"/>
                  <w:vAlign w:val="center"/>
                </w:tcPr>
                <w:p>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Cs/>
                      <w:color w:val="auto"/>
                      <w:sz w:val="21"/>
                      <w:szCs w:val="21"/>
                      <w:lang w:val="en-US" w:eastAsia="zh-CN"/>
                    </w:rPr>
                    <w:t>本项目</w:t>
                  </w:r>
                  <w:r>
                    <w:rPr>
                      <w:rFonts w:hint="eastAsia" w:eastAsia="宋体" w:cs="Times New Roman"/>
                      <w:bCs/>
                      <w:color w:val="auto"/>
                      <w:sz w:val="21"/>
                      <w:szCs w:val="21"/>
                      <w:lang w:val="en-US" w:eastAsia="zh-CN"/>
                    </w:rPr>
                    <w:t>不涉及左述项目类别</w:t>
                  </w:r>
                </w:p>
              </w:tc>
              <w:tc>
                <w:tcPr>
                  <w:tcW w:w="608" w:type="pct"/>
                  <w:tcBorders>
                    <w:tl2br w:val="nil"/>
                    <w:tr2bl w:val="nil"/>
                  </w:tcBorders>
                  <w:noWrap w:val="0"/>
                  <w:vAlign w:val="center"/>
                </w:tcPr>
                <w:p>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否</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0" w:type="dxa"/>
                  <w:bottom w:w="28" w:type="dxa"/>
                  <w:right w:w="0" w:type="dxa"/>
                </w:tblCellMar>
              </w:tblPrEx>
              <w:trPr>
                <w:trHeight w:val="1076" w:hRule="atLeast"/>
                <w:jc w:val="center"/>
              </w:trPr>
              <w:tc>
                <w:tcPr>
                  <w:tcW w:w="597" w:type="pct"/>
                  <w:tcBorders>
                    <w:tl2br w:val="nil"/>
                    <w:tr2bl w:val="nil"/>
                  </w:tcBorders>
                  <w:noWrap w:val="0"/>
                  <w:vAlign w:val="center"/>
                </w:tcPr>
                <w:p>
                  <w:pPr>
                    <w:autoSpaceDE w:val="0"/>
                    <w:autoSpaceDN w:val="0"/>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rPr>
                    <w:t>地下水</w:t>
                  </w:r>
                </w:p>
              </w:tc>
              <w:tc>
                <w:tcPr>
                  <w:tcW w:w="2270" w:type="pct"/>
                  <w:tcBorders>
                    <w:tl2br w:val="nil"/>
                    <w:tr2bl w:val="nil"/>
                  </w:tcBorders>
                  <w:noWrap w:val="0"/>
                  <w:vAlign w:val="center"/>
                </w:tcPr>
                <w:p>
                  <w:pPr>
                    <w:autoSpaceDE w:val="0"/>
                    <w:autoSpaceDN w:val="0"/>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陆地石油和天然气开采：全部；</w:t>
                  </w:r>
                </w:p>
                <w:p>
                  <w:pPr>
                    <w:autoSpaceDE w:val="0"/>
                    <w:autoSpaceDN w:val="0"/>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地下水（含矿泉水）开采：全部；</w:t>
                  </w:r>
                </w:p>
                <w:p>
                  <w:pPr>
                    <w:autoSpaceDE w:val="0"/>
                    <w:autoSpaceDN w:val="0"/>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水利、水电、交通等：含穿越可溶岩地层隧道的项目</w:t>
                  </w:r>
                </w:p>
              </w:tc>
              <w:tc>
                <w:tcPr>
                  <w:tcW w:w="1523" w:type="pct"/>
                  <w:tcBorders>
                    <w:tl2br w:val="nil"/>
                    <w:tr2bl w:val="nil"/>
                  </w:tcBorders>
                  <w:noWrap w:val="0"/>
                  <w:vAlign w:val="center"/>
                </w:tcPr>
                <w:p>
                  <w:pPr>
                    <w:jc w:val="center"/>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bCs/>
                      <w:color w:val="auto"/>
                      <w:sz w:val="21"/>
                      <w:szCs w:val="21"/>
                      <w:lang w:val="en-US" w:eastAsia="zh-CN"/>
                    </w:rPr>
                    <w:t>本项目</w:t>
                  </w:r>
                  <w:r>
                    <w:rPr>
                      <w:rFonts w:hint="eastAsia" w:eastAsia="宋体" w:cs="Times New Roman"/>
                      <w:bCs/>
                      <w:color w:val="auto"/>
                      <w:sz w:val="21"/>
                      <w:szCs w:val="21"/>
                      <w:lang w:val="en-US" w:eastAsia="zh-CN"/>
                    </w:rPr>
                    <w:t>不涉及左述项目类别</w:t>
                  </w:r>
                </w:p>
              </w:tc>
              <w:tc>
                <w:tcPr>
                  <w:tcW w:w="608" w:type="pct"/>
                  <w:tcBorders>
                    <w:tl2br w:val="nil"/>
                    <w:tr2bl w:val="nil"/>
                  </w:tcBorders>
                  <w:noWrap w:val="0"/>
                  <w:vAlign w:val="center"/>
                </w:tcPr>
                <w:p>
                  <w:pPr>
                    <w:jc w:val="center"/>
                    <w:rPr>
                      <w:rFonts w:hint="default" w:ascii="Times New Roman" w:hAnsi="Times New Roman" w:eastAsia="宋体" w:cs="Times New Roman"/>
                      <w:color w:val="auto"/>
                      <w:sz w:val="21"/>
                      <w:szCs w:val="21"/>
                      <w:lang w:val="en-US" w:eastAsia="zh-CN"/>
                    </w:rPr>
                  </w:pPr>
                  <w:r>
                    <w:rPr>
                      <w:rFonts w:hint="eastAsia" w:eastAsia="宋体" w:cs="Times New Roman"/>
                      <w:color w:val="auto"/>
                      <w:sz w:val="21"/>
                      <w:szCs w:val="21"/>
                      <w:lang w:val="en-US" w:eastAsia="zh-CN"/>
                    </w:rPr>
                    <w:t>否</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0" w:type="dxa"/>
                  <w:bottom w:w="28" w:type="dxa"/>
                  <w:right w:w="0" w:type="dxa"/>
                </w:tblCellMar>
              </w:tblPrEx>
              <w:trPr>
                <w:trHeight w:val="543" w:hRule="atLeast"/>
                <w:jc w:val="center"/>
              </w:trPr>
              <w:tc>
                <w:tcPr>
                  <w:tcW w:w="597" w:type="pct"/>
                  <w:tcBorders>
                    <w:tl2br w:val="nil"/>
                    <w:tr2bl w:val="nil"/>
                  </w:tcBorders>
                  <w:noWrap w:val="0"/>
                  <w:vAlign w:val="center"/>
                </w:tcPr>
                <w:p>
                  <w:pPr>
                    <w:autoSpaceDE w:val="0"/>
                    <w:autoSpaceDN w:val="0"/>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rPr>
                    <w:t>生态</w:t>
                  </w:r>
                </w:p>
              </w:tc>
              <w:tc>
                <w:tcPr>
                  <w:tcW w:w="2270" w:type="pct"/>
                  <w:tcBorders>
                    <w:tl2br w:val="nil"/>
                    <w:tr2bl w:val="nil"/>
                  </w:tcBorders>
                  <w:noWrap w:val="0"/>
                  <w:vAlign w:val="center"/>
                </w:tcPr>
                <w:p>
                  <w:pPr>
                    <w:autoSpaceDE w:val="0"/>
                    <w:autoSpaceDN w:val="0"/>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涉及环境敏感区（不包括饮用水水源保护区、以居住、医疗卫生、文化教育、科研、行政办公为主要功能的区域，以及文物保护单位）的项目</w:t>
                  </w:r>
                </w:p>
              </w:tc>
              <w:tc>
                <w:tcPr>
                  <w:tcW w:w="1523" w:type="pct"/>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Cs/>
                      <w:color w:val="auto"/>
                      <w:sz w:val="21"/>
                      <w:szCs w:val="21"/>
                      <w:lang w:val="en-US" w:eastAsia="zh-CN"/>
                    </w:rPr>
                    <w:t>本项目</w:t>
                  </w:r>
                  <w:r>
                    <w:rPr>
                      <w:rFonts w:hint="eastAsia" w:eastAsia="宋体" w:cs="Times New Roman"/>
                      <w:bCs/>
                      <w:color w:val="auto"/>
                      <w:sz w:val="21"/>
                      <w:szCs w:val="21"/>
                      <w:lang w:val="en-US" w:eastAsia="zh-CN"/>
                    </w:rPr>
                    <w:t>涉及</w:t>
                  </w:r>
                  <w:r>
                    <w:rPr>
                      <w:rFonts w:hint="eastAsia" w:ascii="Times New Roman" w:hAnsi="Times New Roman" w:eastAsia="宋体" w:cs="Times New Roman"/>
                      <w:color w:val="auto"/>
                      <w:lang w:val="en-US" w:eastAsia="zh-CN"/>
                    </w:rPr>
                    <w:t>湖南东洞庭湖国家级自然保护区</w:t>
                  </w:r>
                </w:p>
              </w:tc>
              <w:tc>
                <w:tcPr>
                  <w:tcW w:w="608" w:type="pct"/>
                  <w:tcBorders>
                    <w:tl2br w:val="nil"/>
                    <w:tr2bl w:val="nil"/>
                  </w:tcBorders>
                  <w:noWrap w:val="0"/>
                  <w:vAlign w:val="center"/>
                </w:tcPr>
                <w:p>
                  <w:pPr>
                    <w:jc w:val="center"/>
                    <w:rPr>
                      <w:rFonts w:hint="eastAsia" w:ascii="Times New Roman" w:hAnsi="Times New Roman" w:eastAsia="宋体" w:cs="Times New Roman"/>
                      <w:color w:val="auto"/>
                      <w:sz w:val="21"/>
                      <w:szCs w:val="21"/>
                      <w:lang w:val="en-US" w:eastAsia="zh-CN"/>
                    </w:rPr>
                  </w:pPr>
                  <w:r>
                    <w:rPr>
                      <w:rFonts w:hint="eastAsia" w:eastAsia="宋体" w:cs="Times New Roman"/>
                      <w:color w:val="auto"/>
                      <w:sz w:val="21"/>
                      <w:szCs w:val="21"/>
                      <w:lang w:val="en-US" w:eastAsia="zh-CN"/>
                    </w:rPr>
                    <w:t>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0" w:type="dxa"/>
                  <w:bottom w:w="28" w:type="dxa"/>
                  <w:right w:w="0" w:type="dxa"/>
                </w:tblCellMar>
              </w:tblPrEx>
              <w:trPr>
                <w:trHeight w:val="810" w:hRule="atLeast"/>
                <w:jc w:val="center"/>
              </w:trPr>
              <w:tc>
                <w:tcPr>
                  <w:tcW w:w="597" w:type="pct"/>
                  <w:tcBorders>
                    <w:tl2br w:val="nil"/>
                    <w:tr2bl w:val="nil"/>
                  </w:tcBorders>
                  <w:noWrap w:val="0"/>
                  <w:vAlign w:val="center"/>
                </w:tcPr>
                <w:p>
                  <w:pPr>
                    <w:autoSpaceDE w:val="0"/>
                    <w:autoSpaceDN w:val="0"/>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rPr>
                    <w:t>大气</w:t>
                  </w:r>
                </w:p>
              </w:tc>
              <w:tc>
                <w:tcPr>
                  <w:tcW w:w="2270" w:type="pct"/>
                  <w:tcBorders>
                    <w:tl2br w:val="nil"/>
                    <w:tr2bl w:val="nil"/>
                  </w:tcBorders>
                  <w:noWrap w:val="0"/>
                  <w:vAlign w:val="center"/>
                </w:tcPr>
                <w:p>
                  <w:pPr>
                    <w:autoSpaceDE w:val="0"/>
                    <w:autoSpaceDN w:val="0"/>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油气、液体化工码头：全部；</w:t>
                  </w:r>
                </w:p>
                <w:p>
                  <w:pPr>
                    <w:autoSpaceDE w:val="0"/>
                    <w:autoSpaceDN w:val="0"/>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干散货（含煤炭、矿石）、件杂、多用途、通用码头：涉及粉尘、挥发性有机物排放的项目</w:t>
                  </w:r>
                </w:p>
              </w:tc>
              <w:tc>
                <w:tcPr>
                  <w:tcW w:w="1523" w:type="pct"/>
                  <w:tcBorders>
                    <w:tl2br w:val="nil"/>
                    <w:tr2bl w:val="nil"/>
                  </w:tcBorders>
                  <w:noWrap w:val="0"/>
                  <w:vAlign w:val="center"/>
                </w:tcPr>
                <w:p>
                  <w:pPr>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bCs/>
                      <w:color w:val="auto"/>
                      <w:sz w:val="21"/>
                      <w:szCs w:val="21"/>
                      <w:lang w:val="en-US" w:eastAsia="zh-CN"/>
                    </w:rPr>
                    <w:t>本项目</w:t>
                  </w:r>
                  <w:r>
                    <w:rPr>
                      <w:rFonts w:hint="eastAsia" w:eastAsia="宋体" w:cs="Times New Roman"/>
                      <w:bCs/>
                      <w:color w:val="auto"/>
                      <w:sz w:val="21"/>
                      <w:szCs w:val="21"/>
                      <w:lang w:val="en-US" w:eastAsia="zh-CN"/>
                    </w:rPr>
                    <w:t>不涉及左述项目类别</w:t>
                  </w:r>
                </w:p>
              </w:tc>
              <w:tc>
                <w:tcPr>
                  <w:tcW w:w="608" w:type="pct"/>
                  <w:tcBorders>
                    <w:tl2br w:val="nil"/>
                    <w:tr2bl w:val="nil"/>
                  </w:tcBorders>
                  <w:noWrap w:val="0"/>
                  <w:vAlign w:val="center"/>
                </w:tcPr>
                <w:p>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否</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0" w:type="dxa"/>
                  <w:bottom w:w="28" w:type="dxa"/>
                  <w:right w:w="0" w:type="dxa"/>
                </w:tblCellMar>
              </w:tblPrEx>
              <w:trPr>
                <w:trHeight w:val="1342" w:hRule="atLeast"/>
                <w:jc w:val="center"/>
              </w:trPr>
              <w:tc>
                <w:tcPr>
                  <w:tcW w:w="597" w:type="pct"/>
                  <w:tcBorders>
                    <w:tl2br w:val="nil"/>
                    <w:tr2bl w:val="nil"/>
                  </w:tcBorders>
                  <w:noWrap w:val="0"/>
                  <w:vAlign w:val="center"/>
                </w:tcPr>
                <w:p>
                  <w:pPr>
                    <w:autoSpaceDE w:val="0"/>
                    <w:autoSpaceDN w:val="0"/>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rPr>
                    <w:t>噪声</w:t>
                  </w:r>
                </w:p>
              </w:tc>
              <w:tc>
                <w:tcPr>
                  <w:tcW w:w="2270" w:type="pct"/>
                  <w:tcBorders>
                    <w:tl2br w:val="nil"/>
                    <w:tr2bl w:val="nil"/>
                  </w:tcBorders>
                  <w:noWrap w:val="0"/>
                  <w:vAlign w:val="center"/>
                </w:tcPr>
                <w:p>
                  <w:pPr>
                    <w:autoSpaceDE w:val="0"/>
                    <w:autoSpaceDN w:val="0"/>
                    <w:adjustRightInd w:val="0"/>
                    <w:jc w:val="left"/>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公路、铁路、机场等交通运输业涉及环境敏感区（以居住、医疗卫生、文化教育、科研、行政办公为主要功能的区域）的项目；</w:t>
                  </w:r>
                </w:p>
                <w:p>
                  <w:pPr>
                    <w:autoSpaceDE w:val="0"/>
                    <w:autoSpaceDN w:val="0"/>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rPr>
                    <w:t>城市道路（不含维护，不含支路、人行天桥、人行地道）：全部</w:t>
                  </w:r>
                </w:p>
              </w:tc>
              <w:tc>
                <w:tcPr>
                  <w:tcW w:w="1523" w:type="pct"/>
                  <w:tcBorders>
                    <w:tl2br w:val="nil"/>
                    <w:tr2bl w:val="nil"/>
                  </w:tcBorders>
                  <w:noWrap w:val="0"/>
                  <w:vAlign w:val="center"/>
                </w:tcPr>
                <w:p>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Cs/>
                      <w:color w:val="auto"/>
                      <w:sz w:val="21"/>
                      <w:szCs w:val="21"/>
                      <w:lang w:val="en-US" w:eastAsia="zh-CN"/>
                    </w:rPr>
                    <w:t>本项目</w:t>
                  </w:r>
                  <w:r>
                    <w:rPr>
                      <w:rFonts w:hint="eastAsia" w:eastAsia="宋体" w:cs="Times New Roman"/>
                      <w:bCs/>
                      <w:color w:val="auto"/>
                      <w:sz w:val="21"/>
                      <w:szCs w:val="21"/>
                      <w:lang w:val="en-US" w:eastAsia="zh-CN"/>
                    </w:rPr>
                    <w:t>不涉及左述项目类别</w:t>
                  </w:r>
                </w:p>
              </w:tc>
              <w:tc>
                <w:tcPr>
                  <w:tcW w:w="608" w:type="pct"/>
                  <w:tcBorders>
                    <w:tl2br w:val="nil"/>
                    <w:tr2bl w:val="nil"/>
                  </w:tcBorders>
                  <w:noWrap w:val="0"/>
                  <w:vAlign w:val="center"/>
                </w:tcPr>
                <w:p>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否</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0" w:type="dxa"/>
                  <w:bottom w:w="28" w:type="dxa"/>
                  <w:right w:w="0" w:type="dxa"/>
                </w:tblCellMar>
              </w:tblPrEx>
              <w:trPr>
                <w:trHeight w:val="337" w:hRule="atLeast"/>
                <w:jc w:val="center"/>
              </w:trPr>
              <w:tc>
                <w:tcPr>
                  <w:tcW w:w="597" w:type="pct"/>
                  <w:tcBorders>
                    <w:tl2br w:val="nil"/>
                    <w:tr2bl w:val="nil"/>
                  </w:tcBorders>
                  <w:noWrap w:val="0"/>
                  <w:vAlign w:val="center"/>
                </w:tcPr>
                <w:p>
                  <w:pPr>
                    <w:autoSpaceDE w:val="0"/>
                    <w:autoSpaceDN w:val="0"/>
                    <w:adjustRightInd w:val="0"/>
                    <w:snapToGrid w:val="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环境风险</w:t>
                  </w:r>
                </w:p>
              </w:tc>
              <w:tc>
                <w:tcPr>
                  <w:tcW w:w="2270" w:type="pct"/>
                  <w:tcBorders>
                    <w:tl2br w:val="nil"/>
                    <w:tr2bl w:val="nil"/>
                  </w:tcBorders>
                  <w:noWrap w:val="0"/>
                  <w:vAlign w:val="center"/>
                </w:tcPr>
                <w:p>
                  <w:pPr>
                    <w:autoSpaceDE w:val="0"/>
                    <w:autoSpaceDN w:val="0"/>
                    <w:adjustRightInd w:val="0"/>
                    <w:jc w:val="left"/>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石油和天然气开采：全部；</w:t>
                  </w:r>
                </w:p>
                <w:p>
                  <w:pPr>
                    <w:autoSpaceDE w:val="0"/>
                    <w:autoSpaceDN w:val="0"/>
                    <w:adjustRightInd w:val="0"/>
                    <w:jc w:val="left"/>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油气、液体化工码头：全部；</w:t>
                  </w:r>
                </w:p>
                <w:p>
                  <w:pPr>
                    <w:autoSpaceDE w:val="0"/>
                    <w:autoSpaceDN w:val="0"/>
                    <w:adjustRightInd w:val="0"/>
                    <w:jc w:val="left"/>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原油、成品油、天然气管线（不含城镇天然气管线、企业厂区内管线），危险化学品输送管线（不含企业厂区内管线）：全部</w:t>
                  </w:r>
                </w:p>
              </w:tc>
              <w:tc>
                <w:tcPr>
                  <w:tcW w:w="1523" w:type="pct"/>
                  <w:tcBorders>
                    <w:tl2br w:val="nil"/>
                    <w:tr2bl w:val="nil"/>
                  </w:tcBorders>
                  <w:noWrap w:val="0"/>
                  <w:vAlign w:val="center"/>
                </w:tcPr>
                <w:p>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Cs/>
                      <w:color w:val="auto"/>
                      <w:sz w:val="21"/>
                      <w:szCs w:val="21"/>
                      <w:lang w:val="en-US" w:eastAsia="zh-CN"/>
                    </w:rPr>
                    <w:t>本项目</w:t>
                  </w:r>
                  <w:r>
                    <w:rPr>
                      <w:rFonts w:hint="eastAsia" w:eastAsia="宋体" w:cs="Times New Roman"/>
                      <w:bCs/>
                      <w:color w:val="auto"/>
                      <w:sz w:val="21"/>
                      <w:szCs w:val="21"/>
                      <w:lang w:val="en-US" w:eastAsia="zh-CN"/>
                    </w:rPr>
                    <w:t>不涉及左述项目类别</w:t>
                  </w:r>
                </w:p>
              </w:tc>
              <w:tc>
                <w:tcPr>
                  <w:tcW w:w="608" w:type="pct"/>
                  <w:tcBorders>
                    <w:tl2br w:val="nil"/>
                    <w:tr2bl w:val="nil"/>
                  </w:tcBorders>
                  <w:noWrap w:val="0"/>
                  <w:vAlign w:val="center"/>
                </w:tcPr>
                <w:p>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否</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0" w:type="dxa"/>
                  <w:bottom w:w="28" w:type="dxa"/>
                  <w:right w:w="0" w:type="dxa"/>
                </w:tblCellMar>
              </w:tblPrEx>
              <w:trPr>
                <w:trHeight w:val="825" w:hRule="atLeast"/>
                <w:jc w:val="center"/>
              </w:trPr>
              <w:tc>
                <w:tcPr>
                  <w:tcW w:w="5000" w:type="pct"/>
                  <w:gridSpan w:val="4"/>
                  <w:tcBorders>
                    <w:tl2br w:val="nil"/>
                    <w:tr2bl w:val="nil"/>
                  </w:tcBorders>
                  <w:noWrap w:val="0"/>
                  <w:vAlign w:val="center"/>
                </w:tcPr>
                <w:p>
                  <w:pPr>
                    <w:autoSpaceDE w:val="0"/>
                    <w:autoSpaceDN w:val="0"/>
                    <w:adjustRightInd w:val="0"/>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注</w:t>
                  </w:r>
                  <w:r>
                    <w:rPr>
                      <w:rFonts w:hint="default" w:ascii="Times New Roman" w:hAnsi="Times New Roman" w:eastAsia="宋体" w:cs="Times New Roman"/>
                      <w:color w:val="auto"/>
                      <w:kern w:val="0"/>
                      <w:sz w:val="21"/>
                      <w:szCs w:val="21"/>
                    </w:rPr>
                    <w:t>：</w:t>
                  </w:r>
                  <w:r>
                    <w:rPr>
                      <w:rFonts w:hint="default" w:ascii="Times New Roman" w:hAnsi="Times New Roman" w:eastAsia="宋体" w:cs="Times New Roman"/>
                      <w:color w:val="auto"/>
                      <w:kern w:val="0"/>
                      <w:sz w:val="21"/>
                      <w:szCs w:val="21"/>
                      <w:lang w:eastAsia="zh-CN"/>
                    </w:rPr>
                    <w:t>“</w:t>
                  </w:r>
                  <w:r>
                    <w:rPr>
                      <w:rFonts w:hint="default" w:ascii="Times New Roman" w:hAnsi="Times New Roman" w:eastAsia="宋体" w:cs="Times New Roman"/>
                      <w:color w:val="auto"/>
                      <w:kern w:val="0"/>
                      <w:sz w:val="21"/>
                      <w:szCs w:val="21"/>
                    </w:rPr>
                    <w:t>涉及环境敏感区</w:t>
                  </w:r>
                  <w:r>
                    <w:rPr>
                      <w:rFonts w:hint="default" w:ascii="Times New Roman" w:hAnsi="Times New Roman" w:eastAsia="宋体" w:cs="Times New Roman"/>
                      <w:color w:val="auto"/>
                      <w:kern w:val="0"/>
                      <w:sz w:val="21"/>
                      <w:szCs w:val="21"/>
                      <w:lang w:val="en-US" w:eastAsia="zh-CN"/>
                    </w:rPr>
                    <w:t>”</w:t>
                  </w:r>
                  <w:r>
                    <w:rPr>
                      <w:rFonts w:hint="default" w:ascii="Times New Roman" w:hAnsi="Times New Roman" w:eastAsia="宋体" w:cs="Times New Roman"/>
                      <w:color w:val="auto"/>
                      <w:kern w:val="0"/>
                      <w:sz w:val="21"/>
                      <w:szCs w:val="21"/>
                    </w:rPr>
                    <w:t>是指建设项目位于、穿（跨）越（无害化通过的除外）环境敏感区，或环境影响范围涵盖环境敏感区。环境敏感区是指《建设项目环境影响评价分类管理名录》中针对该类项目所列的敏感区。</w:t>
                  </w:r>
                </w:p>
              </w:tc>
            </w:tr>
          </w:tbl>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cs="宋体"/>
                <w:color w:val="auto"/>
                <w:kern w:val="0"/>
                <w:sz w:val="24"/>
                <w:szCs w:val="21"/>
              </w:rPr>
            </w:pPr>
            <w:r>
              <w:rPr>
                <w:rFonts w:hint="default" w:ascii="Times New Roman" w:hAnsi="Times New Roman" w:cs="Times New Roman"/>
                <w:color w:val="auto"/>
                <w:kern w:val="0"/>
                <w:sz w:val="24"/>
              </w:rPr>
              <w:t>综上所述，本项目</w:t>
            </w:r>
            <w:r>
              <w:rPr>
                <w:rFonts w:hint="default" w:ascii="Times New Roman" w:hAnsi="Times New Roman" w:cs="Times New Roman"/>
                <w:color w:val="auto"/>
                <w:kern w:val="0"/>
                <w:sz w:val="24"/>
                <w:lang w:val="en-US" w:eastAsia="zh-CN"/>
              </w:rPr>
              <w:t>需</w:t>
            </w:r>
            <w:r>
              <w:rPr>
                <w:rFonts w:hint="default" w:ascii="Times New Roman" w:hAnsi="Times New Roman" w:cs="Times New Roman"/>
                <w:color w:val="auto"/>
                <w:kern w:val="0"/>
                <w:sz w:val="24"/>
              </w:rPr>
              <w:t>设置</w:t>
            </w:r>
            <w:r>
              <w:rPr>
                <w:rFonts w:hint="eastAsia" w:cs="Times New Roman"/>
                <w:color w:val="auto"/>
                <w:kern w:val="0"/>
                <w:sz w:val="24"/>
                <w:lang w:val="en-US" w:eastAsia="zh-CN"/>
              </w:rPr>
              <w:t>生态</w:t>
            </w:r>
            <w:r>
              <w:rPr>
                <w:rFonts w:hint="default" w:ascii="Times New Roman" w:hAnsi="Times New Roman" w:cs="Times New Roman"/>
                <w:color w:val="auto"/>
                <w:kern w:val="0"/>
                <w:sz w:val="24"/>
              </w:rPr>
              <w:t>专项评价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182" w:type="dxa"/>
            <w:vAlign w:val="center"/>
          </w:tcPr>
          <w:p>
            <w:pPr>
              <w:autoSpaceDE w:val="0"/>
              <w:autoSpaceDN w:val="0"/>
              <w:adjustRightInd w:val="0"/>
              <w:snapToGrid w:val="0"/>
              <w:jc w:val="center"/>
              <w:rPr>
                <w:rFonts w:cs="宋体"/>
                <w:color w:val="auto"/>
                <w:kern w:val="0"/>
                <w:sz w:val="24"/>
                <w:szCs w:val="21"/>
              </w:rPr>
            </w:pPr>
            <w:r>
              <w:rPr>
                <w:rFonts w:hint="eastAsia" w:cs="宋体"/>
                <w:color w:val="auto"/>
                <w:sz w:val="24"/>
                <w:szCs w:val="21"/>
              </w:rPr>
              <w:t>规划情况</w:t>
            </w:r>
          </w:p>
        </w:tc>
        <w:tc>
          <w:tcPr>
            <w:tcW w:w="7838" w:type="dxa"/>
            <w:gridSpan w:val="3"/>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eastAsia="宋体" w:cs="宋体"/>
                <w:color w:val="auto"/>
                <w:kern w:val="0"/>
                <w:sz w:val="24"/>
                <w:szCs w:val="21"/>
                <w:lang w:val="en-US" w:eastAsia="zh-CN"/>
              </w:rPr>
            </w:pPr>
            <w:r>
              <w:rPr>
                <w:rFonts w:hint="eastAsia" w:cs="宋体"/>
                <w:color w:val="auto"/>
                <w:kern w:val="0"/>
                <w:sz w:val="24"/>
                <w:szCs w:val="21"/>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182" w:type="dxa"/>
            <w:vAlign w:val="center"/>
          </w:tcPr>
          <w:p>
            <w:pPr>
              <w:adjustRightInd w:val="0"/>
              <w:snapToGrid w:val="0"/>
              <w:jc w:val="center"/>
              <w:rPr>
                <w:rFonts w:cs="宋体"/>
                <w:color w:val="auto"/>
                <w:sz w:val="24"/>
                <w:szCs w:val="21"/>
              </w:rPr>
            </w:pPr>
            <w:r>
              <w:rPr>
                <w:rFonts w:hint="eastAsia" w:cs="宋体"/>
                <w:color w:val="auto"/>
                <w:sz w:val="24"/>
                <w:szCs w:val="21"/>
              </w:rPr>
              <w:t>规划环境影响</w:t>
            </w:r>
          </w:p>
          <w:p>
            <w:pPr>
              <w:adjustRightInd w:val="0"/>
              <w:snapToGrid w:val="0"/>
              <w:jc w:val="center"/>
              <w:rPr>
                <w:rFonts w:cs="宋体"/>
                <w:color w:val="auto"/>
                <w:kern w:val="0"/>
                <w:sz w:val="24"/>
                <w:szCs w:val="21"/>
              </w:rPr>
            </w:pPr>
            <w:r>
              <w:rPr>
                <w:rFonts w:hint="eastAsia" w:cs="宋体"/>
                <w:color w:val="auto"/>
                <w:sz w:val="24"/>
                <w:szCs w:val="21"/>
              </w:rPr>
              <w:t>评价情况</w:t>
            </w:r>
          </w:p>
        </w:tc>
        <w:tc>
          <w:tcPr>
            <w:tcW w:w="7838" w:type="dxa"/>
            <w:gridSpan w:val="3"/>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eastAsia="宋体" w:cs="宋体"/>
                <w:color w:val="auto"/>
                <w:kern w:val="0"/>
                <w:sz w:val="24"/>
                <w:szCs w:val="21"/>
                <w:lang w:eastAsia="zh-CN"/>
              </w:rPr>
            </w:pPr>
            <w:r>
              <w:rPr>
                <w:rFonts w:hint="eastAsia" w:cs="宋体"/>
                <w:color w:val="auto"/>
                <w:kern w:val="0"/>
                <w:sz w:val="24"/>
                <w:szCs w:val="21"/>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182" w:type="dxa"/>
            <w:vAlign w:val="center"/>
          </w:tcPr>
          <w:p>
            <w:pPr>
              <w:autoSpaceDE w:val="0"/>
              <w:autoSpaceDN w:val="0"/>
              <w:adjustRightInd w:val="0"/>
              <w:snapToGrid w:val="0"/>
              <w:jc w:val="center"/>
              <w:rPr>
                <w:rFonts w:cs="宋体"/>
                <w:color w:val="auto"/>
                <w:kern w:val="0"/>
                <w:sz w:val="24"/>
                <w:szCs w:val="21"/>
              </w:rPr>
            </w:pPr>
            <w:r>
              <w:rPr>
                <w:rFonts w:hint="eastAsia" w:cs="宋体"/>
                <w:color w:val="auto"/>
                <w:kern w:val="0"/>
                <w:sz w:val="24"/>
                <w:szCs w:val="21"/>
              </w:rPr>
              <w:t>规划及规划环境</w:t>
            </w:r>
          </w:p>
          <w:p>
            <w:pPr>
              <w:autoSpaceDE w:val="0"/>
              <w:autoSpaceDN w:val="0"/>
              <w:adjustRightInd w:val="0"/>
              <w:snapToGrid w:val="0"/>
              <w:jc w:val="center"/>
              <w:rPr>
                <w:rFonts w:cs="宋体"/>
                <w:color w:val="auto"/>
                <w:kern w:val="0"/>
                <w:sz w:val="24"/>
                <w:szCs w:val="21"/>
              </w:rPr>
            </w:pPr>
            <w:r>
              <w:rPr>
                <w:rFonts w:hint="eastAsia" w:cs="宋体"/>
                <w:color w:val="auto"/>
                <w:kern w:val="0"/>
                <w:sz w:val="24"/>
                <w:szCs w:val="21"/>
              </w:rPr>
              <w:t>影响评价符合性分析</w:t>
            </w:r>
          </w:p>
        </w:tc>
        <w:tc>
          <w:tcPr>
            <w:tcW w:w="7838" w:type="dxa"/>
            <w:gridSpan w:val="3"/>
            <w:vAlign w:val="center"/>
          </w:tcPr>
          <w:p>
            <w:pPr>
              <w:keepNext w:val="0"/>
              <w:keepLines w:val="0"/>
              <w:pageBreakBefore w:val="0"/>
              <w:widowControl w:val="0"/>
              <w:kinsoku/>
              <w:wordWrap/>
              <w:overflowPunct/>
              <w:topLinePunct w:val="0"/>
              <w:autoSpaceDE w:val="0"/>
              <w:autoSpaceDN w:val="0"/>
              <w:bidi w:val="0"/>
              <w:adjustRightInd w:val="0"/>
              <w:snapToGrid w:val="0"/>
              <w:spacing w:before="157" w:beforeLines="50" w:line="360" w:lineRule="auto"/>
              <w:ind w:firstLine="420" w:firstLineChars="200"/>
              <w:jc w:val="left"/>
              <w:textAlignment w:val="auto"/>
              <w:rPr>
                <w:rFonts w:hint="eastAsia" w:eastAsia="宋体"/>
                <w:color w:val="auto"/>
                <w:lang w:val="en-US" w:eastAsia="zh-CN"/>
              </w:rPr>
            </w:pPr>
            <w:r>
              <w:rPr>
                <w:rFonts w:hint="eastAsia"/>
                <w:color w:val="auto"/>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182" w:type="dxa"/>
            <w:vAlign w:val="center"/>
          </w:tcPr>
          <w:p>
            <w:pPr>
              <w:autoSpaceDE w:val="0"/>
              <w:autoSpaceDN w:val="0"/>
              <w:adjustRightInd w:val="0"/>
              <w:snapToGrid w:val="0"/>
              <w:jc w:val="center"/>
              <w:rPr>
                <w:rFonts w:hint="eastAsia" w:cs="宋体"/>
                <w:color w:val="auto"/>
                <w:kern w:val="0"/>
                <w:sz w:val="24"/>
                <w:szCs w:val="21"/>
              </w:rPr>
            </w:pPr>
            <w:r>
              <w:rPr>
                <w:rFonts w:hint="eastAsia" w:cs="宋体"/>
                <w:color w:val="auto"/>
                <w:kern w:val="0"/>
                <w:sz w:val="24"/>
                <w:szCs w:val="21"/>
              </w:rPr>
              <w:t>其他符合性分析</w:t>
            </w:r>
          </w:p>
        </w:tc>
        <w:tc>
          <w:tcPr>
            <w:tcW w:w="7838" w:type="dxa"/>
            <w:gridSpan w:val="3"/>
            <w:vAlign w:val="center"/>
          </w:tcPr>
          <w:p>
            <w:pPr>
              <w:adjustRightInd w:val="0"/>
              <w:snapToGrid w:val="0"/>
              <w:spacing w:line="360" w:lineRule="auto"/>
              <w:ind w:firstLine="482" w:firstLineChars="200"/>
              <w:jc w:val="left"/>
              <w:rPr>
                <w:rFonts w:hint="default"/>
                <w:b/>
                <w:bCs/>
                <w:color w:val="auto"/>
                <w:sz w:val="24"/>
              </w:rPr>
            </w:pPr>
            <w:r>
              <w:rPr>
                <w:rFonts w:hint="eastAsia"/>
                <w:b/>
                <w:bCs/>
                <w:color w:val="auto"/>
                <w:sz w:val="24"/>
              </w:rPr>
              <w:t>（1）产业政策相符性</w:t>
            </w:r>
          </w:p>
          <w:p>
            <w:pPr>
              <w:topLinePunct/>
              <w:adjustRightInd w:val="0"/>
              <w:snapToGrid w:val="0"/>
              <w:spacing w:line="360" w:lineRule="auto"/>
              <w:ind w:firstLine="480" w:firstLineChars="200"/>
              <w:rPr>
                <w:color w:val="auto"/>
                <w:sz w:val="24"/>
              </w:rPr>
            </w:pPr>
            <w:r>
              <w:rPr>
                <w:rFonts w:hint="eastAsia" w:ascii="Times New Roman" w:hAnsi="Times New Roman" w:eastAsia="宋体" w:cs="Times New Roman"/>
                <w:color w:val="auto"/>
                <w:kern w:val="0"/>
                <w:sz w:val="24"/>
              </w:rPr>
              <w:t>建设项目主要为</w:t>
            </w:r>
            <w:r>
              <w:rPr>
                <w:rFonts w:hint="eastAsia" w:ascii="Times New Roman" w:hAnsi="Times New Roman" w:eastAsia="宋体" w:cs="Times New Roman"/>
                <w:color w:val="auto"/>
                <w:kern w:val="0"/>
                <w:sz w:val="24"/>
                <w:lang w:val="en-US" w:eastAsia="zh-CN"/>
              </w:rPr>
              <w:t>安置区安置房建设</w:t>
            </w:r>
            <w:r>
              <w:rPr>
                <w:rFonts w:hint="eastAsia" w:ascii="Times New Roman" w:hAnsi="Times New Roman" w:eastAsia="宋体" w:cs="Times New Roman"/>
                <w:color w:val="auto"/>
                <w:kern w:val="0"/>
                <w:sz w:val="24"/>
              </w:rPr>
              <w:t>项目，根据《产业结构调整指导目录（20</w:t>
            </w:r>
            <w:r>
              <w:rPr>
                <w:rFonts w:hint="eastAsia" w:ascii="Times New Roman" w:hAnsi="Times New Roman" w:eastAsia="宋体" w:cs="Times New Roman"/>
                <w:color w:val="auto"/>
                <w:kern w:val="0"/>
                <w:sz w:val="24"/>
                <w:lang w:val="en-US" w:eastAsia="zh-CN"/>
              </w:rPr>
              <w:t>24</w:t>
            </w:r>
            <w:r>
              <w:rPr>
                <w:rFonts w:hint="eastAsia" w:ascii="Times New Roman" w:hAnsi="Times New Roman" w:eastAsia="宋体" w:cs="Times New Roman"/>
                <w:color w:val="auto"/>
                <w:kern w:val="0"/>
                <w:sz w:val="24"/>
              </w:rPr>
              <w:t>年本）》，项目</w:t>
            </w:r>
            <w:r>
              <w:rPr>
                <w:rFonts w:hint="eastAsia" w:ascii="Times New Roman" w:hAnsi="Times New Roman" w:eastAsia="宋体" w:cs="Times New Roman"/>
                <w:color w:val="auto"/>
                <w:kern w:val="0"/>
                <w:sz w:val="24"/>
                <w:lang w:val="en-US" w:eastAsia="zh-CN"/>
              </w:rPr>
              <w:t>不</w:t>
            </w:r>
            <w:r>
              <w:rPr>
                <w:rFonts w:hint="eastAsia" w:ascii="Times New Roman" w:hAnsi="Times New Roman" w:eastAsia="宋体" w:cs="Times New Roman"/>
                <w:color w:val="auto"/>
                <w:kern w:val="0"/>
                <w:sz w:val="24"/>
              </w:rPr>
              <w:t>属于“鼓励类”</w:t>
            </w:r>
            <w:r>
              <w:rPr>
                <w:rFonts w:hint="eastAsia" w:ascii="Times New Roman" w:hAnsi="Times New Roman" w:eastAsia="宋体" w:cs="Times New Roman"/>
                <w:color w:val="auto"/>
                <w:kern w:val="0"/>
                <w:sz w:val="24"/>
                <w:lang w:eastAsia="zh-CN"/>
              </w:rPr>
              <w:t>“</w:t>
            </w:r>
            <w:r>
              <w:rPr>
                <w:rFonts w:hint="eastAsia" w:ascii="Times New Roman" w:hAnsi="Times New Roman" w:eastAsia="宋体" w:cs="Times New Roman"/>
                <w:color w:val="auto"/>
                <w:kern w:val="0"/>
                <w:sz w:val="24"/>
                <w:lang w:val="en-US" w:eastAsia="zh-CN"/>
              </w:rPr>
              <w:t>淘汰类</w:t>
            </w:r>
            <w:r>
              <w:rPr>
                <w:rFonts w:hint="eastAsia" w:ascii="Times New Roman" w:hAnsi="Times New Roman" w:eastAsia="宋体" w:cs="Times New Roman"/>
                <w:color w:val="auto"/>
                <w:kern w:val="0"/>
                <w:sz w:val="24"/>
                <w:lang w:eastAsia="zh-CN"/>
              </w:rPr>
              <w:t>”</w:t>
            </w:r>
            <w:r>
              <w:rPr>
                <w:rFonts w:hint="eastAsia" w:ascii="Times New Roman" w:hAnsi="Times New Roman" w:eastAsia="宋体" w:cs="Times New Roman"/>
                <w:color w:val="auto"/>
                <w:kern w:val="0"/>
                <w:sz w:val="24"/>
                <w:lang w:val="en-US" w:eastAsia="zh-CN"/>
              </w:rPr>
              <w:t>以及“限制类”项目，属于允许类项目；项目不属于《市场准入负面清单（</w:t>
            </w:r>
            <w:r>
              <w:rPr>
                <w:rFonts w:hint="default" w:ascii="Times New Roman" w:hAnsi="Times New Roman" w:eastAsia="宋体" w:cs="Times New Roman"/>
                <w:color w:val="auto"/>
                <w:kern w:val="0"/>
                <w:sz w:val="24"/>
                <w:lang w:val="en-US" w:eastAsia="zh-CN"/>
              </w:rPr>
              <w:t xml:space="preserve">2022 </w:t>
            </w:r>
            <w:r>
              <w:rPr>
                <w:rFonts w:hint="eastAsia" w:ascii="Times New Roman" w:hAnsi="Times New Roman" w:eastAsia="宋体" w:cs="Times New Roman"/>
                <w:color w:val="auto"/>
                <w:kern w:val="0"/>
                <w:sz w:val="24"/>
                <w:lang w:val="en-US" w:eastAsia="zh-CN"/>
              </w:rPr>
              <w:t>年版）》中的项目</w:t>
            </w:r>
            <w:r>
              <w:rPr>
                <w:rFonts w:hint="eastAsia" w:ascii="Times New Roman" w:hAnsi="Times New Roman" w:eastAsia="宋体" w:cs="Times New Roman"/>
                <w:color w:val="auto"/>
                <w:kern w:val="0"/>
                <w:sz w:val="24"/>
              </w:rPr>
              <w:t>。因此，项目建设符合国家产业政策。</w:t>
            </w:r>
          </w:p>
          <w:p>
            <w:pPr>
              <w:adjustRightInd w:val="0"/>
              <w:snapToGrid w:val="0"/>
              <w:spacing w:line="360" w:lineRule="auto"/>
              <w:ind w:firstLine="482" w:firstLineChars="200"/>
              <w:jc w:val="left"/>
              <w:rPr>
                <w:b/>
                <w:bCs/>
                <w:color w:val="auto"/>
                <w:sz w:val="24"/>
              </w:rPr>
            </w:pPr>
            <w:r>
              <w:rPr>
                <w:rFonts w:hint="eastAsia"/>
                <w:b/>
                <w:bCs/>
                <w:color w:val="auto"/>
                <w:sz w:val="24"/>
              </w:rPr>
              <w:t>（2）规划及选址合理性分析</w:t>
            </w:r>
          </w:p>
          <w:p>
            <w:pPr>
              <w:topLinePunct/>
              <w:adjustRightInd w:val="0"/>
              <w:snapToGrid w:val="0"/>
              <w:spacing w:line="360" w:lineRule="auto"/>
              <w:ind w:firstLine="480" w:firstLineChars="200"/>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本项目位于</w:t>
            </w:r>
            <w:r>
              <w:rPr>
                <w:rFonts w:hint="eastAsia" w:ascii="Times New Roman" w:hAnsi="Times New Roman" w:eastAsia="宋体" w:cs="Times New Roman"/>
                <w:color w:val="auto"/>
                <w:kern w:val="0"/>
                <w:sz w:val="24"/>
                <w:lang w:val="en-US" w:eastAsia="zh-CN"/>
              </w:rPr>
              <w:t>项目建设地点位于华容县团洲安全垸</w:t>
            </w:r>
            <w:r>
              <w:rPr>
                <w:rFonts w:hint="eastAsia" w:ascii="Times New Roman" w:hAnsi="Times New Roman" w:cs="宋体"/>
                <w:color w:val="auto"/>
                <w:sz w:val="24"/>
                <w:szCs w:val="21"/>
                <w:lang w:val="en-US" w:eastAsia="zh-CN"/>
              </w:rPr>
              <w:t>内团洲花园小区</w:t>
            </w:r>
            <w:r>
              <w:rPr>
                <w:rFonts w:hint="eastAsia" w:cs="宋体"/>
                <w:color w:val="auto"/>
                <w:sz w:val="24"/>
                <w:szCs w:val="21"/>
                <w:lang w:val="en-US" w:eastAsia="zh-CN"/>
              </w:rPr>
              <w:t>东南</w:t>
            </w:r>
            <w:r>
              <w:rPr>
                <w:rFonts w:hint="eastAsia" w:ascii="Times New Roman" w:hAnsi="Times New Roman" w:cs="宋体"/>
                <w:color w:val="auto"/>
                <w:sz w:val="24"/>
                <w:szCs w:val="21"/>
                <w:lang w:val="en-US" w:eastAsia="zh-CN"/>
              </w:rPr>
              <w:t>侧</w:t>
            </w:r>
            <w:r>
              <w:rPr>
                <w:rFonts w:hint="eastAsia" w:cs="宋体"/>
                <w:color w:val="auto"/>
                <w:sz w:val="24"/>
                <w:szCs w:val="21"/>
                <w:lang w:val="en-US" w:eastAsia="zh-CN"/>
              </w:rPr>
              <w:t>，南电排渠西</w:t>
            </w:r>
            <w:r>
              <w:rPr>
                <w:rFonts w:hint="eastAsia" w:ascii="Times New Roman" w:hAnsi="Times New Roman" w:eastAsia="宋体" w:cs="Times New Roman"/>
                <w:color w:val="auto"/>
                <w:kern w:val="0"/>
                <w:sz w:val="24"/>
                <w:lang w:val="en-US" w:eastAsia="zh-CN"/>
              </w:rPr>
              <w:t>，区域原为华容县团洲安全垸内耕地范围，地势较为平坦</w:t>
            </w:r>
            <w:r>
              <w:rPr>
                <w:rFonts w:hint="eastAsia" w:eastAsia="宋体" w:cs="Times New Roman"/>
                <w:color w:val="auto"/>
                <w:kern w:val="0"/>
                <w:sz w:val="24"/>
                <w:lang w:val="en-US" w:eastAsia="zh-CN"/>
              </w:rPr>
              <w:t>，适合房地产开发利用，项目已取得华容县自然资源局出具的《建设项目用地预审与选址意见书》</w:t>
            </w:r>
            <w:r>
              <w:rPr>
                <w:rFonts w:hint="eastAsia" w:ascii="Times New Roman" w:hAnsi="Times New Roman" w:eastAsia="宋体" w:cs="Times New Roman"/>
                <w:color w:val="auto"/>
                <w:kern w:val="0"/>
                <w:sz w:val="24"/>
                <w:lang w:val="en-US" w:eastAsia="zh-CN"/>
              </w:rPr>
              <w:t>；该区域</w:t>
            </w:r>
            <w:r>
              <w:rPr>
                <w:rFonts w:hint="eastAsia" w:eastAsia="宋体" w:cs="Times New Roman"/>
                <w:color w:val="auto"/>
                <w:kern w:val="0"/>
                <w:sz w:val="24"/>
                <w:lang w:val="en-US" w:eastAsia="zh-CN"/>
              </w:rPr>
              <w:t>位于</w:t>
            </w:r>
            <w:r>
              <w:rPr>
                <w:rFonts w:hint="eastAsia" w:ascii="Times New Roman" w:hAnsi="Times New Roman" w:eastAsia="宋体" w:cs="Times New Roman"/>
                <w:color w:val="auto"/>
                <w:kern w:val="0"/>
                <w:sz w:val="24"/>
                <w:lang w:val="en-US" w:eastAsia="zh-CN"/>
              </w:rPr>
              <w:t>华容县团洲安全垸内，</w:t>
            </w:r>
            <w:r>
              <w:rPr>
                <w:rFonts w:hint="default" w:ascii="Times New Roman" w:hAnsi="Times New Roman" w:eastAsia="宋体" w:cs="Times New Roman"/>
                <w:color w:val="auto"/>
                <w:kern w:val="0"/>
                <w:sz w:val="24"/>
              </w:rPr>
              <w:t>项目周边供电、供水、排水、交通道路等基础设施较完善，有利于本项目的建设和实施；</w:t>
            </w:r>
            <w:r>
              <w:rPr>
                <w:rFonts w:hint="eastAsia" w:ascii="Times New Roman" w:hAnsi="Times New Roman" w:eastAsia="宋体" w:cs="Times New Roman"/>
                <w:color w:val="auto"/>
                <w:kern w:val="0"/>
                <w:sz w:val="24"/>
                <w:lang w:val="en-US" w:eastAsia="zh-CN"/>
              </w:rPr>
              <w:t>项目周边无大型工业企业、采矿企业，</w:t>
            </w:r>
            <w:r>
              <w:rPr>
                <w:rFonts w:hint="default" w:ascii="Times New Roman" w:hAnsi="Times New Roman" w:eastAsia="宋体" w:cs="Times New Roman"/>
                <w:color w:val="auto"/>
                <w:kern w:val="0"/>
                <w:sz w:val="24"/>
              </w:rPr>
              <w:t>评价区域内环境空气质量、周围水体环境质量、声环境质量能满足相应功能区要求。因此，从项目区域场地条件、市政基础设施条件、环境可行性等方面综合分析，评价认为，项目选址是可行的。</w:t>
            </w:r>
          </w:p>
          <w:p>
            <w:pPr>
              <w:adjustRightInd w:val="0"/>
              <w:snapToGrid w:val="0"/>
              <w:spacing w:line="360" w:lineRule="auto"/>
              <w:ind w:firstLine="482" w:firstLineChars="200"/>
              <w:jc w:val="left"/>
              <w:rPr>
                <w:rFonts w:hint="eastAsia" w:ascii="Times New Roman" w:hAnsi="Times New Roman" w:eastAsia="宋体" w:cs="Times New Roman"/>
                <w:b/>
                <w:bCs/>
                <w:color w:val="auto"/>
                <w:sz w:val="24"/>
              </w:rPr>
            </w:pPr>
            <w:r>
              <w:rPr>
                <w:rFonts w:hint="eastAsia" w:ascii="Times New Roman" w:hAnsi="Times New Roman" w:eastAsia="宋体" w:cs="Times New Roman"/>
                <w:b/>
                <w:bCs/>
                <w:color w:val="auto"/>
                <w:sz w:val="24"/>
                <w:lang w:eastAsia="zh-CN"/>
              </w:rPr>
              <w:t>（</w:t>
            </w:r>
            <w:r>
              <w:rPr>
                <w:rFonts w:hint="eastAsia" w:cs="Times New Roman"/>
                <w:b/>
                <w:bCs/>
                <w:color w:val="auto"/>
                <w:sz w:val="24"/>
                <w:lang w:val="en-US" w:eastAsia="zh-CN"/>
              </w:rPr>
              <w:t>3</w:t>
            </w:r>
            <w:r>
              <w:rPr>
                <w:rFonts w:hint="eastAsia" w:ascii="Times New Roman" w:hAnsi="Times New Roman" w:eastAsia="宋体" w:cs="Times New Roman"/>
                <w:b/>
                <w:bCs/>
                <w:color w:val="auto"/>
                <w:sz w:val="24"/>
                <w:lang w:eastAsia="zh-CN"/>
              </w:rPr>
              <w:t>）</w:t>
            </w:r>
            <w:r>
              <w:rPr>
                <w:rFonts w:hint="eastAsia" w:ascii="Times New Roman" w:hAnsi="Times New Roman" w:eastAsia="宋体" w:cs="Times New Roman"/>
                <w:b/>
                <w:bCs/>
                <w:color w:val="auto"/>
                <w:sz w:val="24"/>
              </w:rPr>
              <w:t>“三线一单”符合性分析</w:t>
            </w:r>
          </w:p>
          <w:p>
            <w:pPr>
              <w:pStyle w:val="65"/>
              <w:ind w:firstLine="480"/>
              <w:rPr>
                <w:rFonts w:hint="default" w:ascii="Times New Roman" w:hAnsi="Times New Roman" w:cs="Times New Roman"/>
                <w:color w:val="auto"/>
              </w:rPr>
            </w:pPr>
            <w:r>
              <w:rPr>
                <w:rFonts w:hint="default" w:ascii="Times New Roman" w:hAnsi="Times New Roman" w:cs="Times New Roman"/>
                <w:color w:val="auto"/>
              </w:rPr>
              <w:t>1）生态保护红线</w:t>
            </w:r>
          </w:p>
          <w:p>
            <w:pPr>
              <w:pStyle w:val="65"/>
              <w:ind w:firstLine="480"/>
              <w:rPr>
                <w:rFonts w:hint="default" w:ascii="Times New Roman" w:hAnsi="Times New Roman" w:cs="Times New Roman"/>
                <w:color w:val="auto"/>
              </w:rPr>
            </w:pPr>
            <w:r>
              <w:rPr>
                <w:rFonts w:hint="default" w:ascii="Times New Roman" w:hAnsi="Times New Roman" w:cs="Times New Roman"/>
                <w:color w:val="auto"/>
              </w:rPr>
              <w:t>对照《华容县国土空间总体规划（2021-2035年）》中统筹划定三条控制线的图纸分析，本项目不涉及华容县生态保护红线。</w:t>
            </w:r>
          </w:p>
          <w:p>
            <w:pPr>
              <w:pStyle w:val="65"/>
              <w:ind w:firstLine="480"/>
              <w:rPr>
                <w:rFonts w:hint="default" w:ascii="Times New Roman" w:hAnsi="Times New Roman" w:cs="Times New Roman"/>
                <w:color w:val="auto"/>
              </w:rPr>
            </w:pPr>
            <w:r>
              <w:rPr>
                <w:rFonts w:hint="default" w:ascii="Times New Roman" w:hAnsi="Times New Roman" w:cs="Times New Roman"/>
                <w:color w:val="auto"/>
              </w:rPr>
              <w:t>2）环境质量底线</w:t>
            </w:r>
          </w:p>
          <w:p>
            <w:pPr>
              <w:pStyle w:val="65"/>
              <w:ind w:firstLine="480"/>
              <w:rPr>
                <w:rFonts w:hint="default" w:ascii="Times New Roman" w:hAnsi="Times New Roman" w:cs="Times New Roman"/>
                <w:color w:val="auto"/>
              </w:rPr>
            </w:pPr>
            <w:r>
              <w:rPr>
                <w:rFonts w:hint="default" w:ascii="Times New Roman" w:hAnsi="Times New Roman" w:cs="Times New Roman"/>
                <w:color w:val="auto"/>
              </w:rPr>
              <w:t>根据环境质量现状调查，项目地环境质量现状达标。项目</w:t>
            </w:r>
            <w:r>
              <w:rPr>
                <w:rFonts w:hint="eastAsia" w:ascii="Times New Roman" w:hAnsi="Times New Roman" w:cs="Times New Roman"/>
                <w:color w:val="auto"/>
                <w:lang w:val="en-US" w:eastAsia="zh-CN"/>
              </w:rPr>
              <w:t>不属于工业项目，</w:t>
            </w:r>
            <w:r>
              <w:rPr>
                <w:rFonts w:hint="default" w:ascii="Times New Roman" w:hAnsi="Times New Roman" w:cs="Times New Roman"/>
                <w:color w:val="auto"/>
                <w:lang w:val="en-US" w:eastAsia="zh-CN"/>
              </w:rPr>
              <w:t>为民生工程，</w:t>
            </w:r>
            <w:r>
              <w:rPr>
                <w:rFonts w:hint="eastAsia" w:ascii="Times New Roman" w:hAnsi="Times New Roman" w:cs="Times New Roman"/>
                <w:color w:val="auto"/>
                <w:lang w:val="en-US" w:eastAsia="zh-CN"/>
              </w:rPr>
              <w:t>旨在通过建设团洲垸灾后重建安置房，改善受灾群众的居住条件，提升区域抗灾能力，促进城乡统筹发展，项目建成运行后</w:t>
            </w:r>
            <w:r>
              <w:rPr>
                <w:rFonts w:hint="eastAsia" w:cs="Times New Roman"/>
                <w:color w:val="auto"/>
                <w:lang w:val="en-US" w:eastAsia="zh-CN"/>
              </w:rPr>
              <w:t>主要为受灾居民居住，无具体生产过程，污染物质排放量较少，</w:t>
            </w:r>
            <w:r>
              <w:rPr>
                <w:rFonts w:hint="default" w:ascii="Times New Roman" w:hAnsi="Times New Roman" w:cs="Times New Roman"/>
                <w:color w:val="auto"/>
              </w:rPr>
              <w:t>项目</w:t>
            </w:r>
            <w:r>
              <w:rPr>
                <w:rFonts w:hint="eastAsia" w:cs="Times New Roman"/>
                <w:color w:val="auto"/>
                <w:lang w:val="en-US" w:eastAsia="zh-CN"/>
              </w:rPr>
              <w:t>的</w:t>
            </w:r>
            <w:r>
              <w:rPr>
                <w:rFonts w:hint="default" w:ascii="Times New Roman" w:hAnsi="Times New Roman" w:cs="Times New Roman"/>
                <w:color w:val="auto"/>
              </w:rPr>
              <w:t>建设不会突破区域环境质量底线。</w:t>
            </w:r>
          </w:p>
          <w:p>
            <w:pPr>
              <w:pStyle w:val="65"/>
              <w:ind w:firstLine="480"/>
              <w:rPr>
                <w:rFonts w:hint="default" w:ascii="Times New Roman" w:hAnsi="Times New Roman" w:cs="Times New Roman"/>
                <w:color w:val="auto"/>
              </w:rPr>
            </w:pPr>
            <w:r>
              <w:rPr>
                <w:rFonts w:hint="default" w:ascii="Times New Roman" w:hAnsi="Times New Roman" w:cs="Times New Roman"/>
                <w:color w:val="auto"/>
              </w:rPr>
              <w:t>3）资源利用上线</w:t>
            </w:r>
          </w:p>
          <w:p>
            <w:pPr>
              <w:pStyle w:val="65"/>
              <w:ind w:firstLine="480"/>
              <w:rPr>
                <w:rFonts w:hint="default" w:ascii="Times New Roman" w:hAnsi="Times New Roman" w:cs="Times New Roman"/>
                <w:color w:val="auto"/>
              </w:rPr>
            </w:pPr>
            <w:r>
              <w:rPr>
                <w:rFonts w:hint="default" w:ascii="Times New Roman" w:hAnsi="Times New Roman" w:cs="Times New Roman"/>
                <w:color w:val="auto"/>
              </w:rPr>
              <w:t>项目施工过程中消耗一定的建筑材料、电、水资源，资源消耗量相对区域资源利用总量很少，符合资源利用上限要求。</w:t>
            </w:r>
          </w:p>
          <w:p>
            <w:pPr>
              <w:pStyle w:val="65"/>
              <w:ind w:firstLine="480"/>
              <w:rPr>
                <w:rFonts w:hint="default" w:ascii="Times New Roman" w:hAnsi="Times New Roman" w:cs="Times New Roman"/>
                <w:color w:val="auto"/>
              </w:rPr>
            </w:pPr>
            <w:r>
              <w:rPr>
                <w:rFonts w:hint="default" w:ascii="Times New Roman" w:hAnsi="Times New Roman" w:cs="Times New Roman"/>
                <w:color w:val="auto"/>
              </w:rPr>
              <w:t>4）生态环境准入清单</w:t>
            </w:r>
          </w:p>
          <w:p>
            <w:pPr>
              <w:pStyle w:val="65"/>
              <w:ind w:firstLine="480"/>
              <w:rPr>
                <w:rFonts w:hint="default" w:ascii="Times New Roman" w:hAnsi="Times New Roman" w:cs="Times New Roman"/>
                <w:bCs/>
                <w:color w:val="auto"/>
              </w:rPr>
            </w:pPr>
            <w:r>
              <w:rPr>
                <w:rFonts w:hint="default" w:ascii="Times New Roman" w:hAnsi="Times New Roman" w:cs="Times New Roman"/>
                <w:bCs/>
                <w:color w:val="auto"/>
              </w:rPr>
              <w:t>根据《国家发展改革委商务部关于印发〈市场准入负面清单（2022年版）〉的通知》中的产业准入负面清单以及《岳阳市生态环境分区管控基本要求（2023年版）》、《岳阳市其他环境管控单元（省级及以上产业园区除外）生态环境准入清单（2023年版）》，本项目不属于市场准入负面清单，且符合“三线一单”生态环境分区管控要求。</w:t>
            </w:r>
          </w:p>
          <w:p>
            <w:pPr>
              <w:pStyle w:val="65"/>
              <w:ind w:firstLine="482"/>
              <w:rPr>
                <w:rFonts w:hint="default" w:ascii="Times New Roman" w:hAnsi="Times New Roman" w:cs="Times New Roman"/>
                <w:b/>
                <w:bCs/>
                <w:color w:val="auto"/>
              </w:rPr>
            </w:pPr>
            <w:r>
              <w:rPr>
                <w:rFonts w:hint="eastAsia" w:cs="Times New Roman"/>
                <w:b/>
                <w:bCs/>
                <w:color w:val="auto"/>
                <w:lang w:eastAsia="zh-CN"/>
              </w:rPr>
              <w:t>（</w:t>
            </w:r>
            <w:r>
              <w:rPr>
                <w:rFonts w:hint="eastAsia" w:cs="Times New Roman"/>
                <w:b/>
                <w:bCs/>
                <w:color w:val="auto"/>
                <w:lang w:val="en-US" w:eastAsia="zh-CN"/>
              </w:rPr>
              <w:t>4</w:t>
            </w:r>
            <w:r>
              <w:rPr>
                <w:rFonts w:hint="eastAsia" w:cs="Times New Roman"/>
                <w:b/>
                <w:bCs/>
                <w:color w:val="auto"/>
                <w:lang w:eastAsia="zh-CN"/>
              </w:rPr>
              <w:t>）</w:t>
            </w:r>
            <w:r>
              <w:rPr>
                <w:rFonts w:hint="default" w:ascii="Times New Roman" w:hAnsi="Times New Roman" w:cs="Times New Roman"/>
                <w:b/>
                <w:bCs/>
                <w:color w:val="auto"/>
              </w:rPr>
              <w:t>与岳阳市生态环境分区管控基本要求（2023年版）符合性分析</w:t>
            </w:r>
          </w:p>
          <w:p>
            <w:pPr>
              <w:pStyle w:val="65"/>
              <w:ind w:firstLine="480"/>
              <w:rPr>
                <w:rFonts w:hint="default" w:ascii="Times New Roman" w:hAnsi="Times New Roman" w:cs="Times New Roman"/>
                <w:color w:val="auto"/>
              </w:rPr>
            </w:pPr>
            <w:r>
              <w:rPr>
                <w:rFonts w:hint="default" w:ascii="Times New Roman" w:hAnsi="Times New Roman" w:cs="Times New Roman"/>
                <w:bCs/>
                <w:color w:val="auto"/>
              </w:rPr>
              <w:t>项目位于</w:t>
            </w:r>
            <w:r>
              <w:rPr>
                <w:rFonts w:hint="eastAsia" w:ascii="Times New Roman" w:hAnsi="Times New Roman" w:cs="Times New Roman"/>
                <w:bCs/>
                <w:color w:val="auto"/>
                <w:lang w:val="en-US" w:eastAsia="zh-CN"/>
              </w:rPr>
              <w:t>华容县团洲乡，</w:t>
            </w:r>
            <w:r>
              <w:rPr>
                <w:rFonts w:hint="default" w:ascii="Times New Roman" w:hAnsi="Times New Roman" w:cs="Times New Roman"/>
                <w:bCs/>
                <w:color w:val="auto"/>
              </w:rPr>
              <w:t>其所在区域属于：“优先保护单元”，环境管控单元编码为：ZH43062310002，本项目相关符合性情况</w:t>
            </w:r>
            <w:r>
              <w:rPr>
                <w:rFonts w:hint="default" w:ascii="Times New Roman" w:hAnsi="Times New Roman" w:cs="Times New Roman"/>
                <w:bCs/>
                <w:color w:val="auto"/>
                <w:lang w:val="en-US" w:eastAsia="zh-CN"/>
              </w:rPr>
              <w:t>详</w:t>
            </w:r>
            <w:r>
              <w:rPr>
                <w:rFonts w:hint="default" w:ascii="Times New Roman" w:hAnsi="Times New Roman" w:cs="Times New Roman"/>
                <w:bCs/>
                <w:color w:val="auto"/>
              </w:rPr>
              <w:t>见下表</w:t>
            </w:r>
            <w:r>
              <w:rPr>
                <w:rFonts w:hint="default" w:ascii="Times New Roman" w:hAnsi="Times New Roman" w:cs="Times New Roman"/>
                <w:color w:val="auto"/>
              </w:rPr>
              <w:t>：</w:t>
            </w:r>
          </w:p>
          <w:p>
            <w:pPr>
              <w:pStyle w:val="66"/>
              <w:keepNext w:val="0"/>
              <w:keepLines w:val="0"/>
              <w:pageBreakBefore w:val="0"/>
              <w:widowControl w:val="0"/>
              <w:kinsoku/>
              <w:wordWrap/>
              <w:overflowPunct/>
              <w:topLinePunct w:val="0"/>
              <w:autoSpaceDE/>
              <w:autoSpaceDN/>
              <w:bidi w:val="0"/>
              <w:adjustRightInd/>
              <w:snapToGrid/>
              <w:spacing w:beforeLines="0"/>
              <w:textAlignment w:val="auto"/>
              <w:rPr>
                <w:rFonts w:hint="default" w:ascii="Times New Roman" w:hAnsi="Times New Roman" w:cs="Times New Roman"/>
                <w:color w:val="auto"/>
              </w:rPr>
            </w:pPr>
            <w:r>
              <w:rPr>
                <w:rFonts w:hint="default" w:ascii="Times New Roman" w:hAnsi="Times New Roman" w:cs="Times New Roman"/>
                <w:color w:val="auto"/>
              </w:rPr>
              <w:t>表1-</w:t>
            </w:r>
            <w:r>
              <w:rPr>
                <w:rFonts w:hint="eastAsia" w:cs="Times New Roman"/>
                <w:color w:val="auto"/>
                <w:lang w:val="en-US" w:eastAsia="zh-CN"/>
              </w:rPr>
              <w:t>1</w:t>
            </w:r>
            <w:r>
              <w:rPr>
                <w:rFonts w:hint="default" w:ascii="Times New Roman" w:hAnsi="Times New Roman" w:cs="Times New Roman"/>
                <w:color w:val="auto"/>
                <w:lang w:val="en-US" w:eastAsia="zh-CN"/>
              </w:rPr>
              <w:t xml:space="preserve">  </w:t>
            </w:r>
            <w:r>
              <w:rPr>
                <w:rFonts w:hint="default" w:ascii="Times New Roman" w:hAnsi="Times New Roman" w:cs="Times New Roman"/>
                <w:color w:val="auto"/>
              </w:rPr>
              <w:t>项目所在地“三线一单”分区管控要求</w:t>
            </w:r>
          </w:p>
          <w:tbl>
            <w:tblPr>
              <w:tblStyle w:val="22"/>
              <w:tblW w:w="771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28" w:type="dxa"/>
                <w:left w:w="0" w:type="dxa"/>
                <w:bottom w:w="28" w:type="dxa"/>
                <w:right w:w="0" w:type="dxa"/>
              </w:tblCellMar>
            </w:tblPr>
            <w:tblGrid>
              <w:gridCol w:w="1240"/>
              <w:gridCol w:w="3375"/>
              <w:gridCol w:w="2349"/>
              <w:gridCol w:w="74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28" w:type="dxa"/>
                  <w:left w:w="0" w:type="dxa"/>
                  <w:bottom w:w="28" w:type="dxa"/>
                  <w:right w:w="0" w:type="dxa"/>
                </w:tblCellMar>
              </w:tblPrEx>
              <w:trPr>
                <w:trHeight w:val="0" w:hRule="atLeast"/>
                <w:jc w:val="center"/>
              </w:trPr>
              <w:tc>
                <w:tcPr>
                  <w:tcW w:w="804" w:type="pct"/>
                  <w:tcBorders>
                    <w:tl2br w:val="nil"/>
                    <w:tr2bl w:val="nil"/>
                  </w:tcBorders>
                  <w:shd w:val="clear" w:color="auto" w:fill="auto"/>
                  <w:noWrap w:val="0"/>
                  <w:tcMar>
                    <w:left w:w="108" w:type="dxa"/>
                    <w:right w:w="108" w:type="dxa"/>
                  </w:tcMar>
                  <w:vAlign w:val="center"/>
                </w:tcPr>
                <w:p>
                  <w:pPr>
                    <w:pStyle w:val="67"/>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环境管控单元编码</w:t>
                  </w:r>
                </w:p>
              </w:tc>
              <w:tc>
                <w:tcPr>
                  <w:tcW w:w="2188" w:type="pct"/>
                  <w:tcBorders>
                    <w:tl2br w:val="nil"/>
                    <w:tr2bl w:val="nil"/>
                  </w:tcBorders>
                  <w:shd w:val="clear" w:color="auto" w:fill="auto"/>
                  <w:noWrap w:val="0"/>
                  <w:tcMar>
                    <w:left w:w="108" w:type="dxa"/>
                    <w:right w:w="108" w:type="dxa"/>
                  </w:tcMar>
                  <w:vAlign w:val="center"/>
                </w:tcPr>
                <w:p>
                  <w:pPr>
                    <w:pStyle w:val="67"/>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单元名称</w:t>
                  </w:r>
                </w:p>
              </w:tc>
              <w:tc>
                <w:tcPr>
                  <w:tcW w:w="1523" w:type="pct"/>
                  <w:tcBorders>
                    <w:tl2br w:val="nil"/>
                    <w:tr2bl w:val="nil"/>
                  </w:tcBorders>
                  <w:shd w:val="clear" w:color="auto" w:fill="auto"/>
                  <w:noWrap w:val="0"/>
                  <w:tcMar>
                    <w:left w:w="108" w:type="dxa"/>
                    <w:right w:w="108" w:type="dxa"/>
                  </w:tcMar>
                  <w:vAlign w:val="center"/>
                </w:tcPr>
                <w:p>
                  <w:pPr>
                    <w:pStyle w:val="67"/>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单元分类</w:t>
                  </w:r>
                </w:p>
              </w:tc>
              <w:tc>
                <w:tcPr>
                  <w:tcW w:w="483" w:type="pct"/>
                  <w:tcBorders>
                    <w:tl2br w:val="nil"/>
                    <w:tr2bl w:val="nil"/>
                  </w:tcBorders>
                  <w:shd w:val="clear" w:color="auto" w:fill="auto"/>
                  <w:noWrap w:val="0"/>
                  <w:vAlign w:val="center"/>
                </w:tcPr>
                <w:p>
                  <w:pPr>
                    <w:pStyle w:val="67"/>
                    <w:keepNext w:val="0"/>
                    <w:keepLines w:val="0"/>
                    <w:pageBreakBefore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主体功能定位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28" w:type="dxa"/>
                  <w:left w:w="0" w:type="dxa"/>
                  <w:bottom w:w="28" w:type="dxa"/>
                  <w:right w:w="0" w:type="dxa"/>
                </w:tblCellMar>
              </w:tblPrEx>
              <w:trPr>
                <w:trHeight w:val="0" w:hRule="atLeast"/>
                <w:jc w:val="center"/>
              </w:trPr>
              <w:tc>
                <w:tcPr>
                  <w:tcW w:w="804" w:type="pct"/>
                  <w:tcBorders>
                    <w:tl2br w:val="nil"/>
                    <w:tr2bl w:val="nil"/>
                  </w:tcBorders>
                  <w:shd w:val="clear" w:color="auto" w:fill="auto"/>
                  <w:noWrap w:val="0"/>
                  <w:tcMar>
                    <w:left w:w="108" w:type="dxa"/>
                    <w:right w:w="108" w:type="dxa"/>
                  </w:tcMar>
                  <w:vAlign w:val="center"/>
                </w:tcPr>
                <w:p>
                  <w:pPr>
                    <w:pStyle w:val="67"/>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ZH43062310002</w:t>
                  </w:r>
                </w:p>
              </w:tc>
              <w:tc>
                <w:tcPr>
                  <w:tcW w:w="2188" w:type="pct"/>
                  <w:tcBorders>
                    <w:tl2br w:val="nil"/>
                    <w:tr2bl w:val="nil"/>
                  </w:tcBorders>
                  <w:shd w:val="clear" w:color="auto" w:fill="auto"/>
                  <w:noWrap w:val="0"/>
                  <w:tcMar>
                    <w:left w:w="108" w:type="dxa"/>
                    <w:right w:w="108" w:type="dxa"/>
                  </w:tcMar>
                  <w:vAlign w:val="center"/>
                </w:tcPr>
                <w:p>
                  <w:pPr>
                    <w:pStyle w:val="67"/>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插旗镇/ 团洲乡/ 禹山镇/ 注滋口镇</w:t>
                  </w:r>
                </w:p>
              </w:tc>
              <w:tc>
                <w:tcPr>
                  <w:tcW w:w="1523" w:type="pct"/>
                  <w:tcBorders>
                    <w:tl2br w:val="nil"/>
                    <w:tr2bl w:val="nil"/>
                  </w:tcBorders>
                  <w:shd w:val="clear" w:color="auto" w:fill="auto"/>
                  <w:noWrap w:val="0"/>
                  <w:tcMar>
                    <w:left w:w="108" w:type="dxa"/>
                    <w:right w:w="108" w:type="dxa"/>
                  </w:tcMar>
                  <w:vAlign w:val="center"/>
                </w:tcPr>
                <w:p>
                  <w:pPr>
                    <w:pStyle w:val="67"/>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优先保护单元</w:t>
                  </w:r>
                </w:p>
              </w:tc>
              <w:tc>
                <w:tcPr>
                  <w:tcW w:w="483" w:type="pct"/>
                  <w:tcBorders>
                    <w:tl2br w:val="nil"/>
                    <w:tr2bl w:val="nil"/>
                  </w:tcBorders>
                  <w:shd w:val="clear" w:color="auto" w:fill="auto"/>
                  <w:noWrap w:val="0"/>
                  <w:vAlign w:val="center"/>
                </w:tcPr>
                <w:p>
                  <w:pPr>
                    <w:pStyle w:val="67"/>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农产品主产区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28" w:type="dxa"/>
                  <w:left w:w="0" w:type="dxa"/>
                  <w:bottom w:w="28" w:type="dxa"/>
                  <w:right w:w="0" w:type="dxa"/>
                </w:tblCellMar>
              </w:tblPrEx>
              <w:trPr>
                <w:trHeight w:val="0" w:hRule="atLeast"/>
                <w:jc w:val="center"/>
              </w:trPr>
              <w:tc>
                <w:tcPr>
                  <w:tcW w:w="804" w:type="pct"/>
                  <w:tcBorders>
                    <w:tl2br w:val="nil"/>
                    <w:tr2bl w:val="nil"/>
                  </w:tcBorders>
                  <w:shd w:val="clear" w:color="auto" w:fill="auto"/>
                  <w:noWrap w:val="0"/>
                  <w:tcMar>
                    <w:left w:w="108" w:type="dxa"/>
                    <w:right w:w="108" w:type="dxa"/>
                  </w:tcMar>
                  <w:vAlign w:val="center"/>
                </w:tcPr>
                <w:p>
                  <w:pPr>
                    <w:pStyle w:val="67"/>
                    <w:keepNext w:val="0"/>
                    <w:keepLines w:val="0"/>
                    <w:pageBreakBefore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b/>
                      <w:bCs/>
                      <w:color w:val="auto"/>
                      <w:kern w:val="2"/>
                      <w:sz w:val="21"/>
                      <w:szCs w:val="24"/>
                      <w:lang w:val="en-US" w:eastAsia="zh-CN" w:bidi="ar-SA"/>
                    </w:rPr>
                  </w:pPr>
                  <w:r>
                    <w:rPr>
                      <w:rFonts w:hint="default" w:ascii="Times New Roman" w:hAnsi="Times New Roman" w:eastAsia="宋体" w:cs="Times New Roman"/>
                      <w:b/>
                      <w:bCs/>
                      <w:color w:val="auto"/>
                      <w:lang w:val="en-US" w:eastAsia="zh-CN"/>
                    </w:rPr>
                    <w:t>经济产业布局</w:t>
                  </w:r>
                </w:p>
              </w:tc>
              <w:tc>
                <w:tcPr>
                  <w:tcW w:w="2188" w:type="pct"/>
                  <w:tcBorders>
                    <w:tl2br w:val="nil"/>
                    <w:tr2bl w:val="nil"/>
                  </w:tcBorders>
                  <w:shd w:val="clear" w:color="auto" w:fill="auto"/>
                  <w:noWrap w:val="0"/>
                  <w:tcMar>
                    <w:left w:w="108" w:type="dxa"/>
                    <w:right w:w="108" w:type="dxa"/>
                  </w:tcMar>
                  <w:vAlign w:val="center"/>
                </w:tcPr>
                <w:p>
                  <w:pPr>
                    <w:pStyle w:val="67"/>
                    <w:keepNext w:val="0"/>
                    <w:keepLines w:val="0"/>
                    <w:pageBreakBefore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b/>
                      <w:bCs/>
                      <w:color w:val="auto"/>
                      <w:kern w:val="2"/>
                      <w:sz w:val="21"/>
                      <w:szCs w:val="24"/>
                      <w:lang w:val="en-US" w:eastAsia="zh-CN" w:bidi="ar-SA"/>
                    </w:rPr>
                  </w:pPr>
                  <w:r>
                    <w:rPr>
                      <w:rFonts w:hint="default" w:ascii="Times New Roman" w:hAnsi="Times New Roman" w:eastAsia="宋体" w:cs="Times New Roman"/>
                      <w:b/>
                      <w:bCs/>
                      <w:color w:val="auto"/>
                      <w:lang w:val="en-US" w:eastAsia="zh-CN"/>
                    </w:rPr>
                    <w:t>重要敏感目标和主要环境问题</w:t>
                  </w:r>
                </w:p>
              </w:tc>
              <w:tc>
                <w:tcPr>
                  <w:tcW w:w="2007" w:type="pct"/>
                  <w:gridSpan w:val="2"/>
                  <w:tcBorders>
                    <w:tl2br w:val="nil"/>
                    <w:tr2bl w:val="nil"/>
                  </w:tcBorders>
                  <w:shd w:val="clear" w:color="auto" w:fill="auto"/>
                  <w:noWrap w:val="0"/>
                  <w:tcMar>
                    <w:left w:w="108" w:type="dxa"/>
                    <w:right w:w="108" w:type="dxa"/>
                  </w:tcMar>
                  <w:vAlign w:val="center"/>
                </w:tcPr>
                <w:p>
                  <w:pPr>
                    <w:pStyle w:val="67"/>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主要属性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28" w:type="dxa"/>
                  <w:left w:w="0" w:type="dxa"/>
                  <w:bottom w:w="28" w:type="dxa"/>
                  <w:right w:w="0" w:type="dxa"/>
                </w:tblCellMar>
              </w:tblPrEx>
              <w:trPr>
                <w:trHeight w:val="0" w:hRule="atLeast"/>
                <w:jc w:val="center"/>
              </w:trPr>
              <w:tc>
                <w:tcPr>
                  <w:tcW w:w="804" w:type="pct"/>
                  <w:tcBorders>
                    <w:tl2br w:val="nil"/>
                    <w:tr2bl w:val="nil"/>
                  </w:tcBorders>
                  <w:shd w:val="clear" w:color="auto" w:fill="auto"/>
                  <w:noWrap w:val="0"/>
                  <w:tcMar>
                    <w:left w:w="108" w:type="dxa"/>
                    <w:right w:w="108" w:type="dxa"/>
                  </w:tcMar>
                  <w:vAlign w:val="center"/>
                </w:tcPr>
                <w:p>
                  <w:pPr>
                    <w:pStyle w:val="67"/>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农业种植、中药材种植、水产养殖、畜禽养殖、农副产品加工等其他食品加工业</w:t>
                  </w:r>
                </w:p>
              </w:tc>
              <w:tc>
                <w:tcPr>
                  <w:tcW w:w="2188" w:type="pct"/>
                  <w:tcBorders>
                    <w:tl2br w:val="nil"/>
                    <w:tr2bl w:val="nil"/>
                  </w:tcBorders>
                  <w:shd w:val="clear" w:color="auto" w:fill="auto"/>
                  <w:noWrap w:val="0"/>
                  <w:tcMar>
                    <w:left w:w="108" w:type="dxa"/>
                    <w:right w:w="108" w:type="dxa"/>
                  </w:tcMar>
                  <w:vAlign w:val="center"/>
                </w:tcPr>
                <w:p>
                  <w:pPr>
                    <w:pStyle w:val="67"/>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团洲乡、注滋口镇：湖南东洞庭湖国家级自然保护区</w:t>
                  </w:r>
                </w:p>
                <w:p>
                  <w:pPr>
                    <w:pStyle w:val="67"/>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color w:val="auto"/>
                      <w:lang w:val="en-US" w:eastAsia="zh-CN"/>
                    </w:rPr>
                  </w:pPr>
                </w:p>
              </w:tc>
              <w:tc>
                <w:tcPr>
                  <w:tcW w:w="2007" w:type="pct"/>
                  <w:gridSpan w:val="2"/>
                  <w:tcBorders>
                    <w:tl2br w:val="nil"/>
                    <w:tr2bl w:val="nil"/>
                  </w:tcBorders>
                  <w:shd w:val="clear" w:color="auto" w:fill="auto"/>
                  <w:noWrap w:val="0"/>
                  <w:tcMar>
                    <w:left w:w="108" w:type="dxa"/>
                    <w:right w:w="108" w:type="dxa"/>
                  </w:tcMar>
                  <w:vAlign w:val="center"/>
                </w:tcPr>
                <w:p>
                  <w:pPr>
                    <w:pStyle w:val="67"/>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红线</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一般生态空间</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原生态红线</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自然保护区</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生物多样性保护功能重要区</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三区三线生态红线</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水源涵养重要区</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水环境优先保护区</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水产种质（国家级）</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东洞庭湖中国圆田螺国家级水产种质资源保护区、东洞庭湖鲤鲫黄颡国家级水产种质资源保护区</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大气环境优先保护区</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大气环境受体敏感重点管控区</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湖南东洞庭湖国家级自然保护区</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农用地优先保护区</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建设用地重点管控区</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一般管控区</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中高风险企业用地</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农产品主产区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28" w:type="dxa"/>
                  <w:left w:w="0" w:type="dxa"/>
                  <w:bottom w:w="28" w:type="dxa"/>
                  <w:right w:w="0" w:type="dxa"/>
                </w:tblCellMar>
              </w:tblPrEx>
              <w:trPr>
                <w:trHeight w:val="0" w:hRule="atLeast"/>
                <w:jc w:val="center"/>
              </w:trPr>
              <w:tc>
                <w:tcPr>
                  <w:tcW w:w="804" w:type="pct"/>
                  <w:tcBorders>
                    <w:tl2br w:val="nil"/>
                    <w:tr2bl w:val="nil"/>
                  </w:tcBorders>
                  <w:shd w:val="clear" w:color="auto" w:fill="auto"/>
                  <w:noWrap w:val="0"/>
                  <w:tcMar>
                    <w:left w:w="108" w:type="dxa"/>
                    <w:right w:w="108" w:type="dxa"/>
                  </w:tcMar>
                  <w:vAlign w:val="center"/>
                </w:tcPr>
                <w:p>
                  <w:pPr>
                    <w:pStyle w:val="67"/>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b/>
                      <w:bCs/>
                      <w:color w:val="auto"/>
                    </w:rPr>
                  </w:pPr>
                  <w:r>
                    <w:rPr>
                      <w:rFonts w:hint="default" w:ascii="Times New Roman" w:hAnsi="Times New Roman" w:cs="Times New Roman"/>
                      <w:b/>
                      <w:bCs/>
                      <w:color w:val="auto"/>
                    </w:rPr>
                    <w:t>管控维度</w:t>
                  </w:r>
                </w:p>
              </w:tc>
              <w:tc>
                <w:tcPr>
                  <w:tcW w:w="2188" w:type="pct"/>
                  <w:tcBorders>
                    <w:tl2br w:val="nil"/>
                    <w:tr2bl w:val="nil"/>
                  </w:tcBorders>
                  <w:shd w:val="clear" w:color="auto" w:fill="auto"/>
                  <w:noWrap w:val="0"/>
                  <w:tcMar>
                    <w:left w:w="108" w:type="dxa"/>
                    <w:right w:w="108" w:type="dxa"/>
                  </w:tcMar>
                  <w:vAlign w:val="center"/>
                </w:tcPr>
                <w:p>
                  <w:pPr>
                    <w:pStyle w:val="67"/>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b/>
                      <w:bCs/>
                      <w:color w:val="auto"/>
                    </w:rPr>
                  </w:pPr>
                  <w:r>
                    <w:rPr>
                      <w:rFonts w:hint="default" w:ascii="Times New Roman" w:hAnsi="Times New Roman" w:cs="Times New Roman"/>
                      <w:b/>
                      <w:bCs/>
                      <w:color w:val="auto"/>
                    </w:rPr>
                    <w:t>管控要求</w:t>
                  </w:r>
                </w:p>
              </w:tc>
              <w:tc>
                <w:tcPr>
                  <w:tcW w:w="1523" w:type="pct"/>
                  <w:tcBorders>
                    <w:tl2br w:val="nil"/>
                    <w:tr2bl w:val="nil"/>
                  </w:tcBorders>
                  <w:shd w:val="clear" w:color="auto" w:fill="auto"/>
                  <w:noWrap w:val="0"/>
                  <w:tcMar>
                    <w:left w:w="108" w:type="dxa"/>
                    <w:right w:w="108" w:type="dxa"/>
                  </w:tcMar>
                  <w:vAlign w:val="center"/>
                </w:tcPr>
                <w:p>
                  <w:pPr>
                    <w:pStyle w:val="67"/>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b/>
                      <w:bCs/>
                      <w:color w:val="auto"/>
                    </w:rPr>
                  </w:pPr>
                  <w:r>
                    <w:rPr>
                      <w:rFonts w:hint="default" w:ascii="Times New Roman" w:hAnsi="Times New Roman" w:cs="Times New Roman"/>
                      <w:b/>
                      <w:bCs/>
                      <w:color w:val="auto"/>
                    </w:rPr>
                    <w:t>本项目情况</w:t>
                  </w:r>
                </w:p>
              </w:tc>
              <w:tc>
                <w:tcPr>
                  <w:tcW w:w="483" w:type="pct"/>
                  <w:tcBorders>
                    <w:tl2br w:val="nil"/>
                    <w:tr2bl w:val="nil"/>
                  </w:tcBorders>
                  <w:shd w:val="clear" w:color="auto" w:fill="auto"/>
                  <w:noWrap w:val="0"/>
                  <w:vAlign w:val="center"/>
                </w:tcPr>
                <w:p>
                  <w:pPr>
                    <w:pStyle w:val="67"/>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b/>
                      <w:bCs/>
                      <w:color w:val="auto"/>
                    </w:rPr>
                  </w:pPr>
                  <w:r>
                    <w:rPr>
                      <w:rFonts w:hint="default" w:ascii="Times New Roman" w:hAnsi="Times New Roman" w:cs="Times New Roman"/>
                      <w:b/>
                      <w:bCs/>
                      <w:color w:val="auto"/>
                    </w:rPr>
                    <w:t>符合性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28" w:type="dxa"/>
                  <w:left w:w="0" w:type="dxa"/>
                  <w:bottom w:w="28" w:type="dxa"/>
                  <w:right w:w="0" w:type="dxa"/>
                </w:tblCellMar>
              </w:tblPrEx>
              <w:trPr>
                <w:trHeight w:val="0" w:hRule="atLeast"/>
                <w:jc w:val="center"/>
              </w:trPr>
              <w:tc>
                <w:tcPr>
                  <w:tcW w:w="804" w:type="pct"/>
                  <w:tcBorders>
                    <w:tl2br w:val="nil"/>
                    <w:tr2bl w:val="nil"/>
                  </w:tcBorders>
                  <w:shd w:val="clear" w:color="auto" w:fill="auto"/>
                  <w:noWrap w:val="0"/>
                  <w:tcMar>
                    <w:left w:w="108" w:type="dxa"/>
                    <w:right w:w="108" w:type="dxa"/>
                  </w:tcMar>
                  <w:vAlign w:val="center"/>
                </w:tcPr>
                <w:p>
                  <w:pPr>
                    <w:pStyle w:val="67"/>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color w:val="auto"/>
                    </w:rPr>
                  </w:pPr>
                  <w:r>
                    <w:rPr>
                      <w:rFonts w:hint="default" w:ascii="Times New Roman" w:hAnsi="Times New Roman" w:cs="Times New Roman"/>
                      <w:color w:val="auto"/>
                    </w:rPr>
                    <w:t>空间布局约束</w:t>
                  </w:r>
                </w:p>
              </w:tc>
              <w:tc>
                <w:tcPr>
                  <w:tcW w:w="2188" w:type="pct"/>
                  <w:tcBorders>
                    <w:tl2br w:val="nil"/>
                    <w:tr2bl w:val="nil"/>
                  </w:tcBorders>
                  <w:shd w:val="clear" w:color="auto" w:fill="auto"/>
                  <w:noWrap w:val="0"/>
                  <w:tcMar>
                    <w:left w:w="108" w:type="dxa"/>
                    <w:right w:w="108" w:type="dxa"/>
                  </w:tcMar>
                  <w:vAlign w:val="center"/>
                </w:tcPr>
                <w:p>
                  <w:pPr>
                    <w:pStyle w:val="67"/>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（1.1）持续开展河湖岸线生态修护，认真实施“十年禁渔”，有效恢复水生生物多样性。禁止在天然水域（开放性湖泊和常水位面积1500亩及以上的水域）投肥投饵养殖等破坏水生态行为。</w:t>
                  </w:r>
                </w:p>
                <w:p>
                  <w:pPr>
                    <w:pStyle w:val="67"/>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1.2）禁养区内畜禽养殖场立即关停退养，禁养区外沿江、河、湖、库、排（干）渠岸线500米内实施限养管理，禁止新增养殖场和扩大养殖规模，引导现有养殖场逐步退出；根据养殖规模配套粪污处理设施装备，坚决取缔一切外排粪污的养殖场（户）。</w:t>
                  </w:r>
                </w:p>
                <w:p>
                  <w:pPr>
                    <w:pStyle w:val="67"/>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（1.3）严禁秸秆、垃圾露天焚烧。提高秸秆综合利用率，严格管控烟花爆竹运输、销售、燃放，及餐饮油烟、露天烧烤。</w:t>
                  </w:r>
                </w:p>
                <w:p>
                  <w:pPr>
                    <w:pStyle w:val="67"/>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（1.4）加快建设完善城镇生活污水收集管网，更新修复混接、漏接、老旧破损管网，推进初期雨水污染控制；推进农村生活污水治理，强化农户生活污水分类处理处置，提高农村生活污水治理率。</w:t>
                  </w:r>
                </w:p>
                <w:p>
                  <w:pPr>
                    <w:pStyle w:val="67"/>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（1.5）禁止在国、省考断面和饮用水水源保护区上游三公里、下游0.3公里范围内进行非法采砂。</w:t>
                  </w:r>
                </w:p>
                <w:p>
                  <w:pPr>
                    <w:pStyle w:val="67"/>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1.6）禁止在自然保护区核心区、缓冲区开展旅游和其他生产经营活动，禁止建设任何生产设施，禁止引进、放生外来物种，缓冲区从事科学研究、教学实习标本采集活动等，应避免对保护区生态环境产生不利影响，及时清除活动产生废弃物。</w:t>
                  </w:r>
                </w:p>
              </w:tc>
              <w:tc>
                <w:tcPr>
                  <w:tcW w:w="1523" w:type="pct"/>
                  <w:tcBorders>
                    <w:tl2br w:val="nil"/>
                    <w:tr2bl w:val="nil"/>
                  </w:tcBorders>
                  <w:shd w:val="clear" w:color="auto" w:fill="auto"/>
                  <w:noWrap w:val="0"/>
                  <w:tcMar>
                    <w:left w:w="108" w:type="dxa"/>
                    <w:right w:w="108" w:type="dxa"/>
                  </w:tcMar>
                  <w:vAlign w:val="center"/>
                </w:tcPr>
                <w:p>
                  <w:pPr>
                    <w:pStyle w:val="67"/>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rPr>
                    <w:t>本项目</w:t>
                  </w:r>
                  <w:r>
                    <w:rPr>
                      <w:rFonts w:hint="default" w:ascii="Times New Roman" w:hAnsi="Times New Roman" w:cs="Times New Roman"/>
                      <w:color w:val="auto"/>
                      <w:lang w:val="en-US" w:eastAsia="zh-CN"/>
                    </w:rPr>
                    <w:t>为</w:t>
                  </w:r>
                  <w:r>
                    <w:rPr>
                      <w:rFonts w:hint="eastAsia" w:cs="Times New Roman"/>
                      <w:color w:val="auto"/>
                      <w:lang w:val="en-US" w:eastAsia="zh-CN"/>
                    </w:rPr>
                    <w:t>安置区建设</w:t>
                  </w:r>
                  <w:r>
                    <w:rPr>
                      <w:rFonts w:hint="default" w:ascii="Times New Roman" w:hAnsi="Times New Roman" w:cs="Times New Roman"/>
                      <w:color w:val="auto"/>
                      <w:lang w:val="en-US" w:eastAsia="zh-CN"/>
                    </w:rPr>
                    <w:t>工程属于民生</w:t>
                  </w:r>
                  <w:r>
                    <w:rPr>
                      <w:rFonts w:hint="default" w:ascii="Times New Roman" w:hAnsi="Times New Roman" w:cs="Times New Roman"/>
                      <w:color w:val="auto"/>
                    </w:rPr>
                    <w:t>工程</w:t>
                  </w:r>
                  <w:r>
                    <w:rPr>
                      <w:rFonts w:hint="default" w:ascii="Times New Roman" w:hAnsi="Times New Roman" w:cs="Times New Roman"/>
                      <w:color w:val="auto"/>
                      <w:lang w:val="en-US" w:eastAsia="zh-CN"/>
                    </w:rPr>
                    <w:t>，</w:t>
                  </w:r>
                  <w:r>
                    <w:rPr>
                      <w:rFonts w:hint="default" w:ascii="Times New Roman" w:hAnsi="Times New Roman" w:cs="Times New Roman"/>
                      <w:color w:val="auto"/>
                    </w:rPr>
                    <w:t>不涉及渔业、畜禽养殖、秸秆焚烧</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采砂、污水处理</w:t>
                  </w:r>
                  <w:r>
                    <w:rPr>
                      <w:rFonts w:hint="default" w:ascii="Times New Roman" w:hAnsi="Times New Roman" w:cs="Times New Roman"/>
                      <w:color w:val="auto"/>
                    </w:rPr>
                    <w:t>等行业</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项目位于</w:t>
                  </w:r>
                  <w:r>
                    <w:rPr>
                      <w:rFonts w:hint="eastAsia" w:cs="Times New Roman"/>
                      <w:color w:val="auto"/>
                      <w:lang w:val="en-US" w:eastAsia="zh-CN"/>
                    </w:rPr>
                    <w:t>团洲乡</w:t>
                  </w:r>
                  <w:r>
                    <w:rPr>
                      <w:rFonts w:hint="default" w:ascii="Times New Roman" w:hAnsi="Times New Roman" w:cs="Times New Roman"/>
                      <w:color w:val="auto"/>
                      <w:lang w:val="en-US" w:eastAsia="zh-CN"/>
                    </w:rPr>
                    <w:t>镇域范围内（</w:t>
                  </w:r>
                  <w:r>
                    <w:rPr>
                      <w:rFonts w:hint="eastAsia" w:cs="Times New Roman"/>
                      <w:color w:val="auto"/>
                      <w:lang w:val="en-US" w:eastAsia="zh-CN"/>
                    </w:rPr>
                    <w:t>位于</w:t>
                  </w:r>
                  <w:r>
                    <w:rPr>
                      <w:rFonts w:hint="default" w:ascii="Times New Roman" w:hAnsi="Times New Roman" w:cs="Times New Roman"/>
                      <w:color w:val="auto"/>
                      <w:lang w:val="en-US" w:eastAsia="zh-CN"/>
                    </w:rPr>
                    <w:t>湖南</w:t>
                  </w:r>
                  <w:r>
                    <w:rPr>
                      <w:rFonts w:hint="eastAsia" w:cs="Times New Roman"/>
                      <w:color w:val="auto"/>
                      <w:lang w:val="en-US" w:eastAsia="zh-CN"/>
                    </w:rPr>
                    <w:t>东洞庭湖国家级自然保护实验区范围内</w:t>
                  </w:r>
                  <w:r>
                    <w:rPr>
                      <w:rFonts w:hint="default" w:ascii="Times New Roman" w:hAnsi="Times New Roman" w:cs="Times New Roman"/>
                      <w:color w:val="auto"/>
                      <w:lang w:val="en-US" w:eastAsia="zh-CN"/>
                    </w:rPr>
                    <w:t>），不属于自然保护区核心区、缓冲区</w:t>
                  </w:r>
                </w:p>
              </w:tc>
              <w:tc>
                <w:tcPr>
                  <w:tcW w:w="483" w:type="pct"/>
                  <w:tcBorders>
                    <w:tl2br w:val="nil"/>
                    <w:tr2bl w:val="nil"/>
                  </w:tcBorders>
                  <w:shd w:val="clear" w:color="auto" w:fill="auto"/>
                  <w:noWrap w:val="0"/>
                  <w:vAlign w:val="center"/>
                </w:tcPr>
                <w:p>
                  <w:pPr>
                    <w:pStyle w:val="67"/>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color w:val="auto"/>
                    </w:rPr>
                  </w:pPr>
                  <w:r>
                    <w:rPr>
                      <w:rFonts w:hint="default" w:ascii="Times New Roman" w:hAnsi="Times New Roman" w:cs="Times New Roman"/>
                      <w:color w:val="auto"/>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28" w:type="dxa"/>
                  <w:left w:w="0" w:type="dxa"/>
                  <w:bottom w:w="28" w:type="dxa"/>
                  <w:right w:w="0" w:type="dxa"/>
                </w:tblCellMar>
              </w:tblPrEx>
              <w:trPr>
                <w:trHeight w:val="0" w:hRule="atLeast"/>
                <w:jc w:val="center"/>
              </w:trPr>
              <w:tc>
                <w:tcPr>
                  <w:tcW w:w="804" w:type="pct"/>
                  <w:tcBorders>
                    <w:tl2br w:val="nil"/>
                    <w:tr2bl w:val="nil"/>
                  </w:tcBorders>
                  <w:shd w:val="clear" w:color="auto" w:fill="auto"/>
                  <w:noWrap w:val="0"/>
                  <w:tcMar>
                    <w:left w:w="108" w:type="dxa"/>
                    <w:right w:w="108" w:type="dxa"/>
                  </w:tcMar>
                  <w:vAlign w:val="center"/>
                </w:tcPr>
                <w:p>
                  <w:pPr>
                    <w:pStyle w:val="67"/>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color w:val="auto"/>
                    </w:rPr>
                  </w:pPr>
                  <w:r>
                    <w:rPr>
                      <w:rFonts w:hint="default" w:ascii="Times New Roman" w:hAnsi="Times New Roman" w:cs="Times New Roman"/>
                      <w:color w:val="auto"/>
                    </w:rPr>
                    <w:t>污染物排放管控</w:t>
                  </w:r>
                </w:p>
              </w:tc>
              <w:tc>
                <w:tcPr>
                  <w:tcW w:w="2188" w:type="pct"/>
                  <w:tcBorders>
                    <w:tl2br w:val="nil"/>
                    <w:tr2bl w:val="nil"/>
                  </w:tcBorders>
                  <w:shd w:val="clear" w:color="auto" w:fill="auto"/>
                  <w:noWrap w:val="0"/>
                  <w:tcMar>
                    <w:left w:w="108" w:type="dxa"/>
                    <w:right w:w="108" w:type="dxa"/>
                  </w:tcMar>
                  <w:vAlign w:val="center"/>
                </w:tcPr>
                <w:p>
                  <w:pPr>
                    <w:pStyle w:val="67"/>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（2.1）废气：强化建筑施工、道路及裸土扬尘污染治理，有效防尘降尘；严禁秸秆、垃圾露天焚烧，推进餐饮油烟污染治理，深化餐饮油烟专项整治。</w:t>
                  </w:r>
                </w:p>
                <w:p>
                  <w:pPr>
                    <w:pStyle w:val="67"/>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（2.2）废水：</w:t>
                  </w:r>
                </w:p>
                <w:p>
                  <w:pPr>
                    <w:pStyle w:val="67"/>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2.2.1）加快建设完善城镇生活污水收集管网，更新修复老旧破损管网；推进农村生活污水治理，推进农村户用厕所建设和改造，强化农户生活污水分类处理处置；加速城乡黑臭水体整治，2025年底基本消除农村较大面积黑臭水体。</w:t>
                  </w:r>
                </w:p>
                <w:p>
                  <w:pPr>
                    <w:pStyle w:val="67"/>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2.2.2）按水功能区划和水体纳污能力及洞庭湖总磷控制和削减要求，从严控制新增入河（湖）排污口的数量，严格落实总磷等重点污染物特别排放限值和总量指标。落实水质管控要求，外排废水特别是枯水期外排水质总磷浓度必须达标排放。</w:t>
                  </w:r>
                </w:p>
                <w:p>
                  <w:pPr>
                    <w:pStyle w:val="67"/>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（2.3）固体废物：完善城乡一体化垃圾收集转运和处置体系建设，强化提升运维水平；以乡镇为单元统筹推进农村生活垃圾分类收集，加快推进农村生活垃圾源头分类减量，减少来及出村量。</w:t>
                  </w:r>
                </w:p>
                <w:p>
                  <w:pPr>
                    <w:pStyle w:val="67"/>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2.4）畜禽养殖：畜禽养殖场（专业户）按养殖规模配套建设相应粪便污水贮存、处理、利用设施，杜绝外排粪污。全面推动畜禽养殖废弃物资源化利用。推进水产养殖尾水治理和综合利用，加强水产养殖尾水监测，规范工厂化水产养殖尾水排污口设置。</w:t>
                  </w:r>
                </w:p>
                <w:p>
                  <w:pPr>
                    <w:pStyle w:val="67"/>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（2.5）农业面源：深入推进化肥农药减量增效，依法落实化肥使用总量控制，科学用药提高农药利用率。</w:t>
                  </w:r>
                </w:p>
              </w:tc>
              <w:tc>
                <w:tcPr>
                  <w:tcW w:w="1523" w:type="pct"/>
                  <w:tcBorders>
                    <w:tl2br w:val="nil"/>
                    <w:tr2bl w:val="nil"/>
                  </w:tcBorders>
                  <w:shd w:val="clear" w:color="auto" w:fill="auto"/>
                  <w:noWrap w:val="0"/>
                  <w:tcMar>
                    <w:left w:w="108" w:type="dxa"/>
                    <w:right w:w="108" w:type="dxa"/>
                  </w:tcMar>
                  <w:vAlign w:val="center"/>
                </w:tcPr>
                <w:p>
                  <w:pPr>
                    <w:pStyle w:val="67"/>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rPr>
                    <w:t>2.1本次评价要求建设单位严格落实本次环评提出各项环保措施</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项目的建设不会对周边大气环境造成大的影响。</w:t>
                  </w:r>
                </w:p>
                <w:p>
                  <w:pPr>
                    <w:pStyle w:val="67"/>
                    <w:keepNext w:val="0"/>
                    <w:keepLines w:val="0"/>
                    <w:pageBreakBefore w:val="0"/>
                    <w:kinsoku/>
                    <w:wordWrap/>
                    <w:overflowPunct/>
                    <w:topLinePunct w:val="0"/>
                    <w:autoSpaceDE/>
                    <w:autoSpaceDN/>
                    <w:bidi w:val="0"/>
                    <w:adjustRightInd/>
                    <w:snapToGrid/>
                    <w:jc w:val="both"/>
                    <w:textAlignment w:val="auto"/>
                    <w:rPr>
                      <w:rFonts w:hint="eastAsia" w:ascii="Times New Roman" w:hAnsi="Times New Roman" w:eastAsia="宋体" w:cs="Times New Roman"/>
                      <w:color w:val="auto"/>
                      <w:highlight w:val="yellow"/>
                      <w:lang w:eastAsia="zh-CN"/>
                    </w:rPr>
                  </w:pPr>
                  <w:r>
                    <w:rPr>
                      <w:rFonts w:hint="default" w:ascii="Times New Roman" w:hAnsi="Times New Roman" w:cs="Times New Roman"/>
                      <w:color w:val="auto"/>
                    </w:rPr>
                    <w:t>2.</w:t>
                  </w:r>
                  <w:r>
                    <w:rPr>
                      <w:rFonts w:hint="default" w:ascii="Times New Roman" w:hAnsi="Times New Roman" w:cs="Times New Roman"/>
                      <w:color w:val="auto"/>
                      <w:highlight w:val="none"/>
                    </w:rPr>
                    <w:t>2项目废水可得到妥善处置，根据本次评价分析，本项目</w:t>
                  </w:r>
                  <w:r>
                    <w:rPr>
                      <w:rFonts w:hint="default" w:ascii="Times New Roman" w:hAnsi="Times New Roman" w:cs="Times New Roman"/>
                      <w:color w:val="auto"/>
                      <w:highlight w:val="none"/>
                      <w:lang w:val="en-US" w:eastAsia="zh-CN"/>
                    </w:rPr>
                    <w:t>废水均</w:t>
                  </w:r>
                  <w:r>
                    <w:rPr>
                      <w:rFonts w:hint="eastAsia" w:cs="Times New Roman"/>
                      <w:color w:val="auto"/>
                      <w:highlight w:val="none"/>
                      <w:lang w:val="en-US" w:eastAsia="zh-CN"/>
                    </w:rPr>
                    <w:t>有效收集处理达标后外排</w:t>
                  </w:r>
                  <w:r>
                    <w:rPr>
                      <w:rFonts w:hint="default" w:ascii="Times New Roman" w:hAnsi="Times New Roman" w:cs="Times New Roman"/>
                      <w:color w:val="auto"/>
                      <w:highlight w:val="none"/>
                      <w:lang w:val="en-US" w:eastAsia="zh-CN"/>
                    </w:rPr>
                    <w:t>，</w:t>
                  </w:r>
                  <w:r>
                    <w:rPr>
                      <w:rFonts w:hint="default" w:ascii="Times New Roman" w:hAnsi="Times New Roman" w:cs="Times New Roman"/>
                      <w:color w:val="auto"/>
                      <w:highlight w:val="none"/>
                    </w:rPr>
                    <w:t>废水不会导致外环境地表水环境功能级别的降低</w:t>
                  </w:r>
                  <w:r>
                    <w:rPr>
                      <w:rFonts w:hint="eastAsia" w:cs="Times New Roman"/>
                      <w:color w:val="auto"/>
                      <w:highlight w:val="none"/>
                      <w:lang w:eastAsia="zh-CN"/>
                    </w:rPr>
                    <w:t>。</w:t>
                  </w:r>
                </w:p>
                <w:p>
                  <w:pPr>
                    <w:pStyle w:val="67"/>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rPr>
                  </w:pPr>
                  <w:r>
                    <w:rPr>
                      <w:rFonts w:hint="default" w:ascii="Times New Roman" w:hAnsi="Times New Roman" w:cs="Times New Roman"/>
                      <w:color w:val="auto"/>
                    </w:rPr>
                    <w:t>2.3本项目施工期生活垃圾分类收集后委托环卫部门处置</w:t>
                  </w:r>
                </w:p>
                <w:p>
                  <w:pPr>
                    <w:pStyle w:val="67"/>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rPr>
                  </w:pPr>
                  <w:r>
                    <w:rPr>
                      <w:rFonts w:hint="default" w:ascii="Times New Roman" w:hAnsi="Times New Roman" w:cs="Times New Roman"/>
                      <w:color w:val="auto"/>
                    </w:rPr>
                    <w:t>2.4不涉及</w:t>
                  </w:r>
                </w:p>
                <w:p>
                  <w:pPr>
                    <w:pStyle w:val="67"/>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rPr>
                  </w:pPr>
                  <w:r>
                    <w:rPr>
                      <w:rFonts w:hint="default" w:ascii="Times New Roman" w:hAnsi="Times New Roman" w:cs="Times New Roman"/>
                      <w:color w:val="auto"/>
                    </w:rPr>
                    <w:t>2.5不涉及</w:t>
                  </w:r>
                </w:p>
              </w:tc>
              <w:tc>
                <w:tcPr>
                  <w:tcW w:w="483" w:type="pct"/>
                  <w:tcBorders>
                    <w:tl2br w:val="nil"/>
                    <w:tr2bl w:val="nil"/>
                  </w:tcBorders>
                  <w:shd w:val="clear" w:color="auto" w:fill="auto"/>
                  <w:noWrap w:val="0"/>
                  <w:vAlign w:val="center"/>
                </w:tcPr>
                <w:p>
                  <w:pPr>
                    <w:pStyle w:val="67"/>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28" w:type="dxa"/>
                  <w:left w:w="0" w:type="dxa"/>
                  <w:bottom w:w="28" w:type="dxa"/>
                  <w:right w:w="0" w:type="dxa"/>
                </w:tblCellMar>
              </w:tblPrEx>
              <w:trPr>
                <w:trHeight w:val="0" w:hRule="atLeast"/>
                <w:jc w:val="center"/>
              </w:trPr>
              <w:tc>
                <w:tcPr>
                  <w:tcW w:w="804" w:type="pct"/>
                  <w:tcBorders>
                    <w:tl2br w:val="nil"/>
                    <w:tr2bl w:val="nil"/>
                  </w:tcBorders>
                  <w:shd w:val="clear" w:color="auto" w:fill="auto"/>
                  <w:noWrap w:val="0"/>
                  <w:tcMar>
                    <w:left w:w="108" w:type="dxa"/>
                    <w:right w:w="108" w:type="dxa"/>
                  </w:tcMar>
                  <w:vAlign w:val="center"/>
                </w:tcPr>
                <w:p>
                  <w:pPr>
                    <w:pStyle w:val="67"/>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color w:val="auto"/>
                    </w:rPr>
                  </w:pPr>
                  <w:r>
                    <w:rPr>
                      <w:rFonts w:hint="default" w:ascii="Times New Roman" w:hAnsi="Times New Roman" w:cs="Times New Roman"/>
                      <w:color w:val="auto"/>
                    </w:rPr>
                    <w:t>环境风险防控</w:t>
                  </w:r>
                </w:p>
              </w:tc>
              <w:tc>
                <w:tcPr>
                  <w:tcW w:w="2188" w:type="pct"/>
                  <w:tcBorders>
                    <w:tl2br w:val="nil"/>
                    <w:tr2bl w:val="nil"/>
                  </w:tcBorders>
                  <w:shd w:val="clear" w:color="auto" w:fill="auto"/>
                  <w:noWrap w:val="0"/>
                  <w:tcMar>
                    <w:left w:w="108" w:type="dxa"/>
                    <w:right w:w="108" w:type="dxa"/>
                  </w:tcMar>
                  <w:vAlign w:val="center"/>
                </w:tcPr>
                <w:p>
                  <w:pPr>
                    <w:pStyle w:val="67"/>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（3.1）加强在产企业土壤和地下水污染源头管控，加强地下水环境监测监管能力，推进地下水污染预防、风险管控与修复试点，加强地下水型饮用水水源安全保障。</w:t>
                  </w:r>
                </w:p>
                <w:p>
                  <w:pPr>
                    <w:pStyle w:val="67"/>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（3.2）加强枯水期饮用水安全保障，保障农村集中式和分散供水用水，加密饮用水水源水质监测频次，监控水质变化，防止水污染事件。</w:t>
                  </w:r>
                </w:p>
                <w:p>
                  <w:pPr>
                    <w:pStyle w:val="67"/>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（3.3）严格分类管理受污染耕地，确保受污染耕地安全利用率。</w:t>
                  </w:r>
                </w:p>
              </w:tc>
              <w:tc>
                <w:tcPr>
                  <w:tcW w:w="1523" w:type="pct"/>
                  <w:tcBorders>
                    <w:tl2br w:val="nil"/>
                    <w:tr2bl w:val="nil"/>
                  </w:tcBorders>
                  <w:shd w:val="clear" w:color="auto" w:fill="auto"/>
                  <w:noWrap w:val="0"/>
                  <w:tcMar>
                    <w:left w:w="108" w:type="dxa"/>
                    <w:right w:w="108" w:type="dxa"/>
                  </w:tcMar>
                  <w:vAlign w:val="center"/>
                </w:tcPr>
                <w:p>
                  <w:pPr>
                    <w:pStyle w:val="67"/>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lang w:val="en-US" w:eastAsia="zh-CN"/>
                    </w:rPr>
                    <w:t>3.1</w:t>
                  </w:r>
                  <w:r>
                    <w:rPr>
                      <w:rFonts w:hint="default" w:ascii="Times New Roman" w:hAnsi="Times New Roman" w:cs="Times New Roman"/>
                      <w:color w:val="auto"/>
                      <w:highlight w:val="none"/>
                    </w:rPr>
                    <w:t>本项目</w:t>
                  </w:r>
                  <w:r>
                    <w:rPr>
                      <w:rFonts w:hint="default" w:ascii="Times New Roman" w:hAnsi="Times New Roman" w:cs="Times New Roman"/>
                      <w:color w:val="auto"/>
                      <w:highlight w:val="none"/>
                      <w:lang w:val="en-US" w:eastAsia="zh-CN"/>
                    </w:rPr>
                    <w:t>为</w:t>
                  </w:r>
                  <w:r>
                    <w:rPr>
                      <w:rFonts w:hint="eastAsia" w:cs="Times New Roman"/>
                      <w:color w:val="auto"/>
                      <w:highlight w:val="none"/>
                      <w:lang w:val="en-US" w:eastAsia="zh-CN"/>
                    </w:rPr>
                    <w:t>安置区建设</w:t>
                  </w:r>
                  <w:r>
                    <w:rPr>
                      <w:rFonts w:hint="default" w:ascii="Times New Roman" w:hAnsi="Times New Roman" w:cs="Times New Roman"/>
                      <w:color w:val="auto"/>
                      <w:highlight w:val="none"/>
                      <w:lang w:val="en-US" w:eastAsia="zh-CN"/>
                    </w:rPr>
                    <w:t>工程，不属于工业项目，不涉及土壤和地下水污染存在；项目</w:t>
                  </w:r>
                  <w:r>
                    <w:rPr>
                      <w:rFonts w:hint="eastAsia" w:cs="Times New Roman"/>
                      <w:color w:val="auto"/>
                      <w:highlight w:val="none"/>
                      <w:lang w:val="en-US" w:eastAsia="zh-CN"/>
                    </w:rPr>
                    <w:t>不</w:t>
                  </w:r>
                  <w:r>
                    <w:rPr>
                      <w:rFonts w:hint="default" w:ascii="Times New Roman" w:hAnsi="Times New Roman" w:cs="Times New Roman"/>
                      <w:color w:val="auto"/>
                      <w:highlight w:val="none"/>
                      <w:lang w:val="en-US" w:eastAsia="zh-CN"/>
                    </w:rPr>
                    <w:t>涉及地下取水</w:t>
                  </w:r>
                  <w:r>
                    <w:rPr>
                      <w:rFonts w:hint="default" w:ascii="Times New Roman" w:hAnsi="Times New Roman" w:cs="Times New Roman"/>
                      <w:color w:val="auto"/>
                      <w:szCs w:val="21"/>
                      <w:highlight w:val="none"/>
                      <w:lang w:eastAsia="zh-CN"/>
                    </w:rPr>
                    <w:t>。</w:t>
                  </w:r>
                </w:p>
                <w:p>
                  <w:pPr>
                    <w:pStyle w:val="67"/>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3.2</w:t>
                  </w:r>
                  <w:r>
                    <w:rPr>
                      <w:rFonts w:hint="eastAsia" w:cs="Times New Roman"/>
                      <w:color w:val="auto"/>
                      <w:highlight w:val="none"/>
                      <w:lang w:val="en-US" w:eastAsia="zh-CN"/>
                    </w:rPr>
                    <w:t>不涉及</w:t>
                  </w:r>
                  <w:r>
                    <w:rPr>
                      <w:rFonts w:hint="default" w:ascii="Times New Roman" w:hAnsi="Times New Roman" w:cs="Times New Roman"/>
                      <w:color w:val="auto"/>
                      <w:szCs w:val="21"/>
                      <w:highlight w:val="none"/>
                      <w:lang w:eastAsia="zh-CN"/>
                    </w:rPr>
                    <w:t>。</w:t>
                  </w:r>
                </w:p>
                <w:p>
                  <w:pPr>
                    <w:pStyle w:val="67"/>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3.3</w:t>
                  </w:r>
                  <w:r>
                    <w:rPr>
                      <w:rFonts w:hint="eastAsia" w:cs="Times New Roman"/>
                      <w:color w:val="auto"/>
                      <w:lang w:val="en-US" w:eastAsia="zh-CN"/>
                    </w:rPr>
                    <w:t>不涉及</w:t>
                  </w:r>
                  <w:r>
                    <w:rPr>
                      <w:rFonts w:hint="default" w:ascii="Times New Roman" w:hAnsi="Times New Roman" w:cs="Times New Roman"/>
                      <w:color w:val="auto"/>
                      <w:lang w:val="en-US" w:eastAsia="zh-CN"/>
                    </w:rPr>
                    <w:t>。</w:t>
                  </w:r>
                </w:p>
              </w:tc>
              <w:tc>
                <w:tcPr>
                  <w:tcW w:w="483" w:type="pct"/>
                  <w:tcBorders>
                    <w:tl2br w:val="nil"/>
                    <w:tr2bl w:val="nil"/>
                  </w:tcBorders>
                  <w:shd w:val="clear" w:color="auto" w:fill="auto"/>
                  <w:noWrap w:val="0"/>
                  <w:vAlign w:val="center"/>
                </w:tcPr>
                <w:p>
                  <w:pPr>
                    <w:pStyle w:val="67"/>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color w:val="auto"/>
                    </w:rPr>
                  </w:pPr>
                  <w:r>
                    <w:rPr>
                      <w:rFonts w:hint="default" w:ascii="Times New Roman" w:hAnsi="Times New Roman" w:cs="Times New Roman"/>
                      <w:color w:val="auto"/>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28" w:type="dxa"/>
                  <w:left w:w="0" w:type="dxa"/>
                  <w:bottom w:w="28" w:type="dxa"/>
                  <w:right w:w="0" w:type="dxa"/>
                </w:tblCellMar>
              </w:tblPrEx>
              <w:trPr>
                <w:trHeight w:val="4051" w:hRule="atLeast"/>
                <w:jc w:val="center"/>
              </w:trPr>
              <w:tc>
                <w:tcPr>
                  <w:tcW w:w="804" w:type="pct"/>
                  <w:tcBorders>
                    <w:tl2br w:val="nil"/>
                    <w:tr2bl w:val="nil"/>
                  </w:tcBorders>
                  <w:shd w:val="clear" w:color="auto" w:fill="auto"/>
                  <w:noWrap w:val="0"/>
                  <w:tcMar>
                    <w:left w:w="108" w:type="dxa"/>
                    <w:right w:w="108" w:type="dxa"/>
                  </w:tcMar>
                  <w:vAlign w:val="center"/>
                </w:tcPr>
                <w:p>
                  <w:pPr>
                    <w:pStyle w:val="67"/>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color w:val="auto"/>
                    </w:rPr>
                  </w:pPr>
                  <w:r>
                    <w:rPr>
                      <w:rFonts w:hint="default" w:ascii="Times New Roman" w:hAnsi="Times New Roman" w:cs="Times New Roman"/>
                      <w:color w:val="auto"/>
                      <w:kern w:val="0"/>
                      <w:szCs w:val="21"/>
                    </w:rPr>
                    <w:t>资源开发效率要求</w:t>
                  </w:r>
                </w:p>
              </w:tc>
              <w:tc>
                <w:tcPr>
                  <w:tcW w:w="2188" w:type="pct"/>
                  <w:tcBorders>
                    <w:tl2br w:val="nil"/>
                    <w:tr2bl w:val="nil"/>
                  </w:tcBorders>
                  <w:shd w:val="clear" w:color="auto" w:fill="auto"/>
                  <w:noWrap w:val="0"/>
                  <w:tcMar>
                    <w:left w:w="108" w:type="dxa"/>
                    <w:right w:w="108" w:type="dxa"/>
                  </w:tcMar>
                  <w:vAlign w:val="center"/>
                </w:tcPr>
                <w:p>
                  <w:pPr>
                    <w:pStyle w:val="67"/>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rPr>
                  </w:pPr>
                  <w:r>
                    <w:rPr>
                      <w:rFonts w:hint="default" w:ascii="Times New Roman" w:hAnsi="Times New Roman" w:cs="Times New Roman"/>
                      <w:color w:val="auto"/>
                    </w:rPr>
                    <w:t>（4.1）水资源：2025年华容县用水总量4.10亿立方米，万元地区生产总值用水量比2020年下降16.31%，万元工业增加值用水量比2020年下降17.67%，农田灌溉水有效利用系数0.555。</w:t>
                  </w:r>
                </w:p>
                <w:p>
                  <w:pPr>
                    <w:pStyle w:val="67"/>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rPr>
                  </w:pPr>
                  <w:r>
                    <w:rPr>
                      <w:rFonts w:hint="default" w:ascii="Times New Roman" w:hAnsi="Times New Roman" w:cs="Times New Roman"/>
                      <w:color w:val="auto"/>
                    </w:rPr>
                    <w:t>（4.2）能源：华容县“十四五”时期能耗强度降低基本目标16%，激励目标16.5%。</w:t>
                  </w:r>
                </w:p>
                <w:p>
                  <w:pPr>
                    <w:pStyle w:val="67"/>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rPr>
                  </w:pPr>
                  <w:r>
                    <w:rPr>
                      <w:rFonts w:hint="default" w:ascii="Times New Roman" w:hAnsi="Times New Roman" w:cs="Times New Roman"/>
                      <w:color w:val="auto"/>
                    </w:rPr>
                    <w:t>（4.3）土地资源：</w:t>
                  </w:r>
                </w:p>
                <w:p>
                  <w:pPr>
                    <w:pStyle w:val="67"/>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rPr>
                  </w:pPr>
                  <w:r>
                    <w:rPr>
                      <w:rFonts w:hint="default" w:ascii="Times New Roman" w:hAnsi="Times New Roman" w:cs="Times New Roman"/>
                      <w:color w:val="auto"/>
                    </w:rPr>
                    <w:t>插旗镇：耕地保有量3337.17公顷，基本农田保护面积2904.79公顷，生态保护红线面积172.75公顷，城镇开发边界规模83.80公顷，村庄建设用地510.05公顷。</w:t>
                  </w:r>
                </w:p>
              </w:tc>
              <w:tc>
                <w:tcPr>
                  <w:tcW w:w="1523" w:type="pct"/>
                  <w:tcBorders>
                    <w:tl2br w:val="nil"/>
                    <w:tr2bl w:val="nil"/>
                  </w:tcBorders>
                  <w:shd w:val="clear" w:color="auto" w:fill="auto"/>
                  <w:noWrap w:val="0"/>
                  <w:tcMar>
                    <w:left w:w="108" w:type="dxa"/>
                    <w:right w:w="108" w:type="dxa"/>
                  </w:tcMar>
                  <w:vAlign w:val="center"/>
                </w:tcPr>
                <w:p>
                  <w:pPr>
                    <w:pStyle w:val="67"/>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color w:val="auto"/>
                    </w:rPr>
                  </w:pPr>
                  <w:r>
                    <w:rPr>
                      <w:rFonts w:hint="default" w:ascii="Times New Roman" w:hAnsi="Times New Roman" w:cs="Times New Roman"/>
                      <w:color w:val="auto"/>
                    </w:rPr>
                    <w:t>4.1本项目属于</w:t>
                  </w:r>
                  <w:r>
                    <w:rPr>
                      <w:rFonts w:hint="eastAsia" w:cs="Times New Roman"/>
                      <w:color w:val="auto"/>
                      <w:lang w:val="en-US" w:eastAsia="zh-CN"/>
                    </w:rPr>
                    <w:t>民生</w:t>
                  </w:r>
                  <w:r>
                    <w:rPr>
                      <w:rFonts w:hint="default" w:ascii="Times New Roman" w:hAnsi="Times New Roman" w:cs="Times New Roman"/>
                      <w:color w:val="auto"/>
                      <w:lang w:val="en-US" w:eastAsia="zh-CN"/>
                    </w:rPr>
                    <w:t>工程</w:t>
                  </w:r>
                  <w:r>
                    <w:rPr>
                      <w:rFonts w:hint="eastAsia" w:cs="Times New Roman"/>
                      <w:color w:val="auto"/>
                      <w:lang w:val="en-US" w:eastAsia="zh-CN"/>
                    </w:rPr>
                    <w:t>，不涉及工业生产，用水量均为居民日常用水，用水量较少</w:t>
                  </w:r>
                  <w:r>
                    <w:rPr>
                      <w:rFonts w:hint="default" w:ascii="Times New Roman" w:hAnsi="Times New Roman" w:cs="Times New Roman"/>
                      <w:color w:val="auto"/>
                    </w:rPr>
                    <w:t>；</w:t>
                  </w:r>
                </w:p>
                <w:p>
                  <w:pPr>
                    <w:pStyle w:val="67"/>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color w:val="auto"/>
                    </w:rPr>
                  </w:pPr>
                  <w:r>
                    <w:rPr>
                      <w:rFonts w:hint="default" w:ascii="Times New Roman" w:hAnsi="Times New Roman" w:cs="Times New Roman"/>
                      <w:color w:val="auto"/>
                    </w:rPr>
                    <w:t>4.2本项目运营期能耗主要为电能，能耗量较低；</w:t>
                  </w:r>
                </w:p>
                <w:p>
                  <w:pPr>
                    <w:pStyle w:val="67"/>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rPr>
                    <w:t>4.3本项目永久用地</w:t>
                  </w:r>
                  <w:r>
                    <w:rPr>
                      <w:rFonts w:hint="default" w:ascii="Times New Roman" w:hAnsi="Times New Roman" w:cs="Times New Roman"/>
                      <w:color w:val="auto"/>
                      <w:lang w:val="en-US" w:eastAsia="zh-CN"/>
                    </w:rPr>
                    <w:t>位于城镇建设用地范围内</w:t>
                  </w:r>
                  <w:r>
                    <w:rPr>
                      <w:rFonts w:hint="default" w:ascii="Times New Roman" w:hAnsi="Times New Roman" w:cs="Times New Roman"/>
                      <w:color w:val="auto"/>
                    </w:rPr>
                    <w:t>，</w:t>
                  </w:r>
                  <w:r>
                    <w:rPr>
                      <w:rFonts w:hint="eastAsia" w:cs="Times New Roman"/>
                      <w:color w:val="auto"/>
                      <w:lang w:val="en-US" w:eastAsia="zh-CN"/>
                    </w:rPr>
                    <w:t>涉及</w:t>
                  </w:r>
                  <w:r>
                    <w:rPr>
                      <w:rFonts w:hint="default" w:ascii="Times New Roman" w:hAnsi="Times New Roman" w:cs="Times New Roman"/>
                      <w:color w:val="auto"/>
                    </w:rPr>
                    <w:t>不涉及</w:t>
                  </w:r>
                  <w:r>
                    <w:rPr>
                      <w:rFonts w:hint="default" w:ascii="Times New Roman" w:hAnsi="Times New Roman" w:cs="Times New Roman"/>
                      <w:color w:val="auto"/>
                      <w:lang w:val="en-US" w:eastAsia="zh-CN"/>
                    </w:rPr>
                    <w:t>永久占用基本农田、生态红线等敏感地区</w:t>
                  </w:r>
                  <w:r>
                    <w:rPr>
                      <w:rFonts w:hint="eastAsia" w:ascii="Times New Roman" w:hAnsi="Times New Roman" w:cs="Times New Roman"/>
                      <w:color w:val="auto"/>
                      <w:lang w:val="en-US" w:eastAsia="zh-CN"/>
                    </w:rPr>
                    <w:t>，项目用地已取得《建设项目用地预审与选址意见书》</w:t>
                  </w:r>
                </w:p>
              </w:tc>
              <w:tc>
                <w:tcPr>
                  <w:tcW w:w="483" w:type="pct"/>
                  <w:tcBorders>
                    <w:tl2br w:val="nil"/>
                    <w:tr2bl w:val="nil"/>
                  </w:tcBorders>
                  <w:shd w:val="clear" w:color="auto" w:fill="auto"/>
                  <w:noWrap w:val="0"/>
                  <w:vAlign w:val="center"/>
                </w:tcPr>
                <w:p>
                  <w:pPr>
                    <w:pStyle w:val="67"/>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color w:val="auto"/>
                    </w:rPr>
                  </w:pPr>
                  <w:r>
                    <w:rPr>
                      <w:rFonts w:hint="default" w:ascii="Times New Roman" w:hAnsi="Times New Roman" w:cs="Times New Roman"/>
                      <w:color w:val="auto"/>
                    </w:rPr>
                    <w:t>符合</w:t>
                  </w:r>
                </w:p>
              </w:tc>
            </w:tr>
          </w:tbl>
          <w:p>
            <w:pPr>
              <w:pStyle w:val="65"/>
              <w:ind w:firstLine="480"/>
              <w:rPr>
                <w:rFonts w:hint="default" w:ascii="Times New Roman" w:hAnsi="Times New Roman" w:cs="Times New Roman"/>
                <w:color w:val="auto"/>
              </w:rPr>
            </w:pPr>
            <w:r>
              <w:rPr>
                <w:rFonts w:hint="default" w:ascii="Times New Roman" w:hAnsi="Times New Roman" w:cs="Times New Roman"/>
                <w:color w:val="auto"/>
              </w:rPr>
              <w:t>由上表可知，本项目与空间布局约束各项管控要求不相冲突。本项目与污染物排放管控要求不相冲突。本项目所在地非污染地块，满足环境风险防控要求。总体而言，本项目污染排放可控、不需开发自然资源、项目用地无遗留污染、不涉及管控要求中的相关禁止项，符合当地“三线一单”分区管控要求。</w:t>
            </w:r>
          </w:p>
          <w:p>
            <w:pPr>
              <w:pStyle w:val="65"/>
              <w:numPr>
                <w:ilvl w:val="0"/>
                <w:numId w:val="0"/>
              </w:numPr>
              <w:ind w:leftChars="200"/>
              <w:rPr>
                <w:rFonts w:hint="default" w:ascii="Times New Roman" w:hAnsi="Times New Roman" w:cs="Times New Roman"/>
                <w:b/>
                <w:bCs/>
                <w:color w:val="auto"/>
                <w:lang w:val="en-US" w:eastAsia="zh-CN"/>
              </w:rPr>
            </w:pPr>
            <w:r>
              <w:rPr>
                <w:rFonts w:hint="eastAsia" w:cs="Times New Roman"/>
                <w:b/>
                <w:bCs/>
                <w:color w:val="auto"/>
                <w:lang w:val="en-US" w:eastAsia="zh-CN"/>
              </w:rPr>
              <w:t>（5）</w:t>
            </w:r>
            <w:r>
              <w:rPr>
                <w:rFonts w:hint="default" w:ascii="Times New Roman" w:hAnsi="Times New Roman" w:cs="Times New Roman"/>
                <w:b/>
                <w:bCs/>
                <w:color w:val="auto"/>
                <w:lang w:val="en-US" w:eastAsia="zh-CN"/>
              </w:rPr>
              <w:t>与《中华人民共和国长江保护法》符合性分析</w:t>
            </w:r>
          </w:p>
          <w:p>
            <w:pPr>
              <w:pStyle w:val="65"/>
              <w:ind w:firstLine="480"/>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本项目建设内容与《中华人民共和国长江保护法》相关要求对比分析 见下表。</w:t>
            </w:r>
          </w:p>
          <w:p>
            <w:pPr>
              <w:pStyle w:val="66"/>
              <w:keepNext w:val="0"/>
              <w:keepLines w:val="0"/>
              <w:pageBreakBefore w:val="0"/>
              <w:widowControl w:val="0"/>
              <w:kinsoku/>
              <w:wordWrap/>
              <w:overflowPunct/>
              <w:topLinePunct w:val="0"/>
              <w:autoSpaceDE/>
              <w:autoSpaceDN/>
              <w:bidi w:val="0"/>
              <w:adjustRightInd/>
              <w:snapToGrid/>
              <w:spacing w:beforeLines="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表</w:t>
            </w:r>
            <w:r>
              <w:rPr>
                <w:rFonts w:hint="default" w:ascii="Times New Roman" w:hAnsi="Times New Roman" w:eastAsia="宋体" w:cs="Times New Roman"/>
                <w:color w:val="auto"/>
              </w:rPr>
              <w:t>1-</w:t>
            </w:r>
            <w:r>
              <w:rPr>
                <w:rFonts w:hint="eastAsia" w:cs="Times New Roman"/>
                <w:color w:val="auto"/>
                <w:lang w:val="en-US" w:eastAsia="zh-CN"/>
              </w:rPr>
              <w:t>2</w:t>
            </w:r>
            <w:r>
              <w:rPr>
                <w:rFonts w:hint="default" w:ascii="Times New Roman" w:hAnsi="Times New Roman" w:eastAsia="宋体" w:cs="Times New Roman"/>
                <w:color w:val="auto"/>
                <w:lang w:val="en-US" w:eastAsia="zh-CN"/>
              </w:rPr>
              <w:t xml:space="preserve">   </w:t>
            </w:r>
            <w:r>
              <w:rPr>
                <w:rFonts w:hint="default" w:ascii="Times New Roman" w:hAnsi="Times New Roman" w:eastAsia="宋体" w:cs="Times New Roman"/>
                <w:color w:val="auto"/>
              </w:rPr>
              <w:t>与《中华人民共和国长江保护法》符合性分析一览表</w:t>
            </w:r>
          </w:p>
          <w:tbl>
            <w:tblPr>
              <w:tblStyle w:val="22"/>
              <w:tblW w:w="7653"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28" w:type="dxa"/>
                <w:left w:w="11" w:type="dxa"/>
                <w:bottom w:w="28" w:type="dxa"/>
                <w:right w:w="11" w:type="dxa"/>
              </w:tblCellMar>
            </w:tblPr>
            <w:tblGrid>
              <w:gridCol w:w="397"/>
              <w:gridCol w:w="4618"/>
              <w:gridCol w:w="2145"/>
              <w:gridCol w:w="49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525" w:hRule="atLeast"/>
                <w:jc w:val="center"/>
              </w:trPr>
              <w:tc>
                <w:tcPr>
                  <w:tcW w:w="368"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序号</w:t>
                  </w:r>
                </w:p>
              </w:tc>
              <w:tc>
                <w:tcPr>
                  <w:tcW w:w="4276"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要求内容</w:t>
                  </w:r>
                </w:p>
              </w:tc>
              <w:tc>
                <w:tcPr>
                  <w:tcW w:w="1986"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本项目情况</w:t>
                  </w:r>
                </w:p>
              </w:tc>
              <w:tc>
                <w:tcPr>
                  <w:tcW w:w="457"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符合</w:t>
                  </w:r>
                </w:p>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性</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930" w:hRule="atLeast"/>
                <w:jc w:val="center"/>
              </w:trPr>
              <w:tc>
                <w:tcPr>
                  <w:tcW w:w="368"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w:t>
                  </w:r>
                </w:p>
              </w:tc>
              <w:tc>
                <w:tcPr>
                  <w:tcW w:w="4276"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第二十九条 长江流域水资源保护与利用，应当根据流域综合规划，优先满足城乡居民生活用水，保障基本生态用水，并统筹农业、工业用水以及航运等需要。</w:t>
                  </w:r>
                </w:p>
              </w:tc>
              <w:tc>
                <w:tcPr>
                  <w:tcW w:w="1986"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w:t>
                  </w:r>
                  <w:r>
                    <w:rPr>
                      <w:rFonts w:hint="eastAsia" w:cs="Times New Roman"/>
                      <w:color w:val="auto"/>
                      <w:lang w:val="en-US" w:eastAsia="zh-CN"/>
                    </w:rPr>
                    <w:t>用水来</w:t>
                  </w:r>
                  <w:r>
                    <w:rPr>
                      <w:rFonts w:hint="default" w:ascii="Times New Roman" w:hAnsi="Times New Roman" w:eastAsia="宋体" w:cs="Times New Roman"/>
                      <w:color w:val="auto"/>
                      <w:lang w:val="en-US" w:eastAsia="zh-CN"/>
                    </w:rPr>
                    <w:t>自于</w:t>
                  </w:r>
                  <w:r>
                    <w:rPr>
                      <w:rFonts w:hint="eastAsia" w:cs="Times New Roman"/>
                      <w:color w:val="auto"/>
                      <w:lang w:val="en-US" w:eastAsia="zh-CN"/>
                    </w:rPr>
                    <w:t>幸福水厂，水厂取水来自于地下水，</w:t>
                  </w:r>
                  <w:r>
                    <w:rPr>
                      <w:rFonts w:hint="default" w:ascii="Times New Roman" w:hAnsi="Times New Roman" w:eastAsia="宋体" w:cs="Times New Roman"/>
                      <w:color w:val="auto"/>
                      <w:lang w:val="en-US" w:eastAsia="zh-CN"/>
                    </w:rPr>
                    <w:t>不涉及从长江取水</w:t>
                  </w:r>
                </w:p>
              </w:tc>
              <w:tc>
                <w:tcPr>
                  <w:tcW w:w="457"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90" w:hRule="atLeast"/>
                <w:jc w:val="center"/>
              </w:trPr>
              <w:tc>
                <w:tcPr>
                  <w:tcW w:w="368"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w:t>
                  </w:r>
                </w:p>
              </w:tc>
              <w:tc>
                <w:tcPr>
                  <w:tcW w:w="4276"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第四十七条 在长江流域江河、湖泊新设、改设或者扩大排污口，应当按照国家有关规定报经有管辖权的生态环境主管部门或者长江流域生态场境监督管理机构同意。对未达到水质目标的水功能区，除污水集中处理设施排污口外，应当严格控制新设，改设或者扩大排污口。</w:t>
                  </w:r>
                </w:p>
              </w:tc>
              <w:tc>
                <w:tcPr>
                  <w:tcW w:w="1986"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本项目未在长江流域江河、湖泊新设、改设或者扩大排污口</w:t>
                  </w:r>
                </w:p>
              </w:tc>
              <w:tc>
                <w:tcPr>
                  <w:tcW w:w="457"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90" w:hRule="atLeast"/>
                <w:jc w:val="center"/>
              </w:trPr>
              <w:tc>
                <w:tcPr>
                  <w:tcW w:w="368"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3</w:t>
                  </w:r>
                </w:p>
              </w:tc>
              <w:tc>
                <w:tcPr>
                  <w:tcW w:w="4276"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第五十条 长江流域县级以上地方人民政府应当组织对沿河湖垃圾填埋场、加油站、矿山、尾矿库、危险废物处置场、化工园区和化工项目等地下水重点污染源及周边地下水环境风险隐患开展调查评估，并采取相应风险防范和整治措施。</w:t>
                  </w:r>
                </w:p>
              </w:tc>
              <w:tc>
                <w:tcPr>
                  <w:tcW w:w="1986"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本项目不属于垃圾填埋场、加油站、矿山、尾矿库、危险废物处置场、化工园区和化工项目等</w:t>
                  </w:r>
                </w:p>
              </w:tc>
              <w:tc>
                <w:tcPr>
                  <w:tcW w:w="457"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符合</w:t>
                  </w:r>
                </w:p>
              </w:tc>
            </w:tr>
          </w:tbl>
          <w:p>
            <w:pPr>
              <w:pStyle w:val="65"/>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综上，项目与《中华人民共和国长江保护法》中相关条款并不冲突。</w:t>
            </w:r>
          </w:p>
          <w:p>
            <w:pPr>
              <w:pStyle w:val="65"/>
              <w:ind w:firstLine="482"/>
              <w:rPr>
                <w:rFonts w:hint="default" w:ascii="Times New Roman" w:hAnsi="Times New Roman" w:cs="Times New Roman"/>
                <w:b/>
                <w:bCs/>
                <w:color w:val="auto"/>
              </w:rPr>
            </w:pPr>
            <w:r>
              <w:rPr>
                <w:rFonts w:hint="eastAsia" w:cs="Times New Roman"/>
                <w:b/>
                <w:bCs/>
                <w:color w:val="auto"/>
                <w:lang w:eastAsia="zh-CN"/>
              </w:rPr>
              <w:t>（</w:t>
            </w:r>
            <w:r>
              <w:rPr>
                <w:rFonts w:hint="eastAsia" w:cs="Times New Roman"/>
                <w:b/>
                <w:bCs/>
                <w:color w:val="auto"/>
                <w:lang w:val="en-US" w:eastAsia="zh-CN"/>
              </w:rPr>
              <w:t>7</w:t>
            </w:r>
            <w:r>
              <w:rPr>
                <w:rFonts w:hint="eastAsia" w:cs="Times New Roman"/>
                <w:b/>
                <w:bCs/>
                <w:color w:val="auto"/>
                <w:lang w:eastAsia="zh-CN"/>
              </w:rPr>
              <w:t>）</w:t>
            </w:r>
            <w:r>
              <w:rPr>
                <w:rFonts w:hint="default" w:ascii="Times New Roman" w:hAnsi="Times New Roman" w:cs="Times New Roman"/>
                <w:b/>
                <w:bCs/>
                <w:color w:val="auto"/>
              </w:rPr>
              <w:t>与《湖南省长江经济带发展负面清单实施细则（试行，2022年版）》的符合性分析</w:t>
            </w:r>
          </w:p>
          <w:p>
            <w:pPr>
              <w:pStyle w:val="65"/>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2022年6月30日湖南省推动长江经济带发展领导小组办公室发布第70号文件《湖南省长江经济带发展负面清单实施细则（试行，2022年版）》，本项目与其相关要求对比分析情况详见下表：</w:t>
            </w:r>
          </w:p>
          <w:p>
            <w:pPr>
              <w:pStyle w:val="66"/>
              <w:keepNext w:val="0"/>
              <w:keepLines w:val="0"/>
              <w:pageBreakBefore w:val="0"/>
              <w:widowControl w:val="0"/>
              <w:kinsoku/>
              <w:wordWrap/>
              <w:overflowPunct/>
              <w:topLinePunct w:val="0"/>
              <w:autoSpaceDE/>
              <w:autoSpaceDN/>
              <w:bidi w:val="0"/>
              <w:adjustRightInd/>
              <w:snapToGrid/>
              <w:spacing w:beforeLines="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表1-</w:t>
            </w:r>
            <w:r>
              <w:rPr>
                <w:rFonts w:hint="eastAsia" w:cs="Times New Roman"/>
                <w:color w:val="auto"/>
                <w:lang w:val="en-US" w:eastAsia="zh-CN"/>
              </w:rPr>
              <w:t>3</w:t>
            </w:r>
            <w:r>
              <w:rPr>
                <w:rFonts w:hint="default" w:ascii="Times New Roman" w:hAnsi="Times New Roman" w:eastAsia="宋体" w:cs="Times New Roman"/>
                <w:color w:val="auto"/>
                <w:lang w:val="en-US" w:eastAsia="zh-CN"/>
              </w:rPr>
              <w:t xml:space="preserve">   与《湖南省长江经济带发展负面清单实施细则（试行，2022 年版）》符合性分析一览表</w:t>
            </w:r>
          </w:p>
          <w:tbl>
            <w:tblPr>
              <w:tblStyle w:val="22"/>
              <w:tblW w:w="7653"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28" w:type="dxa"/>
                <w:left w:w="11" w:type="dxa"/>
                <w:bottom w:w="28" w:type="dxa"/>
                <w:right w:w="11" w:type="dxa"/>
              </w:tblCellMar>
            </w:tblPr>
            <w:tblGrid>
              <w:gridCol w:w="361"/>
              <w:gridCol w:w="5036"/>
              <w:gridCol w:w="1815"/>
              <w:gridCol w:w="441"/>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0" w:hRule="atLeast"/>
                <w:jc w:val="center"/>
              </w:trPr>
              <w:tc>
                <w:tcPr>
                  <w:tcW w:w="366"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序号</w:t>
                  </w:r>
                </w:p>
              </w:tc>
              <w:tc>
                <w:tcPr>
                  <w:tcW w:w="5112"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要求内容</w:t>
                  </w:r>
                </w:p>
              </w:tc>
              <w:tc>
                <w:tcPr>
                  <w:tcW w:w="1842"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本项目情况</w:t>
                  </w:r>
                </w:p>
              </w:tc>
              <w:tc>
                <w:tcPr>
                  <w:tcW w:w="447"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符合</w:t>
                  </w:r>
                </w:p>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性</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0" w:hRule="atLeast"/>
                <w:jc w:val="center"/>
              </w:trPr>
              <w:tc>
                <w:tcPr>
                  <w:tcW w:w="366"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w:t>
                  </w:r>
                </w:p>
              </w:tc>
              <w:tc>
                <w:tcPr>
                  <w:tcW w:w="5112"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第三条 禁止建设不符合全国和省级港口布局规划以及港口总体规划的码头项目。对不符合港口总体规划的新建、改建和扩建的码头工程（含装码头工程）及其同时建设的配套设施、防波堤、锚地、护岸等工程，投资主管部门不得审批或核准。码头工程建设项目需要使用港口岸线的，项目单位应当按照国省港口岸线使用的管理规定办理港口岸线使用手续。未取得岸线使用批准文件或者岸线使用意见的，不得开工建设。禁止建设不符合《长江千线过江通道布局规划（2020-2035年）》的过长江通道项目。</w:t>
                  </w:r>
                </w:p>
              </w:tc>
              <w:tc>
                <w:tcPr>
                  <w:tcW w:w="1842"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项目不属于码头项目，不属于长江通道项目。</w:t>
                  </w:r>
                </w:p>
              </w:tc>
              <w:tc>
                <w:tcPr>
                  <w:tcW w:w="447"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0" w:hRule="atLeast"/>
                <w:jc w:val="center"/>
              </w:trPr>
              <w:tc>
                <w:tcPr>
                  <w:tcW w:w="366"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w:t>
                  </w:r>
                </w:p>
              </w:tc>
              <w:tc>
                <w:tcPr>
                  <w:tcW w:w="5112"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禁止在自然保护区核心区、缓冲区的岸线和河段范围内投资建设以下项目：（一）高尔夫球场开发、房地产开发、索道建设、会所建设等项目：（二）光伏发电、风力发电、火力发电建设项目：（三）社会资金进行商业性探矿勘查，以及不属于国家紧缺矿种资源的基础地质调查和矿产远景调查等公益性工作的设施建设：（四）野生动物驯养繁殖、展览基地建设项目：（五）污染环境、破坏自然资源或自然景观的建设设施：（六）对自然保护区主要保护对象产生重大影响、改变自然生态系统完整性、原真性、破坏自然景观的设施：（七）其他不符合自然保护区主体功能定位和国家禁止的设施。</w:t>
                  </w:r>
                </w:p>
              </w:tc>
              <w:tc>
                <w:tcPr>
                  <w:tcW w:w="1842"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本项目不在自然保护区核心区、缓冲区的岸线和河段范围。</w:t>
                  </w:r>
                </w:p>
              </w:tc>
              <w:tc>
                <w:tcPr>
                  <w:tcW w:w="447"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0" w:hRule="atLeast"/>
                <w:jc w:val="center"/>
              </w:trPr>
              <w:tc>
                <w:tcPr>
                  <w:tcW w:w="366"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3</w:t>
                  </w:r>
                </w:p>
              </w:tc>
              <w:tc>
                <w:tcPr>
                  <w:tcW w:w="5112"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第六条 禁止违反风景名胜区规划，在风景名胜区内设立各类开发区和在核心景区内建设宾馆，招待所，培训中心、疗养院以及与风景名胜资源保护无关的其他建筑物：已经建设的，应当按照风景名胜区规划，逐步迁出。</w:t>
                  </w:r>
                </w:p>
              </w:tc>
              <w:tc>
                <w:tcPr>
                  <w:tcW w:w="1842"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本项目不在风景名胜区内。</w:t>
                  </w:r>
                </w:p>
              </w:tc>
              <w:tc>
                <w:tcPr>
                  <w:tcW w:w="447"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2420" w:hRule="atLeast"/>
                <w:jc w:val="center"/>
              </w:trPr>
              <w:tc>
                <w:tcPr>
                  <w:tcW w:w="366"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4</w:t>
                  </w:r>
                </w:p>
              </w:tc>
              <w:tc>
                <w:tcPr>
                  <w:tcW w:w="5112"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第七条 饮用水水源一级保护区内禁止新建、改建，扩建与供水设施和保护水源无关的建设项日：禁止向水域排放污水，已设置的排污口必须拆除：不得设置与供水需要无关的码头。禁止停靠船舶；禁止堆置和存放工业废渣、城市垃圾、粪便和其它废弃物；禁止设置油库：禁止使用含磷洗涤剂、化肥、农药；禁止建设养殖场、禁止网箱养殖、旅游等可能污染饮用水水体的投资建设项目。</w:t>
                  </w:r>
                </w:p>
              </w:tc>
              <w:tc>
                <w:tcPr>
                  <w:tcW w:w="1842" w:type="dxa"/>
                  <w:vMerge w:val="restart"/>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w:t>
                  </w:r>
                  <w:r>
                    <w:rPr>
                      <w:rFonts w:hint="eastAsia" w:cs="Times New Roman"/>
                      <w:color w:val="auto"/>
                      <w:lang w:val="en-US" w:eastAsia="zh-CN"/>
                    </w:rPr>
                    <w:t>不涉及</w:t>
                  </w:r>
                  <w:r>
                    <w:rPr>
                      <w:rFonts w:hint="default" w:ascii="Times New Roman" w:hAnsi="Times New Roman" w:eastAsia="宋体" w:cs="Times New Roman"/>
                      <w:color w:val="auto"/>
                      <w:lang w:val="en-US" w:eastAsia="zh-CN"/>
                    </w:rPr>
                    <w:t>饮用水水源保护区。</w:t>
                  </w:r>
                </w:p>
              </w:tc>
              <w:tc>
                <w:tcPr>
                  <w:tcW w:w="447"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0" w:hRule="atLeast"/>
                <w:jc w:val="center"/>
              </w:trPr>
              <w:tc>
                <w:tcPr>
                  <w:tcW w:w="366"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w:t>
                  </w:r>
                </w:p>
              </w:tc>
              <w:tc>
                <w:tcPr>
                  <w:tcW w:w="5112"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第八条 饮用水水源二级保护区内禁止新建、改建、扩建向水体排放污染物的投资建设项目。原有排污口依法拆除或关闭。禁止设立装卸垃圾、粪便、油类和有毒物品的码头。</w:t>
                  </w:r>
                </w:p>
              </w:tc>
              <w:tc>
                <w:tcPr>
                  <w:tcW w:w="1842" w:type="dxa"/>
                  <w:vMerge w:val="continue"/>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p>
              </w:tc>
              <w:tc>
                <w:tcPr>
                  <w:tcW w:w="447"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0" w:hRule="atLeast"/>
                <w:jc w:val="center"/>
              </w:trPr>
              <w:tc>
                <w:tcPr>
                  <w:tcW w:w="366"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6</w:t>
                  </w:r>
                </w:p>
              </w:tc>
              <w:tc>
                <w:tcPr>
                  <w:tcW w:w="5112"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第九条 禁止在水产种质资源保护区内新建排污口、从事围湖造田造地等投资建设项目。</w:t>
                  </w:r>
                </w:p>
              </w:tc>
              <w:tc>
                <w:tcPr>
                  <w:tcW w:w="1842"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本项目不在水产种质资源保护区内。</w:t>
                  </w:r>
                </w:p>
              </w:tc>
              <w:tc>
                <w:tcPr>
                  <w:tcW w:w="447"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0" w:hRule="atLeast"/>
                <w:jc w:val="center"/>
              </w:trPr>
              <w:tc>
                <w:tcPr>
                  <w:tcW w:w="366"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7</w:t>
                  </w:r>
                </w:p>
              </w:tc>
              <w:tc>
                <w:tcPr>
                  <w:tcW w:w="5112"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第十条 除《中华人民共和国防洪法》规定的紧急防汛期采取的紧急措施外，禁止在国家湿地公园的岸线和河段范围内、挖沙、采矿等不符合主体功能定位的行为和活动。</w:t>
                  </w:r>
                </w:p>
              </w:tc>
              <w:tc>
                <w:tcPr>
                  <w:tcW w:w="1842"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本项目用地不在国家湿地公园的岸线和河段范围内。</w:t>
                  </w:r>
                </w:p>
              </w:tc>
              <w:tc>
                <w:tcPr>
                  <w:tcW w:w="447"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0" w:hRule="atLeast"/>
                <w:jc w:val="center"/>
              </w:trPr>
              <w:tc>
                <w:tcPr>
                  <w:tcW w:w="366"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8</w:t>
                  </w:r>
                </w:p>
              </w:tc>
              <w:tc>
                <w:tcPr>
                  <w:tcW w:w="5112"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第十一条 禁止违法利用、占用长江流域河湖岸线：禁止在《长江岸线保护和开发利用总体规划》划定的岸线保护区和保留区内投资建设除事关公共安全及公众利益的防洪护岸、河道治理、供水、生态环境保护、航道整治、国家重要基础设施以外的项目。</w:t>
                  </w:r>
                </w:p>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禁止填湖造地、围湖造田及非法围垦河道，禁止非法建设矮围网围，填理湿地等段占河湖水域或者违法利用，古用河湖岸线的行为。</w:t>
                  </w:r>
                </w:p>
              </w:tc>
              <w:tc>
                <w:tcPr>
                  <w:tcW w:w="1842"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本项目未利用、占用长江流域河湖岸线。本项目未填湖造地、围湖造田及非法围垦河道。</w:t>
                  </w:r>
                </w:p>
              </w:tc>
              <w:tc>
                <w:tcPr>
                  <w:tcW w:w="447"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0" w:hRule="atLeast"/>
                <w:jc w:val="center"/>
              </w:trPr>
              <w:tc>
                <w:tcPr>
                  <w:tcW w:w="366"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9</w:t>
                  </w:r>
                </w:p>
              </w:tc>
              <w:tc>
                <w:tcPr>
                  <w:tcW w:w="5112"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第十二条 禁止在《全国重要江河湖泊水功能区划》划定的河段及湖泊保护区、保留区内投资建设不利于水资源及自然生态保护的项目。</w:t>
                  </w:r>
                </w:p>
              </w:tc>
              <w:tc>
                <w:tcPr>
                  <w:tcW w:w="1842"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本项目不在《全国重要江河湖泊水功能区划》划定的河段及湖泊保护区、保留区内。</w:t>
                  </w:r>
                </w:p>
              </w:tc>
              <w:tc>
                <w:tcPr>
                  <w:tcW w:w="447"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0" w:hRule="atLeast"/>
                <w:jc w:val="center"/>
              </w:trPr>
              <w:tc>
                <w:tcPr>
                  <w:tcW w:w="366"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10</w:t>
                  </w:r>
                </w:p>
              </w:tc>
              <w:tc>
                <w:tcPr>
                  <w:tcW w:w="5112"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第十三条 禁止未经许可在长江干支流及湖泊新设、改设或扩大排污口。</w:t>
                  </w:r>
                </w:p>
              </w:tc>
              <w:tc>
                <w:tcPr>
                  <w:tcW w:w="1842"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本项目未在长江干支流及湖泊新设、改设或扩大排污口。</w:t>
                  </w:r>
                </w:p>
              </w:tc>
              <w:tc>
                <w:tcPr>
                  <w:tcW w:w="447"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0" w:hRule="atLeast"/>
                <w:jc w:val="center"/>
              </w:trPr>
              <w:tc>
                <w:tcPr>
                  <w:tcW w:w="366"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11</w:t>
                  </w:r>
                </w:p>
              </w:tc>
              <w:tc>
                <w:tcPr>
                  <w:tcW w:w="5112"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第十四条 禁止在洞庭湖、湘江、资江、沅江、遭水干流和45个水生生物保护区开展生产性捕捞。在相关自然保护区域和禁猎（渔）区、禁猎（渔）期内，禁止猎捕以及其他妨碍野生动物生息繁衍的活动，但法律法规另有规定的除外。</w:t>
                  </w:r>
                </w:p>
              </w:tc>
              <w:tc>
                <w:tcPr>
                  <w:tcW w:w="1842"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本项目未开展生产性捕捞。</w:t>
                  </w:r>
                </w:p>
              </w:tc>
              <w:tc>
                <w:tcPr>
                  <w:tcW w:w="447"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0" w:hRule="atLeast"/>
                <w:jc w:val="center"/>
              </w:trPr>
              <w:tc>
                <w:tcPr>
                  <w:tcW w:w="366"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12</w:t>
                  </w:r>
                </w:p>
              </w:tc>
              <w:tc>
                <w:tcPr>
                  <w:tcW w:w="5112"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第十五条 禁止在长江湖南段和洞庭湖、湘江、资江、沅江，遭水干流岸线一公里范围内新建、扩建化工园区和化工项目。禁止在长江湖南段岸线二公里范围内和湘江、资江、沅江遭水岸线一公里范围内新建、改建、扩建尾矿库、冶炼渣库和磷石膏库，以提升安全，生态环境保护水平为目的的改建除外。</w:t>
                  </w:r>
                </w:p>
              </w:tc>
              <w:tc>
                <w:tcPr>
                  <w:tcW w:w="1842"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本项目不属于化工园区和化工项目：本项目不属于尾矿库、冶炼渣库和磷右膏库。</w:t>
                  </w:r>
                </w:p>
              </w:tc>
              <w:tc>
                <w:tcPr>
                  <w:tcW w:w="447"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0" w:hRule="atLeast"/>
                <w:jc w:val="center"/>
              </w:trPr>
              <w:tc>
                <w:tcPr>
                  <w:tcW w:w="366"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13</w:t>
                  </w:r>
                </w:p>
              </w:tc>
              <w:tc>
                <w:tcPr>
                  <w:tcW w:w="5112"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第十六条 禁止在合规园区外新建、扩建钢铁、石化、化工、焦化、建材、有色、制浆造纸等高污染项目。高污染项目严格按照生态环境部《环境保护综合名录（2021年版）》有关要求执行。</w:t>
                  </w:r>
                </w:p>
              </w:tc>
              <w:tc>
                <w:tcPr>
                  <w:tcW w:w="1842"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本项目不属于钢铁、石化、化工、焦化、建材、有色、制浆造纸等高污染项目。</w:t>
                  </w:r>
                </w:p>
              </w:tc>
              <w:tc>
                <w:tcPr>
                  <w:tcW w:w="447"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0" w:hRule="atLeast"/>
                <w:jc w:val="center"/>
              </w:trPr>
              <w:tc>
                <w:tcPr>
                  <w:tcW w:w="366"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14</w:t>
                  </w:r>
                </w:p>
              </w:tc>
              <w:tc>
                <w:tcPr>
                  <w:tcW w:w="5112"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第十七条 禁止新建、扩建不符合国家石化、现代煤化工等产业布局规划的项目。未通过认定的化工园区，不得新建改扩建化工项目（安全、环保、节能和智能化改造项目除外）。</w:t>
                  </w:r>
                </w:p>
              </w:tc>
              <w:tc>
                <w:tcPr>
                  <w:tcW w:w="1842"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本项目不属于石化、现代煤化工等项目。</w:t>
                  </w:r>
                </w:p>
              </w:tc>
              <w:tc>
                <w:tcPr>
                  <w:tcW w:w="447"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0" w:hRule="atLeast"/>
                <w:jc w:val="center"/>
              </w:trPr>
              <w:tc>
                <w:tcPr>
                  <w:tcW w:w="366"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15</w:t>
                  </w:r>
                </w:p>
              </w:tc>
              <w:tc>
                <w:tcPr>
                  <w:tcW w:w="5112"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第十八条 禁止新建、扩建法律法规和相关政策明令禁止的落后产能项目：对不符合要求的落后产能存量项目依法依规退出。禁止新建、扩建不符合国家产能置换要求的严重过剩产能行业（钢铁、水泥、电解铝、平板玻璃、船舶等行业）的项目。对确有必要新建、扩建的，必须严格执行产能置换实施办法，实施减量或等量置换，依法依规办理有关手续。禁止新建、扩建不符合要求的高耗能高排放项目</w:t>
                  </w:r>
                </w:p>
              </w:tc>
              <w:tc>
                <w:tcPr>
                  <w:tcW w:w="1842"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本项目不属于落后产能项目，不属于严重过剩产能行业，不属于高耗能高排放项目。</w:t>
                  </w:r>
                </w:p>
              </w:tc>
              <w:tc>
                <w:tcPr>
                  <w:tcW w:w="447"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符合</w:t>
                  </w:r>
                </w:p>
              </w:tc>
            </w:tr>
          </w:tbl>
          <w:p>
            <w:pPr>
              <w:keepNext w:val="0"/>
              <w:keepLines w:val="0"/>
              <w:pageBreakBefore w:val="0"/>
              <w:widowControl w:val="0"/>
              <w:kinsoku/>
              <w:wordWrap/>
              <w:overflowPunct/>
              <w:topLinePunct w:val="0"/>
              <w:autoSpaceDE w:val="0"/>
              <w:autoSpaceDN w:val="0"/>
              <w:bidi w:val="0"/>
              <w:adjustRightInd w:val="0"/>
              <w:snapToGrid w:val="0"/>
              <w:spacing w:before="157" w:beforeLines="50" w:line="360" w:lineRule="auto"/>
              <w:ind w:firstLine="480" w:firstLineChars="200"/>
              <w:jc w:val="left"/>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综上，</w:t>
            </w:r>
            <w:r>
              <w:rPr>
                <w:rFonts w:hint="default" w:ascii="Times New Roman" w:hAnsi="Times New Roman" w:cs="Times New Roman"/>
                <w:color w:val="auto"/>
                <w:sz w:val="24"/>
                <w:szCs w:val="24"/>
              </w:rPr>
              <w:t>野生动物迁徙洄游通道，项目为</w:t>
            </w:r>
            <w:r>
              <w:rPr>
                <w:rFonts w:hint="default" w:ascii="Times New Roman" w:hAnsi="Times New Roman" w:cs="Times New Roman"/>
                <w:color w:val="auto"/>
                <w:sz w:val="24"/>
                <w:szCs w:val="24"/>
                <w:lang w:val="en-US" w:eastAsia="zh-CN"/>
              </w:rPr>
              <w:t>民生工程，主要建设</w:t>
            </w:r>
            <w:r>
              <w:rPr>
                <w:rFonts w:hint="eastAsia" w:ascii="Times New Roman" w:hAnsi="Times New Roman" w:cs="Times New Roman"/>
                <w:color w:val="auto"/>
                <w:sz w:val="24"/>
                <w:szCs w:val="24"/>
                <w:lang w:val="en-US" w:eastAsia="zh-CN"/>
              </w:rPr>
              <w:t>安置区</w:t>
            </w:r>
            <w:r>
              <w:rPr>
                <w:rFonts w:hint="default" w:ascii="Times New Roman" w:hAnsi="Times New Roman" w:cs="Times New Roman"/>
                <w:color w:val="auto"/>
                <w:sz w:val="24"/>
                <w:szCs w:val="24"/>
              </w:rPr>
              <w:t>，不属于新建排污口、非法围垦河道和围湖造田造地等投资建设项目、不开展生产线捕捞</w:t>
            </w:r>
            <w:r>
              <w:rPr>
                <w:rFonts w:hint="default" w:ascii="Times New Roman" w:hAnsi="Times New Roman" w:cs="Times New Roman"/>
                <w:color w:val="auto"/>
                <w:sz w:val="24"/>
                <w:szCs w:val="24"/>
                <w:lang w:val="en-US" w:eastAsia="zh-CN"/>
              </w:rPr>
              <w:t>等</w:t>
            </w:r>
            <w:r>
              <w:rPr>
                <w:rFonts w:hint="default" w:ascii="Times New Roman" w:hAnsi="Times New Roman" w:cs="Times New Roman"/>
                <w:color w:val="auto"/>
                <w:sz w:val="24"/>
                <w:szCs w:val="24"/>
              </w:rPr>
              <w:t>。因此，本项目符合《湖南省长江经济带发展负面清单实施细则（试行，2022年版）》的要求。</w:t>
            </w:r>
          </w:p>
          <w:p>
            <w:pPr>
              <w:keepNext w:val="0"/>
              <w:keepLines w:val="0"/>
              <w:pageBreakBefore w:val="0"/>
              <w:widowControl w:val="0"/>
              <w:kinsoku/>
              <w:wordWrap/>
              <w:overflowPunct/>
              <w:topLinePunct w:val="0"/>
              <w:autoSpaceDE w:val="0"/>
              <w:autoSpaceDN w:val="0"/>
              <w:bidi w:val="0"/>
              <w:adjustRightInd w:val="0"/>
              <w:snapToGrid w:val="0"/>
              <w:spacing w:before="157" w:beforeLines="50" w:line="360" w:lineRule="auto"/>
              <w:jc w:val="left"/>
              <w:textAlignment w:val="auto"/>
              <w:rPr>
                <w:rFonts w:hint="default" w:ascii="Times New Roman" w:hAnsi="Times New Roman" w:cs="Times New Roman"/>
                <w:color w:val="auto"/>
                <w:sz w:val="24"/>
                <w:szCs w:val="24"/>
              </w:rPr>
            </w:pPr>
          </w:p>
        </w:tc>
      </w:tr>
    </w:tbl>
    <w:p>
      <w:pPr>
        <w:spacing w:line="360" w:lineRule="auto"/>
        <w:outlineLvl w:val="0"/>
        <w:rPr>
          <w:rFonts w:eastAsia="黑体"/>
          <w:color w:val="auto"/>
          <w:sz w:val="30"/>
        </w:rPr>
        <w:sectPr>
          <w:footerReference r:id="rId5" w:type="default"/>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p>
    <w:p>
      <w:pPr>
        <w:pStyle w:val="18"/>
        <w:jc w:val="center"/>
        <w:outlineLvl w:val="0"/>
        <w:rPr>
          <w:rFonts w:ascii="黑体" w:hAnsi="黑体" w:eastAsia="黑体"/>
          <w:snapToGrid w:val="0"/>
          <w:color w:val="auto"/>
          <w:sz w:val="30"/>
          <w:szCs w:val="30"/>
        </w:rPr>
      </w:pPr>
      <w:bookmarkStart w:id="8" w:name="_Toc17350"/>
      <w:bookmarkStart w:id="9" w:name="_Toc27846"/>
      <w:r>
        <w:rPr>
          <w:rFonts w:hint="eastAsia" w:ascii="黑体" w:hAnsi="黑体" w:eastAsia="黑体"/>
          <w:snapToGrid w:val="0"/>
          <w:color w:val="auto"/>
          <w:sz w:val="30"/>
          <w:szCs w:val="30"/>
        </w:rPr>
        <w:t>二、建设项目工程分析</w:t>
      </w:r>
      <w:bookmarkEnd w:id="8"/>
      <w:bookmarkEnd w:id="9"/>
    </w:p>
    <w:tbl>
      <w:tblPr>
        <w:tblStyle w:val="22"/>
        <w:tblW w:w="898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23"/>
        <w:gridCol w:w="816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72" w:hRule="atLeast"/>
          <w:jc w:val="center"/>
        </w:trPr>
        <w:tc>
          <w:tcPr>
            <w:tcW w:w="823" w:type="dxa"/>
            <w:vAlign w:val="center"/>
          </w:tcPr>
          <w:p>
            <w:pPr>
              <w:pStyle w:val="18"/>
              <w:adjustRightInd w:val="0"/>
              <w:snapToGrid w:val="0"/>
              <w:spacing w:before="0" w:beforeAutospacing="0" w:after="0" w:afterAutospacing="0"/>
              <w:jc w:val="center"/>
              <w:rPr>
                <w:rFonts w:hint="eastAsia" w:ascii="Times New Roman" w:hAnsi="Times New Roman" w:cs="宋体"/>
                <w:color w:val="auto"/>
                <w:szCs w:val="21"/>
              </w:rPr>
            </w:pPr>
            <w:r>
              <w:rPr>
                <w:rFonts w:hint="eastAsia" w:ascii="Times New Roman" w:hAnsi="Times New Roman" w:cs="宋体"/>
                <w:color w:val="auto"/>
                <w:szCs w:val="21"/>
                <w:lang w:val="en-US" w:eastAsia="zh-CN"/>
              </w:rPr>
              <w:t>地理位置</w:t>
            </w:r>
          </w:p>
        </w:tc>
        <w:tc>
          <w:tcPr>
            <w:tcW w:w="8161" w:type="dxa"/>
            <w:vAlign w:val="top"/>
          </w:tcPr>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本项目为团洲垸灾后重建安置房建设项目的一期，建设地点位于华容县团洲安全垸内团洲花园小区东南侧，南电排渠西侧。</w:t>
            </w:r>
          </w:p>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宋体"/>
                <w:bCs/>
                <w:color w:val="auto"/>
                <w:sz w:val="24"/>
                <w:szCs w:val="21"/>
                <w:lang w:val="en-US" w:eastAsia="zh-CN"/>
              </w:rPr>
            </w:pPr>
            <w:r>
              <w:rPr>
                <w:rFonts w:ascii="Times New Roman" w:hAnsi="Times New Roman" w:eastAsia="仿宋_GB2312" w:cs="Times New Roman"/>
                <w:snapToGrid w:val="0"/>
                <w:color w:val="auto"/>
                <w:spacing w:val="0"/>
                <w:kern w:val="0"/>
                <w:position w:val="0"/>
                <w:sz w:val="28"/>
                <w:szCs w:val="28"/>
                <w:lang w:val="en-US" w:eastAsia="en-US" w:bidi="ar-SA"/>
              </w:rPr>
              <w:drawing>
                <wp:inline distT="0" distB="0" distL="114300" distR="114300">
                  <wp:extent cx="4897120" cy="3481070"/>
                  <wp:effectExtent l="19050" t="19050" r="36830" b="2413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22"/>
                          <a:stretch>
                            <a:fillRect/>
                          </a:stretch>
                        </pic:blipFill>
                        <pic:spPr>
                          <a:xfrm>
                            <a:off x="0" y="0"/>
                            <a:ext cx="4897120" cy="3481070"/>
                          </a:xfrm>
                          <a:prstGeom prst="rect">
                            <a:avLst/>
                          </a:prstGeom>
                          <a:noFill/>
                          <a:ln w="19050" cmpd="sng">
                            <a:solidFill>
                              <a:schemeClr val="tx1"/>
                            </a:solidFill>
                            <a:prstDash val="solid"/>
                          </a:ln>
                        </pic:spPr>
                      </pic:pic>
                    </a:graphicData>
                  </a:graphic>
                </wp:inline>
              </w:drawing>
            </w: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color w:val="auto"/>
                <w:lang w:val="en-US" w:eastAsia="zh-CN"/>
              </w:rPr>
            </w:pPr>
            <w:r>
              <w:rPr>
                <w:rFonts w:hint="default" w:ascii="Times New Roman" w:hAnsi="Times New Roman" w:eastAsia="宋体" w:cs="Times New Roman"/>
                <w:b/>
                <w:bCs/>
                <w:color w:val="auto"/>
                <w:sz w:val="24"/>
                <w:szCs w:val="24"/>
                <w:lang w:val="en-US" w:eastAsia="zh-CN"/>
              </w:rPr>
              <w:t>图2.1   项目地理位置示意图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72" w:hRule="atLeast"/>
          <w:jc w:val="center"/>
        </w:trPr>
        <w:tc>
          <w:tcPr>
            <w:tcW w:w="823" w:type="dxa"/>
            <w:vAlign w:val="center"/>
          </w:tcPr>
          <w:p>
            <w:pPr>
              <w:pStyle w:val="18"/>
              <w:adjustRightInd w:val="0"/>
              <w:snapToGrid w:val="0"/>
              <w:spacing w:before="0" w:beforeAutospacing="0" w:after="0" w:afterAutospacing="0"/>
              <w:jc w:val="center"/>
              <w:rPr>
                <w:rFonts w:ascii="Times New Roman" w:hAnsi="Times New Roman" w:cs="宋体"/>
                <w:color w:val="auto"/>
                <w:szCs w:val="21"/>
              </w:rPr>
            </w:pPr>
            <w:r>
              <w:rPr>
                <w:rFonts w:hint="eastAsia" w:ascii="Times New Roman" w:hAnsi="Times New Roman" w:cs="宋体"/>
                <w:color w:val="auto"/>
                <w:szCs w:val="21"/>
              </w:rPr>
              <w:t>建设内容</w:t>
            </w:r>
          </w:p>
        </w:tc>
        <w:tc>
          <w:tcPr>
            <w:tcW w:w="8161" w:type="dxa"/>
          </w:tcPr>
          <w:p>
            <w:pPr>
              <w:pStyle w:val="65"/>
              <w:ind w:left="0" w:leftChars="0" w:firstLine="0" w:firstLineChars="0"/>
              <w:rPr>
                <w:rFonts w:hint="eastAsia"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1、项目建设背景</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2024年7月5日下午，团洲乡团北村团洲垸洞庭湖一线堤防发生堤坝决口，团洲垸92.5%的面积被淹，平均水深约5m，遭受了严重的洪涝灾害，对农业生产造成了严重影响。此次灾害是由于持续强降雨和长江水位暴涨导致的，降雨量大幅超出往年同期，致使多个堤防和河道水位超过警戒线。团洲乡地处平原，地势低洼，水流排泄不畅，导致全乡多个村庄遭受了洪水袭击，形成大面积积水。</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团洲乡大面积农田被洪水浸泡，水稻、玉米、大豆等农作物几乎绝收，农业生产受到严重打击；部分村庄的房屋被洪水侵入，泥石流和积水导致墙体倒塌或基础损坏，部分居民不得不转移至安全地点；多条乡村道路因洪水被冲毁或严重积水，交通受阻，物资运输和救援工作难以展开；供水、电力等基础设施受到破坏，部分村庄出现停水停电的情况，生活生产受到极大影响，部分村民被迫撤离，安置点紧急搭建，提供基本生活保障；此次洪涝灾害给团洲乡带来了巨大的经济损失，农业生产和居民生活均受到严重冲击，后续需要大规模的灾后重建工作。</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在收到上级批复后，华容县迅速组织了前期研究、选址、规划等工作。项目的选址考虑了洪水灾害的影响因素，确保新建安置房地势较高，避开低洼易涝区域。同时，相关配套基础设施的规划设计也已经完成，包括供水、排水、电力、消防和道路系统，确保新建安置点具备良好的居住和生活条件。团洲垸此次洪涝灾害波及范围广、影响深远，造成了大面积农田绝收、基础设施损毁和居民房屋倒塌。受灾居民被迫转移，生活受到严重影响。为尽快恢复正常生产生活秩序，华容县政府决定启动团洲垸灾后重建安置房建设项目。</w:t>
            </w:r>
          </w:p>
          <w:p>
            <w:pPr>
              <w:numPr>
                <w:ilvl w:val="0"/>
                <w:numId w:val="0"/>
              </w:numPr>
              <w:adjustRightInd w:val="0"/>
              <w:snapToGrid w:val="0"/>
              <w:spacing w:line="360" w:lineRule="auto"/>
              <w:jc w:val="left"/>
              <w:rPr>
                <w:rFonts w:cs="宋体"/>
                <w:b/>
                <w:color w:val="auto"/>
                <w:sz w:val="24"/>
                <w:szCs w:val="21"/>
              </w:rPr>
            </w:pPr>
            <w:r>
              <w:rPr>
                <w:rFonts w:hint="eastAsia" w:cs="宋体"/>
                <w:b/>
                <w:color w:val="auto"/>
                <w:sz w:val="24"/>
                <w:szCs w:val="21"/>
                <w:lang w:val="en-US" w:eastAsia="zh-CN"/>
              </w:rPr>
              <w:t>2、</w:t>
            </w:r>
            <w:r>
              <w:rPr>
                <w:rFonts w:hint="eastAsia" w:cs="宋体"/>
                <w:b/>
                <w:color w:val="auto"/>
                <w:sz w:val="24"/>
                <w:szCs w:val="21"/>
              </w:rPr>
              <w:t>工程规模及内容</w:t>
            </w:r>
          </w:p>
          <w:p>
            <w:pPr>
              <w:adjustRightInd w:val="0"/>
              <w:snapToGrid w:val="0"/>
              <w:spacing w:line="360" w:lineRule="auto"/>
              <w:ind w:firstLine="482" w:firstLineChars="200"/>
              <w:jc w:val="left"/>
              <w:rPr>
                <w:rFonts w:cs="宋体"/>
                <w:b/>
                <w:color w:val="auto"/>
                <w:sz w:val="24"/>
                <w:szCs w:val="21"/>
              </w:rPr>
            </w:pPr>
            <w:r>
              <w:rPr>
                <w:rFonts w:hint="eastAsia" w:cs="宋体"/>
                <w:b/>
                <w:color w:val="auto"/>
                <w:sz w:val="24"/>
                <w:szCs w:val="21"/>
                <w:lang w:val="en-US" w:eastAsia="zh-CN"/>
              </w:rPr>
              <w:t>2</w:t>
            </w:r>
            <w:r>
              <w:rPr>
                <w:rFonts w:hint="eastAsia" w:cs="宋体"/>
                <w:b/>
                <w:color w:val="auto"/>
                <w:sz w:val="24"/>
                <w:szCs w:val="21"/>
              </w:rPr>
              <w:t>.1 项目基本情况</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80" w:firstLineChars="200"/>
              <w:jc w:val="both"/>
              <w:textAlignment w:val="auto"/>
              <w:rPr>
                <w:rFonts w:hint="eastAsia" w:ascii="仿宋" w:hAnsi="仿宋" w:eastAsia="仿宋" w:cs="仿宋"/>
                <w:b w:val="0"/>
                <w:bCs w:val="0"/>
                <w:color w:val="auto"/>
                <w:spacing w:val="0"/>
                <w:kern w:val="0"/>
                <w:sz w:val="28"/>
                <w:szCs w:val="28"/>
                <w:lang w:val="en-US" w:eastAsia="zh-CN" w:bidi="ar"/>
              </w:rPr>
            </w:pPr>
            <w:r>
              <w:rPr>
                <w:rFonts w:hint="eastAsia" w:cs="宋体"/>
                <w:bCs/>
                <w:color w:val="auto"/>
                <w:sz w:val="24"/>
                <w:szCs w:val="21"/>
              </w:rPr>
              <w:t>项目名称：</w:t>
            </w:r>
            <w:r>
              <w:rPr>
                <w:rFonts w:hint="eastAsia" w:ascii="Times New Roman" w:hAnsi="Times New Roman" w:eastAsia="宋体" w:cs="宋体"/>
                <w:bCs/>
                <w:color w:val="auto"/>
                <w:sz w:val="24"/>
                <w:szCs w:val="21"/>
                <w:lang w:val="en-US" w:eastAsia="zh-CN"/>
              </w:rPr>
              <w:t>华容县团洲垸灾后重建安置房建设项目</w:t>
            </w:r>
            <w:r>
              <w:rPr>
                <w:rFonts w:hint="eastAsia" w:cs="宋体"/>
                <w:bCs/>
                <w:color w:val="auto"/>
                <w:sz w:val="24"/>
                <w:szCs w:val="21"/>
                <w:lang w:val="en-US" w:eastAsia="zh-CN"/>
              </w:rPr>
              <w:t>（三期）</w:t>
            </w:r>
            <w:r>
              <w:rPr>
                <w:rFonts w:hint="eastAsia" w:cs="宋体"/>
                <w:bCs/>
                <w:color w:val="auto"/>
                <w:sz w:val="24"/>
                <w:szCs w:val="28"/>
                <w:vertAlign w:val="baseline"/>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cs="宋体"/>
                <w:bCs/>
                <w:color w:val="auto"/>
                <w:sz w:val="24"/>
                <w:szCs w:val="21"/>
              </w:rPr>
            </w:pPr>
            <w:r>
              <w:rPr>
                <w:rFonts w:hint="eastAsia" w:cs="宋体"/>
                <w:bCs/>
                <w:color w:val="auto"/>
                <w:sz w:val="24"/>
                <w:szCs w:val="21"/>
              </w:rPr>
              <w:t>建设性质：新建</w:t>
            </w:r>
            <w:r>
              <w:rPr>
                <w:rFonts w:hint="eastAsia" w:cs="宋体"/>
                <w:bCs/>
                <w:color w:val="auto"/>
                <w:sz w:val="24"/>
                <w:szCs w:val="28"/>
                <w:vertAlign w:val="baseline"/>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eastAsia="宋体" w:cs="宋体"/>
                <w:bCs/>
                <w:color w:val="auto"/>
                <w:sz w:val="24"/>
                <w:szCs w:val="21"/>
                <w:lang w:val="en-US" w:eastAsia="zh-CN"/>
              </w:rPr>
            </w:pPr>
            <w:r>
              <w:rPr>
                <w:rFonts w:hint="eastAsia" w:cs="宋体"/>
                <w:bCs/>
                <w:color w:val="auto"/>
                <w:sz w:val="24"/>
                <w:szCs w:val="21"/>
              </w:rPr>
              <w:t>建设</w:t>
            </w:r>
            <w:r>
              <w:rPr>
                <w:rFonts w:hint="eastAsia" w:ascii="Times New Roman" w:hAnsi="Times New Roman" w:eastAsia="宋体" w:cs="宋体"/>
                <w:bCs/>
                <w:color w:val="auto"/>
                <w:sz w:val="24"/>
                <w:szCs w:val="21"/>
              </w:rPr>
              <w:t>单位：</w:t>
            </w:r>
            <w:r>
              <w:rPr>
                <w:rFonts w:hint="eastAsia" w:cs="宋体"/>
                <w:bCs/>
                <w:color w:val="auto"/>
                <w:sz w:val="24"/>
                <w:szCs w:val="21"/>
                <w:lang w:val="en-US" w:eastAsia="zh-CN"/>
              </w:rPr>
              <w:t>华容县城乡建设事务中心</w:t>
            </w:r>
            <w:r>
              <w:rPr>
                <w:rFonts w:hint="eastAsia" w:cs="宋体"/>
                <w:bCs/>
                <w:color w:val="auto"/>
                <w:sz w:val="24"/>
                <w:szCs w:val="28"/>
                <w:vertAlign w:val="baseline"/>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cs="宋体"/>
                <w:bCs/>
                <w:color w:val="auto"/>
                <w:sz w:val="24"/>
                <w:szCs w:val="21"/>
              </w:rPr>
              <w:t>建设地点：</w:t>
            </w:r>
            <w:r>
              <w:rPr>
                <w:rFonts w:hint="eastAsia" w:ascii="Times New Roman" w:hAnsi="Times New Roman" w:eastAsia="宋体" w:cs="宋体"/>
                <w:bCs/>
                <w:color w:val="auto"/>
                <w:sz w:val="24"/>
                <w:szCs w:val="21"/>
                <w:lang w:val="en-US" w:eastAsia="zh-CN"/>
              </w:rPr>
              <w:t>项目建设地点位于华容县团洲安全垸内团洲花园小区东南侧，南电排渠西侧</w:t>
            </w:r>
            <w:r>
              <w:rPr>
                <w:rFonts w:hint="eastAsia" w:cs="宋体"/>
                <w:bCs/>
                <w:color w:val="auto"/>
                <w:sz w:val="24"/>
                <w:szCs w:val="21"/>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eastAsia="宋体" w:cs="宋体"/>
                <w:bCs/>
                <w:color w:val="auto"/>
                <w:sz w:val="24"/>
                <w:szCs w:val="21"/>
                <w:lang w:eastAsia="zh-CN"/>
              </w:rPr>
            </w:pPr>
            <w:r>
              <w:rPr>
                <w:rFonts w:hint="eastAsia" w:ascii="Times New Roman" w:hAnsi="Times New Roman" w:eastAsia="宋体" w:cs="宋体"/>
                <w:bCs/>
                <w:color w:val="auto"/>
                <w:sz w:val="24"/>
                <w:szCs w:val="21"/>
                <w:lang w:val="en-US" w:eastAsia="zh-CN"/>
              </w:rPr>
              <w:t>中心坐标：东经 112.797710E；北纬29.334009N</w:t>
            </w:r>
            <w:r>
              <w:rPr>
                <w:rFonts w:hint="eastAsia" w:cs="宋体"/>
                <w:bCs/>
                <w:color w:val="auto"/>
                <w:sz w:val="24"/>
                <w:szCs w:val="21"/>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highlight w:val="none"/>
                <w:lang w:val="en-US" w:eastAsia="zh-CN"/>
              </w:rPr>
            </w:pPr>
            <w:r>
              <w:rPr>
                <w:rFonts w:hint="eastAsia" w:cs="宋体"/>
                <w:bCs/>
                <w:color w:val="auto"/>
                <w:sz w:val="24"/>
                <w:szCs w:val="21"/>
              </w:rPr>
              <w:t>项目投资：总投</w:t>
            </w:r>
            <w:r>
              <w:rPr>
                <w:rFonts w:hint="eastAsia" w:ascii="Times New Roman" w:hAnsi="Times New Roman" w:eastAsia="宋体" w:cs="宋体"/>
                <w:bCs/>
                <w:color w:val="auto"/>
                <w:sz w:val="24"/>
                <w:szCs w:val="21"/>
                <w:lang w:val="en-US" w:eastAsia="zh-CN"/>
              </w:rPr>
              <w:t>资</w:t>
            </w:r>
            <w:r>
              <w:rPr>
                <w:rFonts w:hint="eastAsia" w:cs="宋体"/>
                <w:bCs/>
                <w:color w:val="auto"/>
                <w:sz w:val="24"/>
                <w:szCs w:val="21"/>
                <w:lang w:val="en-US" w:eastAsia="zh-CN"/>
              </w:rPr>
              <w:t>44879</w:t>
            </w:r>
            <w:r>
              <w:rPr>
                <w:rFonts w:hint="eastAsia" w:ascii="Times New Roman" w:hAnsi="Times New Roman" w:eastAsia="宋体" w:cs="宋体"/>
                <w:bCs/>
                <w:color w:val="auto"/>
                <w:sz w:val="24"/>
                <w:szCs w:val="21"/>
                <w:lang w:val="en-US" w:eastAsia="zh-CN"/>
              </w:rPr>
              <w:t>万元</w:t>
            </w:r>
            <w:r>
              <w:rPr>
                <w:rFonts w:hint="eastAsia" w:ascii="Times New Roman" w:hAnsi="Times New Roman" w:eastAsia="宋体" w:cs="宋体"/>
                <w:bCs/>
                <w:color w:val="auto"/>
                <w:sz w:val="24"/>
                <w:szCs w:val="21"/>
                <w:highlight w:val="none"/>
                <w:lang w:val="en-US" w:eastAsia="zh-CN"/>
              </w:rPr>
              <w:t>，其中环保投资</w:t>
            </w:r>
            <w:r>
              <w:rPr>
                <w:rFonts w:hint="eastAsia" w:cs="宋体"/>
                <w:bCs/>
                <w:color w:val="auto"/>
                <w:sz w:val="24"/>
                <w:szCs w:val="21"/>
                <w:highlight w:val="none"/>
                <w:lang w:val="en-US" w:eastAsia="zh-CN"/>
              </w:rPr>
              <w:t>250</w:t>
            </w:r>
            <w:r>
              <w:rPr>
                <w:rFonts w:hint="eastAsia" w:ascii="Times New Roman" w:hAnsi="Times New Roman" w:eastAsia="宋体" w:cs="宋体"/>
                <w:bCs/>
                <w:color w:val="auto"/>
                <w:sz w:val="24"/>
                <w:szCs w:val="21"/>
                <w:highlight w:val="none"/>
                <w:lang w:val="en-US" w:eastAsia="zh-CN"/>
              </w:rPr>
              <w:t>万元，占总投资的</w:t>
            </w:r>
            <w:r>
              <w:rPr>
                <w:rFonts w:hint="eastAsia" w:cs="宋体"/>
                <w:bCs/>
                <w:color w:val="auto"/>
                <w:sz w:val="24"/>
                <w:szCs w:val="21"/>
                <w:highlight w:val="none"/>
                <w:lang w:val="en-US" w:eastAsia="zh-CN"/>
              </w:rPr>
              <w:t>0.56</w:t>
            </w:r>
            <w:r>
              <w:rPr>
                <w:rFonts w:hint="eastAsia" w:ascii="Times New Roman" w:hAnsi="Times New Roman" w:eastAsia="宋体" w:cs="宋体"/>
                <w:bCs/>
                <w:color w:val="auto"/>
                <w:sz w:val="24"/>
                <w:szCs w:val="21"/>
                <w:highlight w:val="none"/>
                <w:lang w:val="en-US" w:eastAsia="zh-CN"/>
              </w:rPr>
              <w:t xml:space="preserve">%，资金来源：县财政整合相关救灾补助资金、危房改造项目资金、社 </w:t>
            </w:r>
          </w:p>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cs="宋体"/>
                <w:bCs/>
                <w:color w:val="auto"/>
                <w:sz w:val="24"/>
                <w:szCs w:val="21"/>
                <w:highlight w:val="none"/>
              </w:rPr>
            </w:pPr>
            <w:r>
              <w:rPr>
                <w:rFonts w:hint="eastAsia" w:ascii="Times New Roman" w:hAnsi="Times New Roman" w:eastAsia="宋体" w:cs="宋体"/>
                <w:bCs/>
                <w:color w:val="auto"/>
                <w:sz w:val="24"/>
                <w:szCs w:val="21"/>
                <w:highlight w:val="none"/>
                <w:lang w:val="en-US" w:eastAsia="zh-CN"/>
              </w:rPr>
              <w:t>会捐赠资金和受灾群众部分自筹。</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eastAsia="宋体" w:cs="宋体"/>
                <w:bCs/>
                <w:color w:val="auto"/>
                <w:sz w:val="24"/>
                <w:szCs w:val="21"/>
                <w:lang w:eastAsia="zh-CN"/>
              </w:rPr>
            </w:pPr>
            <w:r>
              <w:rPr>
                <w:rFonts w:hint="eastAsia" w:cs="宋体"/>
                <w:bCs/>
                <w:color w:val="auto"/>
                <w:sz w:val="24"/>
                <w:szCs w:val="21"/>
              </w:rPr>
              <w:t>占地面积：约</w:t>
            </w:r>
            <w:r>
              <w:rPr>
                <w:rFonts w:hint="eastAsia" w:ascii="Times New Roman" w:hAnsi="Times New Roman" w:eastAsia="宋体" w:cs="宋体"/>
                <w:bCs/>
                <w:color w:val="auto"/>
                <w:sz w:val="24"/>
                <w:szCs w:val="21"/>
                <w:lang w:val="en-US" w:eastAsia="zh-CN"/>
              </w:rPr>
              <w:t>112,978.</w:t>
            </w:r>
            <w:r>
              <w:rPr>
                <w:rFonts w:hint="eastAsia" w:cs="宋体"/>
                <w:bCs/>
                <w:color w:val="auto"/>
                <w:sz w:val="24"/>
                <w:szCs w:val="21"/>
              </w:rPr>
              <w:t>m</w:t>
            </w:r>
            <w:r>
              <w:rPr>
                <w:rFonts w:hint="eastAsia" w:cs="宋体"/>
                <w:bCs/>
                <w:color w:val="auto"/>
                <w:sz w:val="24"/>
                <w:szCs w:val="28"/>
                <w:vertAlign w:val="superscript"/>
              </w:rPr>
              <w:t>2</w:t>
            </w:r>
            <w:r>
              <w:rPr>
                <w:rFonts w:hint="eastAsia" w:cs="宋体"/>
                <w:bCs/>
                <w:color w:val="auto"/>
                <w:sz w:val="24"/>
                <w:szCs w:val="21"/>
              </w:rPr>
              <w:t>，总建筑面积约</w:t>
            </w:r>
            <w:r>
              <w:rPr>
                <w:rFonts w:hint="eastAsia" w:cs="宋体"/>
                <w:bCs/>
                <w:color w:val="auto"/>
                <w:sz w:val="24"/>
                <w:szCs w:val="21"/>
                <w:lang w:val="en-US" w:eastAsia="zh-CN"/>
              </w:rPr>
              <w:t>148885.76</w:t>
            </w:r>
            <w:r>
              <w:rPr>
                <w:rFonts w:hint="eastAsia" w:cs="宋体"/>
                <w:bCs/>
                <w:color w:val="auto"/>
                <w:sz w:val="24"/>
                <w:szCs w:val="21"/>
              </w:rPr>
              <w:t>m</w:t>
            </w:r>
            <w:r>
              <w:rPr>
                <w:rFonts w:hint="eastAsia" w:cs="宋体"/>
                <w:bCs/>
                <w:color w:val="auto"/>
                <w:sz w:val="24"/>
                <w:szCs w:val="28"/>
                <w:vertAlign w:val="superscript"/>
              </w:rPr>
              <w:t>2</w:t>
            </w:r>
            <w:r>
              <w:rPr>
                <w:rFonts w:hint="eastAsia" w:cs="宋体"/>
                <w:bCs/>
                <w:color w:val="auto"/>
                <w:sz w:val="24"/>
                <w:szCs w:val="28"/>
                <w:vertAlign w:val="baseline"/>
                <w:lang w:eastAsia="zh-CN"/>
              </w:rPr>
              <w:t>。</w:t>
            </w:r>
          </w:p>
          <w:p>
            <w:pPr>
              <w:adjustRightInd w:val="0"/>
              <w:snapToGrid w:val="0"/>
              <w:spacing w:line="360" w:lineRule="auto"/>
              <w:ind w:firstLine="482" w:firstLineChars="200"/>
              <w:jc w:val="left"/>
              <w:rPr>
                <w:rFonts w:cs="宋体"/>
                <w:b/>
                <w:color w:val="auto"/>
                <w:sz w:val="24"/>
                <w:szCs w:val="21"/>
              </w:rPr>
            </w:pPr>
            <w:r>
              <w:rPr>
                <w:rFonts w:hint="eastAsia" w:cs="宋体"/>
                <w:b/>
                <w:color w:val="auto"/>
                <w:sz w:val="24"/>
                <w:szCs w:val="21"/>
                <w:lang w:val="en-US" w:eastAsia="zh-CN"/>
              </w:rPr>
              <w:t>2.2</w:t>
            </w:r>
            <w:r>
              <w:rPr>
                <w:rFonts w:hint="eastAsia" w:cs="宋体"/>
                <w:b/>
                <w:color w:val="auto"/>
                <w:sz w:val="24"/>
                <w:szCs w:val="21"/>
              </w:rPr>
              <w:t>项目主要建设内容</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本项目规划总住宅用地面积112,978.16平方米、总建筑面积148,885.76 平方米。主要内容为地块一规划住宅用地面积60377.36平方米，新建19栋 1+6F电梯住宅楼，总建筑面积为76020.54平方米，容积率1.22，建筑密度 17.66%，绿地率20.20%，停车位535个，总户数668户；地块二规划住宅用地面积52600.80平方米，新建17栋1+6F电梯住宅楼，总建筑面积为72865.22 平方米，容积率1.35，建筑密度19.55%，绿地率20.10%，停车位458个，总户数572户。住宅楼均为坡屋面，建筑外立面为徽派建筑，外墙面为真石漆，建筑结构类型为砖混结构。并配套建设绿化、消防、给排水、供配电等基础设施。</w:t>
            </w:r>
          </w:p>
          <w:p>
            <w:pPr>
              <w:adjustRightInd w:val="0"/>
              <w:snapToGrid w:val="0"/>
              <w:ind w:firstLine="482" w:firstLineChars="200"/>
              <w:jc w:val="center"/>
              <w:rPr>
                <w:b/>
                <w:color w:val="auto"/>
                <w:sz w:val="24"/>
                <w:szCs w:val="21"/>
              </w:rPr>
            </w:pPr>
            <w:r>
              <w:rPr>
                <w:b/>
                <w:color w:val="auto"/>
                <w:sz w:val="24"/>
                <w:szCs w:val="21"/>
              </w:rPr>
              <w:t>表</w:t>
            </w:r>
            <w:r>
              <w:rPr>
                <w:rFonts w:hint="eastAsia"/>
                <w:b/>
                <w:color w:val="auto"/>
                <w:sz w:val="24"/>
                <w:szCs w:val="21"/>
              </w:rPr>
              <w:t xml:space="preserve">2-1  </w:t>
            </w:r>
            <w:r>
              <w:rPr>
                <w:b/>
                <w:color w:val="auto"/>
                <w:sz w:val="24"/>
                <w:szCs w:val="21"/>
              </w:rPr>
              <w:t>项目主要建设内容一览表</w:t>
            </w:r>
          </w:p>
          <w:tbl>
            <w:tblPr>
              <w:tblStyle w:val="22"/>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68"/>
              <w:gridCol w:w="1937"/>
              <w:gridCol w:w="491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tcBorders>
                    <w:tl2br w:val="nil"/>
                    <w:tr2bl w:val="nil"/>
                  </w:tcBorders>
                  <w:shd w:val="clear" w:color="auto" w:fill="auto"/>
                  <w:vAlign w:val="center"/>
                </w:tcPr>
                <w:p>
                  <w:pPr>
                    <w:pStyle w:val="50"/>
                    <w:spacing w:before="0" w:beforeLines="0" w:after="0" w:afterLines="0"/>
                    <w:rPr>
                      <w:color w:val="auto"/>
                      <w:sz w:val="21"/>
                      <w:szCs w:val="18"/>
                    </w:rPr>
                  </w:pPr>
                  <w:r>
                    <w:rPr>
                      <w:color w:val="auto"/>
                      <w:sz w:val="21"/>
                      <w:szCs w:val="18"/>
                    </w:rPr>
                    <w:t>工程</w:t>
                  </w:r>
                </w:p>
              </w:tc>
              <w:tc>
                <w:tcPr>
                  <w:tcW w:w="1937" w:type="dxa"/>
                  <w:tcBorders>
                    <w:tl2br w:val="nil"/>
                    <w:tr2bl w:val="nil"/>
                  </w:tcBorders>
                  <w:shd w:val="clear" w:color="auto" w:fill="auto"/>
                  <w:vAlign w:val="center"/>
                </w:tcPr>
                <w:p>
                  <w:pPr>
                    <w:pStyle w:val="50"/>
                    <w:spacing w:before="0" w:beforeLines="0" w:after="0" w:afterLines="0"/>
                    <w:rPr>
                      <w:color w:val="auto"/>
                      <w:sz w:val="21"/>
                      <w:szCs w:val="18"/>
                    </w:rPr>
                  </w:pPr>
                  <w:r>
                    <w:rPr>
                      <w:color w:val="auto"/>
                      <w:sz w:val="21"/>
                      <w:szCs w:val="18"/>
                    </w:rPr>
                    <w:t>内容</w:t>
                  </w:r>
                </w:p>
              </w:tc>
              <w:tc>
                <w:tcPr>
                  <w:tcW w:w="4910" w:type="dxa"/>
                  <w:tcBorders>
                    <w:tl2br w:val="nil"/>
                    <w:tr2bl w:val="nil"/>
                  </w:tcBorders>
                  <w:shd w:val="clear" w:color="auto" w:fill="auto"/>
                  <w:vAlign w:val="center"/>
                </w:tcPr>
                <w:p>
                  <w:pPr>
                    <w:pStyle w:val="50"/>
                    <w:spacing w:before="0" w:beforeLines="0" w:after="0" w:afterLines="0"/>
                    <w:rPr>
                      <w:color w:val="auto"/>
                      <w:sz w:val="21"/>
                      <w:szCs w:val="18"/>
                    </w:rPr>
                  </w:pPr>
                  <w:r>
                    <w:rPr>
                      <w:color w:val="auto"/>
                      <w:sz w:val="21"/>
                      <w:szCs w:val="18"/>
                    </w:rPr>
                    <w:t>规模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tcBorders>
                    <w:tl2br w:val="nil"/>
                    <w:tr2bl w:val="nil"/>
                  </w:tcBorders>
                  <w:vAlign w:val="center"/>
                </w:tcPr>
                <w:p>
                  <w:pPr>
                    <w:pStyle w:val="50"/>
                    <w:spacing w:before="0" w:beforeLines="0" w:after="0" w:afterLines="0"/>
                    <w:rPr>
                      <w:b w:val="0"/>
                      <w:bCs/>
                      <w:color w:val="auto"/>
                      <w:sz w:val="21"/>
                      <w:szCs w:val="18"/>
                    </w:rPr>
                  </w:pPr>
                  <w:r>
                    <w:rPr>
                      <w:b w:val="0"/>
                      <w:bCs/>
                      <w:color w:val="auto"/>
                      <w:sz w:val="21"/>
                      <w:szCs w:val="18"/>
                    </w:rPr>
                    <w:t>主体工程</w:t>
                  </w:r>
                </w:p>
              </w:tc>
              <w:tc>
                <w:tcPr>
                  <w:tcW w:w="1937" w:type="dxa"/>
                  <w:tcBorders>
                    <w:tl2br w:val="nil"/>
                    <w:tr2bl w:val="nil"/>
                  </w:tcBorders>
                  <w:vAlign w:val="center"/>
                </w:tcPr>
                <w:p>
                  <w:pPr>
                    <w:pStyle w:val="50"/>
                    <w:spacing w:before="0" w:beforeLines="0" w:after="0" w:afterLines="0"/>
                    <w:rPr>
                      <w:rFonts w:hint="default" w:eastAsia="宋体"/>
                      <w:b w:val="0"/>
                      <w:bCs/>
                      <w:color w:val="auto"/>
                      <w:sz w:val="21"/>
                      <w:szCs w:val="18"/>
                      <w:lang w:val="en-US" w:eastAsia="zh-CN"/>
                    </w:rPr>
                  </w:pPr>
                  <w:r>
                    <w:rPr>
                      <w:rFonts w:hint="eastAsia"/>
                      <w:b w:val="0"/>
                      <w:bCs/>
                      <w:color w:val="auto"/>
                      <w:sz w:val="21"/>
                      <w:szCs w:val="18"/>
                      <w:lang w:val="en-US" w:eastAsia="zh-CN"/>
                    </w:rPr>
                    <w:t>安置楼房</w:t>
                  </w:r>
                </w:p>
              </w:tc>
              <w:tc>
                <w:tcPr>
                  <w:tcW w:w="4910" w:type="dxa"/>
                  <w:tcBorders>
                    <w:tl2br w:val="nil"/>
                    <w:tr2bl w:val="nil"/>
                  </w:tcBorders>
                  <w:vAlign w:val="center"/>
                </w:tcPr>
                <w:p>
                  <w:pPr>
                    <w:jc w:val="center"/>
                    <w:rPr>
                      <w:rFonts w:hint="default" w:ascii="Times New Roman" w:hAnsi="Times New Roman" w:eastAsia="宋体" w:cs="Times New Roman"/>
                      <w:bCs/>
                      <w:color w:val="auto"/>
                      <w:sz w:val="21"/>
                      <w:szCs w:val="18"/>
                      <w:lang w:val="en-US" w:eastAsia="zh-CN"/>
                    </w:rPr>
                  </w:pPr>
                  <w:r>
                    <w:rPr>
                      <w:rFonts w:hint="eastAsia" w:ascii="Times New Roman" w:hAnsi="Times New Roman" w:eastAsia="宋体" w:cs="Times New Roman"/>
                      <w:bCs/>
                      <w:color w:val="auto"/>
                      <w:sz w:val="21"/>
                      <w:szCs w:val="18"/>
                      <w:lang w:val="en-US" w:eastAsia="zh-CN"/>
                    </w:rPr>
                    <w:t>1-</w:t>
                  </w:r>
                  <w:r>
                    <w:rPr>
                      <w:rFonts w:hint="eastAsia" w:cs="Times New Roman"/>
                      <w:bCs/>
                      <w:color w:val="auto"/>
                      <w:sz w:val="21"/>
                      <w:szCs w:val="18"/>
                      <w:lang w:val="en-US" w:eastAsia="zh-CN"/>
                    </w:rPr>
                    <w:t>36</w:t>
                  </w:r>
                  <w:r>
                    <w:rPr>
                      <w:rFonts w:hint="eastAsia" w:ascii="Times New Roman" w:hAnsi="Times New Roman" w:eastAsia="宋体" w:cs="Times New Roman"/>
                      <w:bCs/>
                      <w:color w:val="auto"/>
                      <w:sz w:val="21"/>
                      <w:szCs w:val="18"/>
                      <w:lang w:val="en-US" w:eastAsia="zh-CN"/>
                    </w:rPr>
                    <w:t>#栋1+6F电梯住宅楼，总建筑面积</w:t>
                  </w:r>
                  <w:r>
                    <w:rPr>
                      <w:rFonts w:hint="eastAsia" w:cs="Times New Roman"/>
                      <w:bCs/>
                      <w:color w:val="auto"/>
                      <w:sz w:val="21"/>
                      <w:szCs w:val="18"/>
                      <w:lang w:val="en-US" w:eastAsia="zh-CN"/>
                    </w:rPr>
                    <w:t>143960.15</w:t>
                  </w:r>
                  <w:r>
                    <w:rPr>
                      <w:rFonts w:hint="eastAsia" w:ascii="Times New Roman" w:hAnsi="Times New Roman" w:eastAsia="宋体" w:cs="Times New Roman"/>
                      <w:bCs/>
                      <w:color w:val="auto"/>
                      <w:sz w:val="21"/>
                      <w:szCs w:val="18"/>
                    </w:rPr>
                    <w:t>m</w:t>
                  </w:r>
                  <w:r>
                    <w:rPr>
                      <w:rFonts w:hint="eastAsia" w:ascii="Times New Roman" w:hAnsi="Times New Roman" w:eastAsia="宋体" w:cs="Times New Roman"/>
                      <w:bCs/>
                      <w:color w:val="auto"/>
                      <w:sz w:val="21"/>
                      <w:szCs w:val="18"/>
                      <w:vertAlign w:val="superscript"/>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restart"/>
                  <w:tcBorders>
                    <w:tl2br w:val="nil"/>
                    <w:tr2bl w:val="nil"/>
                  </w:tcBorders>
                  <w:vAlign w:val="center"/>
                </w:tcPr>
                <w:p>
                  <w:pPr>
                    <w:pStyle w:val="50"/>
                    <w:spacing w:before="0" w:beforeLines="0" w:after="0" w:afterLines="0"/>
                    <w:rPr>
                      <w:b w:val="0"/>
                      <w:bCs/>
                      <w:color w:val="auto"/>
                      <w:sz w:val="21"/>
                      <w:szCs w:val="18"/>
                    </w:rPr>
                  </w:pPr>
                  <w:r>
                    <w:rPr>
                      <w:b w:val="0"/>
                      <w:bCs/>
                      <w:color w:val="auto"/>
                      <w:sz w:val="21"/>
                      <w:szCs w:val="18"/>
                    </w:rPr>
                    <w:t>辅助工程</w:t>
                  </w:r>
                </w:p>
              </w:tc>
              <w:tc>
                <w:tcPr>
                  <w:tcW w:w="1937" w:type="dxa"/>
                  <w:tcBorders>
                    <w:tl2br w:val="nil"/>
                    <w:tr2bl w:val="nil"/>
                  </w:tcBorders>
                  <w:vAlign w:val="center"/>
                </w:tcPr>
                <w:p>
                  <w:pPr>
                    <w:pStyle w:val="50"/>
                    <w:spacing w:before="0" w:beforeLines="0" w:after="0" w:afterLines="0"/>
                    <w:rPr>
                      <w:rFonts w:hint="default" w:eastAsia="宋体"/>
                      <w:b w:val="0"/>
                      <w:bCs/>
                      <w:color w:val="auto"/>
                      <w:sz w:val="21"/>
                      <w:szCs w:val="18"/>
                      <w:lang w:val="en-US" w:eastAsia="zh-CN"/>
                    </w:rPr>
                  </w:pPr>
                  <w:r>
                    <w:rPr>
                      <w:rFonts w:hint="eastAsia"/>
                      <w:b w:val="0"/>
                      <w:bCs/>
                      <w:color w:val="auto"/>
                      <w:sz w:val="21"/>
                      <w:szCs w:val="18"/>
                      <w:lang w:val="en-US" w:eastAsia="zh-CN"/>
                    </w:rPr>
                    <w:t>设备房</w:t>
                  </w:r>
                </w:p>
              </w:tc>
              <w:tc>
                <w:tcPr>
                  <w:tcW w:w="4910" w:type="dxa"/>
                  <w:tcBorders>
                    <w:tl2br w:val="nil"/>
                    <w:tr2bl w:val="nil"/>
                  </w:tcBorders>
                  <w:vAlign w:val="center"/>
                </w:tcPr>
                <w:p>
                  <w:pPr>
                    <w:jc w:val="center"/>
                    <w:rPr>
                      <w:rFonts w:hint="default" w:ascii="Times New Roman" w:hAnsi="Times New Roman" w:eastAsia="宋体" w:cs="Times New Roman"/>
                      <w:bCs/>
                      <w:color w:val="auto"/>
                      <w:sz w:val="21"/>
                      <w:szCs w:val="18"/>
                      <w:lang w:val="en-US" w:eastAsia="zh-CN"/>
                    </w:rPr>
                  </w:pPr>
                  <w:r>
                    <w:rPr>
                      <w:rFonts w:hint="eastAsia" w:cs="Times New Roman"/>
                      <w:bCs/>
                      <w:color w:val="auto"/>
                      <w:sz w:val="21"/>
                      <w:szCs w:val="18"/>
                      <w:lang w:val="en-US" w:eastAsia="zh-CN"/>
                    </w:rPr>
                    <w:t>主要为配电间用房，</w:t>
                  </w:r>
                  <w:r>
                    <w:rPr>
                      <w:rFonts w:hint="eastAsia" w:ascii="Times New Roman" w:hAnsi="Times New Roman" w:eastAsia="宋体" w:cs="Times New Roman"/>
                      <w:bCs/>
                      <w:color w:val="auto"/>
                      <w:sz w:val="21"/>
                      <w:szCs w:val="18"/>
                      <w:lang w:val="en-US" w:eastAsia="zh-CN"/>
                    </w:rPr>
                    <w:t>建筑</w:t>
                  </w:r>
                  <w:r>
                    <w:rPr>
                      <w:rFonts w:hint="eastAsia" w:cs="Times New Roman"/>
                      <w:bCs/>
                      <w:color w:val="auto"/>
                      <w:sz w:val="21"/>
                      <w:szCs w:val="18"/>
                      <w:lang w:val="en-US" w:eastAsia="zh-CN"/>
                    </w:rPr>
                    <w:t>面积30</w:t>
                  </w:r>
                  <w:r>
                    <w:rPr>
                      <w:rFonts w:hint="eastAsia" w:ascii="Times New Roman" w:hAnsi="Times New Roman" w:eastAsia="宋体" w:cs="Times New Roman"/>
                      <w:bCs/>
                      <w:color w:val="auto"/>
                      <w:sz w:val="21"/>
                      <w:szCs w:val="18"/>
                      <w:lang w:val="en-US" w:eastAsia="zh-CN"/>
                    </w:rPr>
                    <w:t>0</w:t>
                  </w:r>
                  <w:r>
                    <w:rPr>
                      <w:rFonts w:hint="eastAsia" w:ascii="Times New Roman" w:hAnsi="Times New Roman" w:eastAsia="宋体" w:cs="Times New Roman"/>
                      <w:bCs/>
                      <w:color w:val="auto"/>
                      <w:sz w:val="21"/>
                      <w:szCs w:val="18"/>
                    </w:rPr>
                    <w:t>m</w:t>
                  </w:r>
                  <w:r>
                    <w:rPr>
                      <w:rFonts w:hint="eastAsia" w:ascii="Times New Roman" w:hAnsi="Times New Roman" w:eastAsia="宋体" w:cs="Times New Roman"/>
                      <w:bCs/>
                      <w:color w:val="auto"/>
                      <w:sz w:val="21"/>
                      <w:szCs w:val="18"/>
                      <w:vertAlign w:val="superscript"/>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tcBorders>
                    <w:tl2br w:val="nil"/>
                    <w:tr2bl w:val="nil"/>
                  </w:tcBorders>
                  <w:vAlign w:val="center"/>
                </w:tcPr>
                <w:p>
                  <w:pPr>
                    <w:pStyle w:val="50"/>
                    <w:spacing w:before="0" w:beforeLines="0" w:after="0" w:afterLines="0"/>
                    <w:rPr>
                      <w:b w:val="0"/>
                      <w:bCs/>
                      <w:color w:val="auto"/>
                      <w:sz w:val="21"/>
                      <w:szCs w:val="18"/>
                    </w:rPr>
                  </w:pPr>
                </w:p>
              </w:tc>
              <w:tc>
                <w:tcPr>
                  <w:tcW w:w="1937" w:type="dxa"/>
                  <w:tcBorders>
                    <w:tl2br w:val="nil"/>
                    <w:tr2bl w:val="nil"/>
                  </w:tcBorders>
                  <w:vAlign w:val="center"/>
                </w:tcPr>
                <w:p>
                  <w:pPr>
                    <w:pStyle w:val="50"/>
                    <w:spacing w:before="0" w:beforeLines="0" w:after="0" w:afterLines="0"/>
                    <w:rPr>
                      <w:rFonts w:hint="default" w:eastAsia="宋体"/>
                      <w:b w:val="0"/>
                      <w:bCs/>
                      <w:color w:val="auto"/>
                      <w:sz w:val="21"/>
                      <w:szCs w:val="18"/>
                      <w:lang w:val="en-US" w:eastAsia="zh-CN"/>
                    </w:rPr>
                  </w:pPr>
                  <w:r>
                    <w:rPr>
                      <w:rFonts w:hint="eastAsia"/>
                      <w:b w:val="0"/>
                      <w:bCs/>
                      <w:color w:val="auto"/>
                      <w:sz w:val="21"/>
                      <w:szCs w:val="18"/>
                      <w:lang w:val="en-US" w:eastAsia="zh-CN"/>
                    </w:rPr>
                    <w:t>物业用房及门卫室</w:t>
                  </w:r>
                </w:p>
              </w:tc>
              <w:tc>
                <w:tcPr>
                  <w:tcW w:w="4910" w:type="dxa"/>
                  <w:tcBorders>
                    <w:tl2br w:val="nil"/>
                    <w:tr2bl w:val="nil"/>
                  </w:tcBorders>
                  <w:vAlign w:val="center"/>
                </w:tcPr>
                <w:p>
                  <w:pPr>
                    <w:jc w:val="center"/>
                    <w:rPr>
                      <w:rFonts w:hint="default" w:ascii="Times New Roman" w:hAnsi="Times New Roman" w:eastAsia="宋体" w:cs="Times New Roman"/>
                      <w:bCs/>
                      <w:color w:val="auto"/>
                      <w:sz w:val="21"/>
                      <w:szCs w:val="18"/>
                      <w:lang w:val="en-US"/>
                    </w:rPr>
                  </w:pPr>
                  <w:r>
                    <w:rPr>
                      <w:rFonts w:hint="eastAsia" w:cs="Times New Roman"/>
                      <w:bCs/>
                      <w:color w:val="auto"/>
                      <w:sz w:val="21"/>
                      <w:szCs w:val="18"/>
                      <w:lang w:val="en-US" w:eastAsia="zh-CN"/>
                    </w:rPr>
                    <w:t>物业用房，</w:t>
                  </w:r>
                  <w:r>
                    <w:rPr>
                      <w:rFonts w:hint="eastAsia" w:ascii="Times New Roman" w:hAnsi="Times New Roman" w:eastAsia="宋体" w:cs="Times New Roman"/>
                      <w:bCs/>
                      <w:color w:val="auto"/>
                      <w:sz w:val="21"/>
                      <w:szCs w:val="18"/>
                      <w:lang w:val="en-US" w:eastAsia="zh-CN"/>
                    </w:rPr>
                    <w:t>建筑</w:t>
                  </w:r>
                  <w:r>
                    <w:rPr>
                      <w:rFonts w:hint="eastAsia" w:cs="Times New Roman"/>
                      <w:bCs/>
                      <w:color w:val="auto"/>
                      <w:sz w:val="21"/>
                      <w:szCs w:val="18"/>
                      <w:lang w:val="en-US" w:eastAsia="zh-CN"/>
                    </w:rPr>
                    <w:t>面积400</w:t>
                  </w:r>
                  <w:r>
                    <w:rPr>
                      <w:rFonts w:hint="eastAsia" w:ascii="Times New Roman" w:hAnsi="Times New Roman" w:eastAsia="宋体" w:cs="Times New Roman"/>
                      <w:bCs/>
                      <w:color w:val="auto"/>
                      <w:sz w:val="21"/>
                      <w:szCs w:val="18"/>
                    </w:rPr>
                    <w:t>m</w:t>
                  </w:r>
                  <w:r>
                    <w:rPr>
                      <w:rFonts w:hint="eastAsia" w:ascii="Times New Roman" w:hAnsi="Times New Roman" w:eastAsia="宋体" w:cs="Times New Roman"/>
                      <w:bCs/>
                      <w:color w:val="auto"/>
                      <w:sz w:val="21"/>
                      <w:szCs w:val="18"/>
                      <w:vertAlign w:val="superscript"/>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restart"/>
                  <w:tcBorders>
                    <w:tl2br w:val="nil"/>
                    <w:tr2bl w:val="nil"/>
                  </w:tcBorders>
                  <w:vAlign w:val="center"/>
                </w:tcPr>
                <w:p>
                  <w:pPr>
                    <w:pStyle w:val="50"/>
                    <w:spacing w:before="0" w:beforeLines="0" w:after="0" w:afterLines="0"/>
                    <w:rPr>
                      <w:b w:val="0"/>
                      <w:bCs/>
                      <w:color w:val="auto"/>
                      <w:sz w:val="21"/>
                      <w:szCs w:val="18"/>
                    </w:rPr>
                  </w:pPr>
                  <w:r>
                    <w:rPr>
                      <w:b w:val="0"/>
                      <w:bCs/>
                      <w:color w:val="auto"/>
                      <w:sz w:val="21"/>
                      <w:szCs w:val="18"/>
                    </w:rPr>
                    <w:t>公用工程</w:t>
                  </w:r>
                </w:p>
              </w:tc>
              <w:tc>
                <w:tcPr>
                  <w:tcW w:w="1937" w:type="dxa"/>
                  <w:tcBorders>
                    <w:tl2br w:val="nil"/>
                    <w:tr2bl w:val="nil"/>
                  </w:tcBorders>
                  <w:vAlign w:val="center"/>
                </w:tcPr>
                <w:p>
                  <w:pPr>
                    <w:pStyle w:val="50"/>
                    <w:spacing w:before="0" w:beforeLines="0" w:after="0" w:afterLines="0"/>
                    <w:rPr>
                      <w:b w:val="0"/>
                      <w:bCs/>
                      <w:color w:val="auto"/>
                      <w:sz w:val="21"/>
                      <w:szCs w:val="18"/>
                    </w:rPr>
                  </w:pPr>
                  <w:r>
                    <w:rPr>
                      <w:b w:val="0"/>
                      <w:bCs/>
                      <w:color w:val="auto"/>
                      <w:sz w:val="21"/>
                      <w:szCs w:val="18"/>
                    </w:rPr>
                    <w:t>供水</w:t>
                  </w:r>
                </w:p>
              </w:tc>
              <w:tc>
                <w:tcPr>
                  <w:tcW w:w="4910" w:type="dxa"/>
                  <w:tcBorders>
                    <w:tl2br w:val="nil"/>
                    <w:tr2bl w:val="nil"/>
                  </w:tcBorders>
                  <w:vAlign w:val="center"/>
                </w:tcPr>
                <w:p>
                  <w:pPr>
                    <w:jc w:val="center"/>
                    <w:rPr>
                      <w:rFonts w:hint="eastAsia" w:ascii="Times New Roman" w:hAnsi="Times New Roman" w:eastAsia="宋体" w:cs="Times New Roman"/>
                      <w:bCs/>
                      <w:color w:val="auto"/>
                      <w:sz w:val="21"/>
                      <w:szCs w:val="18"/>
                      <w:lang w:val="en-US" w:eastAsia="zh-CN"/>
                    </w:rPr>
                  </w:pPr>
                  <w:r>
                    <w:rPr>
                      <w:rFonts w:hint="eastAsia" w:ascii="Times New Roman" w:hAnsi="Times New Roman" w:eastAsia="宋体" w:cs="Times New Roman"/>
                      <w:bCs/>
                      <w:color w:val="auto"/>
                      <w:sz w:val="21"/>
                      <w:szCs w:val="18"/>
                      <w:lang w:val="en-US" w:eastAsia="zh-CN"/>
                    </w:rPr>
                    <w:t>市政自来水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tcBorders>
                    <w:tl2br w:val="nil"/>
                    <w:tr2bl w:val="nil"/>
                  </w:tcBorders>
                  <w:vAlign w:val="center"/>
                </w:tcPr>
                <w:p>
                  <w:pPr>
                    <w:pStyle w:val="50"/>
                    <w:spacing w:before="0" w:beforeLines="0" w:after="0" w:afterLines="0"/>
                    <w:rPr>
                      <w:b w:val="0"/>
                      <w:bCs/>
                      <w:color w:val="auto"/>
                      <w:sz w:val="21"/>
                      <w:szCs w:val="18"/>
                    </w:rPr>
                  </w:pPr>
                </w:p>
              </w:tc>
              <w:tc>
                <w:tcPr>
                  <w:tcW w:w="1937" w:type="dxa"/>
                  <w:tcBorders>
                    <w:tl2br w:val="nil"/>
                    <w:tr2bl w:val="nil"/>
                  </w:tcBorders>
                  <w:vAlign w:val="center"/>
                </w:tcPr>
                <w:p>
                  <w:pPr>
                    <w:pStyle w:val="50"/>
                    <w:spacing w:before="0" w:beforeLines="0" w:after="0" w:afterLines="0"/>
                    <w:rPr>
                      <w:b w:val="0"/>
                      <w:bCs/>
                      <w:color w:val="auto"/>
                      <w:sz w:val="21"/>
                      <w:szCs w:val="18"/>
                    </w:rPr>
                  </w:pPr>
                  <w:r>
                    <w:rPr>
                      <w:b w:val="0"/>
                      <w:bCs/>
                      <w:color w:val="auto"/>
                      <w:sz w:val="21"/>
                      <w:szCs w:val="18"/>
                    </w:rPr>
                    <w:t>排水</w:t>
                  </w:r>
                </w:p>
              </w:tc>
              <w:tc>
                <w:tcPr>
                  <w:tcW w:w="4910" w:type="dxa"/>
                  <w:tcBorders>
                    <w:tl2br w:val="nil"/>
                    <w:tr2bl w:val="nil"/>
                  </w:tcBorders>
                  <w:vAlign w:val="center"/>
                </w:tcPr>
                <w:p>
                  <w:pPr>
                    <w:jc w:val="center"/>
                    <w:rPr>
                      <w:rFonts w:hint="default" w:ascii="Times New Roman" w:hAnsi="Times New Roman" w:eastAsia="宋体" w:cs="Times New Roman"/>
                      <w:bCs/>
                      <w:color w:val="auto"/>
                      <w:sz w:val="21"/>
                      <w:szCs w:val="18"/>
                      <w:lang w:val="en-US" w:eastAsia="zh-CN"/>
                    </w:rPr>
                  </w:pPr>
                  <w:r>
                    <w:rPr>
                      <w:rFonts w:hint="eastAsia" w:ascii="Times New Roman" w:hAnsi="Times New Roman" w:eastAsia="宋体" w:cs="Times New Roman"/>
                      <w:bCs/>
                      <w:color w:val="auto"/>
                      <w:sz w:val="21"/>
                      <w:szCs w:val="18"/>
                      <w:lang w:val="en-US" w:eastAsia="zh-CN"/>
                    </w:rPr>
                    <w:t>生活污水经收集后进入化粪池处理，处理达标后进入市政污水管网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tcBorders>
                    <w:tl2br w:val="nil"/>
                    <w:tr2bl w:val="nil"/>
                  </w:tcBorders>
                  <w:vAlign w:val="center"/>
                </w:tcPr>
                <w:p>
                  <w:pPr>
                    <w:pStyle w:val="50"/>
                    <w:spacing w:before="0" w:beforeLines="0" w:after="0" w:afterLines="0"/>
                    <w:rPr>
                      <w:b w:val="0"/>
                      <w:bCs/>
                      <w:color w:val="auto"/>
                      <w:sz w:val="21"/>
                      <w:szCs w:val="18"/>
                    </w:rPr>
                  </w:pPr>
                </w:p>
              </w:tc>
              <w:tc>
                <w:tcPr>
                  <w:tcW w:w="1937" w:type="dxa"/>
                  <w:tcBorders>
                    <w:tl2br w:val="nil"/>
                    <w:tr2bl w:val="nil"/>
                  </w:tcBorders>
                  <w:vAlign w:val="center"/>
                </w:tcPr>
                <w:p>
                  <w:pPr>
                    <w:pStyle w:val="50"/>
                    <w:spacing w:before="0" w:beforeLines="0" w:after="0" w:afterLines="0"/>
                    <w:rPr>
                      <w:b w:val="0"/>
                      <w:bCs/>
                      <w:color w:val="auto"/>
                      <w:sz w:val="21"/>
                      <w:szCs w:val="18"/>
                    </w:rPr>
                  </w:pPr>
                  <w:r>
                    <w:rPr>
                      <w:b w:val="0"/>
                      <w:bCs/>
                      <w:color w:val="auto"/>
                      <w:sz w:val="21"/>
                      <w:szCs w:val="18"/>
                    </w:rPr>
                    <w:t>供电</w:t>
                  </w:r>
                </w:p>
              </w:tc>
              <w:tc>
                <w:tcPr>
                  <w:tcW w:w="4910" w:type="dxa"/>
                  <w:tcBorders>
                    <w:tl2br w:val="nil"/>
                    <w:tr2bl w:val="nil"/>
                  </w:tcBorders>
                  <w:vAlign w:val="center"/>
                </w:tcPr>
                <w:p>
                  <w:pPr>
                    <w:jc w:val="center"/>
                    <w:rPr>
                      <w:rFonts w:hint="eastAsia" w:ascii="Times New Roman" w:hAnsi="Times New Roman" w:eastAsia="宋体" w:cs="Times New Roman"/>
                      <w:bCs/>
                      <w:color w:val="auto"/>
                      <w:sz w:val="21"/>
                      <w:szCs w:val="18"/>
                      <w:lang w:val="en-US" w:eastAsia="zh-CN"/>
                    </w:rPr>
                  </w:pPr>
                  <w:r>
                    <w:rPr>
                      <w:rFonts w:hint="eastAsia" w:ascii="Times New Roman" w:hAnsi="Times New Roman" w:eastAsia="宋体" w:cs="Times New Roman"/>
                      <w:bCs/>
                      <w:color w:val="auto"/>
                      <w:sz w:val="21"/>
                      <w:szCs w:val="18"/>
                      <w:lang w:val="en-US" w:eastAsia="zh-CN"/>
                    </w:rPr>
                    <w:t>当地电网供给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restart"/>
                  <w:tcBorders>
                    <w:tl2br w:val="nil"/>
                    <w:tr2bl w:val="nil"/>
                  </w:tcBorders>
                  <w:vAlign w:val="center"/>
                </w:tcPr>
                <w:p>
                  <w:pPr>
                    <w:pStyle w:val="50"/>
                    <w:spacing w:before="0" w:beforeLines="0" w:after="0" w:afterLines="0"/>
                    <w:rPr>
                      <w:b w:val="0"/>
                      <w:bCs/>
                      <w:color w:val="auto"/>
                      <w:sz w:val="21"/>
                      <w:szCs w:val="18"/>
                    </w:rPr>
                  </w:pPr>
                  <w:r>
                    <w:rPr>
                      <w:b w:val="0"/>
                      <w:bCs/>
                      <w:color w:val="auto"/>
                      <w:sz w:val="21"/>
                      <w:szCs w:val="18"/>
                    </w:rPr>
                    <w:t>环保工程</w:t>
                  </w:r>
                </w:p>
              </w:tc>
              <w:tc>
                <w:tcPr>
                  <w:tcW w:w="1937" w:type="dxa"/>
                  <w:tcBorders>
                    <w:tl2br w:val="nil"/>
                    <w:tr2bl w:val="nil"/>
                  </w:tcBorders>
                  <w:vAlign w:val="center"/>
                </w:tcPr>
                <w:p>
                  <w:pPr>
                    <w:pStyle w:val="50"/>
                    <w:spacing w:before="0" w:beforeLines="0" w:after="0" w:afterLines="0"/>
                    <w:rPr>
                      <w:b w:val="0"/>
                      <w:bCs/>
                      <w:color w:val="auto"/>
                      <w:sz w:val="21"/>
                      <w:szCs w:val="18"/>
                    </w:rPr>
                  </w:pPr>
                  <w:r>
                    <w:rPr>
                      <w:b w:val="0"/>
                      <w:bCs/>
                      <w:color w:val="auto"/>
                      <w:sz w:val="21"/>
                      <w:szCs w:val="18"/>
                    </w:rPr>
                    <w:t>污水处理设施</w:t>
                  </w:r>
                </w:p>
              </w:tc>
              <w:tc>
                <w:tcPr>
                  <w:tcW w:w="4910" w:type="dxa"/>
                  <w:tcBorders>
                    <w:tl2br w:val="nil"/>
                    <w:tr2bl w:val="nil"/>
                  </w:tcBorders>
                  <w:vAlign w:val="center"/>
                </w:tcPr>
                <w:p>
                  <w:pPr>
                    <w:jc w:val="center"/>
                    <w:rPr>
                      <w:rFonts w:hint="eastAsia" w:ascii="Times New Roman" w:hAnsi="Times New Roman" w:eastAsia="宋体" w:cs="Times New Roman"/>
                      <w:bCs/>
                      <w:color w:val="auto"/>
                      <w:sz w:val="21"/>
                      <w:szCs w:val="18"/>
                      <w:lang w:val="en-US" w:eastAsia="zh-CN"/>
                    </w:rPr>
                  </w:pPr>
                  <w:r>
                    <w:rPr>
                      <w:rFonts w:hint="eastAsia" w:ascii="Times New Roman" w:hAnsi="Times New Roman" w:eastAsia="宋体" w:cs="Times New Roman"/>
                      <w:bCs/>
                      <w:color w:val="auto"/>
                      <w:sz w:val="21"/>
                      <w:szCs w:val="18"/>
                      <w:lang w:val="en-US" w:eastAsia="zh-CN"/>
                    </w:rPr>
                    <w:t>生活污水通过化粪池处理</w:t>
                  </w:r>
                  <w:r>
                    <w:rPr>
                      <w:rFonts w:hint="eastAsia" w:cs="Times New Roman"/>
                      <w:bCs/>
                      <w:color w:val="auto"/>
                      <w:sz w:val="21"/>
                      <w:szCs w:val="18"/>
                      <w:lang w:val="en-US" w:eastAsia="zh-CN"/>
                    </w:rPr>
                    <w:t>后外排市政污水管网</w:t>
                  </w:r>
                  <w:r>
                    <w:rPr>
                      <w:rFonts w:hint="eastAsia" w:ascii="Times New Roman" w:hAnsi="Times New Roman" w:eastAsia="宋体" w:cs="Times New Roman"/>
                      <w:bCs/>
                      <w:color w:val="auto"/>
                      <w:sz w:val="21"/>
                      <w:szCs w:val="18"/>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1068" w:type="dxa"/>
                  <w:vMerge w:val="continue"/>
                  <w:tcBorders>
                    <w:tl2br w:val="nil"/>
                    <w:tr2bl w:val="nil"/>
                  </w:tcBorders>
                  <w:vAlign w:val="center"/>
                </w:tcPr>
                <w:p>
                  <w:pPr>
                    <w:pStyle w:val="50"/>
                    <w:spacing w:before="0" w:beforeLines="0" w:after="0" w:afterLines="0"/>
                    <w:rPr>
                      <w:b w:val="0"/>
                      <w:bCs/>
                      <w:color w:val="auto"/>
                      <w:sz w:val="21"/>
                      <w:szCs w:val="18"/>
                    </w:rPr>
                  </w:pPr>
                </w:p>
              </w:tc>
              <w:tc>
                <w:tcPr>
                  <w:tcW w:w="1937" w:type="dxa"/>
                  <w:tcBorders>
                    <w:tl2br w:val="nil"/>
                    <w:tr2bl w:val="nil"/>
                  </w:tcBorders>
                  <w:vAlign w:val="center"/>
                </w:tcPr>
                <w:p>
                  <w:pPr>
                    <w:pStyle w:val="50"/>
                    <w:spacing w:before="0" w:beforeLines="0" w:after="0" w:afterLines="0"/>
                    <w:rPr>
                      <w:b w:val="0"/>
                      <w:bCs/>
                      <w:color w:val="auto"/>
                      <w:sz w:val="21"/>
                      <w:szCs w:val="18"/>
                    </w:rPr>
                  </w:pPr>
                  <w:r>
                    <w:rPr>
                      <w:b w:val="0"/>
                      <w:bCs/>
                      <w:color w:val="auto"/>
                      <w:sz w:val="21"/>
                      <w:szCs w:val="18"/>
                    </w:rPr>
                    <w:t>废气处理设施</w:t>
                  </w:r>
                </w:p>
              </w:tc>
              <w:tc>
                <w:tcPr>
                  <w:tcW w:w="4910" w:type="dxa"/>
                  <w:tcBorders>
                    <w:tl2br w:val="nil"/>
                    <w:tr2bl w:val="nil"/>
                  </w:tcBorders>
                  <w:vAlign w:val="center"/>
                </w:tcPr>
                <w:p>
                  <w:pPr>
                    <w:pStyle w:val="50"/>
                    <w:spacing w:before="0" w:beforeLines="0" w:after="0" w:afterLines="0"/>
                    <w:rPr>
                      <w:rFonts w:hint="default" w:eastAsia="宋体"/>
                      <w:b w:val="0"/>
                      <w:bCs/>
                      <w:color w:val="auto"/>
                      <w:sz w:val="21"/>
                      <w:szCs w:val="18"/>
                      <w:lang w:val="en-US" w:eastAsia="zh-CN"/>
                    </w:rPr>
                  </w:pPr>
                  <w:r>
                    <w:rPr>
                      <w:rFonts w:hint="eastAsia"/>
                      <w:b w:val="0"/>
                      <w:bCs/>
                      <w:color w:val="auto"/>
                      <w:sz w:val="21"/>
                      <w:szCs w:val="18"/>
                      <w:lang w:val="en-US" w:eastAsia="zh-CN"/>
                    </w:rPr>
                    <w:t>油烟经油烟机处理后外排周边大气环境，汽车尾气以及垃圾桶恶臭产生量较小可通过加强管理减轻其影响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tcBorders>
                    <w:tl2br w:val="nil"/>
                    <w:tr2bl w:val="nil"/>
                  </w:tcBorders>
                  <w:vAlign w:val="center"/>
                </w:tcPr>
                <w:p>
                  <w:pPr>
                    <w:pStyle w:val="50"/>
                    <w:spacing w:before="0" w:beforeLines="0" w:after="0" w:afterLines="0"/>
                    <w:rPr>
                      <w:b w:val="0"/>
                      <w:bCs/>
                      <w:color w:val="auto"/>
                      <w:sz w:val="21"/>
                      <w:szCs w:val="18"/>
                    </w:rPr>
                  </w:pPr>
                </w:p>
              </w:tc>
              <w:tc>
                <w:tcPr>
                  <w:tcW w:w="1937" w:type="dxa"/>
                  <w:tcBorders>
                    <w:tl2br w:val="nil"/>
                    <w:tr2bl w:val="nil"/>
                  </w:tcBorders>
                  <w:vAlign w:val="center"/>
                </w:tcPr>
                <w:p>
                  <w:pPr>
                    <w:pStyle w:val="50"/>
                    <w:spacing w:before="0" w:beforeLines="0" w:after="0" w:afterLines="0"/>
                    <w:rPr>
                      <w:b w:val="0"/>
                      <w:bCs/>
                      <w:color w:val="auto"/>
                      <w:sz w:val="21"/>
                      <w:szCs w:val="18"/>
                    </w:rPr>
                  </w:pPr>
                  <w:r>
                    <w:rPr>
                      <w:b w:val="0"/>
                      <w:bCs/>
                      <w:color w:val="auto"/>
                      <w:sz w:val="21"/>
                      <w:szCs w:val="18"/>
                    </w:rPr>
                    <w:t>噪声处理设施</w:t>
                  </w:r>
                </w:p>
              </w:tc>
              <w:tc>
                <w:tcPr>
                  <w:tcW w:w="4910" w:type="dxa"/>
                  <w:tcBorders>
                    <w:tl2br w:val="nil"/>
                    <w:tr2bl w:val="nil"/>
                  </w:tcBorders>
                  <w:vAlign w:val="center"/>
                </w:tcPr>
                <w:p>
                  <w:pPr>
                    <w:pStyle w:val="50"/>
                    <w:spacing w:before="0" w:beforeLines="0" w:after="0" w:afterLines="0"/>
                    <w:rPr>
                      <w:rFonts w:hint="eastAsia" w:eastAsia="宋体"/>
                      <w:b w:val="0"/>
                      <w:bCs/>
                      <w:color w:val="auto"/>
                      <w:sz w:val="21"/>
                      <w:szCs w:val="18"/>
                      <w:u w:val="single"/>
                      <w:lang w:val="en-US" w:eastAsia="zh-CN"/>
                    </w:rPr>
                  </w:pPr>
                  <w:r>
                    <w:rPr>
                      <w:rFonts w:hint="eastAsia"/>
                      <w:b w:val="0"/>
                      <w:bCs/>
                      <w:color w:val="auto"/>
                      <w:sz w:val="21"/>
                      <w:szCs w:val="18"/>
                      <w:lang w:val="en-US" w:eastAsia="zh-CN"/>
                    </w:rPr>
                    <w:t>配电房变压器位于密闭房间内切采用吸声、基础减震等措施；电梯机组位于密闭房间内我且设置有</w:t>
                  </w:r>
                  <w:r>
                    <w:rPr>
                      <w:b w:val="0"/>
                      <w:bCs/>
                      <w:color w:val="auto"/>
                      <w:sz w:val="21"/>
                      <w:szCs w:val="18"/>
                    </w:rPr>
                    <w:t>基础减振</w:t>
                  </w:r>
                  <w:r>
                    <w:rPr>
                      <w:rFonts w:hint="eastAsia"/>
                      <w:b w:val="0"/>
                      <w:bCs/>
                      <w:color w:val="auto"/>
                      <w:sz w:val="21"/>
                      <w:szCs w:val="18"/>
                      <w:lang w:val="en-US" w:eastAsia="zh-CN"/>
                    </w:rPr>
                    <w:t>措施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tcBorders>
                    <w:tl2br w:val="nil"/>
                    <w:tr2bl w:val="nil"/>
                  </w:tcBorders>
                  <w:vAlign w:val="center"/>
                </w:tcPr>
                <w:p>
                  <w:pPr>
                    <w:pStyle w:val="50"/>
                    <w:spacing w:before="0" w:beforeLines="0" w:after="0" w:afterLines="0"/>
                    <w:rPr>
                      <w:b w:val="0"/>
                      <w:bCs/>
                      <w:color w:val="auto"/>
                      <w:sz w:val="21"/>
                      <w:szCs w:val="18"/>
                    </w:rPr>
                  </w:pPr>
                </w:p>
              </w:tc>
              <w:tc>
                <w:tcPr>
                  <w:tcW w:w="1937" w:type="dxa"/>
                  <w:tcBorders>
                    <w:tl2br w:val="nil"/>
                    <w:tr2bl w:val="nil"/>
                  </w:tcBorders>
                  <w:vAlign w:val="center"/>
                </w:tcPr>
                <w:p>
                  <w:pPr>
                    <w:pStyle w:val="50"/>
                    <w:spacing w:before="0" w:beforeLines="0" w:after="0" w:afterLines="0"/>
                    <w:rPr>
                      <w:b w:val="0"/>
                      <w:bCs/>
                      <w:color w:val="auto"/>
                      <w:sz w:val="21"/>
                      <w:szCs w:val="18"/>
                    </w:rPr>
                  </w:pPr>
                  <w:r>
                    <w:rPr>
                      <w:b w:val="0"/>
                      <w:bCs/>
                      <w:color w:val="auto"/>
                      <w:sz w:val="21"/>
                      <w:szCs w:val="18"/>
                    </w:rPr>
                    <w:t>固体废物处理设施</w:t>
                  </w:r>
                </w:p>
              </w:tc>
              <w:tc>
                <w:tcPr>
                  <w:tcW w:w="4910" w:type="dxa"/>
                  <w:tcBorders>
                    <w:tl2br w:val="nil"/>
                    <w:tr2bl w:val="nil"/>
                  </w:tcBorders>
                  <w:vAlign w:val="center"/>
                </w:tcPr>
                <w:p>
                  <w:pPr>
                    <w:pStyle w:val="50"/>
                    <w:spacing w:before="0" w:beforeLines="0" w:after="0" w:afterLines="0"/>
                    <w:rPr>
                      <w:bCs/>
                      <w:color w:val="auto"/>
                      <w:sz w:val="21"/>
                      <w:szCs w:val="18"/>
                    </w:rPr>
                  </w:pPr>
                  <w:r>
                    <w:rPr>
                      <w:b w:val="0"/>
                      <w:bCs/>
                      <w:color w:val="auto"/>
                      <w:sz w:val="21"/>
                      <w:szCs w:val="18"/>
                    </w:rPr>
                    <w:t>生活垃圾经</w:t>
                  </w:r>
                  <w:r>
                    <w:rPr>
                      <w:rFonts w:hint="eastAsia"/>
                      <w:b w:val="0"/>
                      <w:bCs/>
                      <w:color w:val="auto"/>
                      <w:sz w:val="21"/>
                      <w:szCs w:val="18"/>
                      <w:lang w:val="en-US" w:eastAsia="zh-CN"/>
                    </w:rPr>
                    <w:t>分类收集</w:t>
                  </w:r>
                  <w:r>
                    <w:rPr>
                      <w:b w:val="0"/>
                      <w:bCs/>
                      <w:color w:val="auto"/>
                      <w:sz w:val="21"/>
                      <w:szCs w:val="18"/>
                    </w:rPr>
                    <w:t>垃圾桶收集后交由环卫部门处置</w:t>
                  </w:r>
                </w:p>
              </w:tc>
            </w:tr>
          </w:tbl>
          <w:p>
            <w:pPr>
              <w:keepNext w:val="0"/>
              <w:keepLines w:val="0"/>
              <w:pageBreakBefore w:val="0"/>
              <w:widowControl w:val="0"/>
              <w:kinsoku/>
              <w:wordWrap/>
              <w:overflowPunct/>
              <w:topLinePunct w:val="0"/>
              <w:autoSpaceDE/>
              <w:autoSpaceDN/>
              <w:bidi w:val="0"/>
              <w:adjustRightInd w:val="0"/>
              <w:snapToGrid w:val="0"/>
              <w:spacing w:before="157" w:beforeLines="50"/>
              <w:ind w:firstLine="482" w:firstLineChars="200"/>
              <w:jc w:val="center"/>
              <w:textAlignment w:val="auto"/>
              <w:rPr>
                <w:rFonts w:hint="default" w:ascii="Times New Roman" w:hAnsi="Times New Roman" w:eastAsia="宋体" w:cs="Times New Roman"/>
                <w:b/>
                <w:color w:val="auto"/>
                <w:sz w:val="24"/>
                <w:szCs w:val="21"/>
                <w:lang w:val="en-US" w:eastAsia="zh-CN"/>
              </w:rPr>
            </w:pPr>
            <w:r>
              <w:rPr>
                <w:rFonts w:hint="eastAsia" w:ascii="Times New Roman" w:hAnsi="Times New Roman" w:eastAsia="宋体" w:cs="Times New Roman"/>
                <w:b/>
                <w:color w:val="auto"/>
                <w:sz w:val="24"/>
                <w:szCs w:val="21"/>
                <w:lang w:val="en-US" w:eastAsia="zh-CN"/>
              </w:rPr>
              <w:t>表2-2  地块一综合经济技术指标表</w:t>
            </w:r>
          </w:p>
          <w:tbl>
            <w:tblPr>
              <w:tblStyle w:val="22"/>
              <w:tblW w:w="7937" w:type="dxa"/>
              <w:tblInd w:w="13"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 w:type="dxa"/>
                <w:bottom w:w="0" w:type="dxa"/>
                <w:right w:w="10" w:type="dxa"/>
              </w:tblCellMar>
            </w:tblPr>
            <w:tblGrid>
              <w:gridCol w:w="645"/>
              <w:gridCol w:w="3080"/>
              <w:gridCol w:w="2578"/>
              <w:gridCol w:w="1634"/>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7937" w:type="dxa"/>
                  <w:gridSpan w:val="4"/>
                  <w:tcBorders>
                    <w:tl2br w:val="nil"/>
                    <w:tr2bl w:val="nil"/>
                  </w:tcBorders>
                  <w:vAlign w:val="center"/>
                </w:tcPr>
                <w:p>
                  <w:pPr>
                    <w:pStyle w:val="50"/>
                    <w:spacing w:before="0" w:beforeLines="0" w:after="0" w:afterLines="0"/>
                    <w:jc w:val="center"/>
                    <w:rPr>
                      <w:rFonts w:hint="eastAsia" w:ascii="Times New Roman" w:hAnsi="Times New Roman" w:eastAsia="宋体" w:cs="Times New Roman"/>
                      <w:b/>
                      <w:bCs w:val="0"/>
                      <w:color w:val="auto"/>
                      <w:sz w:val="21"/>
                      <w:szCs w:val="18"/>
                      <w:lang w:val="en-US" w:eastAsia="zh-CN"/>
                    </w:rPr>
                  </w:pPr>
                  <w:r>
                    <w:rPr>
                      <w:rFonts w:hint="eastAsia" w:ascii="Times New Roman" w:hAnsi="Times New Roman" w:eastAsia="宋体" w:cs="Times New Roman"/>
                      <w:b/>
                      <w:bCs w:val="0"/>
                      <w:color w:val="auto"/>
                      <w:sz w:val="21"/>
                      <w:szCs w:val="18"/>
                      <w:lang w:val="en-US" w:eastAsia="zh-CN"/>
                    </w:rPr>
                    <w:t xml:space="preserve">    三期地块一综合经济技术指标表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3725" w:type="dxa"/>
                  <w:gridSpan w:val="2"/>
                  <w:tcBorders>
                    <w:tl2br w:val="nil"/>
                    <w:tr2bl w:val="nil"/>
                  </w:tcBorders>
                  <w:vAlign w:val="center"/>
                </w:tcPr>
                <w:p>
                  <w:pPr>
                    <w:pStyle w:val="50"/>
                    <w:spacing w:before="0" w:beforeLines="0" w:after="0" w:afterLines="0"/>
                    <w:jc w:val="center"/>
                    <w:rPr>
                      <w:rFonts w:hint="eastAsia" w:ascii="Times New Roman" w:hAnsi="Times New Roman" w:eastAsia="宋体" w:cs="Times New Roman"/>
                      <w:b/>
                      <w:bCs w:val="0"/>
                      <w:color w:val="auto"/>
                      <w:sz w:val="21"/>
                      <w:szCs w:val="18"/>
                      <w:lang w:val="en-US" w:eastAsia="zh-CN"/>
                    </w:rPr>
                  </w:pPr>
                  <w:r>
                    <w:rPr>
                      <w:rFonts w:hint="eastAsia" w:ascii="Times New Roman" w:hAnsi="Times New Roman" w:eastAsia="宋体" w:cs="Times New Roman"/>
                      <w:b/>
                      <w:bCs w:val="0"/>
                      <w:color w:val="auto"/>
                      <w:sz w:val="21"/>
                      <w:szCs w:val="18"/>
                      <w:lang w:val="en-US" w:eastAsia="zh-CN"/>
                    </w:rPr>
                    <w:t>名称</w:t>
                  </w:r>
                </w:p>
              </w:tc>
              <w:tc>
                <w:tcPr>
                  <w:tcW w:w="2578"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bCs w:val="0"/>
                      <w:color w:val="auto"/>
                      <w:sz w:val="21"/>
                      <w:szCs w:val="18"/>
                      <w:lang w:val="en-US" w:eastAsia="zh-CN"/>
                    </w:rPr>
                  </w:pPr>
                  <w:r>
                    <w:rPr>
                      <w:rFonts w:hint="eastAsia" w:ascii="Times New Roman" w:hAnsi="Times New Roman" w:eastAsia="宋体" w:cs="Times New Roman"/>
                      <w:b/>
                      <w:bCs w:val="0"/>
                      <w:color w:val="auto"/>
                      <w:sz w:val="21"/>
                      <w:szCs w:val="18"/>
                      <w:lang w:val="en-US" w:eastAsia="zh-CN"/>
                    </w:rPr>
                    <w:t>数值</w:t>
                  </w:r>
                </w:p>
              </w:tc>
              <w:tc>
                <w:tcPr>
                  <w:tcW w:w="1634"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bCs w:val="0"/>
                      <w:color w:val="auto"/>
                      <w:sz w:val="21"/>
                      <w:szCs w:val="18"/>
                      <w:lang w:val="en-US" w:eastAsia="zh-CN"/>
                    </w:rPr>
                  </w:pPr>
                  <w:r>
                    <w:rPr>
                      <w:rFonts w:hint="eastAsia" w:ascii="Times New Roman" w:hAnsi="Times New Roman" w:eastAsia="宋体" w:cs="Times New Roman"/>
                      <w:b/>
                      <w:bCs w:val="0"/>
                      <w:color w:val="auto"/>
                      <w:sz w:val="21"/>
                      <w:szCs w:val="18"/>
                      <w:lang w:val="en-US" w:eastAsia="zh-CN"/>
                    </w:rPr>
                    <w:t>单位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3725" w:type="dxa"/>
                  <w:gridSpan w:val="2"/>
                  <w:tcBorders>
                    <w:tl2br w:val="nil"/>
                    <w:tr2bl w:val="nil"/>
                  </w:tcBorders>
                  <w:vAlign w:val="center"/>
                </w:tcPr>
                <w:p>
                  <w:pPr>
                    <w:pStyle w:val="50"/>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 xml:space="preserve">规划用地面积 </w:t>
                  </w:r>
                </w:p>
              </w:tc>
              <w:tc>
                <w:tcPr>
                  <w:tcW w:w="2578"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60377.36</w:t>
                  </w:r>
                </w:p>
              </w:tc>
              <w:tc>
                <w:tcPr>
                  <w:tcW w:w="1634"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3725" w:type="dxa"/>
                  <w:gridSpan w:val="2"/>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总建筑面积</w:t>
                  </w:r>
                </w:p>
              </w:tc>
              <w:tc>
                <w:tcPr>
                  <w:tcW w:w="2578"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76020.54</w:t>
                  </w:r>
                </w:p>
              </w:tc>
              <w:tc>
                <w:tcPr>
                  <w:tcW w:w="1634"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3725" w:type="dxa"/>
                  <w:gridSpan w:val="2"/>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计容建筑面积</w:t>
                  </w:r>
                </w:p>
              </w:tc>
              <w:tc>
                <w:tcPr>
                  <w:tcW w:w="2578"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73651.31</w:t>
                  </w:r>
                </w:p>
              </w:tc>
              <w:tc>
                <w:tcPr>
                  <w:tcW w:w="1634"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645" w:type="dxa"/>
                  <w:vMerge w:val="restart"/>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p>
              </w:tc>
              <w:tc>
                <w:tcPr>
                  <w:tcW w:w="3080"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70户型（5栋）</w:t>
                  </w:r>
                </w:p>
              </w:tc>
              <w:tc>
                <w:tcPr>
                  <w:tcW w:w="2578"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15511.82</w:t>
                  </w:r>
                </w:p>
              </w:tc>
              <w:tc>
                <w:tcPr>
                  <w:tcW w:w="1634"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645" w:type="dxa"/>
                  <w:vMerge w:val="continue"/>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p>
              </w:tc>
              <w:tc>
                <w:tcPr>
                  <w:tcW w:w="3080"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105户型（12栋）</w:t>
                  </w:r>
                </w:p>
              </w:tc>
              <w:tc>
                <w:tcPr>
                  <w:tcW w:w="2578"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48205.85</w:t>
                  </w:r>
                </w:p>
              </w:tc>
              <w:tc>
                <w:tcPr>
                  <w:tcW w:w="1634"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645" w:type="dxa"/>
                  <w:vMerge w:val="continue"/>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p>
              </w:tc>
              <w:tc>
                <w:tcPr>
                  <w:tcW w:w="3080"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140户型（1栋）</w:t>
                  </w:r>
                </w:p>
              </w:tc>
              <w:tc>
                <w:tcPr>
                  <w:tcW w:w="2578"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5674.26</w:t>
                  </w:r>
                </w:p>
              </w:tc>
              <w:tc>
                <w:tcPr>
                  <w:tcW w:w="1634"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645" w:type="dxa"/>
                  <w:vMerge w:val="continue"/>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p>
              </w:tc>
              <w:tc>
                <w:tcPr>
                  <w:tcW w:w="3080"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175户型（1栋）</w:t>
                  </w:r>
                </w:p>
              </w:tc>
              <w:tc>
                <w:tcPr>
                  <w:tcW w:w="2578"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4059.38</w:t>
                  </w:r>
                </w:p>
              </w:tc>
              <w:tc>
                <w:tcPr>
                  <w:tcW w:w="1634"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645" w:type="dxa"/>
                  <w:vMerge w:val="continue"/>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p>
              </w:tc>
              <w:tc>
                <w:tcPr>
                  <w:tcW w:w="3080"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物业用房/门卫室</w:t>
                  </w:r>
                </w:p>
              </w:tc>
              <w:tc>
                <w:tcPr>
                  <w:tcW w:w="2578"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200.00</w:t>
                  </w:r>
                </w:p>
              </w:tc>
              <w:tc>
                <w:tcPr>
                  <w:tcW w:w="1634"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3725" w:type="dxa"/>
                  <w:gridSpan w:val="2"/>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不计容积率建筑面积</w:t>
                  </w:r>
                </w:p>
              </w:tc>
              <w:tc>
                <w:tcPr>
                  <w:tcW w:w="2578"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2369.23</w:t>
                  </w:r>
                </w:p>
              </w:tc>
              <w:tc>
                <w:tcPr>
                  <w:tcW w:w="1634"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3725" w:type="dxa"/>
                  <w:gridSpan w:val="2"/>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建筑基底面积</w:t>
                  </w:r>
                </w:p>
              </w:tc>
              <w:tc>
                <w:tcPr>
                  <w:tcW w:w="2578"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10662.46</w:t>
                  </w:r>
                </w:p>
              </w:tc>
              <w:tc>
                <w:tcPr>
                  <w:tcW w:w="1634"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3725" w:type="dxa"/>
                  <w:gridSpan w:val="2"/>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建筑密度</w:t>
                  </w:r>
                </w:p>
              </w:tc>
              <w:tc>
                <w:tcPr>
                  <w:tcW w:w="2578"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17.66</w:t>
                  </w:r>
                </w:p>
              </w:tc>
              <w:tc>
                <w:tcPr>
                  <w:tcW w:w="1634"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3725" w:type="dxa"/>
                  <w:gridSpan w:val="2"/>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容积率</w:t>
                  </w:r>
                </w:p>
              </w:tc>
              <w:tc>
                <w:tcPr>
                  <w:tcW w:w="2578"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1.22</w:t>
                  </w:r>
                </w:p>
              </w:tc>
              <w:tc>
                <w:tcPr>
                  <w:tcW w:w="1634"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3725" w:type="dxa"/>
                  <w:gridSpan w:val="2"/>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绿地率</w:t>
                  </w:r>
                </w:p>
              </w:tc>
              <w:tc>
                <w:tcPr>
                  <w:tcW w:w="2578"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20.2</w:t>
                  </w:r>
                </w:p>
              </w:tc>
              <w:tc>
                <w:tcPr>
                  <w:tcW w:w="1634"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3725" w:type="dxa"/>
                  <w:gridSpan w:val="2"/>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总户数</w:t>
                  </w:r>
                </w:p>
              </w:tc>
              <w:tc>
                <w:tcPr>
                  <w:tcW w:w="2578"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668</w:t>
                  </w:r>
                </w:p>
              </w:tc>
              <w:tc>
                <w:tcPr>
                  <w:tcW w:w="1634"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645" w:type="dxa"/>
                  <w:vMerge w:val="restart"/>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p>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其中</w:t>
                  </w:r>
                </w:p>
              </w:tc>
              <w:tc>
                <w:tcPr>
                  <w:tcW w:w="3080"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70户型</w:t>
                  </w:r>
                </w:p>
              </w:tc>
              <w:tc>
                <w:tcPr>
                  <w:tcW w:w="2578"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204</w:t>
                  </w:r>
                </w:p>
              </w:tc>
              <w:tc>
                <w:tcPr>
                  <w:tcW w:w="1634"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645" w:type="dxa"/>
                  <w:vMerge w:val="continue"/>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p>
              </w:tc>
              <w:tc>
                <w:tcPr>
                  <w:tcW w:w="3080"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105户型</w:t>
                  </w:r>
                </w:p>
              </w:tc>
              <w:tc>
                <w:tcPr>
                  <w:tcW w:w="2578"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408</w:t>
                  </w:r>
                </w:p>
              </w:tc>
              <w:tc>
                <w:tcPr>
                  <w:tcW w:w="1634"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645" w:type="dxa"/>
                  <w:vMerge w:val="continue"/>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p>
              </w:tc>
              <w:tc>
                <w:tcPr>
                  <w:tcW w:w="3080"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140户型</w:t>
                  </w:r>
                </w:p>
              </w:tc>
              <w:tc>
                <w:tcPr>
                  <w:tcW w:w="2578"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36</w:t>
                  </w:r>
                </w:p>
              </w:tc>
              <w:tc>
                <w:tcPr>
                  <w:tcW w:w="1634"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645" w:type="dxa"/>
                  <w:vMerge w:val="continue"/>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p>
              </w:tc>
              <w:tc>
                <w:tcPr>
                  <w:tcW w:w="3080"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175户型</w:t>
                  </w:r>
                </w:p>
              </w:tc>
              <w:tc>
                <w:tcPr>
                  <w:tcW w:w="2578"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20</w:t>
                  </w:r>
                </w:p>
              </w:tc>
              <w:tc>
                <w:tcPr>
                  <w:tcW w:w="1634"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3725" w:type="dxa"/>
                  <w:gridSpan w:val="2"/>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停车位</w:t>
                  </w:r>
                </w:p>
              </w:tc>
              <w:tc>
                <w:tcPr>
                  <w:tcW w:w="2578"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535</w:t>
                  </w:r>
                </w:p>
              </w:tc>
              <w:tc>
                <w:tcPr>
                  <w:tcW w:w="1634"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个</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7937" w:type="dxa"/>
                  <w:gridSpan w:val="4"/>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其中</w:t>
                  </w:r>
                </w:p>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室外停车位471个。（其中无博焊停车位11个）车库停车位64个，（其中新能源停车位54个）T机动停车位334个（充电桩167个）</w:t>
                  </w:r>
                </w:p>
              </w:tc>
            </w:tr>
          </w:tbl>
          <w:p>
            <w:pPr>
              <w:keepNext w:val="0"/>
              <w:keepLines w:val="0"/>
              <w:pageBreakBefore w:val="0"/>
              <w:widowControl w:val="0"/>
              <w:kinsoku/>
              <w:wordWrap/>
              <w:overflowPunct/>
              <w:topLinePunct w:val="0"/>
              <w:autoSpaceDE/>
              <w:autoSpaceDN/>
              <w:bidi w:val="0"/>
              <w:adjustRightInd w:val="0"/>
              <w:snapToGrid w:val="0"/>
              <w:spacing w:before="157" w:beforeLines="50"/>
              <w:ind w:firstLine="482" w:firstLineChars="200"/>
              <w:jc w:val="center"/>
              <w:textAlignment w:val="auto"/>
              <w:rPr>
                <w:rFonts w:hint="default" w:ascii="Times New Roman" w:hAnsi="Times New Roman" w:eastAsia="宋体" w:cs="Times New Roman"/>
                <w:b/>
                <w:color w:val="auto"/>
                <w:sz w:val="24"/>
                <w:szCs w:val="21"/>
                <w:lang w:val="en-US" w:eastAsia="zh-CN"/>
              </w:rPr>
            </w:pPr>
            <w:r>
              <w:rPr>
                <w:rFonts w:hint="eastAsia" w:ascii="Times New Roman" w:hAnsi="Times New Roman" w:eastAsia="宋体" w:cs="Times New Roman"/>
                <w:b/>
                <w:color w:val="auto"/>
                <w:sz w:val="24"/>
                <w:szCs w:val="21"/>
                <w:lang w:val="en-US" w:eastAsia="zh-CN"/>
              </w:rPr>
              <w:t>表2-3 地块二综合经济技术指标表</w:t>
            </w:r>
          </w:p>
          <w:tbl>
            <w:tblPr>
              <w:tblStyle w:val="22"/>
              <w:tblW w:w="7937" w:type="dxa"/>
              <w:tblInd w:w="-11"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 w:type="dxa"/>
                <w:bottom w:w="0" w:type="dxa"/>
                <w:right w:w="10" w:type="dxa"/>
              </w:tblCellMar>
            </w:tblPr>
            <w:tblGrid>
              <w:gridCol w:w="588"/>
              <w:gridCol w:w="76"/>
              <w:gridCol w:w="3075"/>
              <w:gridCol w:w="2556"/>
              <w:gridCol w:w="1642"/>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7937" w:type="dxa"/>
                  <w:gridSpan w:val="5"/>
                  <w:tcBorders>
                    <w:tl2br w:val="nil"/>
                    <w:tr2bl w:val="nil"/>
                  </w:tcBorders>
                  <w:vAlign w:val="center"/>
                </w:tcPr>
                <w:p>
                  <w:pPr>
                    <w:pStyle w:val="50"/>
                    <w:spacing w:before="0" w:beforeLines="0" w:after="0" w:afterLines="0"/>
                    <w:jc w:val="center"/>
                    <w:rPr>
                      <w:rFonts w:hint="eastAsia" w:ascii="Times New Roman" w:hAnsi="Times New Roman" w:eastAsia="宋体" w:cs="Times New Roman"/>
                      <w:b/>
                      <w:bCs w:val="0"/>
                      <w:color w:val="auto"/>
                      <w:sz w:val="21"/>
                      <w:szCs w:val="18"/>
                      <w:lang w:val="en-US" w:eastAsia="zh-CN"/>
                    </w:rPr>
                  </w:pPr>
                  <w:r>
                    <w:rPr>
                      <w:rFonts w:hint="eastAsia" w:ascii="Times New Roman" w:hAnsi="Times New Roman" w:eastAsia="宋体" w:cs="Times New Roman"/>
                      <w:b/>
                      <w:bCs w:val="0"/>
                      <w:color w:val="auto"/>
                      <w:sz w:val="21"/>
                      <w:szCs w:val="18"/>
                      <w:lang w:val="en-US" w:eastAsia="zh-CN"/>
                    </w:rPr>
                    <w:t>三期块地二综合经济技术指标表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3739" w:type="dxa"/>
                  <w:gridSpan w:val="3"/>
                  <w:tcBorders>
                    <w:tl2br w:val="nil"/>
                    <w:tr2bl w:val="nil"/>
                  </w:tcBorders>
                  <w:vAlign w:val="center"/>
                </w:tcPr>
                <w:p>
                  <w:pPr>
                    <w:pStyle w:val="50"/>
                    <w:spacing w:before="0" w:beforeLines="0" w:after="0" w:afterLines="0"/>
                    <w:jc w:val="center"/>
                    <w:rPr>
                      <w:rFonts w:hint="eastAsia" w:ascii="Times New Roman" w:hAnsi="Times New Roman" w:eastAsia="宋体" w:cs="Times New Roman"/>
                      <w:b/>
                      <w:bCs w:val="0"/>
                      <w:color w:val="auto"/>
                      <w:sz w:val="21"/>
                      <w:szCs w:val="18"/>
                      <w:lang w:val="en-US" w:eastAsia="zh-CN"/>
                    </w:rPr>
                  </w:pPr>
                  <w:r>
                    <w:rPr>
                      <w:rFonts w:hint="eastAsia" w:ascii="Times New Roman" w:hAnsi="Times New Roman" w:eastAsia="宋体" w:cs="Times New Roman"/>
                      <w:b/>
                      <w:bCs w:val="0"/>
                      <w:color w:val="auto"/>
                      <w:sz w:val="21"/>
                      <w:szCs w:val="18"/>
                      <w:lang w:val="en-US" w:eastAsia="zh-CN"/>
                    </w:rPr>
                    <w:t>名称</w:t>
                  </w:r>
                </w:p>
              </w:tc>
              <w:tc>
                <w:tcPr>
                  <w:tcW w:w="2556"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bCs w:val="0"/>
                      <w:color w:val="auto"/>
                      <w:sz w:val="21"/>
                      <w:szCs w:val="18"/>
                      <w:lang w:val="en-US" w:eastAsia="zh-CN"/>
                    </w:rPr>
                  </w:pPr>
                  <w:r>
                    <w:rPr>
                      <w:rFonts w:hint="eastAsia" w:ascii="Times New Roman" w:hAnsi="Times New Roman" w:eastAsia="宋体" w:cs="Times New Roman"/>
                      <w:b/>
                      <w:bCs w:val="0"/>
                      <w:color w:val="auto"/>
                      <w:sz w:val="21"/>
                      <w:szCs w:val="18"/>
                      <w:lang w:val="en-US" w:eastAsia="zh-CN"/>
                    </w:rPr>
                    <w:t>数值</w:t>
                  </w:r>
                </w:p>
              </w:tc>
              <w:tc>
                <w:tcPr>
                  <w:tcW w:w="1642"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bCs w:val="0"/>
                      <w:color w:val="auto"/>
                      <w:sz w:val="21"/>
                      <w:szCs w:val="18"/>
                      <w:lang w:val="en-US" w:eastAsia="zh-CN"/>
                    </w:rPr>
                  </w:pPr>
                  <w:r>
                    <w:rPr>
                      <w:rFonts w:hint="eastAsia" w:ascii="Times New Roman" w:hAnsi="Times New Roman" w:eastAsia="宋体" w:cs="Times New Roman"/>
                      <w:b/>
                      <w:bCs w:val="0"/>
                      <w:color w:val="auto"/>
                      <w:sz w:val="21"/>
                      <w:szCs w:val="18"/>
                      <w:lang w:val="en-US" w:eastAsia="zh-CN"/>
                    </w:rPr>
                    <w:t>单位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3739" w:type="dxa"/>
                  <w:gridSpan w:val="3"/>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规划用地面积</w:t>
                  </w:r>
                </w:p>
              </w:tc>
              <w:tc>
                <w:tcPr>
                  <w:tcW w:w="2556"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52600.80</w:t>
                  </w:r>
                </w:p>
              </w:tc>
              <w:tc>
                <w:tcPr>
                  <w:tcW w:w="1642"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3739" w:type="dxa"/>
                  <w:gridSpan w:val="3"/>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总建筑面积</w:t>
                  </w:r>
                </w:p>
              </w:tc>
              <w:tc>
                <w:tcPr>
                  <w:tcW w:w="2556"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72865.22</w:t>
                  </w:r>
                </w:p>
              </w:tc>
              <w:tc>
                <w:tcPr>
                  <w:tcW w:w="1642"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3739" w:type="dxa"/>
                  <w:gridSpan w:val="3"/>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计容建筑面积</w:t>
                  </w:r>
                </w:p>
              </w:tc>
              <w:tc>
                <w:tcPr>
                  <w:tcW w:w="2556"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70708.84</w:t>
                  </w:r>
                </w:p>
              </w:tc>
              <w:tc>
                <w:tcPr>
                  <w:tcW w:w="1642"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588" w:type="dxa"/>
                  <w:vMerge w:val="restart"/>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p>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其中</w:t>
                  </w:r>
                </w:p>
              </w:tc>
              <w:tc>
                <w:tcPr>
                  <w:tcW w:w="3151" w:type="dxa"/>
                  <w:gridSpan w:val="2"/>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35户型（1栋）</w:t>
                  </w:r>
                </w:p>
              </w:tc>
              <w:tc>
                <w:tcPr>
                  <w:tcW w:w="2556"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2062.8</w:t>
                  </w:r>
                </w:p>
              </w:tc>
              <w:tc>
                <w:tcPr>
                  <w:tcW w:w="1642"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588" w:type="dxa"/>
                  <w:vMerge w:val="continue"/>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p>
              </w:tc>
              <w:tc>
                <w:tcPr>
                  <w:tcW w:w="3151" w:type="dxa"/>
                  <w:gridSpan w:val="2"/>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105户型（9栋）</w:t>
                  </w:r>
                </w:p>
              </w:tc>
              <w:tc>
                <w:tcPr>
                  <w:tcW w:w="2556"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36833.29</w:t>
                  </w:r>
                </w:p>
              </w:tc>
              <w:tc>
                <w:tcPr>
                  <w:tcW w:w="1642"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588" w:type="dxa"/>
                  <w:vMerge w:val="continue"/>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p>
              </w:tc>
              <w:tc>
                <w:tcPr>
                  <w:tcW w:w="3151" w:type="dxa"/>
                  <w:gridSpan w:val="2"/>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140户型（7栋）</w:t>
                  </w:r>
                </w:p>
              </w:tc>
              <w:tc>
                <w:tcPr>
                  <w:tcW w:w="2556"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31612.75</w:t>
                  </w:r>
                </w:p>
              </w:tc>
              <w:tc>
                <w:tcPr>
                  <w:tcW w:w="1642"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588" w:type="dxa"/>
                  <w:vMerge w:val="continue"/>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p>
              </w:tc>
              <w:tc>
                <w:tcPr>
                  <w:tcW w:w="3151" w:type="dxa"/>
                  <w:gridSpan w:val="2"/>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物业用房/门卫室</w:t>
                  </w:r>
                </w:p>
              </w:tc>
              <w:tc>
                <w:tcPr>
                  <w:tcW w:w="2556"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200.00</w:t>
                  </w:r>
                </w:p>
              </w:tc>
              <w:tc>
                <w:tcPr>
                  <w:tcW w:w="1642"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3739" w:type="dxa"/>
                  <w:gridSpan w:val="3"/>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不计容积率建筑面积</w:t>
                  </w:r>
                </w:p>
              </w:tc>
              <w:tc>
                <w:tcPr>
                  <w:tcW w:w="2556"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2156.38</w:t>
                  </w:r>
                </w:p>
              </w:tc>
              <w:tc>
                <w:tcPr>
                  <w:tcW w:w="1642"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3739" w:type="dxa"/>
                  <w:gridSpan w:val="3"/>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建筑基底面积</w:t>
                  </w:r>
                </w:p>
              </w:tc>
              <w:tc>
                <w:tcPr>
                  <w:tcW w:w="2556"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10281.98</w:t>
                  </w:r>
                </w:p>
              </w:tc>
              <w:tc>
                <w:tcPr>
                  <w:tcW w:w="1642"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3739" w:type="dxa"/>
                  <w:gridSpan w:val="3"/>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建筑密度</w:t>
                  </w:r>
                </w:p>
              </w:tc>
              <w:tc>
                <w:tcPr>
                  <w:tcW w:w="2556"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19.55</w:t>
                  </w:r>
                </w:p>
              </w:tc>
              <w:tc>
                <w:tcPr>
                  <w:tcW w:w="1642"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3739" w:type="dxa"/>
                  <w:gridSpan w:val="3"/>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容积率</w:t>
                  </w:r>
                </w:p>
              </w:tc>
              <w:tc>
                <w:tcPr>
                  <w:tcW w:w="2556"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1.35</w:t>
                  </w:r>
                </w:p>
              </w:tc>
              <w:tc>
                <w:tcPr>
                  <w:tcW w:w="1642"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3739" w:type="dxa"/>
                  <w:gridSpan w:val="3"/>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绿地率</w:t>
                  </w:r>
                </w:p>
              </w:tc>
              <w:tc>
                <w:tcPr>
                  <w:tcW w:w="2556"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20.1</w:t>
                  </w:r>
                </w:p>
              </w:tc>
              <w:tc>
                <w:tcPr>
                  <w:tcW w:w="1642"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3739" w:type="dxa"/>
                  <w:gridSpan w:val="3"/>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总户数</w:t>
                  </w:r>
                </w:p>
              </w:tc>
              <w:tc>
                <w:tcPr>
                  <w:tcW w:w="2556"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572</w:t>
                  </w:r>
                </w:p>
              </w:tc>
              <w:tc>
                <w:tcPr>
                  <w:tcW w:w="1642"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664" w:type="dxa"/>
                  <w:gridSpan w:val="2"/>
                  <w:vMerge w:val="restart"/>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p>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其中</w:t>
                  </w:r>
                </w:p>
              </w:tc>
              <w:tc>
                <w:tcPr>
                  <w:tcW w:w="3075"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35户型</w:t>
                  </w:r>
                </w:p>
              </w:tc>
              <w:tc>
                <w:tcPr>
                  <w:tcW w:w="2556"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60</w:t>
                  </w:r>
                </w:p>
              </w:tc>
              <w:tc>
                <w:tcPr>
                  <w:tcW w:w="1642"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664" w:type="dxa"/>
                  <w:gridSpan w:val="2"/>
                  <w:vMerge w:val="continue"/>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p>
              </w:tc>
              <w:tc>
                <w:tcPr>
                  <w:tcW w:w="3075"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105户型</w:t>
                  </w:r>
                </w:p>
              </w:tc>
              <w:tc>
                <w:tcPr>
                  <w:tcW w:w="2556"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312</w:t>
                  </w:r>
                </w:p>
              </w:tc>
              <w:tc>
                <w:tcPr>
                  <w:tcW w:w="1642"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664" w:type="dxa"/>
                  <w:gridSpan w:val="2"/>
                  <w:vMerge w:val="continue"/>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p>
              </w:tc>
              <w:tc>
                <w:tcPr>
                  <w:tcW w:w="3075"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140户型</w:t>
                  </w:r>
                </w:p>
              </w:tc>
              <w:tc>
                <w:tcPr>
                  <w:tcW w:w="2556"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200</w:t>
                  </w:r>
                </w:p>
              </w:tc>
              <w:tc>
                <w:tcPr>
                  <w:tcW w:w="1642"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3739" w:type="dxa"/>
                  <w:gridSpan w:val="3"/>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停车位</w:t>
                  </w:r>
                </w:p>
              </w:tc>
              <w:tc>
                <w:tcPr>
                  <w:tcW w:w="2556"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458</w:t>
                  </w:r>
                </w:p>
              </w:tc>
              <w:tc>
                <w:tcPr>
                  <w:tcW w:w="1642"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个</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7937" w:type="dxa"/>
                  <w:gridSpan w:val="5"/>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其中</w:t>
                  </w:r>
                </w:p>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率外停车位400个，（其中无障碍停车位10个）车库停车位58个，（其中新能源停车位46个）非机动停车位286个（充电桥143个）</w:t>
                  </w:r>
                </w:p>
              </w:tc>
            </w:tr>
          </w:tbl>
          <w:p>
            <w:pPr>
              <w:numPr>
                <w:ilvl w:val="0"/>
                <w:numId w:val="0"/>
              </w:numPr>
              <w:adjustRightInd w:val="0"/>
              <w:snapToGrid w:val="0"/>
              <w:spacing w:line="360" w:lineRule="auto"/>
              <w:jc w:val="left"/>
              <w:rPr>
                <w:rFonts w:cs="宋体"/>
                <w:b/>
                <w:color w:val="auto"/>
                <w:sz w:val="24"/>
                <w:szCs w:val="21"/>
              </w:rPr>
            </w:pPr>
            <w:r>
              <w:rPr>
                <w:rFonts w:hint="eastAsia" w:cs="宋体"/>
                <w:b/>
                <w:color w:val="auto"/>
                <w:sz w:val="24"/>
                <w:szCs w:val="21"/>
                <w:lang w:val="en-US" w:eastAsia="zh-CN"/>
              </w:rPr>
              <w:t>3、</w:t>
            </w:r>
            <w:r>
              <w:rPr>
                <w:rFonts w:hint="eastAsia" w:cs="宋体"/>
                <w:b/>
                <w:color w:val="auto"/>
                <w:sz w:val="24"/>
                <w:szCs w:val="21"/>
              </w:rPr>
              <w:t>公用工程</w:t>
            </w:r>
          </w:p>
          <w:p>
            <w:pPr>
              <w:adjustRightInd w:val="0"/>
              <w:snapToGrid w:val="0"/>
              <w:spacing w:line="360" w:lineRule="auto"/>
              <w:ind w:firstLine="480" w:firstLineChars="200"/>
              <w:jc w:val="left"/>
              <w:rPr>
                <w:rFonts w:cs="宋体"/>
                <w:bCs/>
                <w:color w:val="auto"/>
                <w:sz w:val="24"/>
                <w:szCs w:val="21"/>
              </w:rPr>
            </w:pPr>
            <w:r>
              <w:rPr>
                <w:rFonts w:hint="eastAsia" w:cs="宋体"/>
                <w:bCs/>
                <w:color w:val="auto"/>
                <w:sz w:val="24"/>
                <w:szCs w:val="21"/>
              </w:rPr>
              <w:t>（1）给水</w:t>
            </w:r>
          </w:p>
          <w:p>
            <w:pPr>
              <w:adjustRightInd w:val="0"/>
              <w:snapToGrid w:val="0"/>
              <w:spacing w:line="360" w:lineRule="auto"/>
              <w:ind w:firstLine="560" w:firstLineChars="200"/>
              <w:jc w:val="left"/>
              <w:rPr>
                <w:rFonts w:hint="eastAsia" w:ascii="Times New Roman" w:hAnsi="Times New Roman" w:eastAsia="宋体" w:cs="宋体"/>
                <w:bCs/>
                <w:color w:val="auto"/>
                <w:sz w:val="24"/>
                <w:szCs w:val="21"/>
                <w:lang w:val="en-US" w:eastAsia="zh-CN"/>
              </w:rPr>
            </w:pPr>
            <w:r>
              <w:rPr>
                <w:rFonts w:hint="eastAsia" w:ascii="仿宋" w:hAnsi="仿宋" w:eastAsia="仿宋" w:cs="仿宋"/>
                <w:bCs w:val="0"/>
                <w:snapToGrid w:val="0"/>
                <w:color w:val="auto"/>
                <w:spacing w:val="0"/>
                <w:kern w:val="0"/>
                <w:position w:val="0"/>
                <w:sz w:val="28"/>
                <w:szCs w:val="28"/>
                <w:highlight w:val="none"/>
                <w:u w:val="none"/>
                <w:lang w:val="en-US" w:eastAsia="zh-CN" w:bidi="ar-SA"/>
              </w:rPr>
              <w:t>1</w:t>
            </w:r>
            <w:r>
              <w:rPr>
                <w:rFonts w:hint="eastAsia" w:ascii="Times New Roman" w:hAnsi="Times New Roman" w:eastAsia="宋体" w:cs="宋体"/>
                <w:bCs/>
                <w:color w:val="auto"/>
                <w:sz w:val="24"/>
                <w:szCs w:val="21"/>
                <w:lang w:val="en-US" w:eastAsia="zh-CN"/>
              </w:rPr>
              <w:t>）水源</w:t>
            </w:r>
          </w:p>
          <w:p>
            <w:pPr>
              <w:adjustRightInd w:val="0"/>
              <w:snapToGrid w:val="0"/>
              <w:spacing w:line="360" w:lineRule="auto"/>
              <w:ind w:firstLine="480" w:firstLineChars="200"/>
              <w:jc w:val="left"/>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本工程小区外南侧055乡道，东侧团结北路市政道路有连接成环的市政给水管，市政给水厂有不少测量点两条输水干管向市政给水管网输水，南侧055乡道紧邻项目用地红线给水管网供水压力0.35MPa(道路地面标高28.23)管径DN150；东侧团结北路紧邻项目用地红线给水管网供水压力0.35 MPa，测量点道路地面标高，管径DN150。从055乡道及团结北路市政络水管网上名接DN150引入管，经总术表和倒流防止器(地上安装)后，供应小区生活用水及室外消火栓用水，供水水质符合国家标准《生活饮用水卫生标准》GB5749 2022相关要求。</w:t>
            </w:r>
          </w:p>
          <w:p>
            <w:pPr>
              <w:adjustRightInd w:val="0"/>
              <w:snapToGrid w:val="0"/>
              <w:spacing w:line="360" w:lineRule="auto"/>
              <w:ind w:firstLine="480" w:firstLineChars="200"/>
              <w:jc w:val="left"/>
              <w:rPr>
                <w:rFonts w:hint="eastAsia" w:ascii="Times New Roman" w:hAnsi="Times New Roman" w:eastAsia="宋体" w:cs="宋体"/>
                <w:bCs/>
                <w:color w:val="auto"/>
                <w:sz w:val="24"/>
                <w:szCs w:val="21"/>
              </w:rPr>
            </w:pPr>
            <w:r>
              <w:rPr>
                <w:rFonts w:hint="eastAsia" w:ascii="Times New Roman" w:hAnsi="Times New Roman" w:eastAsia="宋体" w:cs="宋体"/>
                <w:bCs/>
                <w:color w:val="auto"/>
                <w:sz w:val="24"/>
                <w:szCs w:val="21"/>
              </w:rPr>
              <w:t>本项目员工生活用水由市政自来水管道供水，用水主要为生活用水。项目</w:t>
            </w:r>
            <w:r>
              <w:rPr>
                <w:rFonts w:hint="eastAsia" w:cs="宋体"/>
                <w:bCs/>
                <w:color w:val="auto"/>
                <w:sz w:val="24"/>
                <w:szCs w:val="21"/>
                <w:lang w:val="en-US" w:eastAsia="zh-CN"/>
              </w:rPr>
              <w:t>设计</w:t>
            </w:r>
            <w:r>
              <w:rPr>
                <w:rFonts w:hint="eastAsia" w:ascii="Times New Roman" w:hAnsi="Times New Roman" w:eastAsia="宋体" w:cs="宋体"/>
                <w:bCs/>
                <w:color w:val="auto"/>
                <w:sz w:val="24"/>
                <w:szCs w:val="21"/>
                <w:lang w:val="en-US" w:eastAsia="zh-CN"/>
              </w:rPr>
              <w:t>住户数</w:t>
            </w:r>
            <w:r>
              <w:rPr>
                <w:rFonts w:hint="eastAsia" w:cs="宋体"/>
                <w:bCs/>
                <w:color w:val="auto"/>
                <w:sz w:val="24"/>
                <w:szCs w:val="21"/>
                <w:lang w:val="en-US" w:eastAsia="zh-CN"/>
              </w:rPr>
              <w:t>1240</w:t>
            </w:r>
            <w:r>
              <w:rPr>
                <w:rFonts w:hint="eastAsia" w:ascii="Times New Roman" w:hAnsi="Times New Roman" w:eastAsia="宋体" w:cs="宋体"/>
                <w:bCs/>
                <w:color w:val="auto"/>
                <w:sz w:val="24"/>
                <w:szCs w:val="21"/>
                <w:lang w:val="en-US" w:eastAsia="zh-CN"/>
              </w:rPr>
              <w:t>户，</w:t>
            </w:r>
            <w:r>
              <w:rPr>
                <w:rFonts w:hint="eastAsia" w:cs="宋体"/>
                <w:bCs/>
                <w:color w:val="auto"/>
                <w:sz w:val="24"/>
                <w:szCs w:val="21"/>
                <w:lang w:val="en-US" w:eastAsia="zh-CN"/>
              </w:rPr>
              <w:t>根据华容县团洲乡实际情况，入住率按50%计，则</w:t>
            </w:r>
            <w:r>
              <w:rPr>
                <w:rFonts w:hint="eastAsia" w:ascii="Times New Roman" w:hAnsi="Times New Roman" w:eastAsia="宋体" w:cs="宋体"/>
                <w:bCs/>
                <w:color w:val="auto"/>
                <w:sz w:val="24"/>
                <w:szCs w:val="21"/>
                <w:lang w:val="en-US" w:eastAsia="zh-CN"/>
              </w:rPr>
              <w:t>预计总人口</w:t>
            </w:r>
            <w:r>
              <w:rPr>
                <w:rFonts w:hint="eastAsia" w:cs="宋体"/>
                <w:bCs/>
                <w:color w:val="auto"/>
                <w:sz w:val="24"/>
                <w:szCs w:val="21"/>
                <w:lang w:val="en-US" w:eastAsia="zh-CN"/>
              </w:rPr>
              <w:t>2000</w:t>
            </w:r>
            <w:r>
              <w:rPr>
                <w:rFonts w:hint="eastAsia" w:ascii="Times New Roman" w:hAnsi="Times New Roman" w:eastAsia="宋体" w:cs="宋体"/>
                <w:bCs/>
                <w:color w:val="auto"/>
                <w:sz w:val="24"/>
                <w:szCs w:val="21"/>
                <w:lang w:val="en-US" w:eastAsia="zh-CN"/>
              </w:rPr>
              <w:t>人</w:t>
            </w:r>
            <w:r>
              <w:rPr>
                <w:rFonts w:hint="eastAsia" w:ascii="Times New Roman" w:hAnsi="Times New Roman" w:eastAsia="宋体" w:cs="宋体"/>
                <w:bCs/>
                <w:color w:val="auto"/>
                <w:sz w:val="24"/>
                <w:szCs w:val="21"/>
              </w:rPr>
              <w:t>。生活用水量参考《湖南省用水定额》（DB43/T388</w:t>
            </w:r>
            <w:r>
              <w:rPr>
                <w:rFonts w:hint="eastAsia" w:ascii="Times New Roman" w:hAnsi="Times New Roman" w:eastAsia="宋体" w:cs="宋体"/>
                <w:bCs/>
                <w:color w:val="auto"/>
                <w:sz w:val="24"/>
                <w:szCs w:val="21"/>
                <w:lang w:val="en-US" w:eastAsia="zh-CN"/>
              </w:rPr>
              <w:t xml:space="preserve"> </w:t>
            </w:r>
            <w:r>
              <w:rPr>
                <w:rFonts w:hint="eastAsia" w:ascii="Times New Roman" w:hAnsi="Times New Roman" w:eastAsia="宋体" w:cs="宋体"/>
                <w:bCs/>
                <w:color w:val="auto"/>
                <w:sz w:val="24"/>
                <w:szCs w:val="21"/>
              </w:rPr>
              <w:t>-2020）</w:t>
            </w:r>
            <w:r>
              <w:rPr>
                <w:rFonts w:hint="eastAsia" w:cs="宋体"/>
                <w:bCs/>
                <w:color w:val="auto"/>
                <w:sz w:val="24"/>
                <w:szCs w:val="21"/>
                <w:lang w:val="en-US" w:eastAsia="zh-CN"/>
              </w:rPr>
              <w:t>并结合当地人用水习惯，</w:t>
            </w:r>
            <w:r>
              <w:rPr>
                <w:rFonts w:hint="eastAsia" w:ascii="Times New Roman" w:hAnsi="Times New Roman" w:eastAsia="宋体" w:cs="宋体"/>
                <w:bCs/>
                <w:color w:val="auto"/>
                <w:sz w:val="24"/>
                <w:szCs w:val="21"/>
              </w:rPr>
              <w:t>每人</w:t>
            </w:r>
            <w:r>
              <w:rPr>
                <w:rFonts w:hint="eastAsia" w:cs="宋体"/>
                <w:bCs/>
                <w:color w:val="auto"/>
                <w:sz w:val="24"/>
                <w:szCs w:val="21"/>
                <w:lang w:val="en-US" w:eastAsia="zh-CN"/>
              </w:rPr>
              <w:t>100</w:t>
            </w:r>
            <w:r>
              <w:rPr>
                <w:rFonts w:hint="eastAsia" w:ascii="Times New Roman" w:hAnsi="Times New Roman" w:eastAsia="宋体" w:cs="宋体"/>
                <w:bCs/>
                <w:color w:val="auto"/>
                <w:sz w:val="24"/>
                <w:szCs w:val="21"/>
              </w:rPr>
              <w:t>L/d计算，项目生活用水量为</w:t>
            </w:r>
            <w:r>
              <w:rPr>
                <w:rFonts w:hint="eastAsia" w:cs="宋体"/>
                <w:bCs/>
                <w:color w:val="auto"/>
                <w:sz w:val="24"/>
                <w:szCs w:val="21"/>
                <w:lang w:val="en-US" w:eastAsia="zh-CN"/>
              </w:rPr>
              <w:t>200</w:t>
            </w:r>
            <w:r>
              <w:rPr>
                <w:rFonts w:hint="eastAsia" w:ascii="Times New Roman" w:hAnsi="Times New Roman" w:eastAsia="宋体" w:cs="宋体"/>
                <w:bCs/>
                <w:color w:val="auto"/>
                <w:sz w:val="24"/>
                <w:szCs w:val="21"/>
              </w:rPr>
              <w:t>t/d，</w:t>
            </w:r>
            <w:r>
              <w:rPr>
                <w:rFonts w:hint="eastAsia" w:cs="宋体"/>
                <w:bCs/>
                <w:color w:val="auto"/>
                <w:sz w:val="24"/>
                <w:szCs w:val="21"/>
                <w:lang w:val="en-US" w:eastAsia="zh-CN"/>
              </w:rPr>
              <w:t>7300 0</w:t>
            </w:r>
            <w:r>
              <w:rPr>
                <w:rFonts w:hint="eastAsia" w:ascii="Times New Roman" w:hAnsi="Times New Roman" w:eastAsia="宋体" w:cs="宋体"/>
                <w:bCs/>
                <w:color w:val="auto"/>
                <w:sz w:val="24"/>
                <w:szCs w:val="21"/>
              </w:rPr>
              <w:t>t/a。</w:t>
            </w:r>
          </w:p>
          <w:p>
            <w:pPr>
              <w:adjustRightInd w:val="0"/>
              <w:snapToGrid w:val="0"/>
              <w:spacing w:line="360" w:lineRule="auto"/>
              <w:ind w:firstLine="480" w:firstLineChars="200"/>
              <w:jc w:val="left"/>
              <w:rPr>
                <w:rFonts w:hint="eastAsia" w:ascii="Times New Roman" w:hAnsi="Times New Roman" w:eastAsia="宋体" w:cs="宋体"/>
                <w:bCs/>
                <w:color w:val="auto"/>
                <w:sz w:val="24"/>
                <w:szCs w:val="21"/>
              </w:rPr>
            </w:pPr>
            <w:r>
              <w:rPr>
                <w:rFonts w:hint="eastAsia" w:ascii="Times New Roman" w:hAnsi="Times New Roman" w:eastAsia="宋体" w:cs="宋体"/>
                <w:bCs/>
                <w:color w:val="auto"/>
                <w:sz w:val="24"/>
                <w:szCs w:val="21"/>
              </w:rPr>
              <w:t>2）排水</w:t>
            </w:r>
          </w:p>
          <w:p>
            <w:pPr>
              <w:adjustRightInd w:val="0"/>
              <w:snapToGrid w:val="0"/>
              <w:spacing w:line="360" w:lineRule="auto"/>
              <w:ind w:firstLine="480" w:firstLineChars="200"/>
              <w:jc w:val="left"/>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本项目排水系统采用雨污分流制。主干管排水系统连接市政排水系统，建筑内部按功能区划分，根据《民用建筑设计规范》布置排水系统。</w:t>
            </w:r>
          </w:p>
          <w:p>
            <w:pPr>
              <w:adjustRightInd w:val="0"/>
              <w:snapToGrid w:val="0"/>
              <w:spacing w:line="360" w:lineRule="auto"/>
              <w:ind w:firstLine="480" w:firstLineChars="200"/>
              <w:jc w:val="left"/>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项目内部雨水管道由雨水口、雨水井及管道组成。楼层屋面雨水经天沟收集后由集水口流入排水管，通过雨水渠排入雨水口，雨水口的布置在道路的交汇处或建筑单元出入处附近、雨落管附近和建筑物前后空地，绿地低洼点等处。雨水口与雨水井连接在道路边沿，雨水井再与雨水干管上的检查井连接。雨水管径为DN400-DN600，安置点雨水通过雨水干管连接市政排水管道，经市政排水管道排入就近的河道。</w:t>
            </w:r>
          </w:p>
          <w:p>
            <w:pPr>
              <w:adjustRightInd w:val="0"/>
              <w:snapToGrid w:val="0"/>
              <w:spacing w:line="360" w:lineRule="auto"/>
              <w:ind w:firstLine="480" w:firstLineChars="200"/>
              <w:jc w:val="left"/>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卫生间各污水管道均采用通气立管，生活污水分别经化粪池、隔污处理或沉淀处理，再由排污管和生活污水一道经市政污水管沿道路排到市政污水管，再送往污水处理厂进行处理，污水经处理后回用于市政洒水及绿化。</w:t>
            </w:r>
          </w:p>
          <w:p>
            <w:pPr>
              <w:adjustRightInd w:val="0"/>
              <w:snapToGrid w:val="0"/>
              <w:spacing w:line="360" w:lineRule="auto"/>
              <w:ind w:firstLine="480" w:firstLineChars="200"/>
              <w:jc w:val="left"/>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3）供电</w:t>
            </w:r>
          </w:p>
          <w:p>
            <w:pPr>
              <w:adjustRightInd w:val="0"/>
              <w:snapToGrid w:val="0"/>
              <w:spacing w:line="360" w:lineRule="auto"/>
              <w:ind w:firstLine="480" w:firstLineChars="200"/>
              <w:jc w:val="left"/>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本项目电源从地块西南角接入一路10KV市政电力网，进户线采用YJV电缆穿钢管埋地引来，电压为220V，负荷等级为三级。</w:t>
            </w:r>
          </w:p>
          <w:p>
            <w:pPr>
              <w:adjustRightInd w:val="0"/>
              <w:snapToGrid w:val="0"/>
              <w:spacing w:line="360" w:lineRule="auto"/>
              <w:ind w:firstLine="480" w:firstLineChars="200"/>
              <w:jc w:val="left"/>
              <w:rPr>
                <w:rFonts w:hint="eastAsia" w:eastAsia="宋体" w:cs="宋体"/>
                <w:bCs/>
                <w:color w:val="auto"/>
                <w:sz w:val="24"/>
                <w:szCs w:val="21"/>
              </w:rPr>
            </w:pPr>
            <w:r>
              <w:rPr>
                <w:rFonts w:hint="eastAsia" w:eastAsia="宋体" w:cs="宋体"/>
                <w:bCs/>
                <w:color w:val="auto"/>
                <w:sz w:val="24"/>
                <w:szCs w:val="21"/>
                <w:lang w:val="en-US" w:eastAsia="zh-CN"/>
              </w:rPr>
              <w:t>4</w:t>
            </w:r>
            <w:r>
              <w:rPr>
                <w:rFonts w:hint="eastAsia" w:eastAsia="宋体" w:cs="宋体"/>
                <w:bCs/>
                <w:color w:val="auto"/>
                <w:sz w:val="24"/>
                <w:szCs w:val="21"/>
              </w:rPr>
              <w:t>）供暖通风</w:t>
            </w:r>
          </w:p>
          <w:p>
            <w:pPr>
              <w:adjustRightInd w:val="0"/>
              <w:snapToGrid w:val="0"/>
              <w:spacing w:line="360" w:lineRule="auto"/>
              <w:ind w:firstLine="480" w:firstLineChars="200"/>
              <w:jc w:val="left"/>
              <w:rPr>
                <w:rFonts w:hint="eastAsia" w:ascii="Times New Roman" w:hAnsi="Times New Roman" w:eastAsia="宋体" w:cs="宋体"/>
                <w:bCs/>
                <w:color w:val="auto"/>
                <w:sz w:val="24"/>
                <w:szCs w:val="21"/>
                <w:lang w:val="en-US" w:eastAsia="zh-CN"/>
              </w:rPr>
            </w:pPr>
            <w:r>
              <w:rPr>
                <w:rFonts w:hint="eastAsia" w:eastAsia="宋体" w:cs="宋体"/>
                <w:bCs/>
                <w:color w:val="auto"/>
                <w:sz w:val="24"/>
                <w:szCs w:val="21"/>
              </w:rPr>
              <w:t>本项目不设置中央空调，</w:t>
            </w:r>
            <w:r>
              <w:rPr>
                <w:rFonts w:hint="eastAsia" w:cs="宋体"/>
                <w:bCs/>
                <w:color w:val="auto"/>
                <w:sz w:val="24"/>
                <w:szCs w:val="21"/>
                <w:lang w:val="en-US" w:eastAsia="zh-CN"/>
              </w:rPr>
              <w:t>住户可根据自身情况</w:t>
            </w:r>
            <w:r>
              <w:rPr>
                <w:rFonts w:hint="eastAsia" w:eastAsia="宋体" w:cs="宋体"/>
                <w:bCs/>
                <w:color w:val="auto"/>
                <w:sz w:val="24"/>
                <w:szCs w:val="21"/>
              </w:rPr>
              <w:t>设置室内空调机，按舒适性要</w:t>
            </w:r>
            <w:r>
              <w:rPr>
                <w:rFonts w:hint="eastAsia" w:ascii="Times New Roman" w:hAnsi="Times New Roman" w:eastAsia="宋体" w:cs="宋体"/>
                <w:bCs/>
                <w:color w:val="auto"/>
                <w:sz w:val="24"/>
                <w:szCs w:val="21"/>
                <w:lang w:val="en-US" w:eastAsia="zh-CN"/>
              </w:rPr>
              <w:t>求进行温度调控。</w:t>
            </w:r>
          </w:p>
          <w:p>
            <w:pPr>
              <w:adjustRightInd w:val="0"/>
              <w:snapToGrid w:val="0"/>
              <w:spacing w:line="360" w:lineRule="auto"/>
              <w:ind w:firstLine="480" w:firstLineChars="200"/>
              <w:jc w:val="left"/>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5）小区内道路工程</w:t>
            </w:r>
          </w:p>
          <w:p>
            <w:pPr>
              <w:adjustRightInd w:val="0"/>
              <w:snapToGrid w:val="0"/>
              <w:spacing w:line="360" w:lineRule="auto"/>
              <w:ind w:firstLine="480" w:firstLineChars="200"/>
              <w:jc w:val="left"/>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小区内道路采用沥青路面，结构层为土路基、10cm厚级配碎石、15cm厚C30水泥混凝土路面、乳化沥青透层、5cm厚细粒式沥青混凝土路面AC-13，配合比设计应根据结构层次综合考虑功能性要求，上面层重点考虑抗车辙能力、抗滑性能、水稳定性兼顾密水性要求:中面层重点考虑渗水性、水稳定性、抗车撤能力、抗裂性能兼顾耐疲劳性能；下面层重点考虑耐疲劳性能、密水性能、抗裂性能兼顾抗车撤能力</w:t>
            </w:r>
          </w:p>
          <w:p>
            <w:pPr>
              <w:numPr>
                <w:ilvl w:val="0"/>
                <w:numId w:val="0"/>
              </w:numPr>
              <w:adjustRightInd w:val="0"/>
              <w:snapToGrid w:val="0"/>
              <w:spacing w:line="360" w:lineRule="auto"/>
              <w:jc w:val="center"/>
              <w:rPr>
                <w:color w:val="auto"/>
              </w:rPr>
            </w:pPr>
            <w:r>
              <w:rPr>
                <w:color w:val="auto"/>
              </w:rPr>
              <w:drawing>
                <wp:inline distT="0" distB="0" distL="114300" distR="114300">
                  <wp:extent cx="4681220" cy="2523490"/>
                  <wp:effectExtent l="0" t="0" r="0" b="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23"/>
                          <a:srcRect l="9055" t="1193"/>
                          <a:stretch>
                            <a:fillRect/>
                          </a:stretch>
                        </pic:blipFill>
                        <pic:spPr>
                          <a:xfrm>
                            <a:off x="0" y="0"/>
                            <a:ext cx="4681220" cy="2523490"/>
                          </a:xfrm>
                          <a:prstGeom prst="rect">
                            <a:avLst/>
                          </a:prstGeom>
                          <a:noFill/>
                          <a:ln>
                            <a:noFill/>
                          </a:ln>
                        </pic:spPr>
                      </pic:pic>
                    </a:graphicData>
                  </a:graphic>
                </wp:inline>
              </w:drawing>
            </w:r>
          </w:p>
          <w:p>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宋体" w:hAnsi="宋体" w:eastAsia="宋体" w:cs="宋体"/>
                <w:b/>
                <w:bCs/>
                <w:color w:val="auto"/>
                <w:spacing w:val="0"/>
                <w:position w:val="0"/>
                <w:sz w:val="24"/>
                <w:szCs w:val="24"/>
                <w:highlight w:val="none"/>
                <w:lang w:val="en-US" w:eastAsia="zh-CN"/>
              </w:rPr>
            </w:pPr>
            <w:r>
              <w:rPr>
                <w:rFonts w:hint="eastAsia" w:ascii="宋体" w:hAnsi="宋体" w:eastAsia="宋体" w:cs="宋体"/>
                <w:b/>
                <w:bCs/>
                <w:color w:val="auto"/>
                <w:spacing w:val="0"/>
                <w:position w:val="0"/>
                <w:sz w:val="24"/>
                <w:szCs w:val="24"/>
                <w:highlight w:val="none"/>
                <w:lang w:val="en-US" w:eastAsia="zh-CN"/>
              </w:rPr>
              <w:t>小区内道路结构图</w:t>
            </w:r>
          </w:p>
          <w:p>
            <w:pPr>
              <w:adjustRightInd w:val="0"/>
              <w:snapToGrid w:val="0"/>
              <w:spacing w:line="360" w:lineRule="auto"/>
              <w:ind w:firstLine="480" w:firstLineChars="200"/>
              <w:jc w:val="left"/>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6）绿化设计</w:t>
            </w:r>
          </w:p>
          <w:p>
            <w:pPr>
              <w:adjustRightInd w:val="0"/>
              <w:snapToGrid w:val="0"/>
              <w:spacing w:line="360" w:lineRule="auto"/>
              <w:ind w:firstLine="480" w:firstLineChars="200"/>
              <w:jc w:val="left"/>
              <w:rPr>
                <w:rFonts w:hint="eastAsia" w:ascii="Times New Roman" w:hAnsi="Times New Roman" w:eastAsia="宋体" w:cs="宋体"/>
                <w:bCs/>
                <w:color w:val="auto"/>
                <w:sz w:val="24"/>
                <w:szCs w:val="21"/>
                <w:lang w:val="zh-CN" w:eastAsia="zh-CN"/>
              </w:rPr>
            </w:pPr>
            <w:r>
              <w:rPr>
                <w:rFonts w:hint="eastAsia" w:ascii="Times New Roman" w:hAnsi="Times New Roman" w:eastAsia="宋体" w:cs="宋体"/>
                <w:bCs/>
                <w:color w:val="auto"/>
                <w:sz w:val="24"/>
                <w:szCs w:val="21"/>
                <w:lang w:val="en-US" w:eastAsia="zh-CN"/>
              </w:rPr>
              <w:t>华容县团洲垸灾后重建安置房建设项目</w:t>
            </w:r>
            <w:r>
              <w:rPr>
                <w:rFonts w:hint="eastAsia" w:ascii="Times New Roman" w:hAnsi="Times New Roman" w:eastAsia="宋体" w:cs="宋体"/>
                <w:bCs/>
                <w:color w:val="auto"/>
                <w:sz w:val="24"/>
                <w:szCs w:val="21"/>
                <w:lang w:val="zh-CN" w:eastAsia="zh-CN"/>
              </w:rPr>
              <w:t>全线经综合考虑，安置房院内新栽树选择采用红叶石楠球、桢楠、银杏、杜英及草坪等相结合的方式，栽植中注意对管线的合理避让，行道树种植间距按设计规范并按照冠幅要求和种植密度种植。</w:t>
            </w:r>
          </w:p>
          <w:p>
            <w:pPr>
              <w:numPr>
                <w:ilvl w:val="0"/>
                <w:numId w:val="0"/>
              </w:numPr>
              <w:adjustRightInd w:val="0"/>
              <w:snapToGrid w:val="0"/>
              <w:spacing w:line="360" w:lineRule="auto"/>
              <w:jc w:val="left"/>
              <w:rPr>
                <w:rFonts w:hint="eastAsia" w:ascii="Times New Roman" w:hAnsi="Times New Roman" w:eastAsia="宋体" w:cs="宋体"/>
                <w:b/>
                <w:color w:val="auto"/>
                <w:sz w:val="24"/>
                <w:szCs w:val="21"/>
                <w:lang w:val="en-US" w:eastAsia="zh-CN"/>
              </w:rPr>
            </w:pPr>
            <w:r>
              <w:rPr>
                <w:rFonts w:hint="eastAsia" w:cs="宋体"/>
                <w:b/>
                <w:color w:val="auto"/>
                <w:sz w:val="24"/>
                <w:szCs w:val="21"/>
                <w:lang w:val="en-US" w:eastAsia="zh-CN"/>
              </w:rPr>
              <w:t>4</w:t>
            </w:r>
            <w:r>
              <w:rPr>
                <w:rFonts w:hint="eastAsia" w:ascii="Times New Roman" w:hAnsi="Times New Roman" w:eastAsia="宋体" w:cs="宋体"/>
                <w:b/>
                <w:color w:val="auto"/>
                <w:sz w:val="24"/>
                <w:szCs w:val="21"/>
                <w:lang w:val="en-US" w:eastAsia="zh-CN"/>
              </w:rPr>
              <w:t>、用地征收补偿（安置）方案</w:t>
            </w:r>
          </w:p>
          <w:p>
            <w:pPr>
              <w:adjustRightInd w:val="0"/>
              <w:snapToGrid w:val="0"/>
              <w:spacing w:line="360" w:lineRule="auto"/>
              <w:ind w:firstLine="480" w:firstLineChars="200"/>
              <w:jc w:val="left"/>
              <w:rPr>
                <w:color w:val="auto"/>
                <w:highlight w:val="none"/>
              </w:rPr>
            </w:pPr>
            <w:r>
              <w:rPr>
                <w:rFonts w:hint="eastAsia" w:ascii="Times New Roman" w:hAnsi="Times New Roman" w:eastAsia="宋体" w:cs="宋体"/>
                <w:bCs/>
                <w:color w:val="auto"/>
                <w:sz w:val="24"/>
                <w:szCs w:val="21"/>
                <w:lang w:val="en-US" w:eastAsia="zh-CN"/>
              </w:rPr>
              <w:t>本项目为华容县团洲垸灾后重建安置房建设项目(三期），本项目土地权属归属于华容县团洲乡团胜村的集体土地。为顺利开展项目建设，进行了征收补偿工作，土地征收补偿费1200.00 万元。此项目对于团洲垸受灾群众的安置意义重大，将为他们提供安全、舒适的居住环境。拆迁安置由政府部门负责。</w:t>
            </w:r>
          </w:p>
          <w:p>
            <w:pPr>
              <w:widowControl w:val="0"/>
              <w:numPr>
                <w:ilvl w:val="0"/>
                <w:numId w:val="0"/>
              </w:numPr>
              <w:adjustRightInd w:val="0"/>
              <w:snapToGrid w:val="0"/>
              <w:spacing w:line="360" w:lineRule="auto"/>
              <w:jc w:val="left"/>
              <w:rPr>
                <w:rFonts w:hint="default"/>
                <w:color w:val="auto"/>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02" w:hRule="atLeast"/>
          <w:jc w:val="center"/>
        </w:trPr>
        <w:tc>
          <w:tcPr>
            <w:tcW w:w="823" w:type="dxa"/>
            <w:vAlign w:val="center"/>
          </w:tcPr>
          <w:p>
            <w:pPr>
              <w:pStyle w:val="18"/>
              <w:adjustRightInd w:val="0"/>
              <w:snapToGrid w:val="0"/>
              <w:spacing w:before="0" w:beforeAutospacing="0" w:after="0" w:afterAutospacing="0"/>
              <w:jc w:val="center"/>
              <w:rPr>
                <w:rFonts w:hint="eastAsia" w:ascii="Times New Roman" w:hAnsi="Times New Roman" w:cs="宋体"/>
                <w:color w:val="auto"/>
                <w:szCs w:val="21"/>
              </w:rPr>
            </w:pPr>
            <w:r>
              <w:rPr>
                <w:rFonts w:hint="default" w:ascii="Times New Roman" w:hAnsi="Times New Roman" w:cs="Times New Roman"/>
                <w:color w:val="auto"/>
              </w:rPr>
              <w:t>总平面及现场布置</w:t>
            </w:r>
          </w:p>
        </w:tc>
        <w:tc>
          <w:tcPr>
            <w:tcW w:w="8161" w:type="dxa"/>
            <w:vAlign w:val="top"/>
          </w:tcPr>
          <w:p>
            <w:pPr>
              <w:adjustRightInd w:val="0"/>
              <w:snapToGrid w:val="0"/>
              <w:spacing w:line="360" w:lineRule="auto"/>
              <w:ind w:firstLine="480" w:firstLineChars="200"/>
              <w:jc w:val="left"/>
              <w:rPr>
                <w:rFonts w:hint="eastAsia"/>
                <w:color w:val="auto"/>
                <w:sz w:val="24"/>
                <w:lang w:val="en-US" w:eastAsia="zh-CN"/>
              </w:rPr>
            </w:pPr>
            <w:r>
              <w:rPr>
                <w:rFonts w:hint="eastAsia" w:eastAsia="宋体"/>
                <w:color w:val="auto"/>
                <w:sz w:val="24"/>
                <w:lang w:val="en-US" w:eastAsia="zh-CN"/>
              </w:rPr>
              <w:t>本项目</w:t>
            </w:r>
            <w:r>
              <w:rPr>
                <w:rFonts w:hint="eastAsia"/>
                <w:color w:val="auto"/>
                <w:sz w:val="24"/>
                <w:lang w:val="en-US" w:eastAsia="zh-CN"/>
              </w:rPr>
              <w:t>已建成</w:t>
            </w:r>
            <w:r>
              <w:rPr>
                <w:rFonts w:hint="eastAsia" w:eastAsia="宋体"/>
                <w:color w:val="auto"/>
                <w:sz w:val="24"/>
                <w:lang w:val="en-US" w:eastAsia="zh-CN"/>
              </w:rPr>
              <w:t>，施工期已结束，此处主要分析项目运营期总平面布置情况</w:t>
            </w:r>
            <w:r>
              <w:rPr>
                <w:rFonts w:hint="eastAsia"/>
                <w:color w:val="auto"/>
                <w:sz w:val="24"/>
                <w:lang w:val="en-US" w:eastAsia="zh-CN"/>
              </w:rPr>
              <w:t>。</w:t>
            </w:r>
          </w:p>
          <w:p>
            <w:pPr>
              <w:adjustRightInd w:val="0"/>
              <w:snapToGrid w:val="0"/>
              <w:spacing w:line="360" w:lineRule="auto"/>
              <w:ind w:firstLine="482" w:firstLineChars="200"/>
              <w:jc w:val="left"/>
              <w:rPr>
                <w:rFonts w:hint="eastAsia" w:eastAsia="宋体"/>
                <w:b/>
                <w:bCs/>
                <w:color w:val="auto"/>
                <w:sz w:val="24"/>
                <w:lang w:eastAsia="zh-CN"/>
              </w:rPr>
            </w:pPr>
            <w:r>
              <w:rPr>
                <w:rFonts w:hint="eastAsia"/>
                <w:b/>
                <w:bCs/>
                <w:color w:val="auto"/>
                <w:sz w:val="24"/>
              </w:rPr>
              <w:t>平面布置</w:t>
            </w:r>
            <w:r>
              <w:rPr>
                <w:rFonts w:hint="eastAsia"/>
                <w:b/>
                <w:bCs/>
                <w:color w:val="auto"/>
                <w:sz w:val="24"/>
                <w:lang w:val="en-US" w:eastAsia="zh-CN"/>
              </w:rPr>
              <w:t>及</w:t>
            </w:r>
            <w:r>
              <w:rPr>
                <w:rFonts w:hint="eastAsia"/>
                <w:b/>
                <w:bCs/>
                <w:color w:val="auto"/>
                <w:sz w:val="24"/>
              </w:rPr>
              <w:t>合理性分析</w:t>
            </w:r>
            <w:r>
              <w:rPr>
                <w:rFonts w:hint="eastAsia"/>
                <w:b/>
                <w:bCs/>
                <w:color w:val="auto"/>
                <w:sz w:val="24"/>
                <w:lang w:eastAsia="zh-CN"/>
              </w:rPr>
              <w:t>：</w:t>
            </w:r>
          </w:p>
          <w:p>
            <w:pPr>
              <w:adjustRightInd w:val="0"/>
              <w:snapToGrid w:val="0"/>
              <w:spacing w:line="360" w:lineRule="auto"/>
              <w:ind w:firstLine="480" w:firstLineChars="200"/>
              <w:jc w:val="left"/>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本项目位于华容县团洲安全垸内，紧邻团洲乡中心小学东侧，共分 为地块一和地块二，主要建设安置房小区，为受灾群众提供安全、舒适、功能完善的居住环境，帮助他们重建家园。</w:t>
            </w:r>
          </w:p>
          <w:p>
            <w:pPr>
              <w:adjustRightInd w:val="0"/>
              <w:snapToGrid w:val="0"/>
              <w:spacing w:line="360" w:lineRule="auto"/>
              <w:ind w:firstLine="480" w:firstLineChars="200"/>
              <w:jc w:val="left"/>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地块一：用地面积52600m2，总建筑面积76020.54m2，容积率1.22，建筑密度17.66%，绿地率20.20%，停车位535个。规划住宅楼：共19栋，均为1+6F电梯住宅。</w:t>
            </w:r>
          </w:p>
          <w:p>
            <w:pPr>
              <w:adjustRightInd w:val="0"/>
              <w:snapToGrid w:val="0"/>
              <w:spacing w:line="360" w:lineRule="auto"/>
              <w:ind w:firstLine="480" w:firstLineChars="200"/>
              <w:jc w:val="left"/>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地块二：用地面积60377m2，建筑总面积72000m2，容积率1.22，建筑密度17.66%，绿地率20.10%，停车位535个。 规划建设住宅楼：17 栋 1+6F 电梯住宅。</w:t>
            </w:r>
          </w:p>
          <w:p>
            <w:pPr>
              <w:adjustRightInd w:val="0"/>
              <w:snapToGrid w:val="0"/>
              <w:spacing w:line="360" w:lineRule="auto"/>
              <w:ind w:firstLine="480" w:firstLineChars="200"/>
              <w:jc w:val="left"/>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 xml:space="preserve">本项目共设立 6 个出入口，其中： </w:t>
            </w:r>
          </w:p>
          <w:p>
            <w:pPr>
              <w:adjustRightInd w:val="0"/>
              <w:snapToGrid w:val="0"/>
              <w:spacing w:line="360" w:lineRule="auto"/>
              <w:ind w:firstLine="480" w:firstLineChars="200"/>
              <w:jc w:val="left"/>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 xml:space="preserve">地块一：3 个出入口，其中 2 个主出入口朝向团胜路，位于东侧，满足居民主要出行需求，另外 1 个辅助出入口优化通行流线，位于西侧，提高交通便利性。 </w:t>
            </w:r>
          </w:p>
          <w:p>
            <w:pPr>
              <w:adjustRightInd w:val="0"/>
              <w:snapToGrid w:val="0"/>
              <w:spacing w:line="360" w:lineRule="auto"/>
              <w:ind w:firstLine="480" w:firstLineChars="200"/>
              <w:jc w:val="left"/>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 xml:space="preserve">地块二：3 个出入口，其中 2 个主出入口朝向团胜路，位于西侧，主干道连接能力强，另 1 个辅助出入口有助于分流车流，位于东侧，减少交通拥堵。 </w:t>
            </w:r>
          </w:p>
          <w:p>
            <w:pPr>
              <w:adjustRightInd w:val="0"/>
              <w:snapToGrid w:val="0"/>
              <w:spacing w:line="360" w:lineRule="auto"/>
              <w:ind w:firstLine="480" w:firstLineChars="200"/>
              <w:jc w:val="left"/>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此类布局有利于实现人车分流，减少主出入口交通压力，提高小区交通安全性。同时，所有出入口均考虑了紧急情况的通行需求，如消防、救护等特种车辆的快速通行通道，确保突发情况下的应急响应能力。</w:t>
            </w:r>
          </w:p>
          <w:p>
            <w:pPr>
              <w:adjustRightInd w:val="0"/>
              <w:snapToGrid w:val="0"/>
              <w:spacing w:line="360" w:lineRule="auto"/>
              <w:ind w:firstLine="480" w:firstLineChars="200"/>
              <w:jc w:val="left"/>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华容县团洲垸灾后重建安置房建设项目（三期）本着相对集中、布置规划原则展开布局，同时有重点地保持足够的开敞空间，使建筑群落错落有致，疏密结合。</w:t>
            </w:r>
          </w:p>
          <w:p>
            <w:pPr>
              <w:adjustRightInd w:val="0"/>
              <w:snapToGrid w:val="0"/>
              <w:spacing w:line="360" w:lineRule="auto"/>
              <w:ind w:firstLine="480" w:firstLineChars="200"/>
              <w:jc w:val="left"/>
              <w:rPr>
                <w:rFonts w:hint="default"/>
                <w:color w:val="auto"/>
                <w:lang w:val="en-US" w:eastAsia="zh-CN"/>
              </w:rPr>
            </w:pPr>
            <w:r>
              <w:rPr>
                <w:rFonts w:hint="default" w:ascii="Times New Roman" w:hAnsi="Times New Roman" w:eastAsia="宋体" w:cs="Times New Roman"/>
                <w:color w:val="auto"/>
                <w:sz w:val="24"/>
                <w:szCs w:val="24"/>
                <w:lang w:val="en-US" w:eastAsia="zh-CN"/>
              </w:rPr>
              <w:t>综合来看，项目平面布置基本合理。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87" w:hRule="atLeast"/>
          <w:jc w:val="center"/>
        </w:trPr>
        <w:tc>
          <w:tcPr>
            <w:tcW w:w="823" w:type="dxa"/>
            <w:vAlign w:val="center"/>
          </w:tcPr>
          <w:p>
            <w:pPr>
              <w:pStyle w:val="18"/>
              <w:adjustRightInd w:val="0"/>
              <w:snapToGrid w:val="0"/>
              <w:spacing w:before="0" w:beforeAutospacing="0" w:after="0" w:afterAutospacing="0"/>
              <w:jc w:val="center"/>
              <w:rPr>
                <w:rFonts w:hint="default" w:ascii="Times New Roman" w:hAnsi="Times New Roman" w:cs="Times New Roman"/>
                <w:color w:val="auto"/>
              </w:rPr>
            </w:pPr>
            <w:r>
              <w:rPr>
                <w:rFonts w:hint="eastAsia" w:ascii="Times New Roman" w:hAnsi="Times New Roman" w:cs="Times New Roman"/>
                <w:color w:val="auto"/>
                <w:lang w:val="en-US" w:eastAsia="zh-CN"/>
              </w:rPr>
              <w:t>施工方案</w:t>
            </w:r>
          </w:p>
        </w:tc>
        <w:tc>
          <w:tcPr>
            <w:tcW w:w="8161" w:type="dxa"/>
            <w:vAlign w:val="center"/>
          </w:tcPr>
          <w:p>
            <w:pPr>
              <w:adjustRightInd w:val="0"/>
              <w:snapToGrid w:val="0"/>
              <w:spacing w:line="360" w:lineRule="auto"/>
              <w:ind w:firstLine="480" w:firstLineChars="200"/>
              <w:jc w:val="center"/>
              <w:rPr>
                <w:rFonts w:hint="default" w:ascii="Times New Roman" w:hAnsi="Times New Roman" w:eastAsia="宋体" w:cs="Times New Roman"/>
                <w:color w:val="auto"/>
                <w:sz w:val="24"/>
                <w:szCs w:val="24"/>
                <w:lang w:val="en-US" w:eastAsia="zh-CN"/>
              </w:rPr>
            </w:pPr>
            <w:r>
              <w:rPr>
                <w:rFonts w:hint="eastAsia" w:eastAsia="宋体"/>
                <w:color w:val="auto"/>
                <w:sz w:val="24"/>
                <w:lang w:val="en-US" w:eastAsia="zh-CN"/>
              </w:rPr>
              <w:t>本项目</w:t>
            </w:r>
            <w:r>
              <w:rPr>
                <w:rFonts w:hint="eastAsia"/>
                <w:color w:val="auto"/>
                <w:sz w:val="24"/>
                <w:lang w:val="en-US" w:eastAsia="zh-CN"/>
              </w:rPr>
              <w:t>已建成</w:t>
            </w:r>
            <w:r>
              <w:rPr>
                <w:rFonts w:hint="eastAsia" w:eastAsia="宋体"/>
                <w:color w:val="auto"/>
                <w:sz w:val="24"/>
                <w:lang w:val="en-US" w:eastAsia="zh-CN"/>
              </w:rPr>
              <w:t>，施工期已结束，无需再进行施工方案的分析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823" w:type="dxa"/>
            <w:vAlign w:val="center"/>
          </w:tcPr>
          <w:p>
            <w:pPr>
              <w:pStyle w:val="18"/>
              <w:adjustRightInd w:val="0"/>
              <w:snapToGrid w:val="0"/>
              <w:spacing w:before="0" w:beforeAutospacing="0" w:after="0" w:afterAutospacing="0"/>
              <w:jc w:val="center"/>
              <w:rPr>
                <w:rFonts w:ascii="Times New Roman" w:hAnsi="Times New Roman" w:cs="宋体"/>
                <w:color w:val="auto"/>
                <w:szCs w:val="21"/>
              </w:rPr>
            </w:pPr>
            <w:r>
              <w:rPr>
                <w:rFonts w:hint="eastAsia" w:ascii="Times New Roman" w:hAnsi="Times New Roman" w:cs="宋体"/>
                <w:color w:val="auto"/>
                <w:szCs w:val="21"/>
                <w:lang w:val="en-US" w:eastAsia="zh-CN"/>
              </w:rPr>
              <w:t>其他</w:t>
            </w:r>
          </w:p>
        </w:tc>
        <w:tc>
          <w:tcPr>
            <w:tcW w:w="8161" w:type="dxa"/>
            <w:vAlign w:val="top"/>
          </w:tcPr>
          <w:p>
            <w:pPr>
              <w:numPr>
                <w:ilvl w:val="0"/>
                <w:numId w:val="0"/>
              </w:numPr>
              <w:adjustRightInd w:val="0"/>
              <w:snapToGrid w:val="0"/>
              <w:spacing w:line="360" w:lineRule="auto"/>
              <w:rPr>
                <w:rFonts w:hint="eastAsia" w:ascii="Times New Roman" w:hAnsi="Times New Roman" w:eastAsia="宋体" w:cs="Times New Roman"/>
                <w:b/>
                <w:bCs/>
                <w:color w:val="auto"/>
                <w:sz w:val="24"/>
                <w:lang w:val="en-US" w:eastAsia="zh-CN"/>
              </w:rPr>
            </w:pPr>
            <w:r>
              <w:rPr>
                <w:rFonts w:hint="eastAsia" w:ascii="Times New Roman" w:hAnsi="Times New Roman" w:eastAsia="宋体" w:cs="Times New Roman"/>
                <w:b/>
                <w:bCs/>
                <w:color w:val="auto"/>
                <w:sz w:val="24"/>
                <w:lang w:val="en-US" w:eastAsia="zh-CN"/>
              </w:rPr>
              <w:t>1、项目选址</w:t>
            </w:r>
          </w:p>
          <w:p>
            <w:pPr>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本项目选址已取得了华容县自然资源局出具的《建设项目用地预审与选址意见书》，且项目目前已建成，选址具有唯一性，无需进行选址方案的比选。</w:t>
            </w:r>
          </w:p>
          <w:p>
            <w:pPr>
              <w:numPr>
                <w:ilvl w:val="0"/>
                <w:numId w:val="2"/>
              </w:numPr>
              <w:adjustRightInd w:val="0"/>
              <w:snapToGrid w:val="0"/>
              <w:spacing w:line="360" w:lineRule="auto"/>
              <w:rPr>
                <w:rFonts w:hint="eastAsia"/>
                <w:b/>
                <w:bCs/>
                <w:color w:val="auto"/>
                <w:sz w:val="24"/>
                <w:lang w:val="en-US" w:eastAsia="zh-CN"/>
              </w:rPr>
            </w:pPr>
            <w:r>
              <w:rPr>
                <w:rFonts w:hint="eastAsia"/>
                <w:b/>
                <w:bCs/>
                <w:color w:val="auto"/>
                <w:sz w:val="24"/>
                <w:lang w:val="en-US" w:eastAsia="zh-CN"/>
              </w:rPr>
              <w:t>运营期</w:t>
            </w:r>
          </w:p>
          <w:p>
            <w:pPr>
              <w:adjustRightInd w:val="0"/>
              <w:snapToGrid w:val="0"/>
              <w:spacing w:line="360" w:lineRule="auto"/>
              <w:ind w:firstLine="482" w:firstLineChars="200"/>
              <w:jc w:val="left"/>
              <w:rPr>
                <w:rFonts w:hint="eastAsia"/>
                <w:b/>
                <w:bCs/>
                <w:color w:val="auto"/>
                <w:sz w:val="24"/>
                <w:lang w:val="en-US" w:eastAsia="zh-CN"/>
              </w:rPr>
            </w:pPr>
            <w:r>
              <w:rPr>
                <w:rFonts w:hint="eastAsia"/>
                <w:b/>
                <w:bCs/>
                <w:color w:val="auto"/>
                <w:sz w:val="24"/>
                <w:lang w:val="en-US" w:eastAsia="zh-CN"/>
              </w:rPr>
              <w:t>2.1</w:t>
            </w:r>
            <w:r>
              <w:rPr>
                <w:rFonts w:hint="eastAsia" w:eastAsia="宋体" w:cs="宋体"/>
                <w:b/>
                <w:color w:val="auto"/>
                <w:sz w:val="24"/>
                <w:szCs w:val="21"/>
              </w:rPr>
              <w:t>工艺流程</w:t>
            </w:r>
            <w:r>
              <w:rPr>
                <w:rFonts w:hint="eastAsia"/>
                <w:b/>
                <w:bCs/>
                <w:color w:val="auto"/>
                <w:sz w:val="24"/>
                <w:lang w:val="en-US" w:eastAsia="zh-CN"/>
              </w:rPr>
              <w:t>及产污环节分析</w:t>
            </w:r>
          </w:p>
          <w:p>
            <w:pPr>
              <w:pStyle w:val="3"/>
              <w:rPr>
                <w:rFonts w:hint="default"/>
                <w:color w:val="auto"/>
                <w:lang w:val="en-US" w:eastAsia="zh-CN"/>
              </w:rPr>
            </w:pPr>
            <w:r>
              <w:rPr>
                <w:color w:val="auto"/>
                <w:sz w:val="28"/>
              </w:rPr>
              <mc:AlternateContent>
                <mc:Choice Requires="wps">
                  <w:drawing>
                    <wp:anchor distT="0" distB="0" distL="114300" distR="114300" simplePos="0" relativeHeight="251672576" behindDoc="1" locked="0" layoutInCell="1" allowOverlap="1">
                      <wp:simplePos x="0" y="0"/>
                      <wp:positionH relativeFrom="column">
                        <wp:posOffset>1484630</wp:posOffset>
                      </wp:positionH>
                      <wp:positionV relativeFrom="paragraph">
                        <wp:posOffset>690245</wp:posOffset>
                      </wp:positionV>
                      <wp:extent cx="0" cy="431800"/>
                      <wp:effectExtent l="5080" t="0" r="13970" b="6350"/>
                      <wp:wrapTight wrapText="bothSides">
                        <wp:wrapPolygon>
                          <wp:start x="0" y="0"/>
                          <wp:lineTo x="0" y="20965"/>
                          <wp:lineTo x="0" y="20965"/>
                          <wp:lineTo x="0" y="0"/>
                        </wp:wrapPolygon>
                      </wp:wrapTight>
                      <wp:docPr id="42" name="直接箭头连接符 42"/>
                      <wp:cNvGraphicFramePr/>
                      <a:graphic xmlns:a="http://schemas.openxmlformats.org/drawingml/2006/main">
                        <a:graphicData uri="http://schemas.microsoft.com/office/word/2010/wordprocessingShape">
                          <wps:wsp>
                            <wps:cNvCnPr/>
                            <wps:spPr>
                              <a:xfrm>
                                <a:off x="2317750" y="5843905"/>
                                <a:ext cx="0" cy="4318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16.9pt;margin-top:54.35pt;height:34pt;width:0pt;mso-wrap-distance-left:9pt;mso-wrap-distance-right:9pt;z-index:-251643904;mso-width-relative:page;mso-height-relative:page;" filled="f" stroked="t" coordsize="21600,21600" wrapcoords="0 0 0 20965 0 20965 0 0" o:gfxdata="UEsDBAoAAAAAAIdO4kAAAAAAAAAAAAAAAAAEAAAAZHJzL1BLAwQUAAAACACHTuJAtiuFNdgAAAAL&#10;AQAADwAAAGRycy9kb3ducmV2LnhtbE2PwU7DMBBE70j9B2uRuCBqJ1WbEuJUFRIHjrSVuLrxkgTi&#10;dRQ7TenXs6gHOO7MaPZNsTm7TpxwCK0nDclcgUCqvG2p1nDYvzysQYRoyJrOE2r4xgCbcnZTmNz6&#10;id7wtIu14BIKudHQxNjnUoaqQWfC3PdI7H34wZnI51BLO5iJy10nU6VW0pmW+ENjenxusPrajU4D&#10;hnGZqO2jqw+vl+n+Pb18Tv1e67vbRD2BiHiOf2H4xWd0KJnp6EeyQXQa0sWC0SMbap2B4MRVObKS&#10;rTKQZSH/byh/AFBLAwQUAAAACACHTuJA+LQvvg4CAAD5AwAADgAAAGRycy9lMm9Eb2MueG1srVNL&#10;ktMwEN1TxR1U2hPb+TAZV5xZJAwbClIFHECRZVtV+pVaEyeX4AJUsQJWDKvZcxoYjkFLDjMwbLLA&#10;C7vlVr9+76m1uNhrRXbCg7SmosUop0QYbmtp2oq+fXP5ZE4JBGZqpqwRFT0IoBfLx48WvSvF2HZW&#10;1cITBDFQ9q6iXQiuzDLgndAMRtYJg8nGes0CLn2b1Z71iK5VNs7zp1lvfe285QIA/66HJD0i+lMA&#10;bdNILtaWX2lhwoDqhWIBJUEnHdBlYts0godXTQMiEFVRVBrSG5tgvI3vbLlgZeuZ6yQ/UmCnUHig&#10;STNpsOkd1JoFRq68/AdKS+4t2CaMuNXZICQ5giqK/IE3rzvmRNKCVoO7Mx3+Hyx/udt4IuuKTseU&#10;GKbxxG/f3/x49+n26/X3jzc/v32I8ZfPBPNoVu+gxJqV2fjjCtzGR+X7xuv4RU1kX9HxpDg7m6HN&#10;h4rO5tPJeT4bzBb7QDhuwBTH3HRSzPN0Dtk9hvMQngurSQwqCsEz2XZhZY3BE7W+SF6z3QsIyAIL&#10;fxdEAsqQvqLns/EMOzCc0AYnA0PtUCWYNtWCVbK+lErFCvDtdqU82bE4JemJXBH3r22xyZpBN+xL&#10;qUFSJ1j9zNQkHBzaZ/Da0EhBi5oSJfCWxQgBWRmYVKfsxNbKIINo92BwjLa2PiTf03+ciMTxOL1x&#10;5P5cp+r7G7v8B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YrhTXYAAAACwEAAA8AAAAAAAAAAQAg&#10;AAAAIgAAAGRycy9kb3ducmV2LnhtbFBLAQIUABQAAAAIAIdO4kD4tC++DgIAAPkDAAAOAAAAAAAA&#10;AAEAIAAAACcBAABkcnMvZTJvRG9jLnhtbFBLBQYAAAAABgAGAFkBAACnBQAAAAA=&#10;">
                      <v:fill on="f" focussize="0,0"/>
                      <v:stroke color="#000000" joinstyle="round"/>
                      <v:imagedata o:title=""/>
                      <o:lock v:ext="edit" aspectratio="f"/>
                      <w10:wrap type="tight"/>
                    </v:shape>
                  </w:pict>
                </mc:Fallback>
              </mc:AlternateContent>
            </w:r>
            <w:r>
              <w:rPr>
                <w:color w:val="auto"/>
                <w:sz w:val="21"/>
              </w:rPr>
              <mc:AlternateContent>
                <mc:Choice Requires="wps">
                  <w:drawing>
                    <wp:anchor distT="0" distB="0" distL="114300" distR="114300" simplePos="0" relativeHeight="251676672" behindDoc="0" locked="0" layoutInCell="1" allowOverlap="1">
                      <wp:simplePos x="0" y="0"/>
                      <wp:positionH relativeFrom="column">
                        <wp:posOffset>1478915</wp:posOffset>
                      </wp:positionH>
                      <wp:positionV relativeFrom="paragraph">
                        <wp:posOffset>681355</wp:posOffset>
                      </wp:positionV>
                      <wp:extent cx="2376170" cy="635"/>
                      <wp:effectExtent l="0" t="0" r="0" b="0"/>
                      <wp:wrapNone/>
                      <wp:docPr id="43" name="直接连接符 43"/>
                      <wp:cNvGraphicFramePr/>
                      <a:graphic xmlns:a="http://schemas.openxmlformats.org/drawingml/2006/main">
                        <a:graphicData uri="http://schemas.microsoft.com/office/word/2010/wordprocessingShape">
                          <wps:wsp>
                            <wps:cNvCnPr/>
                            <wps:spPr>
                              <a:xfrm>
                                <a:off x="2178685" y="5749290"/>
                                <a:ext cx="2376170"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16.45pt;margin-top:53.65pt;height:0.05pt;width:187.1pt;z-index:251676672;mso-width-relative:page;mso-height-relative:page;" filled="f" stroked="t" coordsize="21600,21600" o:gfxdata="UEsDBAoAAAAAAIdO4kAAAAAAAAAAAAAAAAAEAAAAZHJzL1BLAwQUAAAACACHTuJAuR/9DNcAAAAL&#10;AQAADwAAAGRycy9kb3ducmV2LnhtbE2PPU/DQAyGdyT+w8lILBW9S4JaCLl0ALKxUECsbmKSiJwv&#10;zV0/4NdjusBov49ePy5WRzeoPU2h92whmRtQxLVvem4tvL5UVzegQkRucPBMFr4owKo8Pyswb/yB&#10;n2m/jq2SEg45WuhiHHOtQ92RwzD3I7FkH35yGGWcWt1MeJByN+jUmIV22LNc6HCk+47qz/XOWQjV&#10;G22r71k9M+9Z6yndPjw9orWXF4m5AxXpGP9g+NUXdSjFaeN33AQ1WEiz9FZQCcwyAyXEwiwTUJvT&#10;5hp0Wej/P5Q/UEsDBBQAAAAIAIdO4kB+rZlNBQIAAPQDAAAOAAAAZHJzL2Uyb0RvYy54bWytU0uS&#10;0zAQ3VPFHVTaE8fJ5OeKM4sJw4aCVAEHUGTZVpV+pVbi5BJcgCp2sGLJfm7DcAxaspmBYZMFXsgt&#10;9dNTv6fW+vqkFTkKD9KakuajMSXCcFtJ05T0w/vbF0tKIDBTMWWNKOlZAL3ePH+27lwhJra1qhKe&#10;IImBonMlbUNwRZYBb4VmMLJOGEzW1msWcOqbrPKsQ3atssl4PM866yvnLRcAuLrtk3Rg9JcQ2rqW&#10;XGwtP2hhQs/qhWIBJUErHdBNqrauBQ9v6xpEIKqkqDSkEQ/BeB/HbLNmReOZayUfSmCXlPBEk2bS&#10;4KEPVFsWGDl4+Q+VltxbsHUYcauzXkhyBFXk4yfevGuZE0kLWg3uwXT4f7T8zXHniaxKejWlxDCN&#10;N37/6fuPj19+3n3G8f7bV4IZtKlzUCD6xuz8MAO381HzqfY6/lENOZV0ki+W8+WMknNJZ4ur1WQ1&#10;2CxOgfAImC7m+QJvgCNiPp1F9uyRxnkIr4TVJAYlVdJED1jBjq8h9NDfkLisDOlKuppN8ETOsCFr&#10;bAQMtUNRYJq0F6yS1a1UKu4A3+xvlCdHFpsifUMJf8HiIVsGbY9LqQhjRStY9dJUJJwdumXwldBY&#10;ghYVJUrgo4pRQgYm1SVIVK8MmhA97l2N0d5WZ7ycg/OyadGJPFUZM9gMybKhcWO3/TlPTI+PdfML&#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uR/9DNcAAAALAQAADwAAAAAAAAABACAAAAAiAAAAZHJz&#10;L2Rvd25yZXYueG1sUEsBAhQAFAAAAAgAh07iQH6tmU0FAgAA9AMAAA4AAAAAAAAAAQAgAAAAJgEA&#10;AGRycy9lMm9Eb2MueG1sUEsFBgAAAAAGAAYAWQEAAJ0FAAAAAA==&#10;">
                      <v:fill on="f" focussize="0,0"/>
                      <v:stroke color="#000000" joinstyle="round"/>
                      <v:imagedata o:title=""/>
                      <o:lock v:ext="edit" aspectratio="f"/>
                    </v:line>
                  </w:pict>
                </mc:Fallback>
              </mc:AlternateContent>
            </w:r>
            <w:r>
              <w:rPr>
                <w:color w:val="auto"/>
                <w:sz w:val="21"/>
              </w:rPr>
              <mc:AlternateContent>
                <mc:Choice Requires="wps">
                  <w:drawing>
                    <wp:anchor distT="0" distB="0" distL="114300" distR="114300" simplePos="0" relativeHeight="251677696" behindDoc="0" locked="0" layoutInCell="1" allowOverlap="1">
                      <wp:simplePos x="0" y="0"/>
                      <wp:positionH relativeFrom="column">
                        <wp:posOffset>2674620</wp:posOffset>
                      </wp:positionH>
                      <wp:positionV relativeFrom="paragraph">
                        <wp:posOffset>325755</wp:posOffset>
                      </wp:positionV>
                      <wp:extent cx="635" cy="360045"/>
                      <wp:effectExtent l="4445" t="0" r="13970" b="1905"/>
                      <wp:wrapNone/>
                      <wp:docPr id="44" name="直接连接符 44"/>
                      <wp:cNvGraphicFramePr/>
                      <a:graphic xmlns:a="http://schemas.openxmlformats.org/drawingml/2006/main">
                        <a:graphicData uri="http://schemas.microsoft.com/office/word/2010/wordprocessingShape">
                          <wps:wsp>
                            <wps:cNvCnPr/>
                            <wps:spPr>
                              <a:xfrm>
                                <a:off x="4193540" y="5279390"/>
                                <a:ext cx="635" cy="36004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10.6pt;margin-top:25.65pt;height:28.35pt;width:0.05pt;z-index:251677696;mso-width-relative:page;mso-height-relative:page;" filled="f" stroked="t" coordsize="21600,21600" o:gfxdata="UEsDBAoAAAAAAIdO4kAAAAAAAAAAAAAAAAAEAAAAZHJzL1BLAwQUAAAACACHTuJAiX35xtYAAAAK&#10;AQAADwAAAGRycy9kb3ducmV2LnhtbE2PTU/DMAyG70j8h8hIXKYtaQdoKk13AHrjwgBx9RqvrWic&#10;rsk+4NdjTnDzx6PXj8v12Q/qSFPsA1vIFgYUcRNcz62Ft9d6vgIVE7LDITBZ+KII6+ryosTChRO/&#10;0HGTWiUhHAu00KU0FlrHpiOPcRFGYtntwuQxSTu12k14knA/6NyYO+2xZ7nQ4UgPHTWfm4O3EOt3&#10;2tffs2ZmPpZtoHz/+PyE1l5fZeYeVKJz+oPhV1/UoRKnbTiwi2qwcJNnuaAWbrMlKAFkIMVWSLMy&#10;oKtS/3+h+gFQSwMEFAAAAAgAh07iQP95IvYDAgAA8wMAAA4AAABkcnMvZTJvRG9jLnhtbK1TS5LT&#10;MBDdU8UdVNoTOx8H4ooziwnDhoJUAQfoyLKtKv1KUuLkElyAKnawYsl+bsNwDFqymYFhkwVeyC31&#10;01O/p9b66qQkOXLnhdEVnU5ySrhmpha6reiH9zfPXlDiA+gapNG8omfu6dXm6ZN1b0s+M52RNXcE&#10;SbQve1vRLgRbZplnHVfgJ8ZyjcnGOAUBp67Nagc9siuZzfJ8mfXG1dYZxr3H1e2QpCOju4TQNI1g&#10;fGvYQXEdBlbHJQSU5DthPd2kapuGs/C2aTwPRFYUlYY04iEY7+OYbdZQtg5sJ9hYAlxSwiNNCoTG&#10;Q++pthCAHJz4h0oJ5ow3TZgwo7JBSHIEVUzzR96868DypAWt9vbedP//aNmb484RUVd0saBEg8Ib&#10;v/v0/cfHLz9vP+N49+0rwQza1FtfIvpa79w483bnouZT41T8oxpyQqLpal4s0OBzRYvZ89V8NdrM&#10;T4EwBCznBSUMs/Nlni+KSJ49sFjnwytuFIlBRaXQ0QIo4fjahwH6GxKXpSZ9RVfFLHIC9mODfYCh&#10;sqjJ6zbt9UaK+kZIGXd41+6vpSNHiD2RvrGEv2DxkC34bsClVIRB2XGoX+qahLNFszQ+EhpLULym&#10;RHJ8UzFKyABCXoJE9VKjCdHiwdQY7U19xrs5WCfaDp2YpipjBnshWTb2bWy2P+eJ6eGtbn4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iX35xtYAAAAKAQAADwAAAAAAAAABACAAAAAiAAAAZHJzL2Rv&#10;d25yZXYueG1sUEsBAhQAFAAAAAgAh07iQP95IvYDAgAA8wMAAA4AAAAAAAAAAQAgAAAAJQEAAGRy&#10;cy9lMm9Eb2MueG1sUEsFBgAAAAAGAAYAWQEAAJoFAAAAAA==&#10;">
                      <v:fill on="f" focussize="0,0"/>
                      <v:stroke color="#000000" joinstyle="round"/>
                      <v:imagedata o:title=""/>
                      <o:lock v:ext="edit" aspectratio="f"/>
                    </v:line>
                  </w:pict>
                </mc:Fallback>
              </mc:AlternateContent>
            </w:r>
            <w:r>
              <w:rPr>
                <w:color w:val="auto"/>
              </w:rPr>
              <mc:AlternateContent>
                <mc:Choice Requires="wps">
                  <w:drawing>
                    <wp:anchor distT="0" distB="0" distL="114300" distR="114300" simplePos="0" relativeHeight="251671552" behindDoc="1" locked="0" layoutInCell="1" allowOverlap="1">
                      <wp:simplePos x="0" y="0"/>
                      <wp:positionH relativeFrom="column">
                        <wp:posOffset>2233930</wp:posOffset>
                      </wp:positionH>
                      <wp:positionV relativeFrom="paragraph">
                        <wp:posOffset>40640</wp:posOffset>
                      </wp:positionV>
                      <wp:extent cx="880745" cy="281940"/>
                      <wp:effectExtent l="4445" t="4445" r="10160" b="18415"/>
                      <wp:wrapTight wrapText="bothSides">
                        <wp:wrapPolygon>
                          <wp:start x="-109" y="-341"/>
                          <wp:lineTo x="-109" y="20773"/>
                          <wp:lineTo x="21382" y="20773"/>
                          <wp:lineTo x="21382" y="-341"/>
                          <wp:lineTo x="-109" y="-341"/>
                        </wp:wrapPolygon>
                      </wp:wrapTight>
                      <wp:docPr id="45" name="文本框 45"/>
                      <wp:cNvGraphicFramePr/>
                      <a:graphic xmlns:a="http://schemas.openxmlformats.org/drawingml/2006/main">
                        <a:graphicData uri="http://schemas.microsoft.com/office/word/2010/wordprocessingShape">
                          <wps:wsp>
                            <wps:cNvSpPr txBox="1"/>
                            <wps:spPr>
                              <a:xfrm>
                                <a:off x="1990090" y="360680"/>
                                <a:ext cx="915035" cy="2819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rPr>
                                      <w:rFonts w:hint="eastAsia" w:ascii="宋体" w:hAnsi="宋体" w:eastAsia="宋体" w:cs="宋体"/>
                                    </w:rPr>
                                  </w:pPr>
                                  <w:r>
                                    <w:rPr>
                                      <w:rFonts w:hint="eastAsia" w:ascii="宋体" w:hAnsi="宋体" w:eastAsia="宋体" w:cs="宋体"/>
                                    </w:rPr>
                                    <w:t>项目运营期</w:t>
                                  </w:r>
                                </w:p>
                              </w:txbxContent>
                            </wps:txbx>
                            <wps:bodyPr wrap="square" upright="1"/>
                          </wps:wsp>
                        </a:graphicData>
                      </a:graphic>
                    </wp:anchor>
                  </w:drawing>
                </mc:Choice>
                <mc:Fallback>
                  <w:pict>
                    <v:shape id="_x0000_s1026" o:spid="_x0000_s1026" o:spt="202" type="#_x0000_t202" style="position:absolute;left:0pt;margin-left:175.9pt;margin-top:3.2pt;height:22.2pt;width:69.35pt;mso-wrap-distance-left:9pt;mso-wrap-distance-right:9pt;z-index:-251644928;mso-width-relative:page;mso-height-relative:page;" fillcolor="#FFFFFF" filled="t" stroked="t" coordsize="21600,21600" wrapcoords="-109 -341 -109 20773 21382 20773 21382 -341 -109 -341" o:gfxdata="UEsDBAoAAAAAAIdO4kAAAAAAAAAAAAAAAAAEAAAAZHJzL1BLAwQUAAAACACHTuJArufC4NgAAAAI&#10;AQAADwAAAGRycy9kb3ducmV2LnhtbE2PMU/DMBSEdyT+g/WQWBC1Q5OQhjgdkECwlYJgdePXJMJ+&#10;Drabln+PmWA83enuu2Z9sobN6MPoSEK2EMCQOqdH6iW8vT5cV8BCVKSVcYQSvjHAuj0/a1St3ZFe&#10;cN7GnqUSCrWSMMQ41ZyHbkCrwsJNSMnbO29VTNL3XHt1TOXW8BshSm7VSGlhUBPeD9h9bg9WQpU/&#10;zR/hebl578q9WcWr2/nxy0t5eZGJO2ART/EvDL/4CR3axLRzB9KBGQnLIkvoUUKZA0t+vhIFsJ2E&#10;QlTA24b/P9D+AFBLAwQUAAAACACHTuJAmONO9ScCAABeBAAADgAAAGRycy9lMm9Eb2MueG1srVTN&#10;jtMwEL4j8Q6W7zRpd1tto6YrQSkXBEgLD+AmTmLJf9huk74AvAEnLtx5rj7Hfna7S3fh0AM5JGPP&#10;+JtvvhlncTsoSXbceWF0ScejnBKuK1ML3Zb0y+f1qxtKfGC6ZtJoXtI99/R2+fLForcFn5jOyJo7&#10;AhDti96WtAvBFlnmq44r5kfGcg1nY5xiAUvXZrVjPdCVzCZ5Pst642rrTMW9x+7q6KQnRHcJoGka&#10;UfGVqbaK63BEdVyygJJ8J6yny8S2aXgVPjaN54HIkqLSkN5IAnsT39lywYrWMduJ6kSBXULhWU2K&#10;CY2kj1ArFhjZOvEXlBKVM940YVQZlR0LSYqginH+TJu7jlmeaoHU3j6K7v8fbPVh98kRUZf0ekqJ&#10;ZgodP/z4fvj5+/DrG8EeBOqtLxB3ZxEZhtdmwNg87HtsxrqHxqn4RUUk+ufzPJ9D5H1Jr2b57Oak&#10;NB8CqeCfj6f5FRJW8E9uxvPr5M/+4FjnwztuFIlGSR0amfRlu/c+gBNCH0JiWm+kqNdCyrRw7eaN&#10;dGTH0PR1eiJdHHkSJjXpwWQ6iTwYJrnBBMFUFmp43aZ8T074c+A8Pf8CjsRWzHdHAgkhhrFCicBd&#10;sjrO6re6JmFvIbjGRaORjOI1JZLjXkYrRQYm5CWRqE7qmISnqT+pFFt3bFG0wrAZABrNjan3aGeP&#10;yUexX7fMgcHWOtF2kDu1N4txGLuk3OmKxLk+X8M+/y0s7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u58Lg2AAAAAgBAAAPAAAAAAAAAAEAIAAAACIAAABkcnMvZG93bnJldi54bWxQSwECFAAUAAAA&#10;CACHTuJAmONO9ScCAABeBAAADgAAAAAAAAABACAAAAAnAQAAZHJzL2Uyb0RvYy54bWxQSwUGAAAA&#10;AAYABgBZAQAAwAUAAAAA&#10;">
                      <v:fill on="t" focussize="0,0"/>
                      <v:stroke color="#000000" joinstyle="miter"/>
                      <v:imagedata o:title=""/>
                      <o:lock v:ext="edit" aspectratio="f"/>
                      <v:textbox>
                        <w:txbxContent>
                          <w:p>
                            <w:pPr>
                              <w:rPr>
                                <w:rFonts w:hint="eastAsia" w:ascii="宋体" w:hAnsi="宋体" w:eastAsia="宋体" w:cs="宋体"/>
                              </w:rPr>
                            </w:pPr>
                            <w:r>
                              <w:rPr>
                                <w:rFonts w:hint="eastAsia" w:ascii="宋体" w:hAnsi="宋体" w:eastAsia="宋体" w:cs="宋体"/>
                              </w:rPr>
                              <w:t>项目运营期</w:t>
                            </w:r>
                          </w:p>
                        </w:txbxContent>
                      </v:textbox>
                      <w10:wrap type="tight"/>
                    </v:shape>
                  </w:pict>
                </mc:Fallback>
              </mc:AlternateContent>
            </w:r>
          </w:p>
          <w:p>
            <w:pPr>
              <w:pStyle w:val="3"/>
              <w:jc w:val="center"/>
              <w:rPr>
                <w:rFonts w:hint="eastAsia"/>
                <w:bCs/>
                <w:color w:val="auto"/>
                <w:sz w:val="24"/>
                <w:szCs w:val="21"/>
              </w:rPr>
            </w:pPr>
            <w:r>
              <w:rPr>
                <w:color w:val="auto"/>
              </w:rPr>
              <mc:AlternateContent>
                <mc:Choice Requires="wps">
                  <w:drawing>
                    <wp:anchor distT="0" distB="0" distL="114300" distR="114300" simplePos="0" relativeHeight="251674624" behindDoc="1" locked="0" layoutInCell="1" allowOverlap="1">
                      <wp:simplePos x="0" y="0"/>
                      <wp:positionH relativeFrom="column">
                        <wp:posOffset>3851910</wp:posOffset>
                      </wp:positionH>
                      <wp:positionV relativeFrom="paragraph">
                        <wp:posOffset>156845</wp:posOffset>
                      </wp:positionV>
                      <wp:extent cx="6350" cy="431800"/>
                      <wp:effectExtent l="4445" t="0" r="8255" b="6350"/>
                      <wp:wrapTight wrapText="bothSides">
                        <wp:wrapPolygon>
                          <wp:start x="36720" y="0"/>
                          <wp:lineTo x="36720" y="20965"/>
                          <wp:lineTo x="36720" y="20965"/>
                          <wp:lineTo x="36720" y="0"/>
                        </wp:wrapPolygon>
                      </wp:wrapTight>
                      <wp:docPr id="46" name="直接连接符 46"/>
                      <wp:cNvGraphicFramePr/>
                      <a:graphic xmlns:a="http://schemas.openxmlformats.org/drawingml/2006/main">
                        <a:graphicData uri="http://schemas.microsoft.com/office/word/2010/wordprocessingShape">
                          <wps:wsp>
                            <wps:cNvCnPr/>
                            <wps:spPr>
                              <a:xfrm flipH="1">
                                <a:off x="0" y="0"/>
                                <a:ext cx="6350" cy="43180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x;margin-left:303.3pt;margin-top:12.35pt;height:34pt;width:0.5pt;mso-wrap-distance-left:9pt;mso-wrap-distance-right:9pt;z-index:-251641856;mso-width-relative:page;mso-height-relative:page;" filled="f" stroked="t" coordsize="21600,21600" wrapcoords="36720 0 36720 20965 36720 20965 36720 0" o:gfxdata="UEsDBAoAAAAAAIdO4kAAAAAAAAAAAAAAAAAEAAAAZHJzL1BLAwQUAAAACACHTuJAaGihQNcAAAAJ&#10;AQAADwAAAGRycy9kb3ducmV2LnhtbE2PwU7DMAyG70i8Q2QkbixZQS0rTSeEgAsSEqNwThvTViRO&#10;1WTdeHvMiR1tf/r9/dX26J1YcI5jIA3rlQKB1AU7Uq+heX+6ugURkyFrXCDU8IMRtvX5WWVKGw70&#10;hssu9YJDKJZGw5DSVEoZuwG9iaswIfHtK8zeJB7nXtrZHDjcO5kplUtvRuIPg5nwYcDue7f3Gu4/&#10;Xx6vX5fWB2c3ffNhfaOeM60vL9bqDkTCY/qH4U+f1aFmpzbsyUbhNOQqzxnVkN0UIBjIVcGLVsMm&#10;K0DWlTxtUP8CUEsDBBQAAAAIAIdO4kAc75l1AgIAAPIDAAAOAAAAZHJzL2Uyb0RvYy54bWytU0uO&#10;EzEQ3SNxB8t70klmEg2tdGYxYWCBIBLMARx/ui35J5eTTi7BBZDYwYole27DcIwpu0OAYZMFvbDK&#10;rupX9Z6fF9d7a8hORtDeNXQyGlMiHfdCu7ahd+9vn11RAok5wYx3sqEHCfR6+fTJog+1nPrOGyEj&#10;QRAHdR8a2qUU6qoC3knLYOSDdJhUPlqWcBvbSkTWI7o11XQ8nle9jyJEzyUAnq6GJD0ixnMAvVKa&#10;y5XnWytdGlCjNCwhJeh0ALos0yoleXqrFMhETEORaSorNsF4k9dquWB1G1noND+OwM4Z4REny7TD&#10;pieoFUuMbKP+B8pqHj14lUbc22ogUhRBFpPxI23edSzIwgWlhnASHf4fLH+zW0eiRUMv55Q4ZvHG&#10;7z9++/Hh88/vn3C9//qFYAZl6gPUWH3j1vG4g7COmfNeRUuU0eEV+qmogLzIvoh8OIks94lwPJxf&#10;zFB8jonLi8nVuFxBNYBksBAhvZTekhw01GiXFWA1272GhI2x9FdJPjaO9A19PpvOEJOhHRXaAEMb&#10;kBK4tvwL3mhxq43Jf0BsNzcmkh3Llihfpoe4f5XlJisG3VBXUoNZOsnECydIOgTUyuEboXkEKwUl&#10;RuKTyhECsjoxbc6pxNbG4QRZ4UHTHG28OODVbEPUbYdKTMqUOYNWKPMebZu99ue+IP1+qss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aGihQNcAAAAJAQAADwAAAAAAAAABACAAAAAiAAAAZHJzL2Rv&#10;d25yZXYueG1sUEsBAhQAFAAAAAgAh07iQBzvmXUCAgAA8gMAAA4AAAAAAAAAAQAgAAAAJgEAAGRy&#10;cy9lMm9Eb2MueG1sUEsFBgAAAAAGAAYAWQEAAJoFAAAAAA==&#10;">
                      <v:fill on="f" focussize="0,0"/>
                      <v:stroke color="#000000" joinstyle="round"/>
                      <v:imagedata o:title=""/>
                      <o:lock v:ext="edit" aspectratio="f"/>
                      <w10:wrap type="tight"/>
                    </v:line>
                  </w:pict>
                </mc:Fallback>
              </mc:AlternateContent>
            </w:r>
          </w:p>
          <w:p>
            <w:pPr>
              <w:rPr>
                <w:rFonts w:hint="eastAsia"/>
                <w:bCs/>
                <w:color w:val="auto"/>
                <w:sz w:val="24"/>
                <w:szCs w:val="21"/>
              </w:rPr>
            </w:pPr>
          </w:p>
          <w:p>
            <w:pPr>
              <w:pStyle w:val="29"/>
              <w:rPr>
                <w:rFonts w:hint="eastAsia"/>
                <w:bCs/>
                <w:color w:val="auto"/>
                <w:sz w:val="24"/>
                <w:szCs w:val="21"/>
              </w:rPr>
            </w:pPr>
            <w:r>
              <w:rPr>
                <w:color w:val="auto"/>
              </w:rPr>
              <mc:AlternateContent>
                <mc:Choice Requires="wps">
                  <w:drawing>
                    <wp:anchor distT="0" distB="0" distL="114300" distR="114300" simplePos="0" relativeHeight="251675648" behindDoc="1" locked="0" layoutInCell="1" allowOverlap="1">
                      <wp:simplePos x="0" y="0"/>
                      <wp:positionH relativeFrom="column">
                        <wp:posOffset>3479800</wp:posOffset>
                      </wp:positionH>
                      <wp:positionV relativeFrom="paragraph">
                        <wp:posOffset>75565</wp:posOffset>
                      </wp:positionV>
                      <wp:extent cx="780415" cy="329565"/>
                      <wp:effectExtent l="4445" t="4445" r="15240" b="8890"/>
                      <wp:wrapTight wrapText="bothSides">
                        <wp:wrapPolygon>
                          <wp:start x="-123" y="-291"/>
                          <wp:lineTo x="-123" y="20934"/>
                          <wp:lineTo x="20967" y="20934"/>
                          <wp:lineTo x="20967" y="-291"/>
                          <wp:lineTo x="-123" y="-291"/>
                        </wp:wrapPolygon>
                      </wp:wrapTight>
                      <wp:docPr id="47" name="文本框 47"/>
                      <wp:cNvGraphicFramePr/>
                      <a:graphic xmlns:a="http://schemas.openxmlformats.org/drawingml/2006/main">
                        <a:graphicData uri="http://schemas.microsoft.com/office/word/2010/wordprocessingShape">
                          <wps:wsp>
                            <wps:cNvSpPr txBox="1"/>
                            <wps:spPr>
                              <a:xfrm>
                                <a:off x="0" y="0"/>
                                <a:ext cx="780415" cy="32956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宋体" w:hAnsi="宋体" w:eastAsia="宋体" w:cs="宋体"/>
                                    </w:rPr>
                                  </w:pPr>
                                  <w:r>
                                    <w:rPr>
                                      <w:rFonts w:hint="eastAsia" w:ascii="宋体" w:hAnsi="宋体" w:eastAsia="宋体" w:cs="宋体"/>
                                    </w:rPr>
                                    <w:t>公辅设施</w:t>
                                  </w:r>
                                </w:p>
                              </w:txbxContent>
                            </wps:txbx>
                            <wps:bodyPr upright="1"/>
                          </wps:wsp>
                        </a:graphicData>
                      </a:graphic>
                    </wp:anchor>
                  </w:drawing>
                </mc:Choice>
                <mc:Fallback>
                  <w:pict>
                    <v:shape id="_x0000_s1026" o:spid="_x0000_s1026" o:spt="202" type="#_x0000_t202" style="position:absolute;left:0pt;margin-left:274pt;margin-top:5.95pt;height:25.95pt;width:61.45pt;mso-wrap-distance-left:9pt;mso-wrap-distance-right:9pt;z-index:-251640832;mso-width-relative:page;mso-height-relative:page;" fillcolor="#FFFFFF" filled="t" stroked="t" coordsize="21600,21600" wrapcoords="-123 -291 -123 20934 20967 20934 20967 -291 -123 -291" o:gfxdata="UEsDBAoAAAAAAIdO4kAAAAAAAAAAAAAAAAAEAAAAZHJzL1BLAwQUAAAACACHTuJAP7fBatgAAAAJ&#10;AQAADwAAAGRycy9kb3ducmV2LnhtbE2PwU7DMBBE70j8g7VIXBC1Q0uahjg9IIHgVgqCqxtvkwh7&#10;HWI3LX/PcoLbrGY0+6Zan7wTE46xD6QhmykQSE2wPbUa3l4frgsQMRmyxgVCDd8YYV2fn1WmtOFI&#10;LzhtUyu4hGJpNHQpDaWUsenQmzgLAxJ7+zB6k/gcW2lHc+Ry7+SNUrn0pif+0JkB7ztsPrcHr6FY&#10;PE0f8Xm+eW/yvVulq+X0+DVqfXmRqTsQCU/pLwy/+IwONTPtwoFsFE7D7aLgLYmNbAWCA/lSsdix&#10;mBcg60r+X1D/AFBLAwQUAAAACACHTuJA0uId7wsCAAA3BAAADgAAAGRycy9lMm9Eb2MueG1srVNL&#10;jhMxEN0jcQfLe9KdMJlPK52RIIQNAqSBAzi2u9uSf3I56c4F4Aas2LDnXDkHZXcm84FFFvTCXS4/&#10;v6p6VV7cDkaTnQygnK3pdFJSIi13Qtm2pl+/rF9dUwKRWcG0s7Kmewn0dvnyxaL3lZy5zmkhA0ES&#10;C1Xva9rF6KuiAN5Jw2DivLR42LhgWMRtaAsRWI/sRhezsrwseheED45LAPSuxkN6ZAznELqmUVyu&#10;HN8aaePIGqRmEUuCTnmgy5xt00gePzUNyEh0TbHSmFcMgvYmrcVywao2MN8pfkyBnZPCs5oMUxaD&#10;nqhWLDKyDeovKqN4cOCaOOHOFGMhWRGsYlo+0+auY17mWlBq8CfR4f/R8o+7z4EoUdOLK0osM9jx&#10;w4/vh5+/D7++EfShQL2HCnF3HpFxeOMGHJt7P6Az1T00waQ/VkTwHOXdn+SVQyQcnVfX5cV0TgnH&#10;o9ezm/nlPLEUD5d9gPheOkOSUdOA3cuist0HiCP0HpJigdNKrJXWeRPazVsdyI5hp9f5O7I/gWlL&#10;+prezGcpD4bj2+DYoGk8SgC2zfGe3IDHxGX+/kWcElsx6MYEMkOCscqoKEO2OsnEOytI3HtU2eLr&#10;oikZIwUlWuJjTFZGRqb0OUjUTluUMHVo7ESy4rAZkCaZGyf22LWtD6rtUNLctwzHecraH2c/Dezj&#10;fSZ9eO/LP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D+3wWrYAAAACQEAAA8AAAAAAAAAAQAgAAAA&#10;IgAAAGRycy9kb3ducmV2LnhtbFBLAQIUABQAAAAIAIdO4kDS4h3vCwIAADcEAAAOAAAAAAAAAAEA&#10;IAAAACcBAABkcnMvZTJvRG9jLnhtbFBLBQYAAAAABgAGAFkBAACkBQAAAAA=&#10;">
                      <v:fill on="t" focussize="0,0"/>
                      <v:stroke color="#000000" joinstyle="miter"/>
                      <v:imagedata o:title=""/>
                      <o:lock v:ext="edit" aspectratio="f"/>
                      <v:textbox>
                        <w:txbxContent>
                          <w:p>
                            <w:pPr>
                              <w:rPr>
                                <w:rFonts w:hint="eastAsia" w:ascii="宋体" w:hAnsi="宋体" w:eastAsia="宋体" w:cs="宋体"/>
                              </w:rPr>
                            </w:pPr>
                            <w:r>
                              <w:rPr>
                                <w:rFonts w:hint="eastAsia" w:ascii="宋体" w:hAnsi="宋体" w:eastAsia="宋体" w:cs="宋体"/>
                              </w:rPr>
                              <w:t>公辅设施</w:t>
                            </w:r>
                          </w:p>
                        </w:txbxContent>
                      </v:textbox>
                      <w10:wrap type="tight"/>
                    </v:shape>
                  </w:pict>
                </mc:Fallback>
              </mc:AlternateContent>
            </w:r>
            <w:r>
              <w:rPr>
                <w:color w:val="auto"/>
                <w:sz w:val="28"/>
              </w:rPr>
              <mc:AlternateContent>
                <mc:Choice Requires="wpg">
                  <w:drawing>
                    <wp:anchor distT="0" distB="0" distL="114300" distR="114300" simplePos="0" relativeHeight="251673600" behindDoc="1" locked="0" layoutInCell="1" allowOverlap="1">
                      <wp:simplePos x="0" y="0"/>
                      <wp:positionH relativeFrom="column">
                        <wp:posOffset>918845</wp:posOffset>
                      </wp:positionH>
                      <wp:positionV relativeFrom="paragraph">
                        <wp:posOffset>90805</wp:posOffset>
                      </wp:positionV>
                      <wp:extent cx="1089025" cy="1382395"/>
                      <wp:effectExtent l="5080" t="5080" r="10795" b="22225"/>
                      <wp:wrapTight wrapText="bothSides">
                        <wp:wrapPolygon>
                          <wp:start x="3300" y="-79"/>
                          <wp:lineTo x="3300" y="3790"/>
                          <wp:lineTo x="4433" y="4683"/>
                          <wp:lineTo x="10101" y="4683"/>
                          <wp:lineTo x="10101" y="9446"/>
                          <wp:lineTo x="-101" y="9446"/>
                          <wp:lineTo x="-101" y="21352"/>
                          <wp:lineTo x="21436" y="21352"/>
                          <wp:lineTo x="21436" y="9446"/>
                          <wp:lineTo x="11990" y="9446"/>
                          <wp:lineTo x="11612" y="4683"/>
                          <wp:lineTo x="18414" y="4683"/>
                          <wp:lineTo x="20303" y="3790"/>
                          <wp:lineTo x="19547" y="-79"/>
                          <wp:lineTo x="3300" y="-79"/>
                        </wp:wrapPolygon>
                      </wp:wrapTight>
                      <wp:docPr id="48" name="组合 48"/>
                      <wp:cNvGraphicFramePr/>
                      <a:graphic xmlns:a="http://schemas.openxmlformats.org/drawingml/2006/main">
                        <a:graphicData uri="http://schemas.microsoft.com/office/word/2010/wordprocessingGroup">
                          <wpg:wgp>
                            <wpg:cNvGrpSpPr/>
                            <wpg:grpSpPr>
                              <a:xfrm rot="0">
                                <a:off x="1751965" y="6396355"/>
                                <a:ext cx="1089025" cy="1382669"/>
                                <a:chOff x="18454" y="147324"/>
                                <a:chExt cx="1476" cy="2586"/>
                              </a:xfrm>
                            </wpg:grpSpPr>
                            <wps:wsp>
                              <wps:cNvPr id="49" name="文本框 92"/>
                              <wps:cNvSpPr txBox="1"/>
                              <wps:spPr>
                                <a:xfrm>
                                  <a:off x="18454" y="148522"/>
                                  <a:ext cx="1476" cy="1388"/>
                                </a:xfrm>
                                <a:prstGeom prst="rect">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szCs w:val="21"/>
                                        <w:lang w:eastAsia="zh-CN"/>
                                      </w:rPr>
                                    </w:pPr>
                                    <w:r>
                                      <w:rPr>
                                        <w:rFonts w:hint="eastAsia" w:ascii="宋体" w:hAnsi="宋体" w:eastAsia="宋体" w:cs="宋体"/>
                                      </w:rPr>
                                      <w:t>生活垃圾、</w:t>
                                    </w:r>
                                    <w:r>
                                      <w:rPr>
                                        <w:rFonts w:hint="eastAsia" w:ascii="宋体" w:hAnsi="宋体" w:eastAsia="宋体" w:cs="宋体"/>
                                        <w:szCs w:val="21"/>
                                        <w:lang w:eastAsia="zh-CN"/>
                                      </w:rPr>
                                      <w:t>生活废水</w:t>
                                    </w:r>
                                    <w:r>
                                      <w:rPr>
                                        <w:rFonts w:hint="eastAsia" w:ascii="宋体" w:hAnsi="宋体" w:eastAsia="宋体" w:cs="宋体"/>
                                        <w:szCs w:val="21"/>
                                      </w:rPr>
                                      <w:t>、</w:t>
                                    </w:r>
                                    <w:r>
                                      <w:rPr>
                                        <w:rFonts w:hint="eastAsia" w:ascii="宋体" w:hAnsi="宋体" w:eastAsia="宋体" w:cs="宋体"/>
                                        <w:szCs w:val="21"/>
                                        <w:lang w:eastAsia="zh-CN"/>
                                      </w:rPr>
                                      <w:t>食堂废水</w:t>
                                    </w:r>
                                    <w:r>
                                      <w:rPr>
                                        <w:rFonts w:hint="eastAsia" w:ascii="宋体" w:hAnsi="宋体" w:eastAsia="宋体" w:cs="宋体"/>
                                        <w:szCs w:val="21"/>
                                      </w:rPr>
                                      <w:t>、油烟废气、</w:t>
                                    </w:r>
                                    <w:r>
                                      <w:rPr>
                                        <w:rFonts w:hint="eastAsia" w:ascii="宋体" w:hAnsi="宋体" w:eastAsia="宋体" w:cs="宋体"/>
                                        <w:szCs w:val="21"/>
                                        <w:lang w:eastAsia="zh-CN"/>
                                      </w:rPr>
                                      <w:t>活动</w:t>
                                    </w:r>
                                    <w:r>
                                      <w:rPr>
                                        <w:rFonts w:hint="eastAsia" w:ascii="宋体" w:hAnsi="宋体" w:eastAsia="宋体" w:cs="宋体"/>
                                        <w:szCs w:val="21"/>
                                      </w:rPr>
                                      <w:t>噪声</w:t>
                                    </w:r>
                                    <w:r>
                                      <w:rPr>
                                        <w:rFonts w:hint="eastAsia" w:ascii="宋体" w:hAnsi="宋体" w:eastAsia="宋体" w:cs="宋体"/>
                                        <w:szCs w:val="21"/>
                                        <w:lang w:eastAsia="zh-CN"/>
                                      </w:rPr>
                                      <w:t>等</w:t>
                                    </w:r>
                                  </w:p>
                                </w:txbxContent>
                              </wps:txbx>
                              <wps:bodyPr upright="1"/>
                            </wps:wsp>
                            <wps:wsp>
                              <wps:cNvPr id="50" name="文本框 95"/>
                              <wps:cNvSpPr txBox="1"/>
                              <wps:spPr>
                                <a:xfrm>
                                  <a:off x="18744" y="147324"/>
                                  <a:ext cx="999" cy="519"/>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宋体" w:hAnsi="宋体" w:eastAsia="宋体" w:cs="宋体"/>
                                      </w:rPr>
                                    </w:pPr>
                                    <w:r>
                                      <w:rPr>
                                        <w:rFonts w:hint="eastAsia" w:ascii="宋体" w:hAnsi="宋体" w:eastAsia="宋体" w:cs="宋体"/>
                                      </w:rPr>
                                      <w:t>生活区</w:t>
                                    </w:r>
                                  </w:p>
                                </w:txbxContent>
                              </wps:txbx>
                              <wps:bodyPr upright="1"/>
                            </wps:wsp>
                            <wps:wsp>
                              <wps:cNvPr id="51" name="直接连接符 93"/>
                              <wps:cNvCnPr/>
                              <wps:spPr>
                                <a:xfrm flipH="1">
                                  <a:off x="19220" y="147849"/>
                                  <a:ext cx="0" cy="664"/>
                                </a:xfrm>
                                <a:prstGeom prst="line">
                                  <a:avLst/>
                                </a:prstGeom>
                                <a:ln w="9525" cap="sq" cmpd="sng">
                                  <a:solidFill>
                                    <a:srgbClr val="000000"/>
                                  </a:solidFill>
                                  <a:prstDash val="sysDot"/>
                                  <a:headEnd type="none" w="med" len="med"/>
                                  <a:tailEnd type="triangle" w="med" len="med"/>
                                </a:ln>
                              </wps:spPr>
                              <wps:bodyPr upright="1"/>
                            </wps:wsp>
                          </wpg:wgp>
                        </a:graphicData>
                      </a:graphic>
                    </wp:anchor>
                  </w:drawing>
                </mc:Choice>
                <mc:Fallback>
                  <w:pict>
                    <v:group id="_x0000_s1026" o:spid="_x0000_s1026" o:spt="203" style="position:absolute;left:0pt;margin-left:72.35pt;margin-top:7.15pt;height:108.85pt;width:85.75pt;mso-wrap-distance-left:9pt;mso-wrap-distance-right:9pt;z-index:-251642880;mso-width-relative:page;mso-height-relative:page;" coordorigin="18454,147324" coordsize="1476,2586" wrapcoords="3300 -79 3300 3790 4433 4683 10101 4683 10101 9446 -101 9446 -101 21352 21436 21352 21436 9446 11990 9446 11612 4683 18414 4683 20303 3790 19547 -79 3300 -79" o:gfxdata="UEsDBAoAAAAAAIdO4kAAAAAAAAAAAAAAAAAEAAAAZHJzL1BLAwQUAAAACACHTuJAkGOa+NkAAAAK&#10;AQAADwAAAGRycy9kb3ducmV2LnhtbE2PwUrDQBCG74LvsIzgze4mqVViNkWKeiqCrSDettlpEpqd&#10;Ddlt0r6905O9zc98/PNNsTy5Tow4hNaThmSmQCBV3rZUa/jevj88gwjRkDWdJ9RwxgDL8vamMLn1&#10;E33huIm14BIKudHQxNjnUoaqQWfCzPdIvNv7wZnIcailHczE5a6TqVIL6UxLfKExPa4arA6bo9Pw&#10;MZnpNUvexvVhvzr/bh8/f9YJan1/l6gXEBFP8R+Giz6rQ8lOO38kG0THeT5/YvQyZCAYyJJFCmKn&#10;Ic1SBbIs5PUL5R9QSwMEFAAAAAgAh07iQADrFeg+AwAA/AkAAA4AAABkcnMvZTJvRG9jLnhtbO1W&#10;zW7UMBC+I/EOlu90d7NJdhM1rQTblgOCSoUHcBMnseTYxna7u3cEnBAnLiAkDnDiyI0DT0PLYzB2&#10;kmXbUlEV9YLIIfLPZDzzzTdfvLm9aDg6ptowKTI82hhiREUuCyaqDD95vHtnipGxRBSES0EzvKQG&#10;b2/dvrU5VykNZC15QTUCJ8Kkc5Xh2lqVDgYmr2lDzIZUVMBmKXVDLEx1NSg0mYP3hg+C4TAezKUu&#10;lJY5NQZWZ+0m7jzqqziUZclyOpP5UUOFbb1qyomFlEzNlMFbPtqypLl9VJaGWsQzDJla/4ZDYHzo&#10;3oOtTZJWmqia5V0I5CohnMupIUzAoStXM2IJOtLsgquG5VoaWdqNXDaDNhGPCGQxGp7DZk/LI+Vz&#10;qdJ5pVagQ6HOoX5tt/nD432NWJHhEOouSAMVP/367PvrlwgWAJ25qlIw2tPqQO3rbqFqZy7hRakb&#10;pKUH1s0hJbQAXk2iURJHGC0zHI+TeBxFLdZ0YVHuDIbTZBiAQQ4Wo/E0iOOktchrKJn3MQ2j0HsY&#10;hZNxEPbbO72LcBK33wfRNHa7gzYeGLiwV1HOFVDV/MLP/B1+BzVR1JfFOGh6/JIev5M3L07efT75&#10;8BwlgYvKHQ92Dj9kF3ely75fN7DYw7gO31rq0yjwbki6wm6VOADnq7RKnKRKG7tHZYPcIMMaWsAz&#10;kxw/MLbFqDdxBxrJWbHLOPcTXR3e4xodE2iXXf90sJ4x4wLNM5xEvnwENKCE3oNKNAp4ZETlzzvz&#10;hVl3PPTP7xy7wGbE1G0A3oMzI2nDLNV+VFNS7IgC2aUCqgqQKOyCaWiBEaegaG7kLS1h/CqWgB0X&#10;njImbcvhCmYXhwtw44aHslhC6Y6UZlUNkPriAcM8qVqTG2dXBILVducau3xLXYtdk/BiY/XsShJg&#10;sutK6OCuSK7JXRl64vzn1j/FrVHPrdO3X05effzx7T28Tz9/QsnYEaBj2D3R6X/fJp34l5yp+64r&#10;HEN6+U+CABjrpD2cTMNO2XuGwY7jVxx7Sb9cuziD7nZeL9GuCzpknt6ACi3NTNpWUq4rPlYzIip+&#10;iVT9XoD+oDr+DweXAv/T6y4w7taxPvei9uvStvUT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sAUAAFtDb250ZW50X1R5cGVzXS54bWxQSwECFAAK&#10;AAAAAACHTuJAAAAAAAAAAAAAAAAABgAAAAAAAAAAABAAAACSBAAAX3JlbHMvUEsBAhQAFAAAAAgA&#10;h07iQIoUZjzRAAAAlAEAAAsAAAAAAAAAAQAgAAAAtgQAAF9yZWxzLy5yZWxzUEsBAhQACgAAAAAA&#10;h07iQAAAAAAAAAAAAAAAAAQAAAAAAAAAAAAQAAAAAAAAAGRycy9QSwECFAAUAAAACACHTuJAkGOa&#10;+NkAAAAKAQAADwAAAAAAAAABACAAAAAiAAAAZHJzL2Rvd25yZXYueG1sUEsBAhQAFAAAAAgAh07i&#10;QADrFeg+AwAA/AkAAA4AAAAAAAAAAQAgAAAAKAEAAGRycy9lMm9Eb2MueG1sUEsFBgAAAAAGAAYA&#10;WQEAANgGAAAAAA==&#10;">
                      <o:lock v:ext="edit" aspectratio="f"/>
                      <v:shape id="文本框 92" o:spid="_x0000_s1026" o:spt="202" type="#_x0000_t202" style="position:absolute;left:18454;top:148522;height:1388;width:1476;" fillcolor="#FFFFFF" filled="t" stroked="t" coordsize="21600,21600" o:gfxdata="UEsDBAoAAAAAAIdO4kAAAAAAAAAAAAAAAAAEAAAAZHJzL1BLAwQUAAAACACHTuJA+81ZWb4AAADb&#10;AAAADwAAAGRycy9kb3ducmV2LnhtbEWPQWvCQBSE70L/w/IKvUjdpJVUU1cPQku8qS3t9ZF9JqHZ&#10;t3F3G+O/dwXB4zAz3zCL1WBa0ZPzjWUF6SQBQVxa3XCl4Pvr43kGwgdkja1lUnAmD6vlw2iBubYn&#10;3lG/D5WIEPY5KqhD6HIpfVmTQT+xHXH0DtYZDFG6SmqHpwg3rXxJkkwabDgu1NjRuqbyb/9vFMym&#10;Rf/rN6/bnzI7tPMwfus/j06pp8c0eQcRaAj38K1daAXTOVy/xB8glx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1ZW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szCs w:val="21"/>
                                  <w:lang w:eastAsia="zh-CN"/>
                                </w:rPr>
                              </w:pPr>
                              <w:r>
                                <w:rPr>
                                  <w:rFonts w:hint="eastAsia" w:ascii="宋体" w:hAnsi="宋体" w:eastAsia="宋体" w:cs="宋体"/>
                                </w:rPr>
                                <w:t>生活垃圾、</w:t>
                              </w:r>
                              <w:r>
                                <w:rPr>
                                  <w:rFonts w:hint="eastAsia" w:ascii="宋体" w:hAnsi="宋体" w:eastAsia="宋体" w:cs="宋体"/>
                                  <w:szCs w:val="21"/>
                                  <w:lang w:eastAsia="zh-CN"/>
                                </w:rPr>
                                <w:t>生活废水</w:t>
                              </w:r>
                              <w:r>
                                <w:rPr>
                                  <w:rFonts w:hint="eastAsia" w:ascii="宋体" w:hAnsi="宋体" w:eastAsia="宋体" w:cs="宋体"/>
                                  <w:szCs w:val="21"/>
                                </w:rPr>
                                <w:t>、</w:t>
                              </w:r>
                              <w:r>
                                <w:rPr>
                                  <w:rFonts w:hint="eastAsia" w:ascii="宋体" w:hAnsi="宋体" w:eastAsia="宋体" w:cs="宋体"/>
                                  <w:szCs w:val="21"/>
                                  <w:lang w:eastAsia="zh-CN"/>
                                </w:rPr>
                                <w:t>食堂废水</w:t>
                              </w:r>
                              <w:r>
                                <w:rPr>
                                  <w:rFonts w:hint="eastAsia" w:ascii="宋体" w:hAnsi="宋体" w:eastAsia="宋体" w:cs="宋体"/>
                                  <w:szCs w:val="21"/>
                                </w:rPr>
                                <w:t>、油烟废气、</w:t>
                              </w:r>
                              <w:r>
                                <w:rPr>
                                  <w:rFonts w:hint="eastAsia" w:ascii="宋体" w:hAnsi="宋体" w:eastAsia="宋体" w:cs="宋体"/>
                                  <w:szCs w:val="21"/>
                                  <w:lang w:eastAsia="zh-CN"/>
                                </w:rPr>
                                <w:t>活动</w:t>
                              </w:r>
                              <w:r>
                                <w:rPr>
                                  <w:rFonts w:hint="eastAsia" w:ascii="宋体" w:hAnsi="宋体" w:eastAsia="宋体" w:cs="宋体"/>
                                  <w:szCs w:val="21"/>
                                </w:rPr>
                                <w:t>噪声</w:t>
                              </w:r>
                              <w:r>
                                <w:rPr>
                                  <w:rFonts w:hint="eastAsia" w:ascii="宋体" w:hAnsi="宋体" w:eastAsia="宋体" w:cs="宋体"/>
                                  <w:szCs w:val="21"/>
                                  <w:lang w:eastAsia="zh-CN"/>
                                </w:rPr>
                                <w:t>等</w:t>
                              </w:r>
                            </w:p>
                          </w:txbxContent>
                        </v:textbox>
                      </v:shape>
                      <v:shape id="文本框 95" o:spid="_x0000_s1026" o:spt="202" type="#_x0000_t202" style="position:absolute;left:18744;top:147324;height:519;width:999;" fillcolor="#FFFFFF" filled="t" stroked="t" coordsize="21600,21600" o:gfxdata="UEsDBAoAAAAAAIdO4kAAAAAAAAAAAAAAAAAEAAAAZHJzL1BLAwQUAAAACACHTuJA7y5mGboAAADb&#10;AAAADwAAAGRycy9kb3ducmV2LnhtbEVPyW7CMBC9V+IfrEHqBYFDyxowHJCo4MYmuI7iIYmIx8E2&#10;gf59fUDq8ent8+XLVKIh50vLCvq9BARxZnXJuYLTcd2dgPABWWNlmRT8koflovUxx1TbJ++pOYRc&#10;xBD2KSooQqhTKX1WkEHfszVx5K7WGQwRulxqh88Ybir5lSQjabDk2FBgTauCstvhYRRMBpvm4rff&#10;u3M2ulbT0Bk3P3en1Ge7n8xABHqFf/HbvdEKhnF9/BJ/gFz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vLmYZ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pPr>
                                <w:jc w:val="center"/>
                                <w:rPr>
                                  <w:rFonts w:hint="eastAsia" w:ascii="宋体" w:hAnsi="宋体" w:eastAsia="宋体" w:cs="宋体"/>
                                </w:rPr>
                              </w:pPr>
                              <w:r>
                                <w:rPr>
                                  <w:rFonts w:hint="eastAsia" w:ascii="宋体" w:hAnsi="宋体" w:eastAsia="宋体" w:cs="宋体"/>
                                </w:rPr>
                                <w:t>生活区</w:t>
                              </w:r>
                            </w:p>
                          </w:txbxContent>
                        </v:textbox>
                      </v:shape>
                      <v:line id="直接连接符 93" o:spid="_x0000_s1026" o:spt="20" style="position:absolute;left:19220;top:147849;flip:x;height:664;width:0;" filled="f" stroked="t" coordsize="21600,21600" o:gfxdata="UEsDBAoAAAAAAIdO4kAAAAAAAAAAAAAAAAAEAAAAZHJzL1BLAwQUAAAACACHTuJApPX+m78AAADb&#10;AAAADwAAAGRycy9kb3ducmV2LnhtbEWPzWrDMBCE74W8g9hALyWRXXAIrmVDAoHSlpb89rpYG9vE&#10;WhlLiZM+fVUo5DjMzDdMVlxNKy7Uu8aygngagSAurW64UrDbriZzEM4ja2wtk4IbOSjy0UOGqbYD&#10;r+my8ZUIEHYpKqi971IpXVmTQTe1HXHwjrY36IPsK6l7HALctPI5imbSYMNhocaOljWVp83ZKHjS&#10;/v3jk4b9zxlv31+LZJYcFm9KPY7j6AWEp6u/h//br1pBEsPfl/ADZP4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T1/pu/&#10;AAAA2wAAAA8AAAAAAAAAAQAgAAAAIgAAAGRycy9kb3ducmV2LnhtbFBLAQIUABQAAAAIAIdO4kAz&#10;LwWeOwAAADkAAAAQAAAAAAAAAAEAIAAAAA4BAABkcnMvc2hhcGV4bWwueG1sUEsFBgAAAAAGAAYA&#10;WwEAALgDAAAAAA==&#10;">
                        <v:fill on="f" focussize="0,0"/>
                        <v:stroke color="#000000" joinstyle="round" dashstyle="1 1" endcap="square" endarrow="block"/>
                        <v:imagedata o:title=""/>
                        <o:lock v:ext="edit" aspectratio="f"/>
                      </v:line>
                      <w10:wrap type="tight"/>
                    </v:group>
                  </w:pict>
                </mc:Fallback>
              </mc:AlternateContent>
            </w:r>
          </w:p>
          <w:p>
            <w:pPr>
              <w:pStyle w:val="29"/>
              <w:rPr>
                <w:rFonts w:hint="eastAsia"/>
                <w:bCs/>
                <w:color w:val="auto"/>
                <w:sz w:val="24"/>
                <w:szCs w:val="21"/>
              </w:rPr>
            </w:pPr>
            <w:r>
              <w:rPr>
                <w:color w:val="auto"/>
              </w:rPr>
              <mc:AlternateContent>
                <mc:Choice Requires="wps">
                  <w:drawing>
                    <wp:anchor distT="0" distB="0" distL="114300" distR="114300" simplePos="0" relativeHeight="251675648" behindDoc="1" locked="0" layoutInCell="1" allowOverlap="1">
                      <wp:simplePos x="0" y="0"/>
                      <wp:positionH relativeFrom="column">
                        <wp:posOffset>3902075</wp:posOffset>
                      </wp:positionH>
                      <wp:positionV relativeFrom="paragraph">
                        <wp:posOffset>168275</wp:posOffset>
                      </wp:positionV>
                      <wp:extent cx="0" cy="360045"/>
                      <wp:effectExtent l="38100" t="4445" r="38100" b="16510"/>
                      <wp:wrapTight wrapText="bothSides">
                        <wp:wrapPolygon>
                          <wp:start x="0" y="-267"/>
                          <wp:lineTo x="0" y="20305"/>
                          <wp:lineTo x="-2147483648" y="20305"/>
                          <wp:lineTo x="-2147483648" y="-267"/>
                          <wp:lineTo x="0" y="-267"/>
                        </wp:wrapPolygon>
                      </wp:wrapTight>
                      <wp:docPr id="52" name="直接连接符 52"/>
                      <wp:cNvGraphicFramePr/>
                      <a:graphic xmlns:a="http://schemas.openxmlformats.org/drawingml/2006/main">
                        <a:graphicData uri="http://schemas.microsoft.com/office/word/2010/wordprocessingShape">
                          <wps:wsp>
                            <wps:cNvCnPr/>
                            <wps:spPr>
                              <a:xfrm flipH="1">
                                <a:off x="0" y="0"/>
                                <a:ext cx="0" cy="360045"/>
                              </a:xfrm>
                              <a:prstGeom prst="line">
                                <a:avLst/>
                              </a:prstGeom>
                              <a:ln w="9525" cap="sq" cmpd="sng">
                                <a:solidFill>
                                  <a:srgbClr val="000000"/>
                                </a:solidFill>
                                <a:prstDash val="sysDot"/>
                                <a:headEnd type="none" w="med" len="med"/>
                                <a:tailEnd type="triangle" w="med" len="med"/>
                              </a:ln>
                            </wps:spPr>
                            <wps:bodyPr upright="1"/>
                          </wps:wsp>
                        </a:graphicData>
                      </a:graphic>
                    </wp:anchor>
                  </w:drawing>
                </mc:Choice>
                <mc:Fallback>
                  <w:pict>
                    <v:line id="_x0000_s1026" o:spid="_x0000_s1026" o:spt="20" style="position:absolute;left:0pt;flip:x;margin-left:307.25pt;margin-top:13.25pt;height:28.35pt;width:0pt;mso-wrap-distance-left:9pt;mso-wrap-distance-right:9pt;z-index:-251640832;mso-width-relative:page;mso-height-relative:page;" filled="f" stroked="t" coordsize="21600,21600" wrapcoords="0 -267 0 20305 -2147483648 20305 -2147483648 -267 0 -267" o:gfxdata="UEsDBAoAAAAAAIdO4kAAAAAAAAAAAAAAAAAEAAAAZHJzL1BLAwQUAAAACACHTuJAY45PS9kAAAAJ&#10;AQAADwAAAGRycy9kb3ducmV2LnhtbE2PTU/DMAyG70j7D5EncUEsbaHVVOpOGhIXQKCNr6vXmLai&#10;SaomXTd+PUEc2Mmy/ej142J10J3Y8+BaaxDiRQSCTWVVa2qE15e7yyUI58ko6qxhhCM7WJWzs4Jy&#10;ZSez4f3W1yKEGJcTQuN9n0vpqoY1uYXt2YTdpx00+dAOtVQDTSFcdzKJokxqak240FDPtw1XX9tR&#10;I1wo//D4xNPb90jHj+d1mqXv63vE83kc3YDwfPD/MPzqB3Uog9POjkY50SFk8XUaUIQkCzUAf4Md&#10;wvIqAVkW8vSD8gdQSwMEFAAAAAgAh07iQPz0XdwEAgAA8gMAAA4AAABkcnMvZTJvRG9jLnhtbK1T&#10;zY7TMBC+I/EOlu80aaEriJruYcvCAUEl4AGmjpNY8h8et2lfghdA4gYnjtx5G3YfY8dO6cIipD2Q&#10;gzWe+fJ5vs/jxfneaLaTAZWzNZ9OSs6kFa5Rtqv5+3eXj55yhhFsA9pZWfODRH6+fPhgMfhKzlzv&#10;dCMDIxKL1eBr3sfoq6JA0UsDOHFeWiq2LhiItA1d0QQYiN3oYlaWZ8XgQuODExKRsquxyI+M4T6E&#10;rm2VkCsntkbaOLIGqSGSJOyVR77M3batFPFN26KMTNeclMa80iEUb9JaLBdQdQF8r8SxBbhPC3c0&#10;GVCWDj1RrSAC2wb1F5VRIjh0bZwIZ4pRSHaEVEzLO9687cHLrIWsRn8yHf8frXi9WwemmprPZ5xZ&#10;MHTjV5++//z45frHZ1qvvn1lVCGbBo8VoS/sOhx36Nchad63wbBWK/+S5im7QLrYPpt8OJks95GJ&#10;MSko+/isLJ/ME3ExMiQmHzC+kM6wFNRcK5vkQwW7VxhH6C9ISmvLhpo/m8/mnAmgWcQPFBhPatB2&#10;+U90WjWXSuuEx9BtLnRgO0jTkL9jA3/A0hErwH7E4QFXLiYcVL2E5rltWDx48snS++CpAyMbzrSk&#10;55SijIyg9C0yBgW20/9AkwHakg/J4dHTFG1cc6Cr2fqgup7MmOZWU4VGIbt2HNs0a7/vM9PtU13e&#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GOOT0vZAAAACQEAAA8AAAAAAAAAAQAgAAAAIgAAAGRy&#10;cy9kb3ducmV2LnhtbFBLAQIUABQAAAAIAIdO4kD89F3cBAIAAPIDAAAOAAAAAAAAAAEAIAAAACgB&#10;AABkcnMvZTJvRG9jLnhtbFBLBQYAAAAABgAGAFkBAACeBQAAAAA=&#10;">
                      <v:fill on="f" focussize="0,0"/>
                      <v:stroke color="#000000" joinstyle="round" dashstyle="1 1" endcap="square" endarrow="block"/>
                      <v:imagedata o:title=""/>
                      <o:lock v:ext="edit" aspectratio="f"/>
                      <w10:wrap type="tight"/>
                    </v:line>
                  </w:pict>
                </mc:Fallback>
              </mc:AlternateContent>
            </w:r>
          </w:p>
          <w:p>
            <w:pPr>
              <w:pStyle w:val="29"/>
              <w:rPr>
                <w:rFonts w:hint="eastAsia"/>
                <w:bCs/>
                <w:color w:val="auto"/>
                <w:sz w:val="24"/>
                <w:szCs w:val="21"/>
              </w:rPr>
            </w:pPr>
          </w:p>
          <w:p>
            <w:pPr>
              <w:pStyle w:val="29"/>
              <w:rPr>
                <w:rFonts w:hint="eastAsia"/>
                <w:bCs/>
                <w:color w:val="auto"/>
                <w:sz w:val="24"/>
                <w:szCs w:val="21"/>
              </w:rPr>
            </w:pPr>
            <w:r>
              <w:rPr>
                <w:color w:val="auto"/>
              </w:rPr>
              <mc:AlternateContent>
                <mc:Choice Requires="wps">
                  <w:drawing>
                    <wp:anchor distT="0" distB="0" distL="114300" distR="114300" simplePos="0" relativeHeight="251670528" behindDoc="1" locked="0" layoutInCell="1" allowOverlap="1">
                      <wp:simplePos x="0" y="0"/>
                      <wp:positionH relativeFrom="column">
                        <wp:posOffset>3289300</wp:posOffset>
                      </wp:positionH>
                      <wp:positionV relativeFrom="paragraph">
                        <wp:posOffset>79375</wp:posOffset>
                      </wp:positionV>
                      <wp:extent cx="1232535" cy="448310"/>
                      <wp:effectExtent l="4445" t="4445" r="20320" b="23495"/>
                      <wp:wrapTight wrapText="bothSides">
                        <wp:wrapPolygon>
                          <wp:start x="-78" y="-214"/>
                          <wp:lineTo x="-78" y="20896"/>
                          <wp:lineTo x="21288" y="20896"/>
                          <wp:lineTo x="21288" y="-214"/>
                          <wp:lineTo x="-78" y="-214"/>
                        </wp:wrapPolygon>
                      </wp:wrapTight>
                      <wp:docPr id="53" name="文本框 53"/>
                      <wp:cNvGraphicFramePr/>
                      <a:graphic xmlns:a="http://schemas.openxmlformats.org/drawingml/2006/main">
                        <a:graphicData uri="http://schemas.microsoft.com/office/word/2010/wordprocessingShape">
                          <wps:wsp>
                            <wps:cNvSpPr txBox="1"/>
                            <wps:spPr>
                              <a:xfrm>
                                <a:off x="0" y="0"/>
                                <a:ext cx="1232535" cy="44831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6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sz w:val="21"/>
                                      <w:lang w:val="en-US" w:eastAsia="zh-CN"/>
                                    </w:rPr>
                                  </w:pPr>
                                  <w:r>
                                    <w:rPr>
                                      <w:rFonts w:hint="eastAsia" w:ascii="宋体" w:hAnsi="宋体" w:eastAsia="宋体" w:cs="宋体"/>
                                      <w:sz w:val="21"/>
                                    </w:rPr>
                                    <w:t>汽车尾气、设备噪声</w:t>
                                  </w:r>
                                  <w:r>
                                    <w:rPr>
                                      <w:rFonts w:hint="eastAsia" w:ascii="宋体" w:hAnsi="宋体" w:cs="宋体"/>
                                      <w:sz w:val="21"/>
                                      <w:lang w:val="en-US" w:eastAsia="zh-CN"/>
                                    </w:rPr>
                                    <w:t>等</w:t>
                                  </w:r>
                                </w:p>
                              </w:txbxContent>
                            </wps:txbx>
                            <wps:bodyPr upright="1"/>
                          </wps:wsp>
                        </a:graphicData>
                      </a:graphic>
                    </wp:anchor>
                  </w:drawing>
                </mc:Choice>
                <mc:Fallback>
                  <w:pict>
                    <v:shape id="_x0000_s1026" o:spid="_x0000_s1026" o:spt="202" type="#_x0000_t202" style="position:absolute;left:0pt;margin-left:259pt;margin-top:6.25pt;height:35.3pt;width:97.05pt;mso-wrap-distance-left:9pt;mso-wrap-distance-right:9pt;z-index:-251645952;mso-width-relative:page;mso-height-relative:page;" fillcolor="#FFFFFF" filled="t" stroked="t" coordsize="21600,21600" wrapcoords="-78 -214 -78 20896 21288 20896 21288 -214 -78 -214" o:gfxdata="UEsDBAoAAAAAAIdO4kAAAAAAAAAAAAAAAAAEAAAAZHJzL1BLAwQUAAAACACHTuJANByqQtgAAAAJ&#10;AQAADwAAAGRycy9kb3ducmV2LnhtbE2PwU7DMBBE70j8g7VIXBB1nNI2hDg9IIHgVgqCqxtvk4h4&#10;HWw3LX/PcoLjakZv31TrkxvEhCH2njSoWQYCqfG2p1bD2+vDdQEiJkPWDJ5QwzdGWNfnZ5UprT/S&#10;C07b1AqGUCyNhi6lsZQyNh06E2d+ROJs74Mzic/QShvMkeFukHmWLaUzPfGHzox432HzuT04DcXN&#10;0/QRn+eb92a5H27T1Wp6/ApaX16o7A5EwlP6K8OvPqtDzU47fyAbxaBhoQrekjjIFyC4sFK5ArFj&#10;+lyBrCv5f0H9A1BLAwQUAAAACACHTuJAVBxYXw4CAAA4BAAADgAAAGRycy9lMm9Eb2MueG1srVNL&#10;jhMxEN0jcQfLe9KdZIKGVjojQQgbBEgDB3Bsd7cl/+Ry0p0LwA1YsWHPuXKOKbszmQ8ssqAX7rL9&#10;/FzvVXl5MxhN9jKAcram00lJibTcCWXbmn77unl1TQlEZgXTzsqaHiTQm9XLF8veV3LmOqeFDARJ&#10;LFS9r2kXo6+KAngnDYOJ89LiZuOCYRGnoS1EYD2yG13MyvJ10bsgfHBcAuDqetykJ8ZwCaFrGsXl&#10;2vGdkTaOrEFqFlESdMoDXeVsm0by+LlpQEaia4pKYx7xEoy3aSxWS1a1gflO8VMK7JIUnmkyTFm8&#10;9Ey1ZpGRXVB/URnFgwPXxAl3phiFZEdQxbR85s1tx7zMWtBq8GfT4f/R8k/7L4EoUdPFnBLLDFb8&#10;+PPH8def4+/vBNfQoN5Dhbhbj8g4vHUDts39OuBi0j00waQ/KiK4j/YezvbKIRKeDs3ms8V8QQnH&#10;vaur6/k0+188nPYB4gfpDElBTQOWL7vK9h8hYiYIvYeky8BpJTZK6zwJ7fadDmTPsNSb/KUk8cgT&#10;mLakr+mbxSzlwbB/G+wbDI1HD8C2+b4nJ+AxcZm/fxGnxNYMujGBzJBgrDIqypCjTjLx3goSDx5t&#10;tvi8aErGSEGJlvgaU5SRkSl9CRLVaYsiU4nGUqQoDtsBaVK4deKAZdv5oNoOLc2Fy3BsqOzOqflT&#10;xz6eZ9KHB7+6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DQcqkLYAAAACQEAAA8AAAAAAAAAAQAg&#10;AAAAIgAAAGRycy9kb3ducmV2LnhtbFBLAQIUABQAAAAIAIdO4kBUHFhfDgIAADgEAAAOAAAAAAAA&#10;AAEAIAAAACcBAABkcnMvZTJvRG9jLnhtbFBLBQYAAAAABgAGAFkBAACnBQAAAAA=&#10;">
                      <v:fill on="t" focussize="0,0"/>
                      <v:stroke color="#000000" joinstyle="miter"/>
                      <v:imagedata o:title=""/>
                      <o:lock v:ext="edit" aspectratio="f"/>
                      <v:textbox>
                        <w:txbxContent>
                          <w:p>
                            <w:pPr>
                              <w:pStyle w:val="6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sz w:val="21"/>
                                <w:lang w:val="en-US" w:eastAsia="zh-CN"/>
                              </w:rPr>
                            </w:pPr>
                            <w:r>
                              <w:rPr>
                                <w:rFonts w:hint="eastAsia" w:ascii="宋体" w:hAnsi="宋体" w:eastAsia="宋体" w:cs="宋体"/>
                                <w:sz w:val="21"/>
                              </w:rPr>
                              <w:t>汽车尾气、设备噪声</w:t>
                            </w:r>
                            <w:r>
                              <w:rPr>
                                <w:rFonts w:hint="eastAsia" w:ascii="宋体" w:hAnsi="宋体" w:cs="宋体"/>
                                <w:sz w:val="21"/>
                                <w:lang w:val="en-US" w:eastAsia="zh-CN"/>
                              </w:rPr>
                              <w:t>等</w:t>
                            </w:r>
                          </w:p>
                        </w:txbxContent>
                      </v:textbox>
                      <w10:wrap type="tight"/>
                    </v:shape>
                  </w:pict>
                </mc:Fallback>
              </mc:AlternateContent>
            </w:r>
          </w:p>
          <w:p>
            <w:pPr>
              <w:pStyle w:val="29"/>
              <w:rPr>
                <w:rFonts w:hint="eastAsia"/>
                <w:bCs/>
                <w:color w:val="auto"/>
                <w:sz w:val="24"/>
                <w:szCs w:val="21"/>
              </w:rPr>
            </w:pPr>
          </w:p>
          <w:p>
            <w:pPr>
              <w:pStyle w:val="29"/>
              <w:rPr>
                <w:rFonts w:hint="eastAsia"/>
                <w:bCs/>
                <w:color w:val="auto"/>
                <w:sz w:val="24"/>
                <w:szCs w:val="21"/>
              </w:rPr>
            </w:pPr>
          </w:p>
          <w:p>
            <w:pPr>
              <w:pStyle w:val="29"/>
              <w:rPr>
                <w:rFonts w:hint="eastAsia"/>
                <w:bCs/>
                <w:color w:val="auto"/>
                <w:sz w:val="24"/>
                <w:szCs w:val="21"/>
              </w:rPr>
            </w:pPr>
          </w:p>
          <w:p>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center"/>
              <w:textAlignment w:val="auto"/>
              <w:rPr>
                <w:rFonts w:hint="eastAsia" w:ascii="Times New Roman" w:hAnsi="Times New Roman" w:eastAsia="宋体" w:cs="Times New Roman"/>
                <w:b/>
                <w:color w:val="auto"/>
                <w:sz w:val="24"/>
                <w:szCs w:val="21"/>
              </w:rPr>
            </w:pPr>
            <w:r>
              <w:rPr>
                <w:rFonts w:hint="eastAsia" w:ascii="Times New Roman" w:hAnsi="Times New Roman" w:eastAsia="宋体" w:cs="Times New Roman"/>
                <w:b/>
                <w:color w:val="auto"/>
                <w:sz w:val="24"/>
                <w:szCs w:val="21"/>
                <w:lang w:val="en-US" w:eastAsia="zh-CN"/>
              </w:rPr>
              <w:t xml:space="preserve">图2.1 </w:t>
            </w:r>
            <w:r>
              <w:rPr>
                <w:rFonts w:hint="default" w:ascii="Times New Roman" w:hAnsi="Times New Roman" w:eastAsia="宋体" w:cs="Times New Roman"/>
                <w:b/>
                <w:color w:val="auto"/>
                <w:sz w:val="24"/>
                <w:szCs w:val="21"/>
              </w:rPr>
              <w:t>营运期工艺流程及产污环节图</w:t>
            </w:r>
          </w:p>
          <w:p>
            <w:pPr>
              <w:jc w:val="center"/>
              <w:rPr>
                <w:color w:val="auto"/>
              </w:rPr>
            </w:pPr>
          </w:p>
          <w:p>
            <w:pPr>
              <w:adjustRightInd w:val="0"/>
              <w:snapToGrid w:val="0"/>
              <w:spacing w:line="360" w:lineRule="auto"/>
              <w:ind w:firstLine="482" w:firstLineChars="200"/>
              <w:jc w:val="left"/>
              <w:rPr>
                <w:b/>
                <w:color w:val="auto"/>
                <w:sz w:val="24"/>
                <w:szCs w:val="21"/>
              </w:rPr>
            </w:pPr>
            <w:r>
              <w:rPr>
                <w:rFonts w:hint="eastAsia"/>
                <w:b/>
                <w:color w:val="auto"/>
                <w:sz w:val="24"/>
                <w:szCs w:val="21"/>
              </w:rPr>
              <w:t>2</w:t>
            </w:r>
            <w:r>
              <w:rPr>
                <w:rFonts w:hint="eastAsia"/>
                <w:b/>
                <w:color w:val="auto"/>
                <w:sz w:val="24"/>
                <w:szCs w:val="21"/>
                <w:lang w:val="en-US" w:eastAsia="zh-CN"/>
              </w:rPr>
              <w:t>.2</w:t>
            </w:r>
            <w:r>
              <w:rPr>
                <w:rFonts w:hint="eastAsia"/>
                <w:b/>
                <w:color w:val="auto"/>
                <w:sz w:val="24"/>
                <w:szCs w:val="21"/>
              </w:rPr>
              <w:t>主要产污环节</w:t>
            </w:r>
          </w:p>
          <w:p>
            <w:pPr>
              <w:spacing w:line="360" w:lineRule="auto"/>
              <w:ind w:firstLine="484" w:firstLineChars="202"/>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（1）废水：</w:t>
            </w:r>
            <w:r>
              <w:rPr>
                <w:rFonts w:hint="eastAsia" w:cs="Times New Roman"/>
                <w:color w:val="auto"/>
                <w:sz w:val="24"/>
                <w:lang w:val="en-US" w:eastAsia="zh-CN"/>
              </w:rPr>
              <w:t>生活污水</w:t>
            </w:r>
            <w:r>
              <w:rPr>
                <w:rFonts w:hint="default" w:ascii="Times New Roman" w:hAnsi="Times New Roman" w:eastAsia="宋体" w:cs="Times New Roman"/>
                <w:color w:val="auto"/>
                <w:sz w:val="24"/>
              </w:rPr>
              <w:t>。</w:t>
            </w:r>
          </w:p>
          <w:p>
            <w:pPr>
              <w:spacing w:line="360" w:lineRule="auto"/>
              <w:ind w:firstLine="484" w:firstLineChars="202"/>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（2）废气：油烟废气、汽车尾气。</w:t>
            </w:r>
          </w:p>
          <w:p>
            <w:pPr>
              <w:spacing w:line="360" w:lineRule="auto"/>
              <w:ind w:firstLine="484" w:firstLineChars="202"/>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（3）噪声：设备噪声（配电</w:t>
            </w:r>
            <w:r>
              <w:rPr>
                <w:rFonts w:hint="eastAsia" w:cs="Times New Roman"/>
                <w:color w:val="auto"/>
                <w:sz w:val="24"/>
                <w:lang w:val="en-US" w:eastAsia="zh-CN"/>
              </w:rPr>
              <w:t>间、电梯机组</w:t>
            </w:r>
            <w:r>
              <w:rPr>
                <w:rFonts w:hint="default" w:ascii="Times New Roman" w:hAnsi="Times New Roman" w:eastAsia="宋体" w:cs="Times New Roman"/>
                <w:color w:val="auto"/>
                <w:sz w:val="24"/>
              </w:rPr>
              <w:t>等设备）、机动车辆噪声及人群活动噪声。</w:t>
            </w:r>
          </w:p>
          <w:p>
            <w:pPr>
              <w:adjustRightInd w:val="0"/>
              <w:snapToGrid w:val="0"/>
              <w:spacing w:line="360" w:lineRule="auto"/>
              <w:ind w:firstLine="480" w:firstLineChars="200"/>
              <w:jc w:val="left"/>
              <w:rPr>
                <w:rFonts w:hint="default" w:ascii="Times New Roman" w:hAnsi="Times New Roman" w:eastAsia="宋体" w:cs="Times New Roman"/>
                <w:color w:val="auto"/>
                <w:sz w:val="24"/>
                <w:lang w:eastAsia="zh-CN"/>
              </w:rPr>
            </w:pPr>
            <w:r>
              <w:rPr>
                <w:rFonts w:hint="default" w:ascii="Times New Roman" w:hAnsi="Times New Roman" w:eastAsia="宋体" w:cs="Times New Roman"/>
                <w:color w:val="auto"/>
                <w:sz w:val="24"/>
              </w:rPr>
              <w:t>（4）固废：生活垃圾</w:t>
            </w:r>
          </w:p>
          <w:p>
            <w:pPr>
              <w:adjustRightInd w:val="0"/>
              <w:snapToGrid w:val="0"/>
              <w:spacing w:line="360" w:lineRule="auto"/>
              <w:ind w:firstLine="480" w:firstLineChars="200"/>
              <w:jc w:val="left"/>
              <w:rPr>
                <w:rFonts w:hint="default"/>
                <w:bCs/>
                <w:color w:val="auto"/>
                <w:sz w:val="24"/>
                <w:szCs w:val="21"/>
                <w:lang w:val="en-US"/>
              </w:rPr>
            </w:pPr>
          </w:p>
          <w:p>
            <w:pPr>
              <w:adjustRightInd w:val="0"/>
              <w:snapToGrid w:val="0"/>
              <w:spacing w:line="360" w:lineRule="auto"/>
              <w:ind w:firstLine="480" w:firstLineChars="200"/>
              <w:jc w:val="left"/>
              <w:rPr>
                <w:rFonts w:hint="default"/>
                <w:bCs/>
                <w:color w:val="auto"/>
                <w:sz w:val="24"/>
                <w:szCs w:val="21"/>
                <w:lang w:val="en-US"/>
              </w:rPr>
            </w:pPr>
          </w:p>
          <w:p>
            <w:pPr>
              <w:adjustRightInd w:val="0"/>
              <w:snapToGrid w:val="0"/>
              <w:spacing w:line="360" w:lineRule="auto"/>
              <w:ind w:firstLine="480" w:firstLineChars="200"/>
              <w:jc w:val="left"/>
              <w:rPr>
                <w:rFonts w:hint="default"/>
                <w:bCs/>
                <w:color w:val="auto"/>
                <w:sz w:val="24"/>
                <w:szCs w:val="21"/>
                <w:lang w:val="en-US"/>
              </w:rPr>
            </w:pPr>
          </w:p>
          <w:p>
            <w:pPr>
              <w:adjustRightInd w:val="0"/>
              <w:snapToGrid w:val="0"/>
              <w:spacing w:line="360" w:lineRule="auto"/>
              <w:ind w:firstLine="480" w:firstLineChars="200"/>
              <w:jc w:val="left"/>
              <w:rPr>
                <w:rFonts w:hint="default"/>
                <w:bCs/>
                <w:color w:val="auto"/>
                <w:sz w:val="24"/>
                <w:szCs w:val="21"/>
                <w:lang w:val="en-US"/>
              </w:rPr>
            </w:pPr>
          </w:p>
          <w:p>
            <w:pPr>
              <w:adjustRightInd w:val="0"/>
              <w:snapToGrid w:val="0"/>
              <w:spacing w:line="360" w:lineRule="auto"/>
              <w:ind w:firstLine="480" w:firstLineChars="200"/>
              <w:jc w:val="left"/>
              <w:rPr>
                <w:rFonts w:hint="default"/>
                <w:bCs/>
                <w:color w:val="auto"/>
                <w:sz w:val="24"/>
                <w:szCs w:val="21"/>
                <w:lang w:val="en-US"/>
              </w:rPr>
            </w:pPr>
          </w:p>
          <w:p>
            <w:pPr>
              <w:adjustRightInd w:val="0"/>
              <w:snapToGrid w:val="0"/>
              <w:spacing w:line="360" w:lineRule="auto"/>
              <w:ind w:firstLine="480" w:firstLineChars="200"/>
              <w:jc w:val="left"/>
              <w:rPr>
                <w:rFonts w:hint="default"/>
                <w:bCs/>
                <w:color w:val="auto"/>
                <w:sz w:val="24"/>
                <w:szCs w:val="21"/>
                <w:lang w:val="en-US"/>
              </w:rPr>
            </w:pPr>
          </w:p>
          <w:p>
            <w:pPr>
              <w:adjustRightInd w:val="0"/>
              <w:snapToGrid w:val="0"/>
              <w:spacing w:line="360" w:lineRule="auto"/>
              <w:ind w:firstLine="480" w:firstLineChars="200"/>
              <w:jc w:val="left"/>
              <w:rPr>
                <w:rFonts w:hint="default"/>
                <w:bCs/>
                <w:color w:val="auto"/>
                <w:sz w:val="24"/>
                <w:szCs w:val="21"/>
                <w:lang w:val="en-US"/>
              </w:rPr>
            </w:pPr>
          </w:p>
          <w:p>
            <w:pPr>
              <w:adjustRightInd w:val="0"/>
              <w:snapToGrid w:val="0"/>
              <w:spacing w:line="360" w:lineRule="auto"/>
              <w:ind w:firstLine="480" w:firstLineChars="200"/>
              <w:jc w:val="left"/>
              <w:rPr>
                <w:rFonts w:hint="default"/>
                <w:bCs/>
                <w:color w:val="auto"/>
                <w:sz w:val="24"/>
                <w:szCs w:val="21"/>
                <w:lang w:val="en-US"/>
              </w:rPr>
            </w:pPr>
          </w:p>
          <w:p>
            <w:pPr>
              <w:adjustRightInd w:val="0"/>
              <w:snapToGrid w:val="0"/>
              <w:spacing w:line="360" w:lineRule="auto"/>
              <w:ind w:firstLine="480" w:firstLineChars="200"/>
              <w:jc w:val="left"/>
              <w:rPr>
                <w:rFonts w:hint="default"/>
                <w:bCs/>
                <w:color w:val="auto"/>
                <w:sz w:val="24"/>
                <w:szCs w:val="21"/>
                <w:lang w:val="en-US"/>
              </w:rPr>
            </w:pPr>
          </w:p>
          <w:p>
            <w:pPr>
              <w:adjustRightInd w:val="0"/>
              <w:snapToGrid w:val="0"/>
              <w:spacing w:line="360" w:lineRule="auto"/>
              <w:ind w:firstLine="480" w:firstLineChars="200"/>
              <w:jc w:val="left"/>
              <w:rPr>
                <w:rFonts w:hint="default"/>
                <w:bCs/>
                <w:color w:val="auto"/>
                <w:sz w:val="24"/>
                <w:szCs w:val="21"/>
                <w:lang w:val="en-US"/>
              </w:rPr>
            </w:pPr>
          </w:p>
          <w:p>
            <w:pPr>
              <w:adjustRightInd w:val="0"/>
              <w:snapToGrid w:val="0"/>
              <w:spacing w:line="360" w:lineRule="auto"/>
              <w:ind w:firstLine="480" w:firstLineChars="200"/>
              <w:jc w:val="left"/>
              <w:rPr>
                <w:rFonts w:hint="default"/>
                <w:bCs/>
                <w:color w:val="auto"/>
                <w:sz w:val="24"/>
                <w:szCs w:val="21"/>
                <w:lang w:val="en-US"/>
              </w:rPr>
            </w:pPr>
          </w:p>
          <w:p>
            <w:pPr>
              <w:adjustRightInd w:val="0"/>
              <w:snapToGrid w:val="0"/>
              <w:spacing w:line="360" w:lineRule="auto"/>
              <w:ind w:firstLine="480" w:firstLineChars="200"/>
              <w:jc w:val="left"/>
              <w:rPr>
                <w:rFonts w:hint="default"/>
                <w:bCs/>
                <w:color w:val="auto"/>
                <w:sz w:val="24"/>
                <w:szCs w:val="21"/>
                <w:lang w:val="en-US"/>
              </w:rPr>
            </w:pPr>
          </w:p>
          <w:p>
            <w:pPr>
              <w:adjustRightInd w:val="0"/>
              <w:snapToGrid w:val="0"/>
              <w:spacing w:line="360" w:lineRule="auto"/>
              <w:ind w:firstLine="480" w:firstLineChars="200"/>
              <w:jc w:val="left"/>
              <w:rPr>
                <w:rFonts w:hint="default"/>
                <w:bCs/>
                <w:color w:val="auto"/>
                <w:sz w:val="24"/>
                <w:szCs w:val="21"/>
                <w:lang w:val="en-US"/>
              </w:rPr>
            </w:pPr>
          </w:p>
          <w:p>
            <w:pPr>
              <w:adjustRightInd w:val="0"/>
              <w:snapToGrid w:val="0"/>
              <w:spacing w:line="360" w:lineRule="auto"/>
              <w:ind w:firstLine="480" w:firstLineChars="200"/>
              <w:jc w:val="left"/>
              <w:rPr>
                <w:rFonts w:hint="default"/>
                <w:bCs/>
                <w:color w:val="auto"/>
                <w:sz w:val="24"/>
                <w:szCs w:val="21"/>
                <w:lang w:val="en-US"/>
              </w:rPr>
            </w:pPr>
          </w:p>
          <w:p>
            <w:pPr>
              <w:adjustRightInd w:val="0"/>
              <w:snapToGrid w:val="0"/>
              <w:spacing w:line="360" w:lineRule="auto"/>
              <w:ind w:firstLine="480" w:firstLineChars="200"/>
              <w:jc w:val="left"/>
              <w:rPr>
                <w:rFonts w:hint="default"/>
                <w:bCs/>
                <w:color w:val="auto"/>
                <w:sz w:val="24"/>
                <w:szCs w:val="21"/>
                <w:lang w:val="en-US"/>
              </w:rPr>
            </w:pPr>
          </w:p>
          <w:p>
            <w:pPr>
              <w:adjustRightInd w:val="0"/>
              <w:snapToGrid w:val="0"/>
              <w:spacing w:line="360" w:lineRule="auto"/>
              <w:ind w:firstLine="480" w:firstLineChars="200"/>
              <w:jc w:val="left"/>
              <w:rPr>
                <w:rFonts w:hint="default"/>
                <w:bCs/>
                <w:color w:val="auto"/>
                <w:sz w:val="24"/>
                <w:szCs w:val="21"/>
                <w:lang w:val="en-US"/>
              </w:rPr>
            </w:pPr>
          </w:p>
          <w:p>
            <w:pPr>
              <w:adjustRightInd w:val="0"/>
              <w:snapToGrid w:val="0"/>
              <w:spacing w:line="360" w:lineRule="auto"/>
              <w:ind w:firstLine="480" w:firstLineChars="200"/>
              <w:jc w:val="left"/>
              <w:rPr>
                <w:rFonts w:hint="default"/>
                <w:bCs/>
                <w:color w:val="auto"/>
                <w:sz w:val="24"/>
                <w:szCs w:val="21"/>
                <w:lang w:val="en-US"/>
              </w:rPr>
            </w:pPr>
          </w:p>
          <w:p>
            <w:pPr>
              <w:adjustRightInd w:val="0"/>
              <w:snapToGrid w:val="0"/>
              <w:spacing w:line="360" w:lineRule="auto"/>
              <w:ind w:firstLine="480" w:firstLineChars="200"/>
              <w:jc w:val="left"/>
              <w:rPr>
                <w:rFonts w:hint="default"/>
                <w:bCs/>
                <w:color w:val="auto"/>
                <w:sz w:val="24"/>
                <w:szCs w:val="21"/>
                <w:lang w:val="en-US"/>
              </w:rPr>
            </w:pPr>
          </w:p>
        </w:tc>
      </w:tr>
    </w:tbl>
    <w:p>
      <w:pPr>
        <w:pStyle w:val="18"/>
        <w:jc w:val="center"/>
        <w:rPr>
          <w:rFonts w:ascii="黑体" w:hAnsi="黑体" w:eastAsia="黑体"/>
          <w:snapToGrid w:val="0"/>
          <w:color w:val="auto"/>
          <w:sz w:val="36"/>
          <w:szCs w:val="36"/>
        </w:rPr>
        <w:sectPr>
          <w:footerReference r:id="rId6" w:type="default"/>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pPr>
        <w:pStyle w:val="18"/>
        <w:jc w:val="center"/>
        <w:outlineLvl w:val="0"/>
        <w:rPr>
          <w:rFonts w:ascii="黑体" w:hAnsi="黑体" w:eastAsia="黑体"/>
          <w:snapToGrid w:val="0"/>
          <w:color w:val="auto"/>
          <w:sz w:val="30"/>
          <w:szCs w:val="30"/>
        </w:rPr>
      </w:pPr>
      <w:bookmarkStart w:id="10" w:name="_Toc27085"/>
      <w:bookmarkStart w:id="11" w:name="_Toc20806"/>
      <w:r>
        <w:rPr>
          <w:rFonts w:hint="eastAsia" w:ascii="黑体" w:hAnsi="黑体" w:eastAsia="黑体"/>
          <w:snapToGrid w:val="0"/>
          <w:color w:val="auto"/>
          <w:sz w:val="30"/>
          <w:szCs w:val="30"/>
        </w:rPr>
        <w:t>三、区域环境质量现状、环境保护目标及评价标准</w:t>
      </w:r>
      <w:bookmarkEnd w:id="10"/>
      <w:bookmarkEnd w:id="11"/>
    </w:p>
    <w:tbl>
      <w:tblPr>
        <w:tblStyle w:val="22"/>
        <w:tblW w:w="899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00"/>
        <w:gridCol w:w="819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800" w:type="dxa"/>
            <w:vAlign w:val="center"/>
          </w:tcPr>
          <w:p>
            <w:pPr>
              <w:adjustRightInd w:val="0"/>
              <w:snapToGrid w:val="0"/>
              <w:jc w:val="center"/>
              <w:rPr>
                <w:rFonts w:cs="宋体"/>
                <w:color w:val="auto"/>
                <w:kern w:val="0"/>
                <w:sz w:val="24"/>
                <w:szCs w:val="21"/>
              </w:rPr>
            </w:pPr>
            <w:r>
              <w:rPr>
                <w:rFonts w:hint="eastAsia" w:cs="宋体"/>
                <w:color w:val="auto"/>
                <w:kern w:val="0"/>
                <w:sz w:val="24"/>
                <w:szCs w:val="21"/>
                <w:lang w:val="en-US" w:eastAsia="zh-CN"/>
              </w:rPr>
              <w:t>生态环境</w:t>
            </w:r>
            <w:r>
              <w:rPr>
                <w:rFonts w:hint="eastAsia" w:cs="宋体"/>
                <w:color w:val="auto"/>
                <w:kern w:val="0"/>
                <w:sz w:val="24"/>
                <w:szCs w:val="21"/>
              </w:rPr>
              <w:t>质量</w:t>
            </w:r>
          </w:p>
          <w:p>
            <w:pPr>
              <w:adjustRightInd w:val="0"/>
              <w:snapToGrid w:val="0"/>
              <w:jc w:val="center"/>
              <w:rPr>
                <w:rFonts w:cs="宋体"/>
                <w:color w:val="auto"/>
                <w:kern w:val="0"/>
                <w:sz w:val="24"/>
                <w:szCs w:val="21"/>
              </w:rPr>
            </w:pPr>
            <w:r>
              <w:rPr>
                <w:rFonts w:hint="eastAsia" w:cs="宋体"/>
                <w:color w:val="auto"/>
                <w:kern w:val="0"/>
                <w:sz w:val="24"/>
                <w:szCs w:val="21"/>
              </w:rPr>
              <w:t>现状</w:t>
            </w:r>
          </w:p>
        </w:tc>
        <w:tc>
          <w:tcPr>
            <w:tcW w:w="8190" w:type="dxa"/>
            <w:vAlign w:val="center"/>
          </w:tcPr>
          <w:p>
            <w:pPr>
              <w:spacing w:line="360" w:lineRule="auto"/>
              <w:rPr>
                <w:b/>
                <w:color w:val="auto"/>
                <w:sz w:val="24"/>
                <w:szCs w:val="21"/>
              </w:rPr>
            </w:pPr>
            <w:r>
              <w:rPr>
                <w:rFonts w:hint="eastAsia"/>
                <w:b/>
                <w:color w:val="auto"/>
                <w:sz w:val="24"/>
                <w:szCs w:val="21"/>
              </w:rPr>
              <w:t>1</w:t>
            </w:r>
            <w:r>
              <w:rPr>
                <w:b/>
                <w:color w:val="auto"/>
                <w:sz w:val="24"/>
                <w:szCs w:val="21"/>
              </w:rPr>
              <w:t>、环境空气质量现状</w:t>
            </w:r>
          </w:p>
          <w:p>
            <w:pPr>
              <w:pStyle w:val="65"/>
              <w:ind w:firstLine="480"/>
              <w:rPr>
                <w:rFonts w:hint="default" w:ascii="Times New Roman" w:hAnsi="Times New Roman" w:cs="Times New Roman"/>
                <w:b/>
                <w:bCs/>
                <w:color w:val="auto"/>
              </w:rPr>
            </w:pPr>
            <w:r>
              <w:rPr>
                <w:rFonts w:hint="default" w:ascii="Times New Roman" w:hAnsi="Times New Roman" w:cs="Times New Roman"/>
                <w:b/>
                <w:bCs/>
                <w:color w:val="auto"/>
              </w:rPr>
              <w:t>1、大气环境质量现状</w:t>
            </w:r>
          </w:p>
          <w:p>
            <w:pPr>
              <w:pStyle w:val="65"/>
              <w:ind w:firstLine="480"/>
              <w:rPr>
                <w:rFonts w:hint="default" w:ascii="Times New Roman" w:hAnsi="Times New Roman" w:cs="Times New Roman"/>
                <w:color w:val="auto"/>
              </w:rPr>
            </w:pPr>
            <w:r>
              <w:rPr>
                <w:rFonts w:hint="default" w:ascii="Times New Roman" w:hAnsi="Times New Roman" w:cs="Times New Roman"/>
                <w:color w:val="auto"/>
              </w:rPr>
              <w:t>根据《环境影响评价技术导则大气环境》（HJ2.2-2018），项目所在区域达标情况判定优先采用国家或地方生态环境主管部门公开发布的环境质量公告或环境质量报告中的数据或结论。本项目</w:t>
            </w:r>
            <w:r>
              <w:rPr>
                <w:rFonts w:hint="default" w:ascii="Times New Roman" w:hAnsi="Times New Roman" w:cs="Times New Roman"/>
                <w:color w:val="auto"/>
                <w:szCs w:val="21"/>
              </w:rPr>
              <w:t>SO</w:t>
            </w:r>
            <w:r>
              <w:rPr>
                <w:rFonts w:hint="default" w:ascii="Times New Roman" w:hAnsi="Times New Roman" w:cs="Times New Roman"/>
                <w:color w:val="auto"/>
                <w:szCs w:val="21"/>
                <w:vertAlign w:val="subscript"/>
              </w:rPr>
              <w:t>2</w:t>
            </w:r>
            <w:r>
              <w:rPr>
                <w:rFonts w:hint="default" w:ascii="Times New Roman" w:hAnsi="Times New Roman" w:cs="Times New Roman"/>
                <w:color w:val="auto"/>
                <w:szCs w:val="21"/>
              </w:rPr>
              <w:t>、NO</w:t>
            </w:r>
            <w:r>
              <w:rPr>
                <w:rFonts w:hint="default" w:ascii="Times New Roman" w:hAnsi="Times New Roman" w:cs="Times New Roman"/>
                <w:color w:val="auto"/>
                <w:szCs w:val="21"/>
                <w:vertAlign w:val="subscript"/>
              </w:rPr>
              <w:t>2</w:t>
            </w:r>
            <w:r>
              <w:rPr>
                <w:rFonts w:hint="default" w:ascii="Times New Roman" w:hAnsi="Times New Roman" w:cs="Times New Roman"/>
                <w:color w:val="auto"/>
                <w:szCs w:val="21"/>
              </w:rPr>
              <w:t>、PM</w:t>
            </w:r>
            <w:r>
              <w:rPr>
                <w:rFonts w:hint="default" w:ascii="Times New Roman" w:hAnsi="Times New Roman" w:cs="Times New Roman"/>
                <w:color w:val="auto"/>
                <w:szCs w:val="21"/>
                <w:vertAlign w:val="subscript"/>
              </w:rPr>
              <w:t>10</w:t>
            </w:r>
            <w:r>
              <w:rPr>
                <w:rFonts w:hint="default" w:ascii="Times New Roman" w:hAnsi="Times New Roman" w:cs="Times New Roman"/>
                <w:color w:val="auto"/>
                <w:szCs w:val="21"/>
              </w:rPr>
              <w:t>、PM</w:t>
            </w:r>
            <w:r>
              <w:rPr>
                <w:rFonts w:hint="default" w:ascii="Times New Roman" w:hAnsi="Times New Roman" w:cs="Times New Roman"/>
                <w:color w:val="auto"/>
                <w:szCs w:val="21"/>
                <w:vertAlign w:val="subscript"/>
              </w:rPr>
              <w:t>2.5</w:t>
            </w:r>
            <w:r>
              <w:rPr>
                <w:rFonts w:hint="default" w:ascii="Times New Roman" w:hAnsi="Times New Roman" w:cs="Times New Roman"/>
                <w:color w:val="auto"/>
                <w:szCs w:val="21"/>
              </w:rPr>
              <w:t>、CO、O</w:t>
            </w:r>
            <w:r>
              <w:rPr>
                <w:rFonts w:hint="default" w:ascii="Times New Roman" w:hAnsi="Times New Roman" w:cs="Times New Roman"/>
                <w:color w:val="auto"/>
                <w:szCs w:val="21"/>
                <w:vertAlign w:val="subscript"/>
              </w:rPr>
              <w:t>3</w:t>
            </w:r>
            <w:r>
              <w:rPr>
                <w:rFonts w:hint="default" w:ascii="Times New Roman" w:hAnsi="Times New Roman" w:cs="Times New Roman"/>
                <w:color w:val="auto"/>
              </w:rPr>
              <w:t>等基本污染物环境空气质量现状采用岳阳市生态环境局公开发布的2023年度华容县空气质量年报中公布的数据。</w:t>
            </w:r>
          </w:p>
          <w:p>
            <w:pPr>
              <w:pStyle w:val="66"/>
              <w:keepNext w:val="0"/>
              <w:keepLines w:val="0"/>
              <w:pageBreakBefore w:val="0"/>
              <w:widowControl w:val="0"/>
              <w:kinsoku/>
              <w:wordWrap/>
              <w:overflowPunct/>
              <w:topLinePunct w:val="0"/>
              <w:autoSpaceDE/>
              <w:autoSpaceDN/>
              <w:bidi w:val="0"/>
              <w:adjustRightInd/>
              <w:snapToGrid/>
              <w:spacing w:beforeLines="0"/>
              <w:textAlignment w:val="auto"/>
              <w:rPr>
                <w:rFonts w:hint="default" w:ascii="Times New Roman" w:hAnsi="Times New Roman" w:cs="Times New Roman"/>
                <w:color w:val="auto"/>
              </w:rPr>
            </w:pPr>
            <w:r>
              <w:rPr>
                <w:rFonts w:hint="default" w:ascii="Times New Roman" w:hAnsi="Times New Roman" w:cs="Times New Roman"/>
                <w:color w:val="auto"/>
              </w:rPr>
              <w:t>表3-1  2023年度华容县环境空气质量状况统计表单位：ug/m</w:t>
            </w:r>
            <w:r>
              <w:rPr>
                <w:rFonts w:hint="default" w:ascii="Times New Roman" w:hAnsi="Times New Roman" w:cs="Times New Roman"/>
                <w:color w:val="auto"/>
                <w:vertAlign w:val="superscript"/>
              </w:rPr>
              <w:t>3</w:t>
            </w:r>
          </w:p>
          <w:tbl>
            <w:tblPr>
              <w:tblStyle w:val="22"/>
              <w:tblW w:w="796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88"/>
              <w:gridCol w:w="2783"/>
              <w:gridCol w:w="1011"/>
              <w:gridCol w:w="1068"/>
              <w:gridCol w:w="1097"/>
              <w:gridCol w:w="111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4"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b/>
                      <w:bCs/>
                      <w:color w:val="auto"/>
                    </w:rPr>
                  </w:pPr>
                  <w:r>
                    <w:rPr>
                      <w:rFonts w:hint="default" w:ascii="Times New Roman" w:hAnsi="Times New Roman" w:cs="Times New Roman"/>
                      <w:b/>
                      <w:bCs/>
                      <w:color w:val="auto"/>
                    </w:rPr>
                    <w:t>污染物</w:t>
                  </w:r>
                </w:p>
              </w:tc>
              <w:tc>
                <w:tcPr>
                  <w:tcW w:w="2805"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b/>
                      <w:bCs/>
                      <w:color w:val="auto"/>
                    </w:rPr>
                  </w:pPr>
                  <w:r>
                    <w:rPr>
                      <w:rFonts w:hint="default" w:ascii="Times New Roman" w:hAnsi="Times New Roman" w:cs="Times New Roman"/>
                      <w:b/>
                      <w:bCs/>
                      <w:color w:val="auto"/>
                    </w:rPr>
                    <w:t>评价指标</w:t>
                  </w:r>
                </w:p>
              </w:tc>
              <w:tc>
                <w:tcPr>
                  <w:tcW w:w="1018"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b/>
                      <w:bCs/>
                      <w:color w:val="auto"/>
                    </w:rPr>
                  </w:pPr>
                  <w:r>
                    <w:rPr>
                      <w:rFonts w:hint="default" w:ascii="Times New Roman" w:hAnsi="Times New Roman" w:cs="Times New Roman"/>
                      <w:b/>
                      <w:bCs/>
                      <w:color w:val="auto"/>
                    </w:rPr>
                    <w:t>现状</w:t>
                  </w:r>
                </w:p>
                <w:p>
                  <w:pPr>
                    <w:pStyle w:val="67"/>
                    <w:rPr>
                      <w:rFonts w:hint="default" w:ascii="Times New Roman" w:hAnsi="Times New Roman" w:cs="Times New Roman"/>
                      <w:b/>
                      <w:bCs/>
                      <w:color w:val="auto"/>
                    </w:rPr>
                  </w:pPr>
                  <w:r>
                    <w:rPr>
                      <w:rFonts w:hint="default" w:ascii="Times New Roman" w:hAnsi="Times New Roman" w:cs="Times New Roman"/>
                      <w:b/>
                      <w:bCs/>
                      <w:color w:val="auto"/>
                    </w:rPr>
                    <w:t>浓度</w:t>
                  </w:r>
                </w:p>
              </w:tc>
              <w:tc>
                <w:tcPr>
                  <w:tcW w:w="1075"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b/>
                      <w:bCs/>
                      <w:color w:val="auto"/>
                    </w:rPr>
                  </w:pPr>
                  <w:r>
                    <w:rPr>
                      <w:rFonts w:hint="default" w:ascii="Times New Roman" w:hAnsi="Times New Roman" w:cs="Times New Roman"/>
                      <w:b/>
                      <w:bCs/>
                      <w:color w:val="auto"/>
                    </w:rPr>
                    <w:t>标准值</w:t>
                  </w:r>
                </w:p>
              </w:tc>
              <w:tc>
                <w:tcPr>
                  <w:tcW w:w="1105"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b/>
                      <w:bCs/>
                      <w:color w:val="auto"/>
                    </w:rPr>
                  </w:pPr>
                  <w:r>
                    <w:rPr>
                      <w:rFonts w:hint="default" w:ascii="Times New Roman" w:hAnsi="Times New Roman" w:cs="Times New Roman"/>
                      <w:b/>
                      <w:bCs/>
                      <w:color w:val="auto"/>
                    </w:rPr>
                    <w:t>占标率%</w:t>
                  </w:r>
                </w:p>
              </w:tc>
              <w:tc>
                <w:tcPr>
                  <w:tcW w:w="1120"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b/>
                      <w:bCs/>
                      <w:color w:val="auto"/>
                    </w:rPr>
                  </w:pPr>
                  <w:r>
                    <w:rPr>
                      <w:rFonts w:hint="default" w:ascii="Times New Roman" w:hAnsi="Times New Roman" w:cs="Times New Roman"/>
                      <w:b/>
                      <w:bCs/>
                      <w:color w:val="auto"/>
                    </w:rPr>
                    <w:t>达标情况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4"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bCs/>
                      <w:color w:val="auto"/>
                      <w:szCs w:val="21"/>
                    </w:rPr>
                    <w:t>PM</w:t>
                  </w:r>
                  <w:r>
                    <w:rPr>
                      <w:rFonts w:hint="default" w:ascii="Times New Roman" w:hAnsi="Times New Roman" w:cs="Times New Roman"/>
                      <w:bCs/>
                      <w:color w:val="auto"/>
                      <w:szCs w:val="21"/>
                      <w:vertAlign w:val="subscript"/>
                    </w:rPr>
                    <w:t>2.5</w:t>
                  </w:r>
                </w:p>
              </w:tc>
              <w:tc>
                <w:tcPr>
                  <w:tcW w:w="2805"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rPr>
                    <w:t>年平均质量浓度</w:t>
                  </w:r>
                </w:p>
              </w:tc>
              <w:tc>
                <w:tcPr>
                  <w:tcW w:w="1018"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rPr>
                    <w:t>33</w:t>
                  </w:r>
                </w:p>
              </w:tc>
              <w:tc>
                <w:tcPr>
                  <w:tcW w:w="1075"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szCs w:val="21"/>
                    </w:rPr>
                    <w:t>35</w:t>
                  </w:r>
                </w:p>
              </w:tc>
              <w:tc>
                <w:tcPr>
                  <w:tcW w:w="1105"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rPr>
                    <w:t>64.3</w:t>
                  </w:r>
                </w:p>
              </w:tc>
              <w:tc>
                <w:tcPr>
                  <w:tcW w:w="1120"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4"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szCs w:val="21"/>
                    </w:rPr>
                    <w:t>PM</w:t>
                  </w:r>
                  <w:r>
                    <w:rPr>
                      <w:rFonts w:hint="default" w:ascii="Times New Roman" w:hAnsi="Times New Roman" w:cs="Times New Roman"/>
                      <w:color w:val="auto"/>
                      <w:szCs w:val="21"/>
                      <w:vertAlign w:val="subscript"/>
                    </w:rPr>
                    <w:t>10</w:t>
                  </w:r>
                </w:p>
              </w:tc>
              <w:tc>
                <w:tcPr>
                  <w:tcW w:w="2805"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rPr>
                    <w:t>年平均质量浓度</w:t>
                  </w:r>
                </w:p>
              </w:tc>
              <w:tc>
                <w:tcPr>
                  <w:tcW w:w="1018"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rPr>
                    <w:t>45</w:t>
                  </w:r>
                </w:p>
              </w:tc>
              <w:tc>
                <w:tcPr>
                  <w:tcW w:w="1075"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szCs w:val="21"/>
                    </w:rPr>
                    <w:t>70</w:t>
                  </w:r>
                </w:p>
              </w:tc>
              <w:tc>
                <w:tcPr>
                  <w:tcW w:w="1105"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rPr>
                    <w:t>94.3</w:t>
                  </w:r>
                </w:p>
              </w:tc>
              <w:tc>
                <w:tcPr>
                  <w:tcW w:w="1120"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4"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szCs w:val="21"/>
                    </w:rPr>
                    <w:t>SO</w:t>
                  </w:r>
                  <w:r>
                    <w:rPr>
                      <w:rFonts w:hint="default" w:ascii="Times New Roman" w:hAnsi="Times New Roman" w:cs="Times New Roman"/>
                      <w:color w:val="auto"/>
                      <w:szCs w:val="21"/>
                      <w:vertAlign w:val="subscript"/>
                    </w:rPr>
                    <w:t>2</w:t>
                  </w:r>
                </w:p>
              </w:tc>
              <w:tc>
                <w:tcPr>
                  <w:tcW w:w="2805"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rPr>
                    <w:t>年平均质量浓度</w:t>
                  </w:r>
                </w:p>
              </w:tc>
              <w:tc>
                <w:tcPr>
                  <w:tcW w:w="1018"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rPr>
                    <w:t>7</w:t>
                  </w:r>
                </w:p>
              </w:tc>
              <w:tc>
                <w:tcPr>
                  <w:tcW w:w="1075"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szCs w:val="21"/>
                    </w:rPr>
                    <w:t>60</w:t>
                  </w:r>
                </w:p>
              </w:tc>
              <w:tc>
                <w:tcPr>
                  <w:tcW w:w="1105"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rPr>
                    <w:t>11.7</w:t>
                  </w:r>
                </w:p>
              </w:tc>
              <w:tc>
                <w:tcPr>
                  <w:tcW w:w="1120"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4"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szCs w:val="21"/>
                    </w:rPr>
                    <w:t>NO</w:t>
                  </w:r>
                  <w:r>
                    <w:rPr>
                      <w:rFonts w:hint="default" w:ascii="Times New Roman" w:hAnsi="Times New Roman" w:cs="Times New Roman"/>
                      <w:color w:val="auto"/>
                      <w:szCs w:val="21"/>
                      <w:vertAlign w:val="subscript"/>
                    </w:rPr>
                    <w:t>2</w:t>
                  </w:r>
                </w:p>
              </w:tc>
              <w:tc>
                <w:tcPr>
                  <w:tcW w:w="2805"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rPr>
                    <w:t>年平均质量浓度</w:t>
                  </w:r>
                </w:p>
              </w:tc>
              <w:tc>
                <w:tcPr>
                  <w:tcW w:w="1018"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rPr>
                    <w:t>13</w:t>
                  </w:r>
                </w:p>
              </w:tc>
              <w:tc>
                <w:tcPr>
                  <w:tcW w:w="1075"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szCs w:val="21"/>
                    </w:rPr>
                    <w:t>40</w:t>
                  </w:r>
                </w:p>
              </w:tc>
              <w:tc>
                <w:tcPr>
                  <w:tcW w:w="1105"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rPr>
                    <w:t>32.5</w:t>
                  </w:r>
                </w:p>
              </w:tc>
              <w:tc>
                <w:tcPr>
                  <w:tcW w:w="1120"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4"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bCs/>
                      <w:color w:val="auto"/>
                      <w:szCs w:val="21"/>
                    </w:rPr>
                    <w:t>CO</w:t>
                  </w:r>
                </w:p>
              </w:tc>
              <w:tc>
                <w:tcPr>
                  <w:tcW w:w="2805"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rPr>
                    <w:t>第95百分位数24h平均质量浓度</w:t>
                  </w:r>
                </w:p>
              </w:tc>
              <w:tc>
                <w:tcPr>
                  <w:tcW w:w="1018"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rPr>
                    <w:t>1000</w:t>
                  </w:r>
                </w:p>
              </w:tc>
              <w:tc>
                <w:tcPr>
                  <w:tcW w:w="1075"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szCs w:val="21"/>
                    </w:rPr>
                    <w:t>4000</w:t>
                  </w:r>
                </w:p>
              </w:tc>
              <w:tc>
                <w:tcPr>
                  <w:tcW w:w="1105"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rPr>
                    <w:t>25.0</w:t>
                  </w:r>
                </w:p>
              </w:tc>
              <w:tc>
                <w:tcPr>
                  <w:tcW w:w="1120"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4"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bCs/>
                      <w:color w:val="auto"/>
                      <w:szCs w:val="21"/>
                    </w:rPr>
                    <w:t>O</w:t>
                  </w:r>
                  <w:r>
                    <w:rPr>
                      <w:rFonts w:hint="default" w:ascii="Times New Roman" w:hAnsi="Times New Roman" w:cs="Times New Roman"/>
                      <w:bCs/>
                      <w:color w:val="auto"/>
                      <w:szCs w:val="21"/>
                      <w:vertAlign w:val="subscript"/>
                    </w:rPr>
                    <w:t>3</w:t>
                  </w:r>
                </w:p>
              </w:tc>
              <w:tc>
                <w:tcPr>
                  <w:tcW w:w="2805"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rPr>
                    <w:t>第90百分位数最大8h平均质量浓度</w:t>
                  </w:r>
                </w:p>
              </w:tc>
              <w:tc>
                <w:tcPr>
                  <w:tcW w:w="1018"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rPr>
                    <w:t>128</w:t>
                  </w:r>
                </w:p>
              </w:tc>
              <w:tc>
                <w:tcPr>
                  <w:tcW w:w="1075"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szCs w:val="21"/>
                    </w:rPr>
                    <w:t>160</w:t>
                  </w:r>
                </w:p>
              </w:tc>
              <w:tc>
                <w:tcPr>
                  <w:tcW w:w="1105"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rPr>
                    <w:t>80.0</w:t>
                  </w:r>
                </w:p>
              </w:tc>
              <w:tc>
                <w:tcPr>
                  <w:tcW w:w="1120"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rPr>
                    <w:t>是</w:t>
                  </w:r>
                </w:p>
              </w:tc>
            </w:tr>
          </w:tbl>
          <w:p>
            <w:pPr>
              <w:pStyle w:val="65"/>
              <w:ind w:firstLine="480"/>
              <w:rPr>
                <w:rFonts w:hint="default" w:ascii="Times New Roman" w:hAnsi="Times New Roman" w:cs="Times New Roman"/>
                <w:color w:val="auto"/>
              </w:rPr>
            </w:pPr>
            <w:r>
              <w:rPr>
                <w:rFonts w:hint="default" w:ascii="Times New Roman" w:hAnsi="Times New Roman" w:cs="Times New Roman"/>
                <w:color w:val="auto"/>
              </w:rPr>
              <w:t>根据上表监测结果分析：项目所在地的PM</w:t>
            </w:r>
            <w:r>
              <w:rPr>
                <w:rFonts w:hint="default" w:ascii="Times New Roman" w:hAnsi="Times New Roman" w:cs="Times New Roman"/>
                <w:color w:val="auto"/>
                <w:vertAlign w:val="subscript"/>
              </w:rPr>
              <w:t>10</w:t>
            </w:r>
            <w:r>
              <w:rPr>
                <w:rFonts w:hint="default" w:ascii="Times New Roman" w:hAnsi="Times New Roman" w:cs="Times New Roman"/>
                <w:color w:val="auto"/>
              </w:rPr>
              <w:t>、PM</w:t>
            </w:r>
            <w:r>
              <w:rPr>
                <w:rFonts w:hint="default" w:ascii="Times New Roman" w:hAnsi="Times New Roman" w:cs="Times New Roman"/>
                <w:color w:val="auto"/>
                <w:vertAlign w:val="subscript"/>
              </w:rPr>
              <w:t>2.5</w:t>
            </w:r>
            <w:r>
              <w:rPr>
                <w:rFonts w:hint="default" w:ascii="Times New Roman" w:hAnsi="Times New Roman" w:cs="Times New Roman"/>
                <w:color w:val="auto"/>
              </w:rPr>
              <w:t>、SO</w:t>
            </w:r>
            <w:r>
              <w:rPr>
                <w:rFonts w:hint="default" w:ascii="Times New Roman" w:hAnsi="Times New Roman" w:cs="Times New Roman"/>
                <w:color w:val="auto"/>
                <w:vertAlign w:val="subscript"/>
              </w:rPr>
              <w:t>2</w:t>
            </w:r>
            <w:r>
              <w:rPr>
                <w:rFonts w:hint="default" w:ascii="Times New Roman" w:hAnsi="Times New Roman" w:cs="Times New Roman"/>
                <w:color w:val="auto"/>
              </w:rPr>
              <w:t>、NO</w:t>
            </w:r>
            <w:r>
              <w:rPr>
                <w:rFonts w:hint="default" w:ascii="Times New Roman" w:hAnsi="Times New Roman" w:cs="Times New Roman"/>
                <w:color w:val="auto"/>
                <w:vertAlign w:val="subscript"/>
              </w:rPr>
              <w:t>2</w:t>
            </w:r>
            <w:r>
              <w:rPr>
                <w:rFonts w:hint="default" w:ascii="Times New Roman" w:hAnsi="Times New Roman" w:cs="Times New Roman"/>
                <w:color w:val="auto"/>
              </w:rPr>
              <w:t>、O</w:t>
            </w:r>
            <w:r>
              <w:rPr>
                <w:rFonts w:hint="default" w:ascii="Times New Roman" w:hAnsi="Times New Roman" w:cs="Times New Roman"/>
                <w:color w:val="auto"/>
                <w:vertAlign w:val="subscript"/>
              </w:rPr>
              <w:t>3</w:t>
            </w:r>
            <w:r>
              <w:rPr>
                <w:rFonts w:hint="default" w:ascii="Times New Roman" w:hAnsi="Times New Roman" w:cs="Times New Roman"/>
                <w:color w:val="auto"/>
              </w:rPr>
              <w:t>、CO年平均浓度值符合《环境空气质量标准》（GB3095-2012）中二级标准要求，区域环境空气</w:t>
            </w:r>
            <w:r>
              <w:rPr>
                <w:rFonts w:hint="eastAsia" w:cs="Times New Roman"/>
                <w:color w:val="auto"/>
                <w:lang w:eastAsia="zh-CN"/>
              </w:rPr>
              <w:t>质量现状</w:t>
            </w:r>
            <w:r>
              <w:rPr>
                <w:rFonts w:hint="default" w:ascii="Times New Roman" w:hAnsi="Times New Roman" w:cs="Times New Roman"/>
                <w:color w:val="auto"/>
              </w:rPr>
              <w:t>为达标区。</w:t>
            </w:r>
          </w:p>
          <w:p>
            <w:pPr>
              <w:pStyle w:val="65"/>
              <w:ind w:firstLine="480"/>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2、地表水环境质量现状</w:t>
            </w:r>
          </w:p>
          <w:p>
            <w:pPr>
              <w:pStyle w:val="65"/>
              <w:ind w:firstLine="480"/>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根据《建设项目环境影响报告表编制技术指南》（2021年版），地表水环境质量现状调查可引用与建设项目距离近的有效数据，包括近3年的规划环境影响评价的监测数据，所在流域控制单元内国家、地方控制断面监测数据，生态环境主管部门发布的水环境质量数据或地表水达标情况的结论。为了解项目区域地表水环境质量现状，本次评价引用湖南省生态环境厅发布的2023年1月~12月藕池河东支（东）三个省控断面数据（白莲村、团洲、禹九村），评价结果如下：</w:t>
            </w:r>
          </w:p>
          <w:p>
            <w:pPr>
              <w:pStyle w:val="66"/>
              <w:keepNext w:val="0"/>
              <w:keepLines w:val="0"/>
              <w:pageBreakBefore w:val="0"/>
              <w:widowControl w:val="0"/>
              <w:kinsoku/>
              <w:wordWrap/>
              <w:overflowPunct/>
              <w:topLinePunct w:val="0"/>
              <w:autoSpaceDE/>
              <w:autoSpaceDN/>
              <w:bidi w:val="0"/>
              <w:adjustRightInd/>
              <w:snapToGrid/>
              <w:spacing w:beforeLines="0"/>
              <w:textAlignment w:val="auto"/>
              <w:rPr>
                <w:rFonts w:hint="default" w:ascii="Times New Roman" w:hAnsi="Times New Roman" w:cs="Times New Roman"/>
                <w:color w:val="auto"/>
                <w:highlight w:val="none"/>
              </w:rPr>
            </w:pPr>
          </w:p>
          <w:p>
            <w:pPr>
              <w:pStyle w:val="66"/>
              <w:keepNext w:val="0"/>
              <w:keepLines w:val="0"/>
              <w:pageBreakBefore w:val="0"/>
              <w:widowControl w:val="0"/>
              <w:kinsoku/>
              <w:wordWrap/>
              <w:overflowPunct/>
              <w:topLinePunct w:val="0"/>
              <w:autoSpaceDE/>
              <w:autoSpaceDN/>
              <w:bidi w:val="0"/>
              <w:adjustRightInd/>
              <w:snapToGrid/>
              <w:spacing w:beforeLines="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表3-2  地表水环境质量现状评价结果表</w:t>
            </w:r>
          </w:p>
          <w:tbl>
            <w:tblPr>
              <w:tblStyle w:val="23"/>
              <w:tblW w:w="4995" w:type="pct"/>
              <w:tblInd w:w="-1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59"/>
              <w:gridCol w:w="462"/>
              <w:gridCol w:w="430"/>
              <w:gridCol w:w="462"/>
              <w:gridCol w:w="462"/>
              <w:gridCol w:w="503"/>
              <w:gridCol w:w="503"/>
              <w:gridCol w:w="524"/>
              <w:gridCol w:w="430"/>
              <w:gridCol w:w="483"/>
              <w:gridCol w:w="524"/>
              <w:gridCol w:w="467"/>
              <w:gridCol w:w="440"/>
              <w:gridCol w:w="68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82" w:type="pct"/>
                  <w:tcBorders>
                    <w:tl2br w:val="nil"/>
                    <w:tr2bl w:val="nil"/>
                  </w:tcBorders>
                  <w:noWrap w:val="0"/>
                  <w:vAlign w:val="center"/>
                </w:tcPr>
                <w:p>
                  <w:pPr>
                    <w:pStyle w:val="67"/>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断面</w:t>
                  </w:r>
                </w:p>
              </w:tc>
              <w:tc>
                <w:tcPr>
                  <w:tcW w:w="291"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1月</w:t>
                  </w:r>
                </w:p>
              </w:tc>
              <w:tc>
                <w:tcPr>
                  <w:tcW w:w="270"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2月</w:t>
                  </w:r>
                </w:p>
              </w:tc>
              <w:tc>
                <w:tcPr>
                  <w:tcW w:w="291"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3月</w:t>
                  </w:r>
                </w:p>
              </w:tc>
              <w:tc>
                <w:tcPr>
                  <w:tcW w:w="291"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4月</w:t>
                  </w:r>
                </w:p>
              </w:tc>
              <w:tc>
                <w:tcPr>
                  <w:tcW w:w="317"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5月</w:t>
                  </w:r>
                </w:p>
              </w:tc>
              <w:tc>
                <w:tcPr>
                  <w:tcW w:w="317"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6月</w:t>
                  </w:r>
                </w:p>
              </w:tc>
              <w:tc>
                <w:tcPr>
                  <w:tcW w:w="330"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7月</w:t>
                  </w:r>
                </w:p>
              </w:tc>
              <w:tc>
                <w:tcPr>
                  <w:tcW w:w="270"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8月</w:t>
                  </w:r>
                </w:p>
              </w:tc>
              <w:tc>
                <w:tcPr>
                  <w:tcW w:w="304"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9月</w:t>
                  </w:r>
                </w:p>
              </w:tc>
              <w:tc>
                <w:tcPr>
                  <w:tcW w:w="330"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10月</w:t>
                  </w:r>
                </w:p>
              </w:tc>
              <w:tc>
                <w:tcPr>
                  <w:tcW w:w="294"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11月</w:t>
                  </w:r>
                </w:p>
              </w:tc>
              <w:tc>
                <w:tcPr>
                  <w:tcW w:w="276"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12月</w:t>
                  </w:r>
                </w:p>
              </w:tc>
              <w:tc>
                <w:tcPr>
                  <w:tcW w:w="432"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63" w:hRule="atLeast"/>
              </w:trPr>
              <w:tc>
                <w:tcPr>
                  <w:tcW w:w="982" w:type="pct"/>
                  <w:tcBorders>
                    <w:tl2br w:val="nil"/>
                    <w:tr2bl w:val="nil"/>
                  </w:tcBorders>
                  <w:noWrap w:val="0"/>
                  <w:vAlign w:val="center"/>
                </w:tcPr>
                <w:p>
                  <w:pPr>
                    <w:pStyle w:val="67"/>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藕池河东支（东）-白莲村</w:t>
                  </w:r>
                </w:p>
              </w:tc>
              <w:tc>
                <w:tcPr>
                  <w:tcW w:w="291"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270"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291"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291"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317"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317"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330"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270"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304"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330"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294"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276"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432"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82" w:type="pct"/>
                  <w:tcBorders>
                    <w:tl2br w:val="nil"/>
                    <w:tr2bl w:val="nil"/>
                  </w:tcBorders>
                  <w:noWrap w:val="0"/>
                  <w:vAlign w:val="center"/>
                </w:tcPr>
                <w:p>
                  <w:pPr>
                    <w:pStyle w:val="67"/>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藕池河东支（东）-团洲</w:t>
                  </w:r>
                </w:p>
              </w:tc>
              <w:tc>
                <w:tcPr>
                  <w:tcW w:w="291"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270"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291"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291"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317"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317"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330"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270"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304"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330"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294"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276"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432"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82" w:type="pct"/>
                  <w:tcBorders>
                    <w:tl2br w:val="nil"/>
                    <w:tr2bl w:val="nil"/>
                  </w:tcBorders>
                  <w:noWrap w:val="0"/>
                  <w:vAlign w:val="center"/>
                </w:tcPr>
                <w:p>
                  <w:pPr>
                    <w:pStyle w:val="67"/>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藕池河东支（东）-禹九村</w:t>
                  </w:r>
                </w:p>
              </w:tc>
              <w:tc>
                <w:tcPr>
                  <w:tcW w:w="291"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270"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291"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291"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317"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317"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330"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270"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304"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330"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294"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276"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432"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r>
          </w:tbl>
          <w:p>
            <w:pPr>
              <w:pStyle w:val="65"/>
              <w:spacing w:before="156"/>
              <w:ind w:firstLine="480"/>
              <w:rPr>
                <w:rFonts w:hint="default" w:ascii="Times New Roman" w:hAnsi="Times New Roman" w:cs="Times New Roman"/>
                <w:color w:val="auto"/>
              </w:rPr>
            </w:pPr>
            <w:r>
              <w:rPr>
                <w:rFonts w:hint="default" w:ascii="Times New Roman" w:hAnsi="Times New Roman" w:cs="Times New Roman"/>
                <w:color w:val="auto"/>
                <w:highlight w:val="none"/>
              </w:rPr>
              <w:t>由上表监测结果可知，藕池河东支三个监测断面2023年均能满足</w:t>
            </w:r>
            <w:r>
              <w:rPr>
                <w:rFonts w:hint="default" w:ascii="Times New Roman" w:hAnsi="Times New Roman" w:cs="Times New Roman"/>
                <w:color w:val="auto"/>
                <w:kern w:val="0"/>
                <w:highlight w:val="none"/>
              </w:rPr>
              <w:t>《地表水环境质量标准》（GB3838-2002）中Ⅲ类标准，地表水环境质量现</w:t>
            </w:r>
            <w:r>
              <w:rPr>
                <w:rFonts w:hint="default" w:ascii="Times New Roman" w:hAnsi="Times New Roman" w:cs="Times New Roman"/>
                <w:color w:val="auto"/>
                <w:kern w:val="0"/>
              </w:rPr>
              <w:t>状较好。</w:t>
            </w:r>
          </w:p>
          <w:p>
            <w:pPr>
              <w:pStyle w:val="65"/>
              <w:ind w:firstLine="480"/>
              <w:rPr>
                <w:rFonts w:hint="default" w:ascii="Times New Roman" w:hAnsi="Times New Roman" w:cs="Times New Roman"/>
                <w:b/>
                <w:bCs/>
                <w:color w:val="auto"/>
              </w:rPr>
            </w:pPr>
            <w:r>
              <w:rPr>
                <w:rFonts w:hint="default" w:ascii="Times New Roman" w:hAnsi="Times New Roman" w:cs="Times New Roman"/>
                <w:b/>
                <w:bCs/>
                <w:color w:val="auto"/>
              </w:rPr>
              <w:t>3、声环境质量现状</w:t>
            </w:r>
          </w:p>
          <w:p>
            <w:pPr>
              <w:pStyle w:val="65"/>
              <w:ind w:firstLine="48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根据现场勘查</w:t>
            </w:r>
            <w:r>
              <w:rPr>
                <w:rFonts w:hint="eastAsia" w:cs="Times New Roman"/>
                <w:color w:val="auto"/>
                <w:lang w:val="en-US" w:eastAsia="zh-CN"/>
              </w:rPr>
              <w:t>，本</w:t>
            </w:r>
            <w:r>
              <w:rPr>
                <w:rFonts w:hint="eastAsia" w:ascii="Times New Roman" w:hAnsi="Times New Roman" w:cs="Times New Roman"/>
                <w:color w:val="auto"/>
                <w:lang w:val="en-US" w:eastAsia="zh-CN"/>
              </w:rPr>
              <w:t>项目对其四个</w:t>
            </w:r>
            <w:r>
              <w:rPr>
                <w:rFonts w:hint="eastAsia" w:cs="Times New Roman"/>
                <w:color w:val="auto"/>
                <w:lang w:val="en-US" w:eastAsia="zh-CN"/>
              </w:rPr>
              <w:t>方向上最近敏感点</w:t>
            </w:r>
            <w:r>
              <w:rPr>
                <w:rFonts w:hint="eastAsia" w:ascii="Times New Roman" w:hAnsi="Times New Roman" w:cs="Times New Roman"/>
                <w:color w:val="auto"/>
                <w:lang w:val="en-US" w:eastAsia="zh-CN"/>
              </w:rPr>
              <w:t>处进行了噪声现状监测</w:t>
            </w:r>
            <w:r>
              <w:rPr>
                <w:rFonts w:hint="default" w:ascii="Times New Roman" w:hAnsi="Times New Roman" w:cs="Times New Roman"/>
                <w:color w:val="auto"/>
              </w:rPr>
              <w:t>。</w:t>
            </w:r>
            <w:r>
              <w:rPr>
                <w:rFonts w:hint="default" w:ascii="Times New Roman" w:hAnsi="Times New Roman" w:cs="Times New Roman"/>
                <w:color w:val="auto"/>
                <w:lang w:val="en-US" w:eastAsia="zh-CN"/>
              </w:rPr>
              <w:t>监测结果详见下表</w:t>
            </w:r>
            <w:r>
              <w:rPr>
                <w:rFonts w:hint="eastAsia" w:cs="Times New Roman"/>
                <w:color w:val="auto"/>
                <w:lang w:val="en-US" w:eastAsia="zh-CN"/>
              </w:rPr>
              <w:t>3-3所示</w:t>
            </w:r>
            <w:r>
              <w:rPr>
                <w:rFonts w:hint="default" w:ascii="Times New Roman" w:hAnsi="Times New Roman" w:cs="Times New Roman"/>
                <w:color w:val="auto"/>
                <w:lang w:val="en-US" w:eastAsia="zh-CN"/>
              </w:rPr>
              <w:t>。</w:t>
            </w:r>
          </w:p>
          <w:p>
            <w:pPr>
              <w:pStyle w:val="66"/>
              <w:keepNext w:val="0"/>
              <w:keepLines w:val="0"/>
              <w:pageBreakBefore w:val="0"/>
              <w:widowControl w:val="0"/>
              <w:kinsoku/>
              <w:wordWrap/>
              <w:overflowPunct/>
              <w:topLinePunct w:val="0"/>
              <w:autoSpaceDE/>
              <w:autoSpaceDN/>
              <w:bidi w:val="0"/>
              <w:adjustRightInd/>
              <w:snapToGrid/>
              <w:spacing w:beforeLines="0"/>
              <w:textAlignment w:val="auto"/>
              <w:rPr>
                <w:rFonts w:hint="default" w:ascii="Times New Roman" w:hAnsi="Times New Roman" w:cs="Times New Roman"/>
                <w:color w:val="auto"/>
                <w:highlight w:val="none"/>
              </w:rPr>
            </w:pPr>
            <w:r>
              <w:rPr>
                <w:rFonts w:hint="default" w:ascii="Times New Roman" w:hAnsi="Times New Roman" w:eastAsia="宋体" w:cs="Times New Roman"/>
                <w:color w:val="auto"/>
                <w:highlight w:val="none"/>
                <w:lang w:val="en-US" w:eastAsia="zh-CN"/>
              </w:rPr>
              <w:t>表</w:t>
            </w:r>
            <w:r>
              <w:rPr>
                <w:rFonts w:hint="default" w:ascii="Times New Roman" w:hAnsi="Times New Roman" w:eastAsia="宋体" w:cs="Times New Roman"/>
                <w:color w:val="auto"/>
                <w:highlight w:val="none"/>
              </w:rPr>
              <w:t>3-</w:t>
            </w:r>
            <w:r>
              <w:rPr>
                <w:rFonts w:hint="default" w:ascii="Times New Roman" w:hAnsi="Times New Roman" w:eastAsia="宋体" w:cs="Times New Roman"/>
                <w:color w:val="auto"/>
                <w:highlight w:val="none"/>
                <w:lang w:val="en-US" w:eastAsia="zh-CN"/>
              </w:rPr>
              <w:t>3</w:t>
            </w:r>
            <w:r>
              <w:rPr>
                <w:rFonts w:hint="default" w:ascii="Times New Roman" w:hAnsi="Times New Roman" w:eastAsia="宋体" w:cs="Times New Roman"/>
                <w:color w:val="auto"/>
                <w:highlight w:val="none"/>
              </w:rPr>
              <w:t xml:space="preserve">  </w:t>
            </w:r>
            <w:r>
              <w:rPr>
                <w:rFonts w:hint="default" w:ascii="Times New Roman" w:hAnsi="Times New Roman" w:eastAsia="宋体" w:cs="Times New Roman"/>
                <w:color w:val="auto"/>
                <w:highlight w:val="none"/>
                <w:lang w:val="en-US" w:eastAsia="zh-CN"/>
              </w:rPr>
              <w:t xml:space="preserve"> 声</w:t>
            </w:r>
            <w:r>
              <w:rPr>
                <w:rFonts w:hint="default" w:ascii="Times New Roman" w:hAnsi="Times New Roman" w:eastAsia="宋体" w:cs="Times New Roman"/>
                <w:color w:val="auto"/>
                <w:highlight w:val="none"/>
              </w:rPr>
              <w:t>环</w:t>
            </w:r>
            <w:r>
              <w:rPr>
                <w:rFonts w:hint="default" w:ascii="Times New Roman" w:hAnsi="Times New Roman" w:cs="Times New Roman"/>
                <w:color w:val="auto"/>
                <w:highlight w:val="none"/>
              </w:rPr>
              <w:t>境质量现状评价结果表</w:t>
            </w:r>
          </w:p>
          <w:tbl>
            <w:tblPr>
              <w:tblStyle w:val="69"/>
              <w:tblW w:w="7937"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672"/>
              <w:gridCol w:w="1204"/>
              <w:gridCol w:w="1825"/>
              <w:gridCol w:w="1031"/>
              <w:gridCol w:w="1319"/>
              <w:gridCol w:w="994"/>
              <w:gridCol w:w="892"/>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tcBorders>
                    <w:tl2br w:val="nil"/>
                    <w:tr2bl w:val="nil"/>
                  </w:tcBorders>
                  <w:noWrap w:val="0"/>
                  <w:vAlign w:val="center"/>
                </w:tcPr>
                <w:p>
                  <w:pPr>
                    <w:pStyle w:val="67"/>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检测类别</w:t>
                  </w:r>
                </w:p>
              </w:tc>
              <w:tc>
                <w:tcPr>
                  <w:tcW w:w="1204" w:type="dxa"/>
                  <w:tcBorders>
                    <w:tl2br w:val="nil"/>
                    <w:tr2bl w:val="nil"/>
                  </w:tcBorders>
                  <w:noWrap w:val="0"/>
                  <w:vAlign w:val="center"/>
                </w:tcPr>
                <w:p>
                  <w:pPr>
                    <w:pStyle w:val="67"/>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采样日期</w:t>
                  </w:r>
                </w:p>
              </w:tc>
              <w:tc>
                <w:tcPr>
                  <w:tcW w:w="1825" w:type="dxa"/>
                  <w:tcBorders>
                    <w:tl2br w:val="nil"/>
                    <w:tr2bl w:val="nil"/>
                  </w:tcBorders>
                  <w:noWrap w:val="0"/>
                  <w:vAlign w:val="center"/>
                </w:tcPr>
                <w:p>
                  <w:pPr>
                    <w:pStyle w:val="67"/>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检测点位</w:t>
                  </w:r>
                </w:p>
              </w:tc>
              <w:tc>
                <w:tcPr>
                  <w:tcW w:w="1031" w:type="dxa"/>
                  <w:tcBorders>
                    <w:tl2br w:val="nil"/>
                    <w:tr2bl w:val="nil"/>
                  </w:tcBorders>
                  <w:noWrap w:val="0"/>
                  <w:vAlign w:val="center"/>
                </w:tcPr>
                <w:p>
                  <w:pPr>
                    <w:pStyle w:val="67"/>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检测时段</w:t>
                  </w:r>
                </w:p>
              </w:tc>
              <w:tc>
                <w:tcPr>
                  <w:tcW w:w="1319" w:type="dxa"/>
                  <w:tcBorders>
                    <w:tl2br w:val="nil"/>
                    <w:tr2bl w:val="nil"/>
                  </w:tcBorders>
                  <w:noWrap w:val="0"/>
                  <w:vAlign w:val="center"/>
                </w:tcPr>
                <w:p>
                  <w:pPr>
                    <w:pStyle w:val="67"/>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检测结果</w:t>
                  </w:r>
                </w:p>
              </w:tc>
              <w:tc>
                <w:tcPr>
                  <w:tcW w:w="994" w:type="dxa"/>
                  <w:tcBorders>
                    <w:tl2br w:val="nil"/>
                    <w:tr2bl w:val="nil"/>
                  </w:tcBorders>
                  <w:noWrap w:val="0"/>
                  <w:vAlign w:val="center"/>
                </w:tcPr>
                <w:p>
                  <w:pPr>
                    <w:pStyle w:val="67"/>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参考限值</w:t>
                  </w:r>
                </w:p>
              </w:tc>
              <w:tc>
                <w:tcPr>
                  <w:tcW w:w="892" w:type="dxa"/>
                  <w:tcBorders>
                    <w:tl2br w:val="nil"/>
                    <w:tr2bl w:val="nil"/>
                  </w:tcBorders>
                  <w:noWrap w:val="0"/>
                  <w:vAlign w:val="center"/>
                </w:tcPr>
                <w:p>
                  <w:pPr>
                    <w:pStyle w:val="67"/>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单位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7" w:hRule="atLeast"/>
                <w:jc w:val="center"/>
              </w:trPr>
              <w:tc>
                <w:tcPr>
                  <w:tcW w:w="672" w:type="dxa"/>
                  <w:vMerge w:val="restart"/>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噪声</w:t>
                  </w:r>
                </w:p>
              </w:tc>
              <w:tc>
                <w:tcPr>
                  <w:tcW w:w="1204" w:type="dxa"/>
                  <w:vMerge w:val="restart"/>
                  <w:tcBorders>
                    <w:tl2br w:val="nil"/>
                    <w:tr2bl w:val="nil"/>
                  </w:tcBorders>
                  <w:noWrap w:val="0"/>
                  <w:vAlign w:val="center"/>
                </w:tcPr>
                <w:p>
                  <w:pPr>
                    <w:pStyle w:val="67"/>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202</w:t>
                  </w:r>
                  <w:r>
                    <w:rPr>
                      <w:rFonts w:hint="default" w:ascii="Times New Roman" w:hAnsi="Times New Roman" w:eastAsia="宋体" w:cs="Times New Roman"/>
                      <w:color w:val="auto"/>
                      <w:highlight w:val="none"/>
                      <w:lang w:val="en-US" w:eastAsia="zh-CN"/>
                    </w:rPr>
                    <w:t>5</w:t>
                  </w:r>
                  <w:r>
                    <w:rPr>
                      <w:rFonts w:hint="default" w:ascii="Times New Roman" w:hAnsi="Times New Roman" w:eastAsia="宋体" w:cs="Times New Roman"/>
                      <w:color w:val="auto"/>
                      <w:highlight w:val="none"/>
                    </w:rPr>
                    <w:t>-</w:t>
                  </w:r>
                  <w:r>
                    <w:rPr>
                      <w:rFonts w:hint="default" w:ascii="Times New Roman" w:hAnsi="Times New Roman" w:eastAsia="宋体" w:cs="Times New Roman"/>
                      <w:color w:val="auto"/>
                      <w:highlight w:val="none"/>
                      <w:lang w:val="en-US" w:eastAsia="zh-CN"/>
                    </w:rPr>
                    <w:t>0</w:t>
                  </w:r>
                  <w:r>
                    <w:rPr>
                      <w:rFonts w:hint="eastAsia" w:ascii="Times New Roman" w:hAnsi="Times New Roman" w:cs="Times New Roman"/>
                      <w:color w:val="auto"/>
                      <w:highlight w:val="none"/>
                      <w:lang w:val="en-US" w:eastAsia="zh-CN"/>
                    </w:rPr>
                    <w:t>4</w:t>
                  </w:r>
                  <w:r>
                    <w:rPr>
                      <w:rFonts w:hint="default" w:ascii="Times New Roman" w:hAnsi="Times New Roman" w:eastAsia="宋体" w:cs="Times New Roman"/>
                      <w:color w:val="auto"/>
                      <w:highlight w:val="none"/>
                    </w:rPr>
                    <w:t>-</w:t>
                  </w:r>
                  <w:r>
                    <w:rPr>
                      <w:rFonts w:hint="default" w:ascii="Times New Roman" w:hAnsi="Times New Roman" w:eastAsia="宋体" w:cs="Times New Roman"/>
                      <w:color w:val="auto"/>
                      <w:highlight w:val="none"/>
                      <w:lang w:val="en-US" w:eastAsia="zh-CN"/>
                    </w:rPr>
                    <w:t>04</w:t>
                  </w:r>
                </w:p>
              </w:tc>
              <w:tc>
                <w:tcPr>
                  <w:tcW w:w="1825" w:type="dxa"/>
                  <w:vMerge w:val="restart"/>
                  <w:tcBorders>
                    <w:tl2br w:val="nil"/>
                    <w:tr2bl w:val="nil"/>
                  </w:tcBorders>
                  <w:noWrap w:val="0"/>
                  <w:vAlign w:val="center"/>
                </w:tcPr>
                <w:p>
                  <w:pPr>
                    <w:pStyle w:val="67"/>
                    <w:jc w:val="center"/>
                    <w:rPr>
                      <w:rFonts w:hint="default" w:ascii="Times New Roman" w:hAnsi="Times New Roman" w:eastAsia="宋体" w:cs="Times New Roman"/>
                      <w:color w:val="auto"/>
                      <w:highlight w:val="none"/>
                      <w:lang w:val="en-US" w:eastAsia="en-US"/>
                    </w:rPr>
                  </w:pPr>
                  <w:r>
                    <w:rPr>
                      <w:rFonts w:hint="default" w:ascii="Times New Roman" w:hAnsi="Times New Roman" w:eastAsia="宋体" w:cs="Times New Roman"/>
                      <w:color w:val="auto"/>
                      <w:highlight w:val="none"/>
                      <w:lang w:val="en-US" w:eastAsia="zh-CN"/>
                    </w:rPr>
                    <w:t>厂区</w:t>
                  </w:r>
                  <w:r>
                    <w:rPr>
                      <w:rFonts w:hint="eastAsia" w:cs="Times New Roman"/>
                      <w:color w:val="auto"/>
                      <w:highlight w:val="none"/>
                      <w:lang w:val="en-US" w:eastAsia="zh-CN"/>
                    </w:rPr>
                    <w:t>东</w:t>
                  </w:r>
                  <w:r>
                    <w:rPr>
                      <w:rFonts w:hint="default" w:ascii="Times New Roman" w:hAnsi="Times New Roman" w:eastAsia="宋体" w:cs="Times New Roman"/>
                      <w:color w:val="auto"/>
                      <w:highlight w:val="none"/>
                      <w:lang w:val="en-US" w:eastAsia="zh-CN"/>
                    </w:rPr>
                    <w:t>侧敏感点</w:t>
                  </w:r>
                </w:p>
              </w:tc>
              <w:tc>
                <w:tcPr>
                  <w:tcW w:w="1031" w:type="dxa"/>
                  <w:tcBorders>
                    <w:tl2br w:val="nil"/>
                    <w:tr2bl w:val="nil"/>
                  </w:tcBorders>
                  <w:noWrap w:val="0"/>
                  <w:vAlign w:val="center"/>
                </w:tcPr>
                <w:p>
                  <w:pPr>
                    <w:pStyle w:val="67"/>
                    <w:jc w:val="center"/>
                    <w:rPr>
                      <w:rFonts w:hint="default" w:ascii="Times New Roman" w:hAnsi="Times New Roman" w:eastAsia="宋体" w:cs="Times New Roman"/>
                      <w:color w:val="auto"/>
                      <w:highlight w:val="none"/>
                      <w:lang w:val="en-US" w:eastAsia="en-US"/>
                    </w:rPr>
                  </w:pPr>
                  <w:r>
                    <w:rPr>
                      <w:rFonts w:hint="default" w:ascii="Times New Roman" w:hAnsi="Times New Roman" w:eastAsia="宋体" w:cs="Times New Roman"/>
                      <w:color w:val="auto"/>
                      <w:highlight w:val="none"/>
                      <w:lang w:val="en-US" w:eastAsia="en-US"/>
                    </w:rPr>
                    <w:t>昼间</w:t>
                  </w:r>
                </w:p>
              </w:tc>
              <w:tc>
                <w:tcPr>
                  <w:tcW w:w="1319" w:type="dxa"/>
                  <w:tcBorders>
                    <w:tl2br w:val="nil"/>
                    <w:tr2bl w:val="nil"/>
                  </w:tcBorders>
                  <w:noWrap w:val="0"/>
                  <w:vAlign w:val="center"/>
                </w:tcPr>
                <w:p>
                  <w:pPr>
                    <w:pStyle w:val="67"/>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56</w:t>
                  </w:r>
                </w:p>
              </w:tc>
              <w:tc>
                <w:tcPr>
                  <w:tcW w:w="994" w:type="dxa"/>
                  <w:tcBorders>
                    <w:tl2br w:val="nil"/>
                    <w:tr2bl w:val="nil"/>
                  </w:tcBorders>
                  <w:noWrap w:val="0"/>
                  <w:vAlign w:val="center"/>
                </w:tcPr>
                <w:p>
                  <w:pPr>
                    <w:pStyle w:val="67"/>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60</w:t>
                  </w:r>
                </w:p>
              </w:tc>
              <w:tc>
                <w:tcPr>
                  <w:tcW w:w="892" w:type="dxa"/>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dB（A）</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p>
              </w:tc>
              <w:tc>
                <w:tcPr>
                  <w:tcW w:w="1204"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p>
              </w:tc>
              <w:tc>
                <w:tcPr>
                  <w:tcW w:w="1825"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lang w:val="en-US" w:eastAsia="en-US"/>
                    </w:rPr>
                  </w:pPr>
                </w:p>
              </w:tc>
              <w:tc>
                <w:tcPr>
                  <w:tcW w:w="1031" w:type="dxa"/>
                  <w:tcBorders>
                    <w:tl2br w:val="nil"/>
                    <w:tr2bl w:val="nil"/>
                  </w:tcBorders>
                  <w:noWrap w:val="0"/>
                  <w:vAlign w:val="center"/>
                </w:tcPr>
                <w:p>
                  <w:pPr>
                    <w:pStyle w:val="67"/>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夜</w:t>
                  </w:r>
                  <w:r>
                    <w:rPr>
                      <w:rFonts w:hint="default" w:ascii="Times New Roman" w:hAnsi="Times New Roman" w:eastAsia="宋体" w:cs="Times New Roman"/>
                      <w:color w:val="auto"/>
                      <w:highlight w:val="none"/>
                      <w:lang w:val="en-US" w:eastAsia="en-US"/>
                    </w:rPr>
                    <w:t>间</w:t>
                  </w:r>
                </w:p>
              </w:tc>
              <w:tc>
                <w:tcPr>
                  <w:tcW w:w="1319" w:type="dxa"/>
                  <w:tcBorders>
                    <w:tl2br w:val="nil"/>
                    <w:tr2bl w:val="nil"/>
                  </w:tcBorders>
                  <w:noWrap w:val="0"/>
                  <w:vAlign w:val="center"/>
                </w:tcPr>
                <w:p>
                  <w:pPr>
                    <w:pStyle w:val="67"/>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50</w:t>
                  </w:r>
                </w:p>
              </w:tc>
              <w:tc>
                <w:tcPr>
                  <w:tcW w:w="994" w:type="dxa"/>
                  <w:tcBorders>
                    <w:tl2br w:val="nil"/>
                    <w:tr2bl w:val="nil"/>
                  </w:tcBorders>
                  <w:noWrap w:val="0"/>
                  <w:vAlign w:val="center"/>
                </w:tcPr>
                <w:p>
                  <w:pPr>
                    <w:pStyle w:val="67"/>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50</w:t>
                  </w:r>
                </w:p>
              </w:tc>
              <w:tc>
                <w:tcPr>
                  <w:tcW w:w="892" w:type="dxa"/>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dB（A）</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p>
              </w:tc>
              <w:tc>
                <w:tcPr>
                  <w:tcW w:w="1204"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p>
              </w:tc>
              <w:tc>
                <w:tcPr>
                  <w:tcW w:w="1825" w:type="dxa"/>
                  <w:vMerge w:val="restart"/>
                  <w:tcBorders>
                    <w:tl2br w:val="nil"/>
                    <w:tr2bl w:val="nil"/>
                  </w:tcBorders>
                  <w:noWrap w:val="0"/>
                  <w:vAlign w:val="center"/>
                </w:tcPr>
                <w:p>
                  <w:pPr>
                    <w:pStyle w:val="67"/>
                    <w:jc w:val="center"/>
                    <w:rPr>
                      <w:rFonts w:hint="default" w:ascii="Times New Roman" w:hAnsi="Times New Roman" w:eastAsia="宋体" w:cs="Times New Roman"/>
                      <w:color w:val="auto"/>
                      <w:highlight w:val="none"/>
                      <w:lang w:val="en-US" w:eastAsia="en-US"/>
                    </w:rPr>
                  </w:pPr>
                  <w:r>
                    <w:rPr>
                      <w:rFonts w:hint="default" w:ascii="Times New Roman" w:hAnsi="Times New Roman" w:eastAsia="宋体" w:cs="Times New Roman"/>
                      <w:color w:val="auto"/>
                      <w:highlight w:val="none"/>
                      <w:lang w:val="en-US" w:eastAsia="zh-CN"/>
                    </w:rPr>
                    <w:t>厂区</w:t>
                  </w:r>
                  <w:r>
                    <w:rPr>
                      <w:rFonts w:hint="eastAsia" w:cs="Times New Roman"/>
                      <w:color w:val="auto"/>
                      <w:highlight w:val="none"/>
                      <w:lang w:val="en-US" w:eastAsia="zh-CN"/>
                    </w:rPr>
                    <w:t>南</w:t>
                  </w:r>
                  <w:r>
                    <w:rPr>
                      <w:rFonts w:hint="default" w:ascii="Times New Roman" w:hAnsi="Times New Roman" w:eastAsia="宋体" w:cs="Times New Roman"/>
                      <w:color w:val="auto"/>
                      <w:highlight w:val="none"/>
                      <w:lang w:val="en-US" w:eastAsia="zh-CN"/>
                    </w:rPr>
                    <w:t>侧敏感点</w:t>
                  </w:r>
                </w:p>
              </w:tc>
              <w:tc>
                <w:tcPr>
                  <w:tcW w:w="1031"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en-US"/>
                    </w:rPr>
                    <w:t>昼间</w:t>
                  </w:r>
                </w:p>
              </w:tc>
              <w:tc>
                <w:tcPr>
                  <w:tcW w:w="1319" w:type="dxa"/>
                  <w:tcBorders>
                    <w:tl2br w:val="nil"/>
                    <w:tr2bl w:val="nil"/>
                  </w:tcBorders>
                  <w:noWrap w:val="0"/>
                  <w:vAlign w:val="center"/>
                </w:tcPr>
                <w:p>
                  <w:pPr>
                    <w:pStyle w:val="67"/>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55</w:t>
                  </w:r>
                </w:p>
              </w:tc>
              <w:tc>
                <w:tcPr>
                  <w:tcW w:w="994"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60</w:t>
                  </w:r>
                </w:p>
              </w:tc>
              <w:tc>
                <w:tcPr>
                  <w:tcW w:w="892"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dB（A）</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p>
              </w:tc>
              <w:tc>
                <w:tcPr>
                  <w:tcW w:w="1204"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p>
              </w:tc>
              <w:tc>
                <w:tcPr>
                  <w:tcW w:w="1825"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lang w:val="en-US" w:eastAsia="en-US"/>
                    </w:rPr>
                  </w:pPr>
                </w:p>
              </w:tc>
              <w:tc>
                <w:tcPr>
                  <w:tcW w:w="1031"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夜</w:t>
                  </w:r>
                  <w:r>
                    <w:rPr>
                      <w:rFonts w:hint="default" w:ascii="Times New Roman" w:hAnsi="Times New Roman" w:eastAsia="宋体" w:cs="Times New Roman"/>
                      <w:color w:val="auto"/>
                      <w:highlight w:val="none"/>
                      <w:lang w:val="en-US" w:eastAsia="en-US"/>
                    </w:rPr>
                    <w:t>间</w:t>
                  </w:r>
                </w:p>
              </w:tc>
              <w:tc>
                <w:tcPr>
                  <w:tcW w:w="1319" w:type="dxa"/>
                  <w:tcBorders>
                    <w:tl2br w:val="nil"/>
                    <w:tr2bl w:val="nil"/>
                  </w:tcBorders>
                  <w:noWrap w:val="0"/>
                  <w:vAlign w:val="center"/>
                </w:tcPr>
                <w:p>
                  <w:pPr>
                    <w:pStyle w:val="67"/>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49</w:t>
                  </w:r>
                </w:p>
              </w:tc>
              <w:tc>
                <w:tcPr>
                  <w:tcW w:w="994"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50</w:t>
                  </w:r>
                </w:p>
              </w:tc>
              <w:tc>
                <w:tcPr>
                  <w:tcW w:w="892"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dB（A）</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p>
              </w:tc>
              <w:tc>
                <w:tcPr>
                  <w:tcW w:w="1204"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p>
              </w:tc>
              <w:tc>
                <w:tcPr>
                  <w:tcW w:w="1825" w:type="dxa"/>
                  <w:vMerge w:val="restart"/>
                  <w:tcBorders>
                    <w:tl2br w:val="nil"/>
                    <w:tr2bl w:val="nil"/>
                  </w:tcBorders>
                  <w:noWrap w:val="0"/>
                  <w:vAlign w:val="center"/>
                </w:tcPr>
                <w:p>
                  <w:pPr>
                    <w:pStyle w:val="67"/>
                    <w:jc w:val="center"/>
                    <w:rPr>
                      <w:rFonts w:hint="default" w:ascii="Times New Roman" w:hAnsi="Times New Roman" w:eastAsia="宋体" w:cs="Times New Roman"/>
                      <w:color w:val="auto"/>
                      <w:highlight w:val="none"/>
                      <w:lang w:val="en-US" w:eastAsia="en-US"/>
                    </w:rPr>
                  </w:pPr>
                  <w:r>
                    <w:rPr>
                      <w:rFonts w:hint="default" w:ascii="Times New Roman" w:hAnsi="Times New Roman" w:eastAsia="宋体" w:cs="Times New Roman"/>
                      <w:color w:val="auto"/>
                      <w:highlight w:val="none"/>
                      <w:lang w:val="en-US" w:eastAsia="zh-CN"/>
                    </w:rPr>
                    <w:t>厂区</w:t>
                  </w:r>
                  <w:r>
                    <w:rPr>
                      <w:rFonts w:hint="eastAsia" w:cs="Times New Roman"/>
                      <w:color w:val="auto"/>
                      <w:highlight w:val="none"/>
                      <w:lang w:val="en-US" w:eastAsia="zh-CN"/>
                    </w:rPr>
                    <w:t>西</w:t>
                  </w:r>
                  <w:r>
                    <w:rPr>
                      <w:rFonts w:hint="default" w:ascii="Times New Roman" w:hAnsi="Times New Roman" w:eastAsia="宋体" w:cs="Times New Roman"/>
                      <w:color w:val="auto"/>
                      <w:highlight w:val="none"/>
                      <w:lang w:val="en-US" w:eastAsia="zh-CN"/>
                    </w:rPr>
                    <w:t>侧敏感点</w:t>
                  </w:r>
                </w:p>
              </w:tc>
              <w:tc>
                <w:tcPr>
                  <w:tcW w:w="1031"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en-US"/>
                    </w:rPr>
                    <w:t>昼间</w:t>
                  </w:r>
                </w:p>
              </w:tc>
              <w:tc>
                <w:tcPr>
                  <w:tcW w:w="1319" w:type="dxa"/>
                  <w:tcBorders>
                    <w:tl2br w:val="nil"/>
                    <w:tr2bl w:val="nil"/>
                  </w:tcBorders>
                  <w:noWrap w:val="0"/>
                  <w:vAlign w:val="center"/>
                </w:tcPr>
                <w:p>
                  <w:pPr>
                    <w:pStyle w:val="67"/>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56</w:t>
                  </w:r>
                </w:p>
              </w:tc>
              <w:tc>
                <w:tcPr>
                  <w:tcW w:w="994"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60</w:t>
                  </w:r>
                </w:p>
              </w:tc>
              <w:tc>
                <w:tcPr>
                  <w:tcW w:w="892"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dB（A）</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p>
              </w:tc>
              <w:tc>
                <w:tcPr>
                  <w:tcW w:w="1204"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p>
              </w:tc>
              <w:tc>
                <w:tcPr>
                  <w:tcW w:w="1825"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lang w:val="en-US" w:eastAsia="en-US"/>
                    </w:rPr>
                  </w:pPr>
                </w:p>
              </w:tc>
              <w:tc>
                <w:tcPr>
                  <w:tcW w:w="1031"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夜</w:t>
                  </w:r>
                  <w:r>
                    <w:rPr>
                      <w:rFonts w:hint="default" w:ascii="Times New Roman" w:hAnsi="Times New Roman" w:eastAsia="宋体" w:cs="Times New Roman"/>
                      <w:color w:val="auto"/>
                      <w:highlight w:val="none"/>
                      <w:lang w:val="en-US" w:eastAsia="en-US"/>
                    </w:rPr>
                    <w:t>间</w:t>
                  </w:r>
                </w:p>
              </w:tc>
              <w:tc>
                <w:tcPr>
                  <w:tcW w:w="1319" w:type="dxa"/>
                  <w:tcBorders>
                    <w:tl2br w:val="nil"/>
                    <w:tr2bl w:val="nil"/>
                  </w:tcBorders>
                  <w:noWrap w:val="0"/>
                  <w:vAlign w:val="center"/>
                </w:tcPr>
                <w:p>
                  <w:pPr>
                    <w:pStyle w:val="67"/>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49</w:t>
                  </w:r>
                </w:p>
              </w:tc>
              <w:tc>
                <w:tcPr>
                  <w:tcW w:w="994"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50</w:t>
                  </w:r>
                </w:p>
              </w:tc>
              <w:tc>
                <w:tcPr>
                  <w:tcW w:w="892"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dB（A）</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p>
              </w:tc>
              <w:tc>
                <w:tcPr>
                  <w:tcW w:w="1204"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p>
              </w:tc>
              <w:tc>
                <w:tcPr>
                  <w:tcW w:w="1825" w:type="dxa"/>
                  <w:vMerge w:val="restart"/>
                  <w:tcBorders>
                    <w:tl2br w:val="nil"/>
                    <w:tr2bl w:val="nil"/>
                  </w:tcBorders>
                  <w:noWrap w:val="0"/>
                  <w:vAlign w:val="center"/>
                </w:tcPr>
                <w:p>
                  <w:pPr>
                    <w:pStyle w:val="67"/>
                    <w:jc w:val="center"/>
                    <w:rPr>
                      <w:rFonts w:hint="default" w:ascii="Times New Roman" w:hAnsi="Times New Roman" w:eastAsia="宋体" w:cs="Times New Roman"/>
                      <w:color w:val="auto"/>
                      <w:highlight w:val="none"/>
                      <w:lang w:val="en-US" w:eastAsia="en-US"/>
                    </w:rPr>
                  </w:pPr>
                  <w:r>
                    <w:rPr>
                      <w:rFonts w:hint="default" w:ascii="Times New Roman" w:hAnsi="Times New Roman" w:eastAsia="宋体" w:cs="Times New Roman"/>
                      <w:color w:val="auto"/>
                      <w:highlight w:val="none"/>
                      <w:lang w:val="en-US" w:eastAsia="zh-CN"/>
                    </w:rPr>
                    <w:t>厂区</w:t>
                  </w:r>
                  <w:r>
                    <w:rPr>
                      <w:rFonts w:hint="eastAsia" w:cs="Times New Roman"/>
                      <w:color w:val="auto"/>
                      <w:highlight w:val="none"/>
                      <w:lang w:val="en-US" w:eastAsia="zh-CN"/>
                    </w:rPr>
                    <w:t>北</w:t>
                  </w:r>
                  <w:r>
                    <w:rPr>
                      <w:rFonts w:hint="default" w:ascii="Times New Roman" w:hAnsi="Times New Roman" w:eastAsia="宋体" w:cs="Times New Roman"/>
                      <w:color w:val="auto"/>
                      <w:highlight w:val="none"/>
                      <w:lang w:val="en-US" w:eastAsia="zh-CN"/>
                    </w:rPr>
                    <w:t>侧敏感点</w:t>
                  </w:r>
                </w:p>
              </w:tc>
              <w:tc>
                <w:tcPr>
                  <w:tcW w:w="1031"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en-US"/>
                    </w:rPr>
                    <w:t>昼间</w:t>
                  </w:r>
                </w:p>
              </w:tc>
              <w:tc>
                <w:tcPr>
                  <w:tcW w:w="1319" w:type="dxa"/>
                  <w:tcBorders>
                    <w:tl2br w:val="nil"/>
                    <w:tr2bl w:val="nil"/>
                  </w:tcBorders>
                  <w:noWrap w:val="0"/>
                  <w:vAlign w:val="center"/>
                </w:tcPr>
                <w:p>
                  <w:pPr>
                    <w:pStyle w:val="67"/>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54</w:t>
                  </w:r>
                </w:p>
              </w:tc>
              <w:tc>
                <w:tcPr>
                  <w:tcW w:w="994"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60</w:t>
                  </w:r>
                </w:p>
              </w:tc>
              <w:tc>
                <w:tcPr>
                  <w:tcW w:w="892"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dB（A）</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p>
              </w:tc>
              <w:tc>
                <w:tcPr>
                  <w:tcW w:w="1204"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p>
              </w:tc>
              <w:tc>
                <w:tcPr>
                  <w:tcW w:w="1825"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lang w:val="en-US" w:eastAsia="en-US"/>
                    </w:rPr>
                  </w:pPr>
                </w:p>
              </w:tc>
              <w:tc>
                <w:tcPr>
                  <w:tcW w:w="1031"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夜</w:t>
                  </w:r>
                  <w:r>
                    <w:rPr>
                      <w:rFonts w:hint="default" w:ascii="Times New Roman" w:hAnsi="Times New Roman" w:eastAsia="宋体" w:cs="Times New Roman"/>
                      <w:color w:val="auto"/>
                      <w:highlight w:val="none"/>
                      <w:lang w:val="en-US" w:eastAsia="en-US"/>
                    </w:rPr>
                    <w:t>间</w:t>
                  </w:r>
                </w:p>
              </w:tc>
              <w:tc>
                <w:tcPr>
                  <w:tcW w:w="1319" w:type="dxa"/>
                  <w:tcBorders>
                    <w:tl2br w:val="nil"/>
                    <w:tr2bl w:val="nil"/>
                  </w:tcBorders>
                  <w:noWrap w:val="0"/>
                  <w:vAlign w:val="center"/>
                </w:tcPr>
                <w:p>
                  <w:pPr>
                    <w:pStyle w:val="67"/>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48</w:t>
                  </w:r>
                </w:p>
              </w:tc>
              <w:tc>
                <w:tcPr>
                  <w:tcW w:w="994"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50</w:t>
                  </w:r>
                </w:p>
              </w:tc>
              <w:tc>
                <w:tcPr>
                  <w:tcW w:w="892"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dB（A）</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p>
              </w:tc>
              <w:tc>
                <w:tcPr>
                  <w:tcW w:w="1204" w:type="dxa"/>
                  <w:vMerge w:val="restart"/>
                  <w:tcBorders>
                    <w:tl2br w:val="nil"/>
                    <w:tr2bl w:val="nil"/>
                  </w:tcBorders>
                  <w:noWrap w:val="0"/>
                  <w:vAlign w:val="center"/>
                </w:tcPr>
                <w:p>
                  <w:pPr>
                    <w:pStyle w:val="67"/>
                    <w:jc w:val="center"/>
                    <w:rPr>
                      <w:rFonts w:hint="default" w:ascii="Times New Roman" w:hAnsi="Times New Roman" w:eastAsia="宋体" w:cs="Times New Roman"/>
                      <w:color w:val="auto"/>
                      <w:highlight w:val="none"/>
                      <w:lang w:val="en-US"/>
                    </w:rPr>
                  </w:pPr>
                  <w:r>
                    <w:rPr>
                      <w:rFonts w:hint="default" w:ascii="Times New Roman" w:hAnsi="Times New Roman" w:eastAsia="宋体" w:cs="Times New Roman"/>
                      <w:color w:val="auto"/>
                      <w:highlight w:val="none"/>
                    </w:rPr>
                    <w:t>202</w:t>
                  </w:r>
                  <w:r>
                    <w:rPr>
                      <w:rFonts w:hint="default" w:ascii="Times New Roman" w:hAnsi="Times New Roman" w:eastAsia="宋体" w:cs="Times New Roman"/>
                      <w:color w:val="auto"/>
                      <w:highlight w:val="none"/>
                      <w:lang w:val="en-US" w:eastAsia="zh-CN"/>
                    </w:rPr>
                    <w:t>5</w:t>
                  </w:r>
                  <w:r>
                    <w:rPr>
                      <w:rFonts w:hint="default" w:ascii="Times New Roman" w:hAnsi="Times New Roman" w:eastAsia="宋体" w:cs="Times New Roman"/>
                      <w:color w:val="auto"/>
                      <w:highlight w:val="none"/>
                    </w:rPr>
                    <w:t>-</w:t>
                  </w:r>
                  <w:r>
                    <w:rPr>
                      <w:rFonts w:hint="default" w:ascii="Times New Roman" w:hAnsi="Times New Roman" w:eastAsia="宋体" w:cs="Times New Roman"/>
                      <w:color w:val="auto"/>
                      <w:highlight w:val="none"/>
                      <w:lang w:val="en-US" w:eastAsia="zh-CN"/>
                    </w:rPr>
                    <w:t>0</w:t>
                  </w:r>
                  <w:r>
                    <w:rPr>
                      <w:rFonts w:hint="eastAsia" w:ascii="Times New Roman" w:hAnsi="Times New Roman" w:cs="Times New Roman"/>
                      <w:color w:val="auto"/>
                      <w:highlight w:val="none"/>
                      <w:lang w:val="en-US" w:eastAsia="zh-CN"/>
                    </w:rPr>
                    <w:t>4</w:t>
                  </w:r>
                  <w:r>
                    <w:rPr>
                      <w:rFonts w:hint="default" w:ascii="Times New Roman" w:hAnsi="Times New Roman" w:eastAsia="宋体" w:cs="Times New Roman"/>
                      <w:color w:val="auto"/>
                      <w:highlight w:val="none"/>
                    </w:rPr>
                    <w:t>-</w:t>
                  </w:r>
                  <w:r>
                    <w:rPr>
                      <w:rFonts w:hint="default" w:ascii="Times New Roman" w:hAnsi="Times New Roman" w:eastAsia="宋体" w:cs="Times New Roman"/>
                      <w:color w:val="auto"/>
                      <w:highlight w:val="none"/>
                      <w:lang w:val="en-US" w:eastAsia="zh-CN"/>
                    </w:rPr>
                    <w:t>05</w:t>
                  </w:r>
                </w:p>
              </w:tc>
              <w:tc>
                <w:tcPr>
                  <w:tcW w:w="1825" w:type="dxa"/>
                  <w:vMerge w:val="restart"/>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厂区</w:t>
                  </w:r>
                  <w:r>
                    <w:rPr>
                      <w:rFonts w:hint="eastAsia" w:cs="Times New Roman"/>
                      <w:color w:val="auto"/>
                      <w:highlight w:val="none"/>
                      <w:lang w:val="en-US" w:eastAsia="zh-CN"/>
                    </w:rPr>
                    <w:t>东</w:t>
                  </w:r>
                  <w:r>
                    <w:rPr>
                      <w:rFonts w:hint="default" w:ascii="Times New Roman" w:hAnsi="Times New Roman" w:eastAsia="宋体" w:cs="Times New Roman"/>
                      <w:color w:val="auto"/>
                      <w:highlight w:val="none"/>
                      <w:lang w:val="en-US" w:eastAsia="zh-CN"/>
                    </w:rPr>
                    <w:t>侧敏感点</w:t>
                  </w:r>
                </w:p>
              </w:tc>
              <w:tc>
                <w:tcPr>
                  <w:tcW w:w="1031"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en-US"/>
                    </w:rPr>
                    <w:t>昼间</w:t>
                  </w:r>
                </w:p>
              </w:tc>
              <w:tc>
                <w:tcPr>
                  <w:tcW w:w="1319" w:type="dxa"/>
                  <w:tcBorders>
                    <w:tl2br w:val="nil"/>
                    <w:tr2bl w:val="nil"/>
                  </w:tcBorders>
                  <w:noWrap w:val="0"/>
                  <w:vAlign w:val="center"/>
                </w:tcPr>
                <w:p>
                  <w:pPr>
                    <w:pStyle w:val="67"/>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55</w:t>
                  </w:r>
                </w:p>
              </w:tc>
              <w:tc>
                <w:tcPr>
                  <w:tcW w:w="994"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rPr>
                  </w:pPr>
                  <w:r>
                    <w:rPr>
                      <w:rFonts w:hint="eastAsia" w:cs="Times New Roman"/>
                      <w:color w:val="auto"/>
                      <w:highlight w:val="none"/>
                      <w:lang w:val="en-US" w:eastAsia="zh-CN"/>
                    </w:rPr>
                    <w:t>60</w:t>
                  </w:r>
                </w:p>
              </w:tc>
              <w:tc>
                <w:tcPr>
                  <w:tcW w:w="892"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dB（A）</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p>
              </w:tc>
              <w:tc>
                <w:tcPr>
                  <w:tcW w:w="1204"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p>
              </w:tc>
              <w:tc>
                <w:tcPr>
                  <w:tcW w:w="1825"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lang w:val="en-US" w:eastAsia="zh-CN"/>
                    </w:rPr>
                  </w:pPr>
                </w:p>
              </w:tc>
              <w:tc>
                <w:tcPr>
                  <w:tcW w:w="1031"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夜</w:t>
                  </w:r>
                  <w:r>
                    <w:rPr>
                      <w:rFonts w:hint="default" w:ascii="Times New Roman" w:hAnsi="Times New Roman" w:eastAsia="宋体" w:cs="Times New Roman"/>
                      <w:color w:val="auto"/>
                      <w:highlight w:val="none"/>
                      <w:lang w:val="en-US" w:eastAsia="en-US"/>
                    </w:rPr>
                    <w:t>间</w:t>
                  </w:r>
                </w:p>
              </w:tc>
              <w:tc>
                <w:tcPr>
                  <w:tcW w:w="1319" w:type="dxa"/>
                  <w:tcBorders>
                    <w:tl2br w:val="nil"/>
                    <w:tr2bl w:val="nil"/>
                  </w:tcBorders>
                  <w:noWrap w:val="0"/>
                  <w:vAlign w:val="center"/>
                </w:tcPr>
                <w:p>
                  <w:pPr>
                    <w:pStyle w:val="67"/>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5</w:t>
                  </w:r>
                  <w:r>
                    <w:rPr>
                      <w:rFonts w:hint="eastAsia" w:cs="Times New Roman"/>
                      <w:color w:val="auto"/>
                      <w:highlight w:val="none"/>
                      <w:lang w:val="en-US" w:eastAsia="zh-CN"/>
                    </w:rPr>
                    <w:t>0</w:t>
                  </w:r>
                </w:p>
              </w:tc>
              <w:tc>
                <w:tcPr>
                  <w:tcW w:w="994"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rPr>
                  </w:pPr>
                  <w:r>
                    <w:rPr>
                      <w:rFonts w:hint="eastAsia" w:cs="Times New Roman"/>
                      <w:color w:val="auto"/>
                      <w:highlight w:val="none"/>
                      <w:lang w:val="en-US" w:eastAsia="zh-CN"/>
                    </w:rPr>
                    <w:t>50</w:t>
                  </w:r>
                </w:p>
              </w:tc>
              <w:tc>
                <w:tcPr>
                  <w:tcW w:w="892"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dB（A）</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p>
              </w:tc>
              <w:tc>
                <w:tcPr>
                  <w:tcW w:w="1204"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p>
              </w:tc>
              <w:tc>
                <w:tcPr>
                  <w:tcW w:w="1825" w:type="dxa"/>
                  <w:vMerge w:val="restart"/>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厂区</w:t>
                  </w:r>
                  <w:r>
                    <w:rPr>
                      <w:rFonts w:hint="eastAsia" w:cs="Times New Roman"/>
                      <w:color w:val="auto"/>
                      <w:highlight w:val="none"/>
                      <w:lang w:val="en-US" w:eastAsia="zh-CN"/>
                    </w:rPr>
                    <w:t>南</w:t>
                  </w:r>
                  <w:r>
                    <w:rPr>
                      <w:rFonts w:hint="default" w:ascii="Times New Roman" w:hAnsi="Times New Roman" w:eastAsia="宋体" w:cs="Times New Roman"/>
                      <w:color w:val="auto"/>
                      <w:highlight w:val="none"/>
                      <w:lang w:val="en-US" w:eastAsia="zh-CN"/>
                    </w:rPr>
                    <w:t>侧敏感点</w:t>
                  </w:r>
                </w:p>
              </w:tc>
              <w:tc>
                <w:tcPr>
                  <w:tcW w:w="1031"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en-US"/>
                    </w:rPr>
                    <w:t>昼间</w:t>
                  </w:r>
                </w:p>
              </w:tc>
              <w:tc>
                <w:tcPr>
                  <w:tcW w:w="1319" w:type="dxa"/>
                  <w:tcBorders>
                    <w:tl2br w:val="nil"/>
                    <w:tr2bl w:val="nil"/>
                  </w:tcBorders>
                  <w:noWrap w:val="0"/>
                  <w:vAlign w:val="center"/>
                </w:tcPr>
                <w:p>
                  <w:pPr>
                    <w:pStyle w:val="67"/>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58</w:t>
                  </w:r>
                </w:p>
              </w:tc>
              <w:tc>
                <w:tcPr>
                  <w:tcW w:w="994"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60</w:t>
                  </w:r>
                </w:p>
              </w:tc>
              <w:tc>
                <w:tcPr>
                  <w:tcW w:w="892"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dB（A）</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p>
              </w:tc>
              <w:tc>
                <w:tcPr>
                  <w:tcW w:w="1204"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p>
              </w:tc>
              <w:tc>
                <w:tcPr>
                  <w:tcW w:w="1825"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lang w:val="en-US" w:eastAsia="zh-CN"/>
                    </w:rPr>
                  </w:pPr>
                </w:p>
              </w:tc>
              <w:tc>
                <w:tcPr>
                  <w:tcW w:w="1031"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夜</w:t>
                  </w:r>
                  <w:r>
                    <w:rPr>
                      <w:rFonts w:hint="default" w:ascii="Times New Roman" w:hAnsi="Times New Roman" w:eastAsia="宋体" w:cs="Times New Roman"/>
                      <w:color w:val="auto"/>
                      <w:highlight w:val="none"/>
                      <w:lang w:val="en-US" w:eastAsia="en-US"/>
                    </w:rPr>
                    <w:t>间</w:t>
                  </w:r>
                </w:p>
              </w:tc>
              <w:tc>
                <w:tcPr>
                  <w:tcW w:w="1319" w:type="dxa"/>
                  <w:tcBorders>
                    <w:tl2br w:val="nil"/>
                    <w:tr2bl w:val="nil"/>
                  </w:tcBorders>
                  <w:noWrap w:val="0"/>
                  <w:vAlign w:val="center"/>
                </w:tcPr>
                <w:p>
                  <w:pPr>
                    <w:pStyle w:val="67"/>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50</w:t>
                  </w:r>
                </w:p>
              </w:tc>
              <w:tc>
                <w:tcPr>
                  <w:tcW w:w="994"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50</w:t>
                  </w:r>
                </w:p>
              </w:tc>
              <w:tc>
                <w:tcPr>
                  <w:tcW w:w="892"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dB（A）</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p>
              </w:tc>
              <w:tc>
                <w:tcPr>
                  <w:tcW w:w="1204"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p>
              </w:tc>
              <w:tc>
                <w:tcPr>
                  <w:tcW w:w="1825" w:type="dxa"/>
                  <w:vMerge w:val="restart"/>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厂区</w:t>
                  </w:r>
                  <w:r>
                    <w:rPr>
                      <w:rFonts w:hint="eastAsia" w:cs="Times New Roman"/>
                      <w:color w:val="auto"/>
                      <w:highlight w:val="none"/>
                      <w:lang w:val="en-US" w:eastAsia="zh-CN"/>
                    </w:rPr>
                    <w:t>西</w:t>
                  </w:r>
                  <w:r>
                    <w:rPr>
                      <w:rFonts w:hint="default" w:ascii="Times New Roman" w:hAnsi="Times New Roman" w:eastAsia="宋体" w:cs="Times New Roman"/>
                      <w:color w:val="auto"/>
                      <w:highlight w:val="none"/>
                      <w:lang w:val="en-US" w:eastAsia="zh-CN"/>
                    </w:rPr>
                    <w:t>侧敏感点</w:t>
                  </w:r>
                </w:p>
              </w:tc>
              <w:tc>
                <w:tcPr>
                  <w:tcW w:w="1031"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en-US"/>
                    </w:rPr>
                    <w:t>昼间</w:t>
                  </w:r>
                </w:p>
              </w:tc>
              <w:tc>
                <w:tcPr>
                  <w:tcW w:w="1319" w:type="dxa"/>
                  <w:tcBorders>
                    <w:tl2br w:val="nil"/>
                    <w:tr2bl w:val="nil"/>
                  </w:tcBorders>
                  <w:noWrap w:val="0"/>
                  <w:vAlign w:val="center"/>
                </w:tcPr>
                <w:p>
                  <w:pPr>
                    <w:pStyle w:val="67"/>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56</w:t>
                  </w:r>
                </w:p>
              </w:tc>
              <w:tc>
                <w:tcPr>
                  <w:tcW w:w="994"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60</w:t>
                  </w:r>
                </w:p>
              </w:tc>
              <w:tc>
                <w:tcPr>
                  <w:tcW w:w="892"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dB（A）</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p>
              </w:tc>
              <w:tc>
                <w:tcPr>
                  <w:tcW w:w="1204"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p>
              </w:tc>
              <w:tc>
                <w:tcPr>
                  <w:tcW w:w="1825"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lang w:val="en-US" w:eastAsia="zh-CN"/>
                    </w:rPr>
                  </w:pPr>
                </w:p>
              </w:tc>
              <w:tc>
                <w:tcPr>
                  <w:tcW w:w="1031"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夜</w:t>
                  </w:r>
                  <w:r>
                    <w:rPr>
                      <w:rFonts w:hint="default" w:ascii="Times New Roman" w:hAnsi="Times New Roman" w:eastAsia="宋体" w:cs="Times New Roman"/>
                      <w:color w:val="auto"/>
                      <w:highlight w:val="none"/>
                      <w:lang w:val="en-US" w:eastAsia="en-US"/>
                    </w:rPr>
                    <w:t>间</w:t>
                  </w:r>
                </w:p>
              </w:tc>
              <w:tc>
                <w:tcPr>
                  <w:tcW w:w="1319" w:type="dxa"/>
                  <w:tcBorders>
                    <w:tl2br w:val="nil"/>
                    <w:tr2bl w:val="nil"/>
                  </w:tcBorders>
                  <w:noWrap w:val="0"/>
                  <w:vAlign w:val="center"/>
                </w:tcPr>
                <w:p>
                  <w:pPr>
                    <w:pStyle w:val="67"/>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48</w:t>
                  </w:r>
                </w:p>
              </w:tc>
              <w:tc>
                <w:tcPr>
                  <w:tcW w:w="994"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50</w:t>
                  </w:r>
                </w:p>
              </w:tc>
              <w:tc>
                <w:tcPr>
                  <w:tcW w:w="892"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dB（A）</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p>
              </w:tc>
              <w:tc>
                <w:tcPr>
                  <w:tcW w:w="1204"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p>
              </w:tc>
              <w:tc>
                <w:tcPr>
                  <w:tcW w:w="1825" w:type="dxa"/>
                  <w:vMerge w:val="restart"/>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厂区</w:t>
                  </w:r>
                  <w:r>
                    <w:rPr>
                      <w:rFonts w:hint="eastAsia" w:cs="Times New Roman"/>
                      <w:color w:val="auto"/>
                      <w:highlight w:val="none"/>
                      <w:lang w:val="en-US" w:eastAsia="zh-CN"/>
                    </w:rPr>
                    <w:t>北</w:t>
                  </w:r>
                  <w:r>
                    <w:rPr>
                      <w:rFonts w:hint="default" w:ascii="Times New Roman" w:hAnsi="Times New Roman" w:eastAsia="宋体" w:cs="Times New Roman"/>
                      <w:color w:val="auto"/>
                      <w:highlight w:val="none"/>
                      <w:lang w:val="en-US" w:eastAsia="zh-CN"/>
                    </w:rPr>
                    <w:t>侧敏感点</w:t>
                  </w:r>
                </w:p>
              </w:tc>
              <w:tc>
                <w:tcPr>
                  <w:tcW w:w="1031"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en-US"/>
                    </w:rPr>
                    <w:t>昼间</w:t>
                  </w:r>
                </w:p>
              </w:tc>
              <w:tc>
                <w:tcPr>
                  <w:tcW w:w="1319" w:type="dxa"/>
                  <w:tcBorders>
                    <w:tl2br w:val="nil"/>
                    <w:tr2bl w:val="nil"/>
                  </w:tcBorders>
                  <w:noWrap w:val="0"/>
                  <w:vAlign w:val="center"/>
                </w:tcPr>
                <w:p>
                  <w:pPr>
                    <w:pStyle w:val="67"/>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55</w:t>
                  </w:r>
                </w:p>
              </w:tc>
              <w:tc>
                <w:tcPr>
                  <w:tcW w:w="994"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60</w:t>
                  </w:r>
                </w:p>
              </w:tc>
              <w:tc>
                <w:tcPr>
                  <w:tcW w:w="892"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dB（A）</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p>
              </w:tc>
              <w:tc>
                <w:tcPr>
                  <w:tcW w:w="1204"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p>
              </w:tc>
              <w:tc>
                <w:tcPr>
                  <w:tcW w:w="1825"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lang w:val="en-US" w:eastAsia="zh-CN"/>
                    </w:rPr>
                  </w:pPr>
                </w:p>
              </w:tc>
              <w:tc>
                <w:tcPr>
                  <w:tcW w:w="1031"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夜</w:t>
                  </w:r>
                  <w:r>
                    <w:rPr>
                      <w:rFonts w:hint="default" w:ascii="Times New Roman" w:hAnsi="Times New Roman" w:eastAsia="宋体" w:cs="Times New Roman"/>
                      <w:color w:val="auto"/>
                      <w:highlight w:val="none"/>
                      <w:lang w:val="en-US" w:eastAsia="en-US"/>
                    </w:rPr>
                    <w:t>间</w:t>
                  </w:r>
                </w:p>
              </w:tc>
              <w:tc>
                <w:tcPr>
                  <w:tcW w:w="1319" w:type="dxa"/>
                  <w:tcBorders>
                    <w:tl2br w:val="nil"/>
                    <w:tr2bl w:val="nil"/>
                  </w:tcBorders>
                  <w:noWrap w:val="0"/>
                  <w:vAlign w:val="center"/>
                </w:tcPr>
                <w:p>
                  <w:pPr>
                    <w:pStyle w:val="67"/>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48</w:t>
                  </w:r>
                </w:p>
              </w:tc>
              <w:tc>
                <w:tcPr>
                  <w:tcW w:w="994"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50</w:t>
                  </w:r>
                </w:p>
              </w:tc>
              <w:tc>
                <w:tcPr>
                  <w:tcW w:w="892"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dB（A）</w:t>
                  </w:r>
                </w:p>
              </w:tc>
            </w:tr>
          </w:tbl>
          <w:p>
            <w:pPr>
              <w:pStyle w:val="65"/>
              <w:spacing w:before="156"/>
              <w:ind w:firstLine="480"/>
              <w:rPr>
                <w:rFonts w:hint="default" w:ascii="Times New Roman" w:hAnsi="Times New Roman" w:cs="Times New Roman"/>
                <w:color w:val="auto"/>
              </w:rPr>
            </w:pPr>
            <w:r>
              <w:rPr>
                <w:rFonts w:hint="default" w:ascii="Times New Roman" w:hAnsi="Times New Roman" w:cs="Times New Roman"/>
                <w:color w:val="auto"/>
                <w:highlight w:val="none"/>
              </w:rPr>
              <w:t>由上表监测结果可知，</w:t>
            </w:r>
            <w:r>
              <w:rPr>
                <w:rFonts w:hint="eastAsia" w:ascii="Times New Roman" w:hAnsi="Times New Roman" w:cs="Times New Roman"/>
                <w:color w:val="auto"/>
                <w:highlight w:val="none"/>
                <w:lang w:val="en-US" w:eastAsia="zh-CN"/>
              </w:rPr>
              <w:t>本项目周边最近敏感点现状噪声值满足</w:t>
            </w:r>
            <w:r>
              <w:rPr>
                <w:rFonts w:hint="default" w:ascii="Times New Roman" w:hAnsi="Times New Roman" w:cs="Times New Roman"/>
                <w:color w:val="auto"/>
                <w:kern w:val="0"/>
                <w:highlight w:val="none"/>
              </w:rPr>
              <w:t>《</w:t>
            </w:r>
            <w:r>
              <w:rPr>
                <w:rFonts w:hint="eastAsia" w:ascii="Times New Roman" w:hAnsi="Times New Roman" w:cs="Times New Roman"/>
                <w:color w:val="auto"/>
                <w:kern w:val="0"/>
                <w:highlight w:val="none"/>
                <w:lang w:val="en-US" w:eastAsia="zh-CN"/>
              </w:rPr>
              <w:t>声环境</w:t>
            </w:r>
            <w:r>
              <w:rPr>
                <w:rFonts w:hint="default" w:ascii="Times New Roman" w:hAnsi="Times New Roman" w:cs="Times New Roman"/>
                <w:color w:val="auto"/>
                <w:kern w:val="0"/>
                <w:highlight w:val="none"/>
              </w:rPr>
              <w:t>环境质量标准》（GB</w:t>
            </w:r>
            <w:r>
              <w:rPr>
                <w:rFonts w:hint="eastAsia" w:ascii="Times New Roman" w:hAnsi="Times New Roman" w:cs="Times New Roman"/>
                <w:color w:val="auto"/>
                <w:kern w:val="0"/>
                <w:highlight w:val="none"/>
                <w:lang w:val="en-US" w:eastAsia="zh-CN"/>
              </w:rPr>
              <w:t>3096</w:t>
            </w:r>
            <w:r>
              <w:rPr>
                <w:rFonts w:hint="default" w:ascii="Times New Roman" w:hAnsi="Times New Roman" w:cs="Times New Roman"/>
                <w:color w:val="auto"/>
                <w:kern w:val="0"/>
                <w:highlight w:val="none"/>
              </w:rPr>
              <w:t>-200</w:t>
            </w:r>
            <w:r>
              <w:rPr>
                <w:rFonts w:hint="eastAsia" w:ascii="Times New Roman" w:hAnsi="Times New Roman" w:cs="Times New Roman"/>
                <w:color w:val="auto"/>
                <w:kern w:val="0"/>
                <w:highlight w:val="none"/>
                <w:lang w:val="en-US" w:eastAsia="zh-CN"/>
              </w:rPr>
              <w:t>8</w:t>
            </w:r>
            <w:r>
              <w:rPr>
                <w:rFonts w:hint="default" w:ascii="Times New Roman" w:hAnsi="Times New Roman" w:cs="Times New Roman"/>
                <w:color w:val="auto"/>
                <w:kern w:val="0"/>
                <w:highlight w:val="none"/>
              </w:rPr>
              <w:t>）中</w:t>
            </w:r>
            <w:r>
              <w:rPr>
                <w:rFonts w:hint="eastAsia" w:cs="Times New Roman"/>
                <w:color w:val="auto"/>
                <w:kern w:val="0"/>
                <w:highlight w:val="none"/>
                <w:lang w:val="en-US" w:eastAsia="zh-CN"/>
              </w:rPr>
              <w:t>2</w:t>
            </w:r>
            <w:r>
              <w:rPr>
                <w:rFonts w:hint="default" w:ascii="Times New Roman" w:hAnsi="Times New Roman" w:cs="Times New Roman"/>
                <w:color w:val="auto"/>
                <w:kern w:val="0"/>
                <w:highlight w:val="none"/>
              </w:rPr>
              <w:t>类标准，</w:t>
            </w:r>
            <w:r>
              <w:rPr>
                <w:rFonts w:hint="eastAsia" w:ascii="Times New Roman" w:hAnsi="Times New Roman" w:cs="Times New Roman"/>
                <w:color w:val="auto"/>
                <w:kern w:val="0"/>
                <w:highlight w:val="none"/>
                <w:lang w:val="en-US" w:eastAsia="zh-CN"/>
              </w:rPr>
              <w:t>周边环境声</w:t>
            </w:r>
            <w:r>
              <w:rPr>
                <w:rFonts w:hint="default" w:ascii="Times New Roman" w:hAnsi="Times New Roman" w:cs="Times New Roman"/>
                <w:color w:val="auto"/>
                <w:kern w:val="0"/>
                <w:highlight w:val="none"/>
              </w:rPr>
              <w:t>环境质量现</w:t>
            </w:r>
            <w:r>
              <w:rPr>
                <w:rFonts w:hint="default" w:ascii="Times New Roman" w:hAnsi="Times New Roman" w:cs="Times New Roman"/>
                <w:color w:val="auto"/>
                <w:kern w:val="0"/>
              </w:rPr>
              <w:t>状较好。</w:t>
            </w:r>
          </w:p>
          <w:p>
            <w:pPr>
              <w:pStyle w:val="65"/>
              <w:ind w:firstLine="480"/>
              <w:rPr>
                <w:rFonts w:hint="default" w:ascii="Times New Roman" w:hAnsi="Times New Roman" w:cs="Times New Roman"/>
                <w:b/>
                <w:bCs/>
                <w:color w:val="auto"/>
              </w:rPr>
            </w:pPr>
            <w:r>
              <w:rPr>
                <w:rFonts w:hint="default" w:ascii="Times New Roman" w:hAnsi="Times New Roman" w:cs="Times New Roman"/>
                <w:b/>
                <w:bCs/>
                <w:color w:val="auto"/>
              </w:rPr>
              <w:t>4、地下水环境质量现状</w:t>
            </w:r>
          </w:p>
          <w:p>
            <w:pPr>
              <w:pStyle w:val="65"/>
              <w:ind w:firstLine="480"/>
              <w:rPr>
                <w:rFonts w:hint="default" w:ascii="Times New Roman" w:hAnsi="Times New Roman" w:cs="Times New Roman"/>
                <w:color w:val="auto"/>
              </w:rPr>
            </w:pPr>
            <w:r>
              <w:rPr>
                <w:rFonts w:hint="default" w:ascii="Times New Roman" w:hAnsi="Times New Roman" w:eastAsia="宋体" w:cs="Times New Roman"/>
                <w:color w:val="auto"/>
                <w:lang w:val="en-US" w:eastAsia="zh-CN"/>
              </w:rPr>
              <w:t>根据《建设项目环境影响报告表编制技术指南 （污染影响类）（试行）》，原则上不开展</w:t>
            </w:r>
            <w:r>
              <w:rPr>
                <w:rFonts w:hint="eastAsia" w:cs="Times New Roman"/>
                <w:color w:val="auto"/>
                <w:lang w:val="en-US" w:eastAsia="zh-CN"/>
              </w:rPr>
              <w:t>地下水</w:t>
            </w:r>
            <w:r>
              <w:rPr>
                <w:rFonts w:hint="default" w:ascii="Times New Roman" w:hAnsi="Times New Roman" w:eastAsia="宋体" w:cs="Times New Roman"/>
                <w:color w:val="auto"/>
                <w:lang w:val="en-US" w:eastAsia="zh-CN"/>
              </w:rPr>
              <w:t>质量现状调查</w:t>
            </w:r>
            <w:r>
              <w:rPr>
                <w:rFonts w:hint="eastAsia" w:cs="Times New Roman"/>
                <w:color w:val="auto"/>
                <w:lang w:val="en-US" w:eastAsia="zh-CN"/>
              </w:rPr>
              <w:t>。</w:t>
            </w:r>
            <w:r>
              <w:rPr>
                <w:rFonts w:hint="default" w:ascii="Times New Roman" w:hAnsi="Times New Roman" w:eastAsia="宋体" w:cs="Times New Roman"/>
                <w:color w:val="auto"/>
                <w:lang w:val="en-US" w:eastAsia="zh-CN"/>
              </w:rPr>
              <w:t>本项目</w:t>
            </w:r>
            <w:r>
              <w:rPr>
                <w:rFonts w:hint="eastAsia" w:ascii="Times New Roman" w:hAnsi="Times New Roman" w:cs="Times New Roman"/>
                <w:color w:val="auto"/>
                <w:lang w:val="en-US" w:eastAsia="zh-CN"/>
              </w:rPr>
              <w:t>为安置小区建设</w:t>
            </w:r>
            <w:r>
              <w:rPr>
                <w:rFonts w:hint="default" w:ascii="Times New Roman" w:hAnsi="Times New Roman" w:eastAsia="宋体" w:cs="Times New Roman"/>
                <w:color w:val="auto"/>
                <w:lang w:val="en-US" w:eastAsia="zh-CN"/>
              </w:rPr>
              <w:t>，</w:t>
            </w:r>
            <w:r>
              <w:rPr>
                <w:rFonts w:hint="eastAsia" w:cs="Times New Roman"/>
                <w:color w:val="auto"/>
                <w:lang w:val="en-US" w:eastAsia="zh-CN"/>
              </w:rPr>
              <w:t>不涉及地下取水，</w:t>
            </w:r>
            <w:r>
              <w:rPr>
                <w:rFonts w:hint="default" w:ascii="Times New Roman" w:hAnsi="Times New Roman" w:eastAsia="宋体" w:cs="Times New Roman"/>
                <w:color w:val="auto"/>
                <w:lang w:val="en-US" w:eastAsia="zh-CN"/>
              </w:rPr>
              <w:t>不存在</w:t>
            </w:r>
            <w:r>
              <w:rPr>
                <w:rFonts w:hint="eastAsia" w:cs="Times New Roman"/>
                <w:color w:val="auto"/>
                <w:lang w:val="en-US" w:eastAsia="zh-CN"/>
              </w:rPr>
              <w:t>地下水</w:t>
            </w:r>
            <w:r>
              <w:rPr>
                <w:rFonts w:hint="default" w:ascii="Times New Roman" w:hAnsi="Times New Roman" w:eastAsia="宋体" w:cs="Times New Roman"/>
                <w:color w:val="auto"/>
                <w:lang w:val="en-US" w:eastAsia="zh-CN"/>
              </w:rPr>
              <w:t>环境污染途径，可不进行</w:t>
            </w:r>
            <w:r>
              <w:rPr>
                <w:rFonts w:hint="eastAsia" w:cs="Times New Roman"/>
                <w:color w:val="auto"/>
                <w:lang w:val="en-US" w:eastAsia="zh-CN"/>
              </w:rPr>
              <w:t>地下水</w:t>
            </w:r>
            <w:r>
              <w:rPr>
                <w:rFonts w:hint="default" w:ascii="Times New Roman" w:hAnsi="Times New Roman" w:eastAsia="宋体" w:cs="Times New Roman"/>
                <w:color w:val="auto"/>
                <w:lang w:val="en-US" w:eastAsia="zh-CN"/>
              </w:rPr>
              <w:t>质量现状监测。</w:t>
            </w:r>
          </w:p>
          <w:p>
            <w:pPr>
              <w:pStyle w:val="65"/>
              <w:ind w:firstLine="480"/>
              <w:rPr>
                <w:rFonts w:hint="default" w:ascii="Times New Roman" w:hAnsi="Times New Roman" w:cs="Times New Roman"/>
                <w:b/>
                <w:bCs/>
                <w:color w:val="auto"/>
              </w:rPr>
            </w:pPr>
            <w:r>
              <w:rPr>
                <w:rFonts w:hint="eastAsia" w:ascii="Times New Roman" w:hAnsi="Times New Roman" w:cs="Times New Roman"/>
                <w:b/>
                <w:bCs/>
                <w:color w:val="auto"/>
                <w:lang w:val="en-US" w:eastAsia="zh-CN"/>
              </w:rPr>
              <w:t>5、</w:t>
            </w:r>
            <w:r>
              <w:rPr>
                <w:rFonts w:hint="default" w:ascii="Times New Roman" w:hAnsi="Times New Roman" w:cs="Times New Roman"/>
                <w:b/>
                <w:bCs/>
                <w:color w:val="auto"/>
                <w:lang w:val="en-US" w:eastAsia="zh-CN"/>
              </w:rPr>
              <w:t>土壤环境</w:t>
            </w:r>
            <w:r>
              <w:rPr>
                <w:rFonts w:hint="default" w:ascii="Times New Roman" w:hAnsi="Times New Roman" w:cs="Times New Roman"/>
                <w:b/>
                <w:bCs/>
                <w:color w:val="auto"/>
              </w:rPr>
              <w:t>质量现状</w:t>
            </w:r>
          </w:p>
          <w:p>
            <w:pPr>
              <w:pStyle w:val="65"/>
              <w:ind w:firstLine="480"/>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根据《建设项目环境影响报告表编制技术指南 （污染影响类）（试行）》，原则上不开展环境质量现状调查。本项目</w:t>
            </w:r>
            <w:r>
              <w:rPr>
                <w:rFonts w:hint="eastAsia" w:ascii="Times New Roman" w:hAnsi="Times New Roman" w:cs="Times New Roman"/>
                <w:color w:val="auto"/>
                <w:lang w:val="en-US" w:eastAsia="zh-CN"/>
              </w:rPr>
              <w:t>为安置小区建设</w:t>
            </w:r>
            <w:r>
              <w:rPr>
                <w:rFonts w:hint="default" w:ascii="Times New Roman" w:hAnsi="Times New Roman" w:eastAsia="宋体" w:cs="Times New Roman"/>
                <w:color w:val="auto"/>
                <w:lang w:val="en-US" w:eastAsia="zh-CN"/>
              </w:rPr>
              <w:t>，不存在土壤环境污染途径，可不进行土壤质量现状监测。</w:t>
            </w:r>
          </w:p>
          <w:p>
            <w:pPr>
              <w:pStyle w:val="65"/>
              <w:numPr>
                <w:ilvl w:val="0"/>
                <w:numId w:val="0"/>
              </w:numPr>
              <w:ind w:left="630" w:leftChars="0"/>
              <w:rPr>
                <w:rFonts w:hint="default" w:ascii="Times New Roman" w:hAnsi="Times New Roman" w:cs="Times New Roman"/>
                <w:b/>
                <w:bCs/>
                <w:color w:val="auto"/>
              </w:rPr>
            </w:pPr>
            <w:r>
              <w:rPr>
                <w:rFonts w:hint="eastAsia" w:ascii="Times New Roman" w:hAnsi="Times New Roman" w:cs="Times New Roman"/>
                <w:b/>
                <w:bCs/>
                <w:color w:val="auto"/>
                <w:lang w:val="en-US" w:eastAsia="zh-CN"/>
              </w:rPr>
              <w:t>6、</w:t>
            </w:r>
            <w:r>
              <w:rPr>
                <w:rFonts w:hint="default" w:ascii="Times New Roman" w:hAnsi="Times New Roman" w:cs="Times New Roman"/>
                <w:b/>
                <w:bCs/>
                <w:color w:val="auto"/>
                <w:lang w:val="en-US" w:eastAsia="zh-CN"/>
              </w:rPr>
              <w:t>生态环境现状</w:t>
            </w:r>
          </w:p>
          <w:p>
            <w:pPr>
              <w:pStyle w:val="65"/>
              <w:ind w:firstLine="480"/>
              <w:rPr>
                <w:rFonts w:hint="default" w:cs="Times New Roman"/>
                <w:color w:val="auto"/>
                <w:szCs w:val="22"/>
                <w:lang w:eastAsia="zh-CN"/>
              </w:rPr>
            </w:pPr>
            <w:r>
              <w:rPr>
                <w:rFonts w:hint="eastAsia" w:cs="Times New Roman"/>
                <w:color w:val="auto"/>
                <w:szCs w:val="22"/>
                <w:lang w:val="en-US" w:eastAsia="zh-CN"/>
              </w:rPr>
              <w:t>详见生态专章。</w:t>
            </w:r>
          </w:p>
          <w:p>
            <w:pPr>
              <w:pStyle w:val="61"/>
              <w:ind w:firstLine="480"/>
              <w:jc w:val="center"/>
              <w:rPr>
                <w:color w:val="auto"/>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800" w:type="dxa"/>
            <w:vAlign w:val="center"/>
          </w:tcPr>
          <w:p>
            <w:pPr>
              <w:adjustRightInd w:val="0"/>
              <w:snapToGrid w:val="0"/>
              <w:jc w:val="center"/>
              <w:rPr>
                <w:rFonts w:hint="eastAsia" w:cs="宋体"/>
                <w:color w:val="auto"/>
                <w:kern w:val="0"/>
                <w:sz w:val="24"/>
                <w:szCs w:val="21"/>
              </w:rPr>
            </w:pPr>
            <w:r>
              <w:rPr>
                <w:rFonts w:hint="default" w:ascii="Times New Roman" w:hAnsi="Times New Roman" w:cs="Times New Roman"/>
                <w:bCs/>
                <w:color w:val="auto"/>
              </w:rPr>
              <w:t>与项目有关的原有环境污染和生态破坏问题</w:t>
            </w:r>
          </w:p>
        </w:tc>
        <w:tc>
          <w:tcPr>
            <w:tcW w:w="8190" w:type="dxa"/>
            <w:vAlign w:val="center"/>
          </w:tcPr>
          <w:p>
            <w:pPr>
              <w:adjustRightInd w:val="0"/>
              <w:snapToGrid w:val="0"/>
              <w:spacing w:line="360" w:lineRule="auto"/>
              <w:ind w:firstLine="480" w:firstLineChars="200"/>
              <w:jc w:val="center"/>
              <w:rPr>
                <w:color w:val="auto"/>
                <w:szCs w:val="24"/>
              </w:rPr>
            </w:pPr>
            <w:r>
              <w:rPr>
                <w:rFonts w:hint="eastAsia" w:ascii="Times New Roman" w:hAnsi="Times New Roman" w:eastAsia="宋体" w:cs="宋体"/>
                <w:bCs/>
                <w:color w:val="auto"/>
                <w:sz w:val="24"/>
                <w:szCs w:val="21"/>
                <w:lang w:val="en-US" w:eastAsia="zh-CN"/>
              </w:rPr>
              <w:t>本项目建设前原有用地为普通耕地，主要用于种植蔬菜、水稻、玉米等常见农作物。</w:t>
            </w:r>
            <w:r>
              <w:rPr>
                <w:rFonts w:hint="eastAsia" w:cs="宋体"/>
                <w:bCs/>
                <w:color w:val="auto"/>
                <w:sz w:val="24"/>
                <w:szCs w:val="21"/>
                <w:lang w:val="en-US" w:eastAsia="zh-CN"/>
              </w:rPr>
              <w:t>原用地范围内</w:t>
            </w:r>
            <w:r>
              <w:rPr>
                <w:rFonts w:hint="eastAsia" w:ascii="Times New Roman" w:hAnsi="Times New Roman" w:eastAsia="宋体" w:cs="宋体"/>
                <w:bCs/>
                <w:color w:val="auto"/>
                <w:sz w:val="24"/>
                <w:szCs w:val="21"/>
                <w:lang w:val="en-US" w:eastAsia="zh-CN"/>
              </w:rPr>
              <w:t>不存在工业生产，无与项目有关的原有环境污染问题。</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32" w:hRule="atLeast"/>
          <w:jc w:val="center"/>
        </w:trPr>
        <w:tc>
          <w:tcPr>
            <w:tcW w:w="800" w:type="dxa"/>
            <w:vAlign w:val="center"/>
          </w:tcPr>
          <w:p>
            <w:pPr>
              <w:adjustRightInd w:val="0"/>
              <w:snapToGrid w:val="0"/>
              <w:jc w:val="center"/>
              <w:rPr>
                <w:rFonts w:cs="宋体"/>
                <w:color w:val="auto"/>
                <w:kern w:val="0"/>
                <w:sz w:val="24"/>
                <w:szCs w:val="21"/>
              </w:rPr>
            </w:pPr>
            <w:r>
              <w:rPr>
                <w:rFonts w:hint="eastAsia" w:cs="宋体"/>
                <w:color w:val="auto"/>
                <w:kern w:val="0"/>
                <w:sz w:val="24"/>
                <w:szCs w:val="21"/>
                <w:lang w:val="en-US" w:eastAsia="zh-CN"/>
              </w:rPr>
              <w:t>生态</w:t>
            </w:r>
            <w:r>
              <w:rPr>
                <w:rFonts w:hint="eastAsia" w:cs="宋体"/>
                <w:color w:val="auto"/>
                <w:kern w:val="0"/>
                <w:sz w:val="24"/>
                <w:szCs w:val="21"/>
              </w:rPr>
              <w:t>环境</w:t>
            </w:r>
          </w:p>
          <w:p>
            <w:pPr>
              <w:adjustRightInd w:val="0"/>
              <w:snapToGrid w:val="0"/>
              <w:jc w:val="center"/>
              <w:rPr>
                <w:rFonts w:cs="宋体"/>
                <w:color w:val="auto"/>
                <w:kern w:val="0"/>
                <w:sz w:val="24"/>
                <w:szCs w:val="21"/>
              </w:rPr>
            </w:pPr>
            <w:r>
              <w:rPr>
                <w:rFonts w:hint="eastAsia" w:cs="宋体"/>
                <w:color w:val="auto"/>
                <w:kern w:val="0"/>
                <w:sz w:val="24"/>
                <w:szCs w:val="21"/>
              </w:rPr>
              <w:t>保护</w:t>
            </w:r>
          </w:p>
          <w:p>
            <w:pPr>
              <w:adjustRightInd w:val="0"/>
              <w:snapToGrid w:val="0"/>
              <w:jc w:val="center"/>
              <w:rPr>
                <w:rFonts w:cs="宋体"/>
                <w:color w:val="auto"/>
                <w:kern w:val="0"/>
                <w:sz w:val="24"/>
                <w:szCs w:val="21"/>
              </w:rPr>
            </w:pPr>
            <w:r>
              <w:rPr>
                <w:rFonts w:hint="eastAsia" w:cs="宋体"/>
                <w:color w:val="auto"/>
                <w:kern w:val="0"/>
                <w:sz w:val="24"/>
                <w:szCs w:val="21"/>
              </w:rPr>
              <w:t>目标</w:t>
            </w:r>
          </w:p>
        </w:tc>
        <w:tc>
          <w:tcPr>
            <w:tcW w:w="8190" w:type="dxa"/>
            <w:vAlign w:val="center"/>
          </w:tcPr>
          <w:p>
            <w:pPr>
              <w:pStyle w:val="7"/>
              <w:ind w:firstLine="0" w:firstLineChars="0"/>
              <w:rPr>
                <w:rFonts w:eastAsia="宋体"/>
                <w:b/>
                <w:bCs/>
                <w:color w:val="auto"/>
                <w:sz w:val="24"/>
                <w:szCs w:val="24"/>
              </w:rPr>
            </w:pPr>
            <w:r>
              <w:rPr>
                <w:rFonts w:hint="eastAsia" w:eastAsia="宋体"/>
                <w:b/>
                <w:bCs/>
                <w:color w:val="auto"/>
                <w:sz w:val="24"/>
                <w:szCs w:val="24"/>
              </w:rPr>
              <w:t>1、大气环境</w:t>
            </w:r>
          </w:p>
          <w:p>
            <w:pPr>
              <w:pStyle w:val="7"/>
              <w:ind w:firstLine="480"/>
              <w:jc w:val="both"/>
              <w:rPr>
                <w:rFonts w:hint="eastAsia"/>
                <w:color w:val="auto"/>
                <w:sz w:val="24"/>
                <w:szCs w:val="24"/>
              </w:rPr>
            </w:pPr>
            <w:r>
              <w:rPr>
                <w:rFonts w:hint="eastAsia"/>
                <w:color w:val="auto"/>
                <w:sz w:val="24"/>
                <w:szCs w:val="24"/>
              </w:rPr>
              <w:t>项目厂界外</w:t>
            </w:r>
            <w:r>
              <w:rPr>
                <w:rFonts w:hint="eastAsia"/>
                <w:color w:val="auto"/>
                <w:sz w:val="24"/>
                <w:szCs w:val="24"/>
                <w:lang w:val="en-US" w:eastAsia="zh-CN"/>
              </w:rPr>
              <w:t>500m</w:t>
            </w:r>
            <w:r>
              <w:rPr>
                <w:rFonts w:hint="eastAsia"/>
                <w:color w:val="auto"/>
                <w:sz w:val="24"/>
                <w:szCs w:val="24"/>
              </w:rPr>
              <w:t>范围内的大气环境保护目标主要为</w:t>
            </w:r>
            <w:r>
              <w:rPr>
                <w:rFonts w:hint="eastAsia"/>
                <w:color w:val="auto"/>
                <w:sz w:val="24"/>
                <w:szCs w:val="24"/>
                <w:lang w:val="en-US" w:eastAsia="zh-CN"/>
              </w:rPr>
              <w:t>项目西侧的团洲乡花园小区、团洲乡中心小学以及东西南三侧的团洲乡居民点。</w:t>
            </w:r>
          </w:p>
          <w:p>
            <w:pPr>
              <w:pStyle w:val="7"/>
              <w:ind w:firstLine="0" w:firstLineChars="0"/>
              <w:rPr>
                <w:rFonts w:hint="eastAsia" w:eastAsia="宋体"/>
                <w:b/>
                <w:bCs/>
                <w:color w:val="auto"/>
                <w:sz w:val="24"/>
                <w:szCs w:val="24"/>
              </w:rPr>
            </w:pPr>
            <w:r>
              <w:rPr>
                <w:rFonts w:hint="eastAsia" w:eastAsia="宋体"/>
                <w:b/>
                <w:bCs/>
                <w:color w:val="auto"/>
                <w:sz w:val="24"/>
                <w:szCs w:val="24"/>
                <w:lang w:val="en-US" w:eastAsia="zh-CN"/>
              </w:rPr>
              <w:t>2</w:t>
            </w:r>
            <w:r>
              <w:rPr>
                <w:rFonts w:hint="eastAsia" w:eastAsia="宋体"/>
                <w:b/>
                <w:bCs/>
                <w:color w:val="auto"/>
                <w:sz w:val="24"/>
                <w:szCs w:val="24"/>
              </w:rPr>
              <w:t>、地下水环境</w:t>
            </w:r>
          </w:p>
          <w:p>
            <w:pPr>
              <w:pStyle w:val="7"/>
              <w:ind w:firstLine="480"/>
              <w:jc w:val="both"/>
              <w:rPr>
                <w:color w:val="auto"/>
                <w:sz w:val="24"/>
                <w:szCs w:val="24"/>
              </w:rPr>
            </w:pPr>
            <w:r>
              <w:rPr>
                <w:rFonts w:hint="eastAsia"/>
                <w:color w:val="auto"/>
                <w:sz w:val="24"/>
                <w:szCs w:val="24"/>
              </w:rPr>
              <w:t>项目厂界外5</w:t>
            </w:r>
            <w:r>
              <w:rPr>
                <w:color w:val="auto"/>
                <w:sz w:val="24"/>
                <w:szCs w:val="24"/>
              </w:rPr>
              <w:t>00</w:t>
            </w:r>
            <w:r>
              <w:rPr>
                <w:rFonts w:hint="eastAsia"/>
                <w:color w:val="auto"/>
                <w:sz w:val="24"/>
                <w:szCs w:val="24"/>
              </w:rPr>
              <w:t>m范围内不涉及地下水集中式饮用水保护区等特殊地下水资源。</w:t>
            </w:r>
          </w:p>
          <w:p>
            <w:pPr>
              <w:pStyle w:val="7"/>
              <w:ind w:firstLine="0" w:firstLineChars="0"/>
              <w:rPr>
                <w:rFonts w:hint="eastAsia" w:eastAsia="宋体"/>
                <w:b/>
                <w:bCs/>
                <w:color w:val="auto"/>
                <w:sz w:val="24"/>
                <w:szCs w:val="24"/>
                <w:lang w:val="en-US" w:eastAsia="zh-CN"/>
              </w:rPr>
            </w:pPr>
            <w:r>
              <w:rPr>
                <w:rFonts w:hint="eastAsia" w:eastAsia="宋体"/>
                <w:b/>
                <w:bCs/>
                <w:color w:val="auto"/>
                <w:sz w:val="24"/>
                <w:szCs w:val="24"/>
                <w:lang w:val="en-US" w:eastAsia="zh-CN"/>
              </w:rPr>
              <w:t>3</w:t>
            </w:r>
            <w:r>
              <w:rPr>
                <w:rFonts w:hint="eastAsia" w:eastAsia="宋体"/>
                <w:b/>
                <w:bCs/>
                <w:color w:val="auto"/>
                <w:sz w:val="24"/>
                <w:szCs w:val="24"/>
              </w:rPr>
              <w:t>、声</w:t>
            </w:r>
            <w:r>
              <w:rPr>
                <w:rFonts w:hint="eastAsia" w:eastAsia="宋体"/>
                <w:b/>
                <w:bCs/>
                <w:color w:val="auto"/>
                <w:sz w:val="24"/>
                <w:szCs w:val="24"/>
                <w:lang w:val="en-US" w:eastAsia="zh-CN"/>
              </w:rPr>
              <w:t>环境</w:t>
            </w:r>
          </w:p>
          <w:p>
            <w:pPr>
              <w:pStyle w:val="7"/>
              <w:ind w:firstLine="480"/>
              <w:rPr>
                <w:rFonts w:hint="eastAsia"/>
                <w:color w:val="auto"/>
                <w:sz w:val="24"/>
                <w:szCs w:val="24"/>
                <w:lang w:val="en-US" w:eastAsia="zh-CN"/>
              </w:rPr>
            </w:pPr>
            <w:r>
              <w:rPr>
                <w:rFonts w:hint="eastAsia"/>
                <w:color w:val="auto"/>
                <w:sz w:val="24"/>
                <w:szCs w:val="24"/>
                <w:lang w:val="en-US" w:eastAsia="zh-CN"/>
              </w:rPr>
              <w:t>项目厂界外50m范围内声环境保护目标</w:t>
            </w:r>
            <w:r>
              <w:rPr>
                <w:rFonts w:hint="eastAsia"/>
                <w:color w:val="auto"/>
                <w:sz w:val="24"/>
                <w:szCs w:val="24"/>
              </w:rPr>
              <w:t>主要为</w:t>
            </w:r>
            <w:r>
              <w:rPr>
                <w:rFonts w:hint="eastAsia"/>
                <w:color w:val="auto"/>
                <w:sz w:val="24"/>
                <w:szCs w:val="24"/>
                <w:lang w:val="en-US" w:eastAsia="zh-CN"/>
              </w:rPr>
              <w:t>项目西侧的团洲乡花园小区以及周边紧邻的团洲乡居民点</w:t>
            </w:r>
          </w:p>
          <w:p>
            <w:pPr>
              <w:pStyle w:val="7"/>
              <w:ind w:firstLine="0" w:firstLineChars="0"/>
              <w:rPr>
                <w:rFonts w:hint="eastAsia" w:eastAsia="宋体"/>
                <w:b/>
                <w:bCs/>
                <w:color w:val="auto"/>
                <w:sz w:val="24"/>
                <w:szCs w:val="24"/>
                <w:lang w:val="en-US" w:eastAsia="zh-CN"/>
              </w:rPr>
            </w:pPr>
            <w:r>
              <w:rPr>
                <w:rFonts w:hint="eastAsia" w:eastAsia="宋体"/>
                <w:b/>
                <w:bCs/>
                <w:color w:val="auto"/>
                <w:sz w:val="24"/>
                <w:szCs w:val="24"/>
                <w:lang w:val="en-US" w:eastAsia="zh-CN"/>
              </w:rPr>
              <w:t>4、生态环境</w:t>
            </w:r>
          </w:p>
          <w:p>
            <w:pPr>
              <w:pStyle w:val="7"/>
              <w:ind w:firstLine="480"/>
              <w:rPr>
                <w:rFonts w:hint="eastAsia"/>
                <w:color w:val="auto"/>
                <w:sz w:val="24"/>
                <w:szCs w:val="24"/>
                <w:lang w:val="en-US" w:eastAsia="zh-CN"/>
              </w:rPr>
            </w:pPr>
            <w:r>
              <w:rPr>
                <w:rFonts w:hint="eastAsia"/>
                <w:color w:val="auto"/>
                <w:sz w:val="24"/>
                <w:szCs w:val="24"/>
                <w:lang w:val="en-US" w:eastAsia="zh-CN"/>
              </w:rPr>
              <w:t>根据《建设项目环境影响报告表编制技术指南（污染影响类）（试行）》“产业园区外建设项目新增用地的，应明确新增用地范围内生态环境保护目标”。本项目位于产业园区外，生态环境保护目标主要为湖南东洞庭湖国家级自然保护区。</w:t>
            </w:r>
          </w:p>
          <w:p>
            <w:pPr>
              <w:pStyle w:val="66"/>
              <w:keepNext w:val="0"/>
              <w:keepLines w:val="0"/>
              <w:pageBreakBefore w:val="0"/>
              <w:widowControl w:val="0"/>
              <w:kinsoku/>
              <w:wordWrap/>
              <w:overflowPunct/>
              <w:topLinePunct w:val="0"/>
              <w:autoSpaceDE/>
              <w:autoSpaceDN/>
              <w:bidi w:val="0"/>
              <w:adjustRightInd/>
              <w:snapToGrid/>
              <w:spacing w:beforeLines="0"/>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rPr>
              <w:t>表3-</w:t>
            </w:r>
            <w:r>
              <w:rPr>
                <w:rFonts w:hint="eastAsia" w:ascii="Times New Roman" w:hAnsi="Times New Roman" w:eastAsia="宋体" w:cs="Times New Roman"/>
                <w:color w:val="auto"/>
                <w:lang w:val="en-US" w:eastAsia="zh-CN"/>
              </w:rPr>
              <w:t>5</w:t>
            </w:r>
            <w:r>
              <w:rPr>
                <w:rFonts w:hint="eastAsia" w:ascii="Times New Roman" w:hAnsi="Times New Roman" w:eastAsia="宋体" w:cs="Times New Roman"/>
                <w:color w:val="auto"/>
              </w:rPr>
              <w:t xml:space="preserve"> </w:t>
            </w:r>
            <w:r>
              <w:rPr>
                <w:rFonts w:hint="eastAsia" w:ascii="Times New Roman" w:hAnsi="Times New Roman" w:eastAsia="宋体" w:cs="Times New Roman"/>
                <w:color w:val="auto"/>
                <w:lang w:val="en-US" w:eastAsia="zh-CN"/>
              </w:rPr>
              <w:t xml:space="preserve"> </w:t>
            </w:r>
            <w:r>
              <w:rPr>
                <w:rFonts w:hint="eastAsia" w:ascii="Times New Roman" w:hAnsi="Times New Roman" w:eastAsia="宋体" w:cs="Times New Roman"/>
                <w:color w:val="auto"/>
              </w:rPr>
              <w:t>项目周边环境保护目标</w:t>
            </w:r>
          </w:p>
          <w:tbl>
            <w:tblPr>
              <w:tblStyle w:val="22"/>
              <w:tblW w:w="7944" w:type="dxa"/>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56"/>
              <w:gridCol w:w="1969"/>
              <w:gridCol w:w="1673"/>
              <w:gridCol w:w="1514"/>
              <w:gridCol w:w="203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56" w:type="dxa"/>
                  <w:tcBorders>
                    <w:tl2br w:val="nil"/>
                    <w:tr2bl w:val="nil"/>
                  </w:tcBorders>
                  <w:shd w:val="clear" w:color="auto" w:fill="auto"/>
                  <w:vAlign w:val="center"/>
                </w:tcPr>
                <w:p>
                  <w:pPr>
                    <w:pStyle w:val="50"/>
                    <w:spacing w:before="0" w:beforeLines="0" w:after="0" w:afterLines="0"/>
                    <w:rPr>
                      <w:color w:val="auto"/>
                      <w:sz w:val="21"/>
                      <w:szCs w:val="21"/>
                    </w:rPr>
                  </w:pPr>
                  <w:r>
                    <w:rPr>
                      <w:color w:val="auto"/>
                      <w:sz w:val="21"/>
                      <w:szCs w:val="21"/>
                    </w:rPr>
                    <w:t>类别</w:t>
                  </w:r>
                </w:p>
              </w:tc>
              <w:tc>
                <w:tcPr>
                  <w:tcW w:w="1969" w:type="dxa"/>
                  <w:tcBorders>
                    <w:tl2br w:val="nil"/>
                    <w:tr2bl w:val="nil"/>
                  </w:tcBorders>
                  <w:shd w:val="clear" w:color="auto" w:fill="auto"/>
                  <w:vAlign w:val="center"/>
                </w:tcPr>
                <w:p>
                  <w:pPr>
                    <w:pStyle w:val="50"/>
                    <w:spacing w:before="0" w:beforeLines="0" w:after="0" w:afterLines="0"/>
                    <w:rPr>
                      <w:color w:val="auto"/>
                      <w:sz w:val="21"/>
                      <w:szCs w:val="21"/>
                    </w:rPr>
                  </w:pPr>
                  <w:r>
                    <w:rPr>
                      <w:color w:val="auto"/>
                      <w:sz w:val="21"/>
                      <w:szCs w:val="21"/>
                    </w:rPr>
                    <w:t>保护目标</w:t>
                  </w:r>
                </w:p>
              </w:tc>
              <w:tc>
                <w:tcPr>
                  <w:tcW w:w="1673" w:type="dxa"/>
                  <w:tcBorders>
                    <w:tl2br w:val="nil"/>
                    <w:tr2bl w:val="nil"/>
                  </w:tcBorders>
                  <w:shd w:val="clear" w:color="auto" w:fill="auto"/>
                  <w:vAlign w:val="center"/>
                </w:tcPr>
                <w:p>
                  <w:pPr>
                    <w:pStyle w:val="50"/>
                    <w:spacing w:before="0" w:beforeLines="0" w:after="0" w:afterLines="0"/>
                    <w:rPr>
                      <w:color w:val="auto"/>
                      <w:sz w:val="21"/>
                      <w:szCs w:val="21"/>
                    </w:rPr>
                  </w:pPr>
                  <w:r>
                    <w:rPr>
                      <w:color w:val="auto"/>
                      <w:sz w:val="21"/>
                      <w:szCs w:val="21"/>
                    </w:rPr>
                    <w:t>方向</w:t>
                  </w:r>
                  <w:r>
                    <w:rPr>
                      <w:rFonts w:hint="eastAsia"/>
                      <w:color w:val="auto"/>
                      <w:sz w:val="21"/>
                      <w:szCs w:val="21"/>
                    </w:rPr>
                    <w:t>/最近</w:t>
                  </w:r>
                  <w:r>
                    <w:rPr>
                      <w:color w:val="auto"/>
                      <w:sz w:val="21"/>
                      <w:szCs w:val="21"/>
                    </w:rPr>
                    <w:t>距离</w:t>
                  </w:r>
                </w:p>
              </w:tc>
              <w:tc>
                <w:tcPr>
                  <w:tcW w:w="1514" w:type="dxa"/>
                  <w:tcBorders>
                    <w:tl2br w:val="nil"/>
                    <w:tr2bl w:val="nil"/>
                  </w:tcBorders>
                  <w:shd w:val="clear" w:color="auto" w:fill="auto"/>
                  <w:vAlign w:val="center"/>
                </w:tcPr>
                <w:p>
                  <w:pPr>
                    <w:pStyle w:val="50"/>
                    <w:spacing w:before="0" w:beforeLines="0" w:after="0" w:afterLines="0"/>
                    <w:rPr>
                      <w:color w:val="auto"/>
                      <w:sz w:val="21"/>
                      <w:szCs w:val="21"/>
                    </w:rPr>
                  </w:pPr>
                  <w:r>
                    <w:rPr>
                      <w:color w:val="auto"/>
                      <w:sz w:val="21"/>
                      <w:szCs w:val="21"/>
                    </w:rPr>
                    <w:t>功能、规模</w:t>
                  </w:r>
                </w:p>
              </w:tc>
              <w:tc>
                <w:tcPr>
                  <w:tcW w:w="2032" w:type="dxa"/>
                  <w:tcBorders>
                    <w:tl2br w:val="nil"/>
                    <w:tr2bl w:val="nil"/>
                  </w:tcBorders>
                  <w:shd w:val="clear" w:color="auto" w:fill="auto"/>
                  <w:vAlign w:val="center"/>
                </w:tcPr>
                <w:p>
                  <w:pPr>
                    <w:pStyle w:val="50"/>
                    <w:spacing w:before="0" w:beforeLines="0" w:after="0" w:afterLines="0"/>
                    <w:rPr>
                      <w:color w:val="auto"/>
                      <w:sz w:val="21"/>
                      <w:szCs w:val="21"/>
                    </w:rPr>
                  </w:pPr>
                  <w:r>
                    <w:rPr>
                      <w:color w:val="auto"/>
                      <w:sz w:val="21"/>
                      <w:szCs w:val="21"/>
                    </w:rPr>
                    <w:t>保护级别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56" w:type="dxa"/>
                  <w:vMerge w:val="restart"/>
                  <w:tcBorders>
                    <w:tl2br w:val="nil"/>
                    <w:tr2bl w:val="nil"/>
                  </w:tcBorders>
                  <w:vAlign w:val="center"/>
                </w:tcPr>
                <w:p>
                  <w:pPr>
                    <w:pStyle w:val="50"/>
                    <w:spacing w:before="0" w:beforeLines="0" w:after="0" w:afterLines="0"/>
                    <w:rPr>
                      <w:b w:val="0"/>
                      <w:bCs/>
                      <w:color w:val="auto"/>
                      <w:sz w:val="21"/>
                      <w:szCs w:val="21"/>
                    </w:rPr>
                  </w:pPr>
                  <w:r>
                    <w:rPr>
                      <w:b w:val="0"/>
                      <w:bCs/>
                      <w:color w:val="auto"/>
                      <w:sz w:val="21"/>
                      <w:szCs w:val="21"/>
                    </w:rPr>
                    <w:t>大气</w:t>
                  </w:r>
                </w:p>
                <w:p>
                  <w:pPr>
                    <w:pStyle w:val="50"/>
                    <w:spacing w:before="0" w:beforeLines="0" w:after="0" w:afterLines="0"/>
                    <w:rPr>
                      <w:b w:val="0"/>
                      <w:bCs/>
                      <w:color w:val="auto"/>
                      <w:sz w:val="21"/>
                      <w:szCs w:val="21"/>
                    </w:rPr>
                  </w:pPr>
                  <w:r>
                    <w:rPr>
                      <w:b w:val="0"/>
                      <w:bCs/>
                      <w:color w:val="auto"/>
                      <w:sz w:val="21"/>
                      <w:szCs w:val="21"/>
                    </w:rPr>
                    <w:t>环境</w:t>
                  </w:r>
                </w:p>
              </w:tc>
              <w:tc>
                <w:tcPr>
                  <w:tcW w:w="1969" w:type="dxa"/>
                  <w:tcBorders>
                    <w:tl2br w:val="nil"/>
                    <w:tr2bl w:val="nil"/>
                  </w:tcBorders>
                  <w:vAlign w:val="center"/>
                </w:tcPr>
                <w:p>
                  <w:pPr>
                    <w:pStyle w:val="50"/>
                    <w:spacing w:before="0" w:beforeLines="0" w:after="0" w:afterLines="0"/>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团洲花园小区</w:t>
                  </w:r>
                </w:p>
              </w:tc>
              <w:tc>
                <w:tcPr>
                  <w:tcW w:w="1673" w:type="dxa"/>
                  <w:tcBorders>
                    <w:tl2br w:val="nil"/>
                    <w:tr2bl w:val="nil"/>
                  </w:tcBorders>
                  <w:vAlign w:val="center"/>
                </w:tcPr>
                <w:p>
                  <w:pPr>
                    <w:pStyle w:val="50"/>
                    <w:spacing w:before="0" w:beforeLines="0" w:after="0" w:afterLines="0"/>
                    <w:jc w:val="center"/>
                    <w:rPr>
                      <w:rFonts w:hint="default" w:eastAsia="宋体"/>
                      <w:b w:val="0"/>
                      <w:bCs/>
                      <w:color w:val="auto"/>
                      <w:sz w:val="21"/>
                      <w:szCs w:val="21"/>
                      <w:lang w:val="en-US" w:eastAsia="zh-CN"/>
                    </w:rPr>
                  </w:pPr>
                  <w:r>
                    <w:rPr>
                      <w:rFonts w:hint="eastAsia"/>
                      <w:b w:val="0"/>
                      <w:bCs/>
                      <w:color w:val="auto"/>
                      <w:sz w:val="21"/>
                      <w:szCs w:val="21"/>
                      <w:lang w:val="en-US" w:eastAsia="zh-CN"/>
                    </w:rPr>
                    <w:t>W，紧邻</w:t>
                  </w:r>
                </w:p>
              </w:tc>
              <w:tc>
                <w:tcPr>
                  <w:tcW w:w="1514" w:type="dxa"/>
                  <w:tcBorders>
                    <w:tl2br w:val="nil"/>
                    <w:tr2bl w:val="nil"/>
                  </w:tcBorders>
                  <w:vAlign w:val="center"/>
                </w:tcPr>
                <w:p>
                  <w:pPr>
                    <w:pStyle w:val="50"/>
                    <w:spacing w:before="0" w:beforeLines="0" w:after="0" w:afterLines="0"/>
                    <w:rPr>
                      <w:rFonts w:hint="default" w:eastAsia="宋体"/>
                      <w:b w:val="0"/>
                      <w:bCs/>
                      <w:color w:val="auto"/>
                      <w:sz w:val="21"/>
                      <w:szCs w:val="21"/>
                      <w:lang w:val="en-US" w:eastAsia="zh-CN"/>
                    </w:rPr>
                  </w:pPr>
                  <w:r>
                    <w:rPr>
                      <w:rFonts w:hint="eastAsia"/>
                      <w:b w:val="0"/>
                      <w:bCs/>
                      <w:color w:val="auto"/>
                      <w:sz w:val="21"/>
                      <w:szCs w:val="21"/>
                      <w:lang w:val="en-US" w:eastAsia="zh-CN"/>
                    </w:rPr>
                    <w:t>居民区，居民约200户</w:t>
                  </w:r>
                  <w:r>
                    <w:rPr>
                      <w:rFonts w:hint="eastAsia"/>
                      <w:b w:val="0"/>
                      <w:bCs/>
                      <w:color w:val="auto"/>
                      <w:sz w:val="21"/>
                      <w:szCs w:val="21"/>
                    </w:rPr>
                    <w:t>。</w:t>
                  </w:r>
                </w:p>
              </w:tc>
              <w:tc>
                <w:tcPr>
                  <w:tcW w:w="2032" w:type="dxa"/>
                  <w:vMerge w:val="restart"/>
                  <w:tcBorders>
                    <w:tl2br w:val="nil"/>
                    <w:tr2bl w:val="nil"/>
                  </w:tcBorders>
                  <w:vAlign w:val="center"/>
                </w:tcPr>
                <w:p>
                  <w:pPr>
                    <w:pStyle w:val="50"/>
                    <w:spacing w:before="0" w:beforeLines="0" w:after="0" w:afterLines="0"/>
                    <w:rPr>
                      <w:rFonts w:ascii="Times New Roman" w:hAnsi="Times New Roman" w:eastAsia="宋体" w:cs="Times New Roman"/>
                      <w:b w:val="0"/>
                      <w:bCs/>
                      <w:color w:val="auto"/>
                      <w:sz w:val="21"/>
                      <w:szCs w:val="21"/>
                    </w:rPr>
                  </w:pPr>
                  <w:r>
                    <w:rPr>
                      <w:rFonts w:ascii="Times New Roman" w:hAnsi="Times New Roman" w:eastAsia="宋体" w:cs="Times New Roman"/>
                      <w:b w:val="0"/>
                      <w:bCs/>
                      <w:color w:val="auto"/>
                      <w:sz w:val="21"/>
                      <w:szCs w:val="21"/>
                    </w:rPr>
                    <w:t>GB3095-2012</w:t>
                  </w:r>
                </w:p>
                <w:p>
                  <w:pPr>
                    <w:pStyle w:val="50"/>
                    <w:spacing w:before="0" w:beforeLines="0" w:after="0" w:afterLines="0"/>
                    <w:rPr>
                      <w:rFonts w:ascii="Times New Roman" w:hAnsi="Times New Roman" w:eastAsia="宋体" w:cs="Times New Roman"/>
                      <w:b w:val="0"/>
                      <w:bCs/>
                      <w:color w:val="auto"/>
                      <w:sz w:val="21"/>
                      <w:szCs w:val="21"/>
                    </w:rPr>
                  </w:pPr>
                  <w:r>
                    <w:rPr>
                      <w:rFonts w:ascii="Times New Roman" w:hAnsi="Times New Roman" w:eastAsia="宋体" w:cs="Times New Roman"/>
                      <w:b w:val="0"/>
                      <w:bCs/>
                      <w:color w:val="auto"/>
                      <w:sz w:val="21"/>
                      <w:szCs w:val="21"/>
                    </w:rPr>
                    <w:t>二级标准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56" w:type="dxa"/>
                  <w:vMerge w:val="continue"/>
                  <w:tcBorders>
                    <w:tl2br w:val="nil"/>
                    <w:tr2bl w:val="nil"/>
                  </w:tcBorders>
                  <w:vAlign w:val="center"/>
                </w:tcPr>
                <w:p>
                  <w:pPr>
                    <w:pStyle w:val="50"/>
                    <w:spacing w:before="0" w:beforeLines="0" w:after="0" w:afterLines="0"/>
                    <w:rPr>
                      <w:b w:val="0"/>
                      <w:bCs/>
                      <w:color w:val="auto"/>
                      <w:sz w:val="21"/>
                      <w:szCs w:val="21"/>
                    </w:rPr>
                  </w:pPr>
                </w:p>
              </w:tc>
              <w:tc>
                <w:tcPr>
                  <w:tcW w:w="1969" w:type="dxa"/>
                  <w:tcBorders>
                    <w:tl2br w:val="nil"/>
                    <w:tr2bl w:val="nil"/>
                  </w:tcBorders>
                  <w:vAlign w:val="center"/>
                </w:tcPr>
                <w:p>
                  <w:pPr>
                    <w:pStyle w:val="50"/>
                    <w:spacing w:before="0" w:beforeLines="0" w:after="0" w:afterLines="0"/>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团洲乡中心小学</w:t>
                  </w:r>
                </w:p>
              </w:tc>
              <w:tc>
                <w:tcPr>
                  <w:tcW w:w="1673" w:type="dxa"/>
                  <w:tcBorders>
                    <w:tl2br w:val="nil"/>
                    <w:tr2bl w:val="nil"/>
                  </w:tcBorders>
                  <w:vAlign w:val="center"/>
                </w:tcPr>
                <w:p>
                  <w:pPr>
                    <w:pStyle w:val="50"/>
                    <w:spacing w:before="0" w:beforeLines="0" w:after="0" w:afterLines="0"/>
                    <w:jc w:val="center"/>
                    <w:rPr>
                      <w:b w:val="0"/>
                      <w:bCs/>
                      <w:color w:val="auto"/>
                      <w:sz w:val="21"/>
                      <w:szCs w:val="21"/>
                    </w:rPr>
                  </w:pPr>
                  <w:r>
                    <w:rPr>
                      <w:rFonts w:hint="eastAsia"/>
                      <w:b w:val="0"/>
                      <w:bCs/>
                      <w:color w:val="auto"/>
                      <w:sz w:val="21"/>
                      <w:szCs w:val="21"/>
                      <w:lang w:val="en-US" w:eastAsia="zh-CN"/>
                    </w:rPr>
                    <w:t>NW，360m</w:t>
                  </w:r>
                </w:p>
              </w:tc>
              <w:tc>
                <w:tcPr>
                  <w:tcW w:w="1514" w:type="dxa"/>
                  <w:tcBorders>
                    <w:tl2br w:val="nil"/>
                    <w:tr2bl w:val="nil"/>
                  </w:tcBorders>
                  <w:vAlign w:val="center"/>
                </w:tcPr>
                <w:p>
                  <w:pPr>
                    <w:pStyle w:val="50"/>
                    <w:spacing w:before="0" w:beforeLines="0" w:after="0" w:afterLines="0"/>
                    <w:rPr>
                      <w:b w:val="0"/>
                      <w:bCs/>
                      <w:color w:val="auto"/>
                      <w:sz w:val="21"/>
                      <w:szCs w:val="21"/>
                    </w:rPr>
                  </w:pPr>
                  <w:r>
                    <w:rPr>
                      <w:rFonts w:hint="eastAsia"/>
                      <w:b w:val="0"/>
                      <w:bCs/>
                      <w:color w:val="auto"/>
                      <w:sz w:val="21"/>
                      <w:szCs w:val="21"/>
                      <w:lang w:val="en-US" w:eastAsia="zh-CN"/>
                    </w:rPr>
                    <w:t>学校，师生约500人</w:t>
                  </w:r>
                </w:p>
              </w:tc>
              <w:tc>
                <w:tcPr>
                  <w:tcW w:w="2032" w:type="dxa"/>
                  <w:vMerge w:val="continue"/>
                  <w:tcBorders>
                    <w:tl2br w:val="nil"/>
                    <w:tr2bl w:val="nil"/>
                  </w:tcBorders>
                  <w:vAlign w:val="center"/>
                </w:tcPr>
                <w:p>
                  <w:pPr>
                    <w:pStyle w:val="50"/>
                    <w:spacing w:before="0" w:beforeLines="0" w:after="0" w:afterLines="0"/>
                    <w:rPr>
                      <w:rFonts w:ascii="Times New Roman" w:hAnsi="Times New Roman" w:eastAsia="宋体" w:cs="Times New Roman"/>
                      <w:b w:val="0"/>
                      <w:bCs/>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56" w:type="dxa"/>
                  <w:vMerge w:val="continue"/>
                  <w:tcBorders>
                    <w:tl2br w:val="nil"/>
                    <w:tr2bl w:val="nil"/>
                  </w:tcBorders>
                  <w:vAlign w:val="center"/>
                </w:tcPr>
                <w:p>
                  <w:pPr>
                    <w:pStyle w:val="50"/>
                    <w:spacing w:before="0" w:beforeLines="0" w:after="0" w:afterLines="0"/>
                    <w:rPr>
                      <w:b w:val="0"/>
                      <w:bCs/>
                      <w:color w:val="auto"/>
                      <w:sz w:val="21"/>
                      <w:szCs w:val="21"/>
                    </w:rPr>
                  </w:pPr>
                </w:p>
              </w:tc>
              <w:tc>
                <w:tcPr>
                  <w:tcW w:w="1969" w:type="dxa"/>
                  <w:tcBorders>
                    <w:tl2br w:val="nil"/>
                    <w:tr2bl w:val="nil"/>
                  </w:tcBorders>
                  <w:vAlign w:val="center"/>
                </w:tcPr>
                <w:p>
                  <w:pPr>
                    <w:pStyle w:val="50"/>
                    <w:spacing w:before="0" w:beforeLines="0" w:after="0" w:afterLines="0"/>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团洲乡居民点</w:t>
                  </w:r>
                </w:p>
              </w:tc>
              <w:tc>
                <w:tcPr>
                  <w:tcW w:w="1673" w:type="dxa"/>
                  <w:tcBorders>
                    <w:tl2br w:val="nil"/>
                    <w:tr2bl w:val="nil"/>
                  </w:tcBorders>
                  <w:vAlign w:val="center"/>
                </w:tcPr>
                <w:p>
                  <w:pPr>
                    <w:pStyle w:val="50"/>
                    <w:spacing w:before="0" w:beforeLines="0" w:after="0" w:afterLines="0"/>
                    <w:rPr>
                      <w:rFonts w:hint="default"/>
                      <w:b w:val="0"/>
                      <w:bCs/>
                      <w:color w:val="auto"/>
                      <w:sz w:val="21"/>
                      <w:szCs w:val="21"/>
                      <w:lang w:val="en-US"/>
                    </w:rPr>
                  </w:pPr>
                  <w:r>
                    <w:rPr>
                      <w:rFonts w:hint="eastAsia"/>
                      <w:b w:val="0"/>
                      <w:bCs/>
                      <w:color w:val="auto"/>
                      <w:sz w:val="21"/>
                      <w:szCs w:val="21"/>
                    </w:rPr>
                    <w:t>W</w:t>
                  </w:r>
                  <w:r>
                    <w:rPr>
                      <w:rFonts w:hint="eastAsia"/>
                      <w:b w:val="0"/>
                      <w:bCs/>
                      <w:color w:val="auto"/>
                      <w:sz w:val="21"/>
                      <w:szCs w:val="21"/>
                      <w:lang w:val="en-US" w:eastAsia="zh-CN"/>
                    </w:rPr>
                    <w:t>及SW，紧邻</w:t>
                  </w:r>
                </w:p>
              </w:tc>
              <w:tc>
                <w:tcPr>
                  <w:tcW w:w="1514" w:type="dxa"/>
                  <w:tcBorders>
                    <w:tl2br w:val="nil"/>
                    <w:tr2bl w:val="nil"/>
                  </w:tcBorders>
                  <w:vAlign w:val="center"/>
                </w:tcPr>
                <w:p>
                  <w:pPr>
                    <w:pStyle w:val="50"/>
                    <w:spacing w:before="0" w:beforeLines="0" w:after="0" w:afterLines="0"/>
                    <w:rPr>
                      <w:b w:val="0"/>
                      <w:bCs/>
                      <w:color w:val="auto"/>
                      <w:sz w:val="21"/>
                      <w:szCs w:val="21"/>
                    </w:rPr>
                  </w:pPr>
                  <w:r>
                    <w:rPr>
                      <w:rFonts w:hint="eastAsia"/>
                      <w:b w:val="0"/>
                      <w:bCs/>
                      <w:color w:val="auto"/>
                      <w:sz w:val="21"/>
                      <w:szCs w:val="21"/>
                      <w:lang w:val="en-US" w:eastAsia="zh-CN"/>
                    </w:rPr>
                    <w:t>散户居民</w:t>
                  </w:r>
                  <w:r>
                    <w:rPr>
                      <w:rFonts w:hint="eastAsia"/>
                      <w:b w:val="0"/>
                      <w:bCs/>
                      <w:color w:val="auto"/>
                      <w:sz w:val="21"/>
                      <w:szCs w:val="21"/>
                    </w:rPr>
                    <w:t>，</w:t>
                  </w:r>
                </w:p>
                <w:p>
                  <w:pPr>
                    <w:pStyle w:val="50"/>
                    <w:spacing w:before="0" w:beforeLines="0" w:after="0" w:afterLines="0"/>
                    <w:rPr>
                      <w:b w:val="0"/>
                      <w:bCs/>
                      <w:color w:val="auto"/>
                      <w:sz w:val="21"/>
                      <w:szCs w:val="21"/>
                    </w:rPr>
                  </w:pPr>
                  <w:r>
                    <w:rPr>
                      <w:rFonts w:hint="eastAsia"/>
                      <w:b w:val="0"/>
                      <w:bCs/>
                      <w:color w:val="auto"/>
                      <w:sz w:val="21"/>
                      <w:szCs w:val="21"/>
                    </w:rPr>
                    <w:t>约</w:t>
                  </w:r>
                  <w:r>
                    <w:rPr>
                      <w:rFonts w:hint="eastAsia"/>
                      <w:b w:val="0"/>
                      <w:bCs/>
                      <w:color w:val="auto"/>
                      <w:sz w:val="21"/>
                      <w:szCs w:val="21"/>
                      <w:lang w:val="en-US" w:eastAsia="zh-CN"/>
                    </w:rPr>
                    <w:t>80</w:t>
                  </w:r>
                  <w:r>
                    <w:rPr>
                      <w:rFonts w:hint="eastAsia"/>
                      <w:b w:val="0"/>
                      <w:bCs/>
                      <w:color w:val="auto"/>
                      <w:sz w:val="21"/>
                      <w:szCs w:val="21"/>
                    </w:rPr>
                    <w:t>户。</w:t>
                  </w:r>
                </w:p>
              </w:tc>
              <w:tc>
                <w:tcPr>
                  <w:tcW w:w="2032" w:type="dxa"/>
                  <w:vMerge w:val="continue"/>
                  <w:tcBorders>
                    <w:tl2br w:val="nil"/>
                    <w:tr2bl w:val="nil"/>
                  </w:tcBorders>
                  <w:vAlign w:val="center"/>
                </w:tcPr>
                <w:p>
                  <w:pPr>
                    <w:pStyle w:val="50"/>
                    <w:spacing w:before="0" w:beforeLines="0" w:after="0" w:afterLines="0"/>
                    <w:rPr>
                      <w:rFonts w:ascii="Times New Roman" w:hAnsi="Times New Roman" w:eastAsia="宋体" w:cs="Times New Roman"/>
                      <w:b w:val="0"/>
                      <w:bCs/>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56" w:type="dxa"/>
                  <w:vMerge w:val="continue"/>
                  <w:tcBorders>
                    <w:tl2br w:val="nil"/>
                    <w:tr2bl w:val="nil"/>
                  </w:tcBorders>
                  <w:vAlign w:val="center"/>
                </w:tcPr>
                <w:p>
                  <w:pPr>
                    <w:pStyle w:val="50"/>
                    <w:spacing w:before="0" w:beforeLines="0" w:after="0" w:afterLines="0"/>
                    <w:rPr>
                      <w:b w:val="0"/>
                      <w:bCs/>
                      <w:color w:val="auto"/>
                      <w:sz w:val="21"/>
                      <w:szCs w:val="21"/>
                    </w:rPr>
                  </w:pPr>
                </w:p>
              </w:tc>
              <w:tc>
                <w:tcPr>
                  <w:tcW w:w="1969" w:type="dxa"/>
                  <w:tcBorders>
                    <w:tl2br w:val="nil"/>
                    <w:tr2bl w:val="nil"/>
                  </w:tcBorders>
                  <w:vAlign w:val="center"/>
                </w:tcPr>
                <w:p>
                  <w:pPr>
                    <w:pStyle w:val="50"/>
                    <w:spacing w:before="0" w:beforeLines="0" w:after="0" w:afterLines="0"/>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团洲乡居民点</w:t>
                  </w:r>
                </w:p>
              </w:tc>
              <w:tc>
                <w:tcPr>
                  <w:tcW w:w="1673" w:type="dxa"/>
                  <w:tcBorders>
                    <w:tl2br w:val="nil"/>
                    <w:tr2bl w:val="nil"/>
                  </w:tcBorders>
                  <w:vAlign w:val="center"/>
                </w:tcPr>
                <w:p>
                  <w:pPr>
                    <w:pStyle w:val="50"/>
                    <w:spacing w:before="0" w:beforeLines="0" w:after="0" w:afterLines="0"/>
                    <w:rPr>
                      <w:rFonts w:hint="default"/>
                      <w:b w:val="0"/>
                      <w:bCs/>
                      <w:color w:val="auto"/>
                      <w:sz w:val="21"/>
                      <w:szCs w:val="21"/>
                      <w:lang w:val="en-US" w:eastAsia="zh-CN"/>
                    </w:rPr>
                  </w:pPr>
                  <w:r>
                    <w:rPr>
                      <w:rFonts w:hint="eastAsia"/>
                      <w:b w:val="0"/>
                      <w:bCs/>
                      <w:color w:val="auto"/>
                      <w:sz w:val="21"/>
                      <w:szCs w:val="21"/>
                      <w:lang w:val="en-US" w:eastAsia="zh-CN"/>
                    </w:rPr>
                    <w:t>E及SE，紧邻</w:t>
                  </w:r>
                </w:p>
              </w:tc>
              <w:tc>
                <w:tcPr>
                  <w:tcW w:w="1514" w:type="dxa"/>
                  <w:tcBorders>
                    <w:tl2br w:val="nil"/>
                    <w:tr2bl w:val="nil"/>
                  </w:tcBorders>
                  <w:vAlign w:val="center"/>
                </w:tcPr>
                <w:p>
                  <w:pPr>
                    <w:pStyle w:val="50"/>
                    <w:spacing w:before="0" w:beforeLines="0" w:after="0" w:afterLines="0"/>
                    <w:rPr>
                      <w:rFonts w:hint="eastAsia"/>
                      <w:b w:val="0"/>
                      <w:bCs/>
                      <w:color w:val="auto"/>
                      <w:sz w:val="21"/>
                      <w:szCs w:val="21"/>
                    </w:rPr>
                  </w:pPr>
                  <w:r>
                    <w:rPr>
                      <w:rFonts w:hint="eastAsia"/>
                      <w:b w:val="0"/>
                      <w:bCs/>
                      <w:color w:val="auto"/>
                      <w:sz w:val="21"/>
                      <w:szCs w:val="21"/>
                      <w:lang w:val="en-US" w:eastAsia="zh-CN"/>
                    </w:rPr>
                    <w:t>居民区，居民约65户</w:t>
                  </w:r>
                  <w:r>
                    <w:rPr>
                      <w:rFonts w:hint="eastAsia"/>
                      <w:b w:val="0"/>
                      <w:bCs/>
                      <w:color w:val="auto"/>
                      <w:sz w:val="21"/>
                      <w:szCs w:val="21"/>
                    </w:rPr>
                    <w:t>。</w:t>
                  </w:r>
                </w:p>
              </w:tc>
              <w:tc>
                <w:tcPr>
                  <w:tcW w:w="2032" w:type="dxa"/>
                  <w:vMerge w:val="continue"/>
                  <w:tcBorders>
                    <w:tl2br w:val="nil"/>
                    <w:tr2bl w:val="nil"/>
                  </w:tcBorders>
                  <w:vAlign w:val="center"/>
                </w:tcPr>
                <w:p>
                  <w:pPr>
                    <w:pStyle w:val="50"/>
                    <w:spacing w:before="0" w:beforeLines="0" w:after="0" w:afterLines="0"/>
                    <w:rPr>
                      <w:rFonts w:ascii="Times New Roman" w:hAnsi="Times New Roman" w:eastAsia="宋体" w:cs="Times New Roman"/>
                      <w:b w:val="0"/>
                      <w:bCs/>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56" w:type="dxa"/>
                  <w:vMerge w:val="continue"/>
                  <w:tcBorders>
                    <w:tl2br w:val="nil"/>
                    <w:tr2bl w:val="nil"/>
                  </w:tcBorders>
                  <w:vAlign w:val="center"/>
                </w:tcPr>
                <w:p>
                  <w:pPr>
                    <w:pStyle w:val="50"/>
                    <w:spacing w:before="0" w:beforeLines="0" w:after="0" w:afterLines="0"/>
                    <w:rPr>
                      <w:b w:val="0"/>
                      <w:bCs/>
                      <w:color w:val="auto"/>
                      <w:sz w:val="21"/>
                      <w:szCs w:val="21"/>
                    </w:rPr>
                  </w:pPr>
                </w:p>
              </w:tc>
              <w:tc>
                <w:tcPr>
                  <w:tcW w:w="1969" w:type="dxa"/>
                  <w:tcBorders>
                    <w:tl2br w:val="nil"/>
                    <w:tr2bl w:val="nil"/>
                  </w:tcBorders>
                  <w:shd w:val="clear" w:color="auto" w:fill="auto"/>
                  <w:vAlign w:val="center"/>
                </w:tcPr>
                <w:p>
                  <w:pPr>
                    <w:pStyle w:val="50"/>
                    <w:spacing w:before="0" w:beforeLines="0" w:after="0" w:afterLines="0"/>
                    <w:rPr>
                      <w:rFonts w:hint="eastAsia" w:ascii="Times New Roman" w:hAnsi="Times New Roman" w:eastAsia="宋体" w:cs="Times New Roman"/>
                      <w:b w:val="0"/>
                      <w:bCs/>
                      <w:color w:val="auto"/>
                      <w:kern w:val="2"/>
                      <w:sz w:val="21"/>
                      <w:szCs w:val="21"/>
                      <w:lang w:val="en-US" w:eastAsia="zh-CN" w:bidi="ar-SA"/>
                    </w:rPr>
                  </w:pPr>
                  <w:r>
                    <w:rPr>
                      <w:rFonts w:hint="eastAsia" w:ascii="Times New Roman" w:hAnsi="Times New Roman" w:eastAsia="宋体" w:cs="Times New Roman"/>
                      <w:b w:val="0"/>
                      <w:bCs/>
                      <w:color w:val="auto"/>
                      <w:sz w:val="21"/>
                      <w:szCs w:val="21"/>
                      <w:lang w:val="en-US" w:eastAsia="zh-CN"/>
                    </w:rPr>
                    <w:t>团洲乡居民点</w:t>
                  </w:r>
                </w:p>
              </w:tc>
              <w:tc>
                <w:tcPr>
                  <w:tcW w:w="1673" w:type="dxa"/>
                  <w:tcBorders>
                    <w:tl2br w:val="nil"/>
                    <w:tr2bl w:val="nil"/>
                  </w:tcBorders>
                  <w:shd w:val="clear" w:color="auto" w:fill="auto"/>
                  <w:vAlign w:val="center"/>
                </w:tcPr>
                <w:p>
                  <w:pPr>
                    <w:pStyle w:val="50"/>
                    <w:spacing w:before="0" w:beforeLines="0" w:after="0" w:afterLines="0"/>
                    <w:rPr>
                      <w:rFonts w:hint="eastAsia" w:ascii="Times New Roman" w:hAnsi="Times New Roman" w:eastAsia="宋体" w:cs="Times New Roman"/>
                      <w:b w:val="0"/>
                      <w:bCs/>
                      <w:color w:val="auto"/>
                      <w:kern w:val="2"/>
                      <w:sz w:val="21"/>
                      <w:szCs w:val="21"/>
                      <w:lang w:val="en-US" w:eastAsia="zh-CN" w:bidi="ar-SA"/>
                    </w:rPr>
                  </w:pPr>
                  <w:r>
                    <w:rPr>
                      <w:rFonts w:hint="eastAsia"/>
                      <w:b w:val="0"/>
                      <w:bCs/>
                      <w:color w:val="auto"/>
                      <w:sz w:val="21"/>
                      <w:szCs w:val="21"/>
                      <w:lang w:val="en-US" w:eastAsia="zh-CN"/>
                    </w:rPr>
                    <w:t>S，紧邻</w:t>
                  </w:r>
                </w:p>
              </w:tc>
              <w:tc>
                <w:tcPr>
                  <w:tcW w:w="1514" w:type="dxa"/>
                  <w:tcBorders>
                    <w:tl2br w:val="nil"/>
                    <w:tr2bl w:val="nil"/>
                  </w:tcBorders>
                  <w:shd w:val="clear" w:color="auto" w:fill="auto"/>
                  <w:vAlign w:val="center"/>
                </w:tcPr>
                <w:p>
                  <w:pPr>
                    <w:pStyle w:val="50"/>
                    <w:spacing w:before="0" w:beforeLines="0" w:after="0" w:afterLines="0"/>
                    <w:rPr>
                      <w:rFonts w:hint="eastAsia" w:ascii="Times New Roman" w:hAnsi="Times New Roman" w:eastAsia="宋体" w:cs="Times New Roman"/>
                      <w:b w:val="0"/>
                      <w:bCs/>
                      <w:color w:val="auto"/>
                      <w:kern w:val="2"/>
                      <w:sz w:val="21"/>
                      <w:szCs w:val="21"/>
                      <w:lang w:val="en-US" w:eastAsia="zh-CN" w:bidi="ar-SA"/>
                    </w:rPr>
                  </w:pPr>
                  <w:r>
                    <w:rPr>
                      <w:rFonts w:hint="eastAsia"/>
                      <w:b w:val="0"/>
                      <w:bCs/>
                      <w:color w:val="auto"/>
                      <w:sz w:val="21"/>
                      <w:szCs w:val="21"/>
                      <w:lang w:val="en-US" w:eastAsia="zh-CN"/>
                    </w:rPr>
                    <w:t>居民区，居民约120户</w:t>
                  </w:r>
                  <w:r>
                    <w:rPr>
                      <w:rFonts w:hint="eastAsia"/>
                      <w:b w:val="0"/>
                      <w:bCs/>
                      <w:color w:val="auto"/>
                      <w:sz w:val="21"/>
                      <w:szCs w:val="21"/>
                    </w:rPr>
                    <w:t>。</w:t>
                  </w:r>
                </w:p>
              </w:tc>
              <w:tc>
                <w:tcPr>
                  <w:tcW w:w="2032" w:type="dxa"/>
                  <w:vMerge w:val="continue"/>
                  <w:tcBorders>
                    <w:tl2br w:val="nil"/>
                    <w:tr2bl w:val="nil"/>
                  </w:tcBorders>
                  <w:vAlign w:val="center"/>
                </w:tcPr>
                <w:p>
                  <w:pPr>
                    <w:pStyle w:val="50"/>
                    <w:spacing w:before="0" w:beforeLines="0" w:after="0" w:afterLines="0"/>
                    <w:rPr>
                      <w:rFonts w:ascii="Times New Roman" w:hAnsi="Times New Roman" w:eastAsia="宋体" w:cs="Times New Roman"/>
                      <w:b w:val="0"/>
                      <w:bCs/>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56" w:type="dxa"/>
                  <w:vMerge w:val="restart"/>
                  <w:tcBorders>
                    <w:tl2br w:val="nil"/>
                    <w:tr2bl w:val="nil"/>
                  </w:tcBorders>
                  <w:vAlign w:val="center"/>
                </w:tcPr>
                <w:p>
                  <w:pPr>
                    <w:pStyle w:val="50"/>
                    <w:spacing w:before="0" w:beforeLines="0" w:after="0" w:afterLines="0"/>
                    <w:rPr>
                      <w:rFonts w:hint="default" w:eastAsia="宋体"/>
                      <w:b w:val="0"/>
                      <w:bCs/>
                      <w:color w:val="auto"/>
                      <w:sz w:val="21"/>
                      <w:szCs w:val="21"/>
                      <w:lang w:val="en-US" w:eastAsia="zh-CN"/>
                    </w:rPr>
                  </w:pPr>
                  <w:r>
                    <w:rPr>
                      <w:rFonts w:hint="eastAsia"/>
                      <w:b w:val="0"/>
                      <w:bCs/>
                      <w:color w:val="auto"/>
                      <w:sz w:val="21"/>
                      <w:szCs w:val="21"/>
                      <w:lang w:val="en-US" w:eastAsia="zh-CN"/>
                    </w:rPr>
                    <w:t>声环境</w:t>
                  </w:r>
                </w:p>
              </w:tc>
              <w:tc>
                <w:tcPr>
                  <w:tcW w:w="1969" w:type="dxa"/>
                  <w:tcBorders>
                    <w:tl2br w:val="nil"/>
                    <w:tr2bl w:val="nil"/>
                  </w:tcBorders>
                  <w:vAlign w:val="center"/>
                </w:tcPr>
                <w:p>
                  <w:pPr>
                    <w:pStyle w:val="50"/>
                    <w:spacing w:before="0" w:beforeLines="0" w:after="0" w:afterLines="0"/>
                    <w:rPr>
                      <w:rFonts w:hint="eastAsia"/>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团洲花园小区</w:t>
                  </w:r>
                </w:p>
              </w:tc>
              <w:tc>
                <w:tcPr>
                  <w:tcW w:w="1673" w:type="dxa"/>
                  <w:tcBorders>
                    <w:tl2br w:val="nil"/>
                    <w:tr2bl w:val="nil"/>
                  </w:tcBorders>
                  <w:vAlign w:val="center"/>
                </w:tcPr>
                <w:p>
                  <w:pPr>
                    <w:pStyle w:val="50"/>
                    <w:spacing w:before="0" w:beforeLines="0" w:after="0" w:afterLines="0"/>
                    <w:jc w:val="center"/>
                    <w:rPr>
                      <w:rFonts w:hint="eastAsia"/>
                      <w:b w:val="0"/>
                      <w:bCs/>
                      <w:color w:val="auto"/>
                      <w:sz w:val="21"/>
                      <w:szCs w:val="21"/>
                      <w:lang w:val="en-US" w:eastAsia="zh-CN"/>
                    </w:rPr>
                  </w:pPr>
                  <w:r>
                    <w:rPr>
                      <w:rFonts w:hint="eastAsia"/>
                      <w:b w:val="0"/>
                      <w:bCs/>
                      <w:color w:val="auto"/>
                      <w:sz w:val="21"/>
                      <w:szCs w:val="21"/>
                      <w:lang w:val="en-US" w:eastAsia="zh-CN"/>
                    </w:rPr>
                    <w:t>西侧紧邻</w:t>
                  </w:r>
                </w:p>
              </w:tc>
              <w:tc>
                <w:tcPr>
                  <w:tcW w:w="1514" w:type="dxa"/>
                  <w:tcBorders>
                    <w:tl2br w:val="nil"/>
                    <w:tr2bl w:val="nil"/>
                  </w:tcBorders>
                  <w:vAlign w:val="center"/>
                </w:tcPr>
                <w:p>
                  <w:pPr>
                    <w:pStyle w:val="50"/>
                    <w:spacing w:before="0" w:beforeLines="0" w:after="0" w:afterLines="0"/>
                    <w:rPr>
                      <w:rFonts w:hint="eastAsia"/>
                      <w:b w:val="0"/>
                      <w:bCs/>
                      <w:color w:val="auto"/>
                      <w:sz w:val="21"/>
                      <w:szCs w:val="21"/>
                      <w:lang w:val="en-US" w:eastAsia="zh-CN"/>
                    </w:rPr>
                  </w:pPr>
                  <w:r>
                    <w:rPr>
                      <w:rFonts w:hint="eastAsia"/>
                      <w:b w:val="0"/>
                      <w:bCs/>
                      <w:color w:val="auto"/>
                      <w:sz w:val="21"/>
                      <w:szCs w:val="21"/>
                      <w:lang w:val="en-US" w:eastAsia="zh-CN"/>
                    </w:rPr>
                    <w:t>居民区，居民约200户</w:t>
                  </w:r>
                  <w:r>
                    <w:rPr>
                      <w:rFonts w:hint="eastAsia"/>
                      <w:b w:val="0"/>
                      <w:bCs/>
                      <w:color w:val="auto"/>
                      <w:sz w:val="21"/>
                      <w:szCs w:val="21"/>
                    </w:rPr>
                    <w:t>。</w:t>
                  </w:r>
                </w:p>
              </w:tc>
              <w:tc>
                <w:tcPr>
                  <w:tcW w:w="2032" w:type="dxa"/>
                  <w:vMerge w:val="restart"/>
                  <w:tcBorders>
                    <w:tl2br w:val="nil"/>
                    <w:tr2bl w:val="nil"/>
                  </w:tcBorders>
                  <w:vAlign w:val="center"/>
                </w:tcPr>
                <w:p>
                  <w:pPr>
                    <w:pStyle w:val="50"/>
                    <w:spacing w:before="0" w:beforeLines="0" w:after="0" w:afterLines="0"/>
                    <w:rPr>
                      <w:rFonts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（GB3096-2008）</w:t>
                  </w:r>
                  <w:r>
                    <w:rPr>
                      <w:rFonts w:hint="eastAsia" w:ascii="Times New Roman" w:hAnsi="Times New Roman" w:eastAsia="宋体" w:cs="Times New Roman"/>
                      <w:b w:val="0"/>
                      <w:bCs/>
                      <w:color w:val="auto"/>
                      <w:sz w:val="21"/>
                      <w:szCs w:val="21"/>
                      <w:lang w:val="en-US" w:eastAsia="zh-CN"/>
                    </w:rPr>
                    <w:t>2</w:t>
                  </w:r>
                  <w:r>
                    <w:rPr>
                      <w:rFonts w:hint="default" w:ascii="Times New Roman" w:hAnsi="Times New Roman" w:eastAsia="宋体" w:cs="Times New Roman"/>
                      <w:b w:val="0"/>
                      <w:bCs/>
                      <w:color w:val="auto"/>
                      <w:sz w:val="21"/>
                      <w:szCs w:val="21"/>
                    </w:rPr>
                    <w:t>类标准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56" w:type="dxa"/>
                  <w:vMerge w:val="continue"/>
                  <w:tcBorders>
                    <w:tl2br w:val="nil"/>
                    <w:tr2bl w:val="nil"/>
                  </w:tcBorders>
                  <w:vAlign w:val="center"/>
                </w:tcPr>
                <w:p>
                  <w:pPr>
                    <w:pStyle w:val="50"/>
                    <w:spacing w:before="0" w:beforeLines="0" w:after="0" w:afterLines="0"/>
                    <w:rPr>
                      <w:rFonts w:hint="eastAsia"/>
                      <w:b w:val="0"/>
                      <w:bCs/>
                      <w:color w:val="auto"/>
                      <w:sz w:val="21"/>
                      <w:szCs w:val="21"/>
                      <w:lang w:val="en-US" w:eastAsia="zh-CN"/>
                    </w:rPr>
                  </w:pPr>
                </w:p>
              </w:tc>
              <w:tc>
                <w:tcPr>
                  <w:tcW w:w="1969" w:type="dxa"/>
                  <w:tcBorders>
                    <w:tl2br w:val="nil"/>
                    <w:tr2bl w:val="nil"/>
                  </w:tcBorders>
                  <w:vAlign w:val="center"/>
                </w:tcPr>
                <w:p>
                  <w:pPr>
                    <w:pStyle w:val="50"/>
                    <w:spacing w:before="0" w:beforeLines="0" w:after="0" w:afterLines="0"/>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团洲乡居民点</w:t>
                  </w:r>
                </w:p>
              </w:tc>
              <w:tc>
                <w:tcPr>
                  <w:tcW w:w="1673" w:type="dxa"/>
                  <w:tcBorders>
                    <w:tl2br w:val="nil"/>
                    <w:tr2bl w:val="nil"/>
                  </w:tcBorders>
                  <w:vAlign w:val="center"/>
                </w:tcPr>
                <w:p>
                  <w:pPr>
                    <w:pStyle w:val="50"/>
                    <w:spacing w:before="0" w:beforeLines="0" w:after="0" w:afterLines="0"/>
                    <w:rPr>
                      <w:rFonts w:hint="eastAsia"/>
                      <w:b w:val="0"/>
                      <w:bCs/>
                      <w:color w:val="auto"/>
                      <w:sz w:val="21"/>
                      <w:szCs w:val="21"/>
                      <w:lang w:val="en-US" w:eastAsia="zh-CN"/>
                    </w:rPr>
                  </w:pPr>
                  <w:r>
                    <w:rPr>
                      <w:rFonts w:hint="eastAsia"/>
                      <w:b w:val="0"/>
                      <w:bCs/>
                      <w:color w:val="auto"/>
                      <w:sz w:val="21"/>
                      <w:szCs w:val="21"/>
                    </w:rPr>
                    <w:t>W</w:t>
                  </w:r>
                  <w:r>
                    <w:rPr>
                      <w:rFonts w:hint="eastAsia"/>
                      <w:b w:val="0"/>
                      <w:bCs/>
                      <w:color w:val="auto"/>
                      <w:sz w:val="21"/>
                      <w:szCs w:val="21"/>
                      <w:lang w:val="en-US" w:eastAsia="zh-CN"/>
                    </w:rPr>
                    <w:t>及SW，紧邻</w:t>
                  </w:r>
                </w:p>
              </w:tc>
              <w:tc>
                <w:tcPr>
                  <w:tcW w:w="1514" w:type="dxa"/>
                  <w:tcBorders>
                    <w:tl2br w:val="nil"/>
                    <w:tr2bl w:val="nil"/>
                  </w:tcBorders>
                  <w:vAlign w:val="center"/>
                </w:tcPr>
                <w:p>
                  <w:pPr>
                    <w:pStyle w:val="50"/>
                    <w:spacing w:before="0" w:beforeLines="0" w:after="0" w:afterLines="0"/>
                    <w:rPr>
                      <w:b w:val="0"/>
                      <w:bCs/>
                      <w:color w:val="auto"/>
                      <w:sz w:val="21"/>
                      <w:szCs w:val="21"/>
                    </w:rPr>
                  </w:pPr>
                  <w:r>
                    <w:rPr>
                      <w:rFonts w:hint="eastAsia"/>
                      <w:b w:val="0"/>
                      <w:bCs/>
                      <w:color w:val="auto"/>
                      <w:sz w:val="21"/>
                      <w:szCs w:val="21"/>
                      <w:lang w:val="en-US" w:eastAsia="zh-CN"/>
                    </w:rPr>
                    <w:t>散户居民</w:t>
                  </w:r>
                  <w:r>
                    <w:rPr>
                      <w:rFonts w:hint="eastAsia"/>
                      <w:b w:val="0"/>
                      <w:bCs/>
                      <w:color w:val="auto"/>
                      <w:sz w:val="21"/>
                      <w:szCs w:val="21"/>
                    </w:rPr>
                    <w:t>，</w:t>
                  </w:r>
                </w:p>
                <w:p>
                  <w:pPr>
                    <w:pStyle w:val="50"/>
                    <w:spacing w:before="0" w:beforeLines="0" w:after="0" w:afterLines="0"/>
                    <w:rPr>
                      <w:rFonts w:hint="eastAsia"/>
                      <w:b w:val="0"/>
                      <w:bCs/>
                      <w:color w:val="auto"/>
                      <w:sz w:val="21"/>
                      <w:szCs w:val="21"/>
                      <w:lang w:val="en-US" w:eastAsia="zh-CN"/>
                    </w:rPr>
                  </w:pPr>
                  <w:r>
                    <w:rPr>
                      <w:rFonts w:hint="eastAsia"/>
                      <w:b w:val="0"/>
                      <w:bCs/>
                      <w:color w:val="auto"/>
                      <w:sz w:val="21"/>
                      <w:szCs w:val="21"/>
                    </w:rPr>
                    <w:t>约</w:t>
                  </w:r>
                  <w:r>
                    <w:rPr>
                      <w:rFonts w:hint="eastAsia"/>
                      <w:b w:val="0"/>
                      <w:bCs/>
                      <w:color w:val="auto"/>
                      <w:sz w:val="21"/>
                      <w:szCs w:val="21"/>
                      <w:lang w:val="en-US" w:eastAsia="zh-CN"/>
                    </w:rPr>
                    <w:t>80</w:t>
                  </w:r>
                  <w:r>
                    <w:rPr>
                      <w:rFonts w:hint="eastAsia"/>
                      <w:b w:val="0"/>
                      <w:bCs/>
                      <w:color w:val="auto"/>
                      <w:sz w:val="21"/>
                      <w:szCs w:val="21"/>
                    </w:rPr>
                    <w:t>户。</w:t>
                  </w:r>
                </w:p>
              </w:tc>
              <w:tc>
                <w:tcPr>
                  <w:tcW w:w="2032" w:type="dxa"/>
                  <w:vMerge w:val="continue"/>
                  <w:tcBorders>
                    <w:tl2br w:val="nil"/>
                    <w:tr2bl w:val="nil"/>
                  </w:tcBorders>
                  <w:vAlign w:val="center"/>
                </w:tcPr>
                <w:p>
                  <w:pPr>
                    <w:pStyle w:val="50"/>
                    <w:spacing w:before="0" w:beforeLines="0" w:after="0" w:afterLines="0"/>
                    <w:rPr>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56" w:type="dxa"/>
                  <w:vMerge w:val="continue"/>
                  <w:tcBorders>
                    <w:tl2br w:val="nil"/>
                    <w:tr2bl w:val="nil"/>
                  </w:tcBorders>
                  <w:vAlign w:val="center"/>
                </w:tcPr>
                <w:p>
                  <w:pPr>
                    <w:pStyle w:val="50"/>
                    <w:spacing w:before="0" w:beforeLines="0" w:after="0" w:afterLines="0"/>
                    <w:rPr>
                      <w:rFonts w:hint="eastAsia"/>
                      <w:b w:val="0"/>
                      <w:bCs/>
                      <w:color w:val="auto"/>
                      <w:sz w:val="21"/>
                      <w:szCs w:val="21"/>
                      <w:lang w:val="en-US" w:eastAsia="zh-CN"/>
                    </w:rPr>
                  </w:pPr>
                </w:p>
              </w:tc>
              <w:tc>
                <w:tcPr>
                  <w:tcW w:w="1969" w:type="dxa"/>
                  <w:tcBorders>
                    <w:tl2br w:val="nil"/>
                    <w:tr2bl w:val="nil"/>
                  </w:tcBorders>
                  <w:vAlign w:val="center"/>
                </w:tcPr>
                <w:p>
                  <w:pPr>
                    <w:pStyle w:val="50"/>
                    <w:spacing w:before="0" w:beforeLines="0" w:after="0" w:afterLines="0"/>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团洲乡居民点</w:t>
                  </w:r>
                </w:p>
              </w:tc>
              <w:tc>
                <w:tcPr>
                  <w:tcW w:w="1673" w:type="dxa"/>
                  <w:tcBorders>
                    <w:tl2br w:val="nil"/>
                    <w:tr2bl w:val="nil"/>
                  </w:tcBorders>
                  <w:vAlign w:val="center"/>
                </w:tcPr>
                <w:p>
                  <w:pPr>
                    <w:pStyle w:val="50"/>
                    <w:spacing w:before="0" w:beforeLines="0" w:after="0" w:afterLines="0"/>
                    <w:rPr>
                      <w:rFonts w:hint="eastAsia"/>
                      <w:b w:val="0"/>
                      <w:bCs/>
                      <w:color w:val="auto"/>
                      <w:sz w:val="21"/>
                      <w:szCs w:val="21"/>
                      <w:lang w:val="en-US" w:eastAsia="zh-CN"/>
                    </w:rPr>
                  </w:pPr>
                  <w:r>
                    <w:rPr>
                      <w:rFonts w:hint="eastAsia"/>
                      <w:b w:val="0"/>
                      <w:bCs/>
                      <w:color w:val="auto"/>
                      <w:sz w:val="21"/>
                      <w:szCs w:val="21"/>
                      <w:lang w:val="en-US" w:eastAsia="zh-CN"/>
                    </w:rPr>
                    <w:t>E及SE，紧邻</w:t>
                  </w:r>
                </w:p>
              </w:tc>
              <w:tc>
                <w:tcPr>
                  <w:tcW w:w="1514" w:type="dxa"/>
                  <w:tcBorders>
                    <w:tl2br w:val="nil"/>
                    <w:tr2bl w:val="nil"/>
                  </w:tcBorders>
                  <w:vAlign w:val="center"/>
                </w:tcPr>
                <w:p>
                  <w:pPr>
                    <w:pStyle w:val="50"/>
                    <w:spacing w:before="0" w:beforeLines="0" w:after="0" w:afterLines="0"/>
                    <w:rPr>
                      <w:rFonts w:hint="eastAsia"/>
                      <w:b w:val="0"/>
                      <w:bCs/>
                      <w:color w:val="auto"/>
                      <w:sz w:val="21"/>
                      <w:szCs w:val="21"/>
                      <w:lang w:val="en-US" w:eastAsia="zh-CN"/>
                    </w:rPr>
                  </w:pPr>
                  <w:r>
                    <w:rPr>
                      <w:rFonts w:hint="eastAsia"/>
                      <w:b w:val="0"/>
                      <w:bCs/>
                      <w:color w:val="auto"/>
                      <w:sz w:val="21"/>
                      <w:szCs w:val="21"/>
                      <w:lang w:val="en-US" w:eastAsia="zh-CN"/>
                    </w:rPr>
                    <w:t>居民区，居民约65户</w:t>
                  </w:r>
                  <w:r>
                    <w:rPr>
                      <w:rFonts w:hint="eastAsia"/>
                      <w:b w:val="0"/>
                      <w:bCs/>
                      <w:color w:val="auto"/>
                      <w:sz w:val="21"/>
                      <w:szCs w:val="21"/>
                    </w:rPr>
                    <w:t>。</w:t>
                  </w:r>
                </w:p>
              </w:tc>
              <w:tc>
                <w:tcPr>
                  <w:tcW w:w="2032" w:type="dxa"/>
                  <w:vMerge w:val="continue"/>
                  <w:tcBorders>
                    <w:tl2br w:val="nil"/>
                    <w:tr2bl w:val="nil"/>
                  </w:tcBorders>
                  <w:vAlign w:val="center"/>
                </w:tcPr>
                <w:p>
                  <w:pPr>
                    <w:pStyle w:val="50"/>
                    <w:spacing w:before="0" w:beforeLines="0" w:after="0" w:afterLines="0"/>
                    <w:rPr>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56" w:type="dxa"/>
                  <w:vMerge w:val="continue"/>
                  <w:tcBorders>
                    <w:tl2br w:val="nil"/>
                    <w:tr2bl w:val="nil"/>
                  </w:tcBorders>
                  <w:vAlign w:val="center"/>
                </w:tcPr>
                <w:p>
                  <w:pPr>
                    <w:pStyle w:val="50"/>
                    <w:spacing w:before="0" w:beforeLines="0" w:after="0" w:afterLines="0"/>
                    <w:rPr>
                      <w:rFonts w:hint="eastAsia"/>
                      <w:b w:val="0"/>
                      <w:bCs/>
                      <w:color w:val="auto"/>
                      <w:sz w:val="21"/>
                      <w:szCs w:val="21"/>
                      <w:lang w:val="en-US" w:eastAsia="zh-CN"/>
                    </w:rPr>
                  </w:pPr>
                </w:p>
              </w:tc>
              <w:tc>
                <w:tcPr>
                  <w:tcW w:w="1969" w:type="dxa"/>
                  <w:tcBorders>
                    <w:tl2br w:val="nil"/>
                    <w:tr2bl w:val="nil"/>
                  </w:tcBorders>
                  <w:vAlign w:val="center"/>
                </w:tcPr>
                <w:p>
                  <w:pPr>
                    <w:pStyle w:val="50"/>
                    <w:spacing w:before="0" w:beforeLines="0" w:after="0" w:afterLines="0"/>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团洲乡居民点</w:t>
                  </w:r>
                </w:p>
              </w:tc>
              <w:tc>
                <w:tcPr>
                  <w:tcW w:w="1673" w:type="dxa"/>
                  <w:tcBorders>
                    <w:tl2br w:val="nil"/>
                    <w:tr2bl w:val="nil"/>
                  </w:tcBorders>
                  <w:vAlign w:val="center"/>
                </w:tcPr>
                <w:p>
                  <w:pPr>
                    <w:pStyle w:val="50"/>
                    <w:spacing w:before="0" w:beforeLines="0" w:after="0" w:afterLines="0"/>
                    <w:rPr>
                      <w:rFonts w:hint="eastAsia"/>
                      <w:b w:val="0"/>
                      <w:bCs/>
                      <w:color w:val="auto"/>
                      <w:sz w:val="21"/>
                      <w:szCs w:val="21"/>
                      <w:lang w:val="en-US" w:eastAsia="zh-CN"/>
                    </w:rPr>
                  </w:pPr>
                  <w:r>
                    <w:rPr>
                      <w:rFonts w:hint="eastAsia"/>
                      <w:b w:val="0"/>
                      <w:bCs/>
                      <w:color w:val="auto"/>
                      <w:sz w:val="21"/>
                      <w:szCs w:val="21"/>
                      <w:lang w:val="en-US" w:eastAsia="zh-CN"/>
                    </w:rPr>
                    <w:t>S，紧邻</w:t>
                  </w:r>
                </w:p>
              </w:tc>
              <w:tc>
                <w:tcPr>
                  <w:tcW w:w="1514" w:type="dxa"/>
                  <w:tcBorders>
                    <w:tl2br w:val="nil"/>
                    <w:tr2bl w:val="nil"/>
                  </w:tcBorders>
                  <w:vAlign w:val="center"/>
                </w:tcPr>
                <w:p>
                  <w:pPr>
                    <w:pStyle w:val="50"/>
                    <w:spacing w:before="0" w:beforeLines="0" w:after="0" w:afterLines="0"/>
                    <w:rPr>
                      <w:rFonts w:hint="eastAsia"/>
                      <w:b w:val="0"/>
                      <w:bCs/>
                      <w:color w:val="auto"/>
                      <w:sz w:val="21"/>
                      <w:szCs w:val="21"/>
                      <w:lang w:val="en-US" w:eastAsia="zh-CN"/>
                    </w:rPr>
                  </w:pPr>
                  <w:r>
                    <w:rPr>
                      <w:rFonts w:hint="eastAsia"/>
                      <w:b w:val="0"/>
                      <w:bCs/>
                      <w:color w:val="auto"/>
                      <w:sz w:val="21"/>
                      <w:szCs w:val="21"/>
                      <w:lang w:val="en-US" w:eastAsia="zh-CN"/>
                    </w:rPr>
                    <w:t>居民区，居民约120户</w:t>
                  </w:r>
                  <w:r>
                    <w:rPr>
                      <w:rFonts w:hint="eastAsia"/>
                      <w:b w:val="0"/>
                      <w:bCs/>
                      <w:color w:val="auto"/>
                      <w:sz w:val="21"/>
                      <w:szCs w:val="21"/>
                    </w:rPr>
                    <w:t>。</w:t>
                  </w:r>
                </w:p>
              </w:tc>
              <w:tc>
                <w:tcPr>
                  <w:tcW w:w="2032" w:type="dxa"/>
                  <w:vMerge w:val="continue"/>
                  <w:tcBorders>
                    <w:tl2br w:val="nil"/>
                    <w:tr2bl w:val="nil"/>
                  </w:tcBorders>
                  <w:vAlign w:val="center"/>
                </w:tcPr>
                <w:p>
                  <w:pPr>
                    <w:pStyle w:val="50"/>
                    <w:spacing w:before="0" w:beforeLines="0" w:after="0" w:afterLines="0"/>
                    <w:rPr>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56" w:type="dxa"/>
                  <w:tcBorders>
                    <w:tl2br w:val="nil"/>
                    <w:tr2bl w:val="nil"/>
                  </w:tcBorders>
                  <w:vAlign w:val="center"/>
                </w:tcPr>
                <w:p>
                  <w:pPr>
                    <w:pStyle w:val="50"/>
                    <w:spacing w:before="0" w:beforeLines="0" w:after="0" w:afterLines="0"/>
                    <w:rPr>
                      <w:rFonts w:hint="default"/>
                      <w:b w:val="0"/>
                      <w:bCs/>
                      <w:color w:val="auto"/>
                      <w:sz w:val="21"/>
                      <w:szCs w:val="21"/>
                      <w:lang w:val="en-US" w:eastAsia="zh-CN"/>
                    </w:rPr>
                  </w:pPr>
                  <w:r>
                    <w:rPr>
                      <w:rFonts w:hint="eastAsia"/>
                      <w:b w:val="0"/>
                      <w:bCs/>
                      <w:color w:val="auto"/>
                      <w:sz w:val="21"/>
                      <w:szCs w:val="21"/>
                      <w:lang w:val="en-US" w:eastAsia="zh-CN"/>
                    </w:rPr>
                    <w:t>生态环境</w:t>
                  </w:r>
                </w:p>
              </w:tc>
              <w:tc>
                <w:tcPr>
                  <w:tcW w:w="1969" w:type="dxa"/>
                  <w:tcBorders>
                    <w:tl2br w:val="nil"/>
                    <w:tr2bl w:val="nil"/>
                  </w:tcBorders>
                  <w:shd w:val="clear" w:color="auto" w:fill="auto"/>
                  <w:vAlign w:val="center"/>
                </w:tcPr>
                <w:p>
                  <w:pPr>
                    <w:pStyle w:val="50"/>
                    <w:spacing w:before="0" w:beforeLines="0" w:after="0" w:afterLines="0"/>
                    <w:jc w:val="center"/>
                    <w:rPr>
                      <w:rFonts w:hint="eastAsia" w:ascii="Times New Roman" w:hAnsi="Times New Roman" w:eastAsia="宋体" w:cs="Times New Roman"/>
                      <w:b w:val="0"/>
                      <w:bCs/>
                      <w:color w:val="auto"/>
                      <w:kern w:val="2"/>
                      <w:sz w:val="21"/>
                      <w:szCs w:val="21"/>
                      <w:lang w:val="en-US" w:eastAsia="zh-CN" w:bidi="ar-SA"/>
                    </w:rPr>
                  </w:pPr>
                  <w:r>
                    <w:rPr>
                      <w:rFonts w:hint="eastAsia"/>
                      <w:b w:val="0"/>
                      <w:bCs/>
                      <w:color w:val="auto"/>
                      <w:sz w:val="21"/>
                      <w:szCs w:val="21"/>
                      <w:lang w:val="en-US" w:eastAsia="zh-CN"/>
                    </w:rPr>
                    <w:t>湖南东洞庭湖国家级自然保护区实验区</w:t>
                  </w:r>
                </w:p>
              </w:tc>
              <w:tc>
                <w:tcPr>
                  <w:tcW w:w="1673" w:type="dxa"/>
                  <w:tcBorders>
                    <w:tl2br w:val="nil"/>
                    <w:tr2bl w:val="nil"/>
                  </w:tcBorders>
                  <w:shd w:val="clear" w:color="auto" w:fill="auto"/>
                  <w:vAlign w:val="center"/>
                </w:tcPr>
                <w:p>
                  <w:pPr>
                    <w:pStyle w:val="50"/>
                    <w:spacing w:before="0" w:beforeLines="0" w:after="0" w:afterLines="0"/>
                    <w:jc w:val="center"/>
                    <w:rPr>
                      <w:rFonts w:hint="eastAsia" w:ascii="Times New Roman" w:hAnsi="Times New Roman" w:eastAsia="宋体" w:cs="Times New Roman"/>
                      <w:b w:val="0"/>
                      <w:bCs/>
                      <w:color w:val="auto"/>
                      <w:kern w:val="2"/>
                      <w:sz w:val="21"/>
                      <w:szCs w:val="21"/>
                      <w:lang w:val="en-US" w:eastAsia="zh-CN" w:bidi="ar-SA"/>
                    </w:rPr>
                  </w:pPr>
                  <w:r>
                    <w:rPr>
                      <w:rFonts w:hint="eastAsia"/>
                      <w:b w:val="0"/>
                      <w:bCs/>
                      <w:color w:val="auto"/>
                      <w:sz w:val="21"/>
                      <w:szCs w:val="21"/>
                      <w:lang w:val="en-US" w:eastAsia="zh-CN"/>
                    </w:rPr>
                    <w:t>项目位于自然保护区整合优化前实验区范围内</w:t>
                  </w:r>
                </w:p>
              </w:tc>
              <w:tc>
                <w:tcPr>
                  <w:tcW w:w="1514" w:type="dxa"/>
                  <w:tcBorders>
                    <w:tl2br w:val="nil"/>
                    <w:tr2bl w:val="nil"/>
                  </w:tcBorders>
                  <w:vAlign w:val="center"/>
                </w:tcPr>
                <w:p>
                  <w:pPr>
                    <w:pStyle w:val="50"/>
                    <w:spacing w:before="0" w:beforeLines="0" w:after="0" w:afterLines="0"/>
                    <w:rPr>
                      <w:rFonts w:hint="default"/>
                      <w:b w:val="0"/>
                      <w:bCs/>
                      <w:color w:val="auto"/>
                      <w:sz w:val="21"/>
                      <w:szCs w:val="21"/>
                      <w:lang w:val="en-US" w:eastAsia="zh-CN"/>
                    </w:rPr>
                  </w:pPr>
                  <w:r>
                    <w:rPr>
                      <w:rFonts w:hint="eastAsia"/>
                      <w:b w:val="0"/>
                      <w:bCs/>
                      <w:color w:val="auto"/>
                      <w:sz w:val="21"/>
                      <w:szCs w:val="21"/>
                      <w:lang w:val="en-US" w:eastAsia="zh-CN"/>
                    </w:rPr>
                    <w:t>国家级自然保护区</w:t>
                  </w:r>
                </w:p>
              </w:tc>
              <w:tc>
                <w:tcPr>
                  <w:tcW w:w="2032" w:type="dxa"/>
                  <w:tcBorders>
                    <w:tl2br w:val="nil"/>
                    <w:tr2bl w:val="nil"/>
                  </w:tcBorders>
                  <w:vAlign w:val="center"/>
                </w:tcPr>
                <w:p>
                  <w:pPr>
                    <w:pStyle w:val="50"/>
                    <w:spacing w:before="0" w:beforeLines="0" w:after="0" w:afterLines="0"/>
                    <w:rPr>
                      <w:rFonts w:hint="default" w:eastAsia="宋体"/>
                      <w:color w:val="auto"/>
                      <w:sz w:val="21"/>
                      <w:szCs w:val="21"/>
                      <w:lang w:val="en-US" w:eastAsia="zh-CN"/>
                    </w:rPr>
                  </w:pPr>
                  <w:r>
                    <w:rPr>
                      <w:rFonts w:hint="default" w:ascii="Times New Roman" w:hAnsi="Times New Roman" w:eastAsia="宋体" w:cs="Times New Roman"/>
                      <w:b w:val="0"/>
                      <w:bCs/>
                      <w:color w:val="auto"/>
                      <w:sz w:val="21"/>
                      <w:szCs w:val="21"/>
                      <w:lang w:val="en-US" w:eastAsia="zh-CN"/>
                    </w:rPr>
                    <w:t>有效保护陆生生物、水生生物及其生态环境</w:t>
                  </w:r>
                  <w:r>
                    <w:rPr>
                      <w:rFonts w:hint="eastAsia" w:ascii="Times New Roman" w:hAnsi="Times New Roman" w:eastAsia="宋体" w:cs="Times New Roman"/>
                      <w:b w:val="0"/>
                      <w:bCs/>
                      <w:color w:val="auto"/>
                      <w:sz w:val="21"/>
                      <w:szCs w:val="21"/>
                      <w:lang w:val="en-US" w:eastAsia="zh-CN"/>
                    </w:rPr>
                    <w:t>不受本项目影响</w:t>
                  </w:r>
                </w:p>
              </w:tc>
            </w:tr>
          </w:tbl>
          <w:p>
            <w:pPr>
              <w:pStyle w:val="9"/>
              <w:rPr>
                <w:color w:val="auto"/>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29" w:hRule="atLeast"/>
          <w:jc w:val="center"/>
        </w:trPr>
        <w:tc>
          <w:tcPr>
            <w:tcW w:w="800" w:type="dxa"/>
            <w:tcMar>
              <w:left w:w="28" w:type="dxa"/>
              <w:right w:w="28" w:type="dxa"/>
            </w:tcMar>
            <w:vAlign w:val="center"/>
          </w:tcPr>
          <w:p>
            <w:pPr>
              <w:adjustRightInd w:val="0"/>
              <w:snapToGrid w:val="0"/>
              <w:jc w:val="center"/>
              <w:rPr>
                <w:rFonts w:cs="宋体"/>
                <w:color w:val="auto"/>
                <w:kern w:val="0"/>
                <w:sz w:val="24"/>
                <w:szCs w:val="21"/>
              </w:rPr>
            </w:pPr>
            <w:r>
              <w:rPr>
                <w:rFonts w:hint="eastAsia" w:cs="宋体"/>
                <w:color w:val="auto"/>
                <w:kern w:val="0"/>
                <w:sz w:val="24"/>
                <w:szCs w:val="21"/>
                <w:lang w:val="en-US" w:eastAsia="zh-CN"/>
              </w:rPr>
              <w:t>评价标准</w:t>
            </w:r>
          </w:p>
        </w:tc>
        <w:tc>
          <w:tcPr>
            <w:tcW w:w="8190" w:type="dxa"/>
            <w:vAlign w:val="center"/>
          </w:tcPr>
          <w:p>
            <w:pPr>
              <w:pStyle w:val="7"/>
              <w:numPr>
                <w:ilvl w:val="0"/>
                <w:numId w:val="3"/>
              </w:numPr>
              <w:ind w:left="0" w:leftChars="0" w:firstLine="0" w:firstLineChars="0"/>
              <w:jc w:val="both"/>
              <w:rPr>
                <w:rFonts w:hint="eastAsia"/>
                <w:b/>
                <w:color w:val="auto"/>
                <w:sz w:val="24"/>
              </w:rPr>
            </w:pPr>
            <w:r>
              <w:rPr>
                <w:b/>
                <w:color w:val="auto"/>
                <w:sz w:val="24"/>
              </w:rPr>
              <w:t>废</w:t>
            </w:r>
            <w:r>
              <w:rPr>
                <w:rFonts w:hint="eastAsia"/>
                <w:b/>
                <w:color w:val="auto"/>
                <w:sz w:val="24"/>
              </w:rPr>
              <w:t>气</w:t>
            </w:r>
          </w:p>
          <w:p>
            <w:pPr>
              <w:snapToGrid w:val="0"/>
              <w:spacing w:line="360" w:lineRule="auto"/>
              <w:ind w:firstLine="480" w:firstLineChars="20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本项目食堂油烟废气排放执行《饮食业油烟排放标准》（GB18483-2001）大型规模标准；恶臭执行《恶臭污染物排放标准值》（GB14554-93）的二级标准。具体指标见表</w:t>
            </w:r>
            <w:r>
              <w:rPr>
                <w:rFonts w:hint="eastAsia" w:ascii="Times New Roman" w:hAnsi="Times New Roman" w:eastAsia="宋体" w:cs="Times New Roman"/>
                <w:color w:val="auto"/>
                <w:sz w:val="24"/>
                <w:szCs w:val="24"/>
                <w:lang w:val="en-US" w:eastAsia="zh-CN"/>
              </w:rPr>
              <w:t>3</w:t>
            </w:r>
            <w:r>
              <w:rPr>
                <w:rFonts w:hint="eastAsia"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val="en-US" w:eastAsia="zh-CN"/>
              </w:rPr>
              <w:t>6</w:t>
            </w:r>
            <w:r>
              <w:rPr>
                <w:rFonts w:hint="eastAsia"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val="en-US" w:eastAsia="zh-CN"/>
              </w:rPr>
              <w:t>3</w:t>
            </w:r>
            <w:r>
              <w:rPr>
                <w:rFonts w:hint="eastAsia"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val="en-US" w:eastAsia="zh-CN"/>
              </w:rPr>
              <w:t>7</w:t>
            </w:r>
            <w:r>
              <w:rPr>
                <w:rFonts w:hint="eastAsia" w:ascii="Times New Roman" w:hAnsi="Times New Roman" w:eastAsia="宋体" w:cs="Times New Roman"/>
                <w:color w:val="auto"/>
                <w:sz w:val="24"/>
                <w:szCs w:val="24"/>
              </w:rPr>
              <w:t>。</w:t>
            </w:r>
          </w:p>
          <w:p>
            <w:pPr>
              <w:pStyle w:val="66"/>
              <w:keepNext w:val="0"/>
              <w:keepLines w:val="0"/>
              <w:pageBreakBefore w:val="0"/>
              <w:widowControl w:val="0"/>
              <w:kinsoku/>
              <w:wordWrap/>
              <w:overflowPunct/>
              <w:topLinePunct w:val="0"/>
              <w:autoSpaceDE/>
              <w:autoSpaceDN/>
              <w:bidi w:val="0"/>
              <w:adjustRightInd/>
              <w:snapToGrid/>
              <w:spacing w:beforeLines="0"/>
              <w:textAlignment w:val="auto"/>
              <w:rPr>
                <w:rFonts w:hint="eastAsia" w:ascii="Times New Roman" w:hAnsi="Times New Roman" w:eastAsia="宋体" w:cs="Times New Roman"/>
                <w:color w:val="auto"/>
                <w:highlight w:val="none"/>
              </w:rPr>
            </w:pPr>
            <w:r>
              <w:rPr>
                <w:rFonts w:hint="default" w:ascii="Times New Roman" w:hAnsi="Times New Roman" w:eastAsia="宋体" w:cs="Times New Roman"/>
                <w:color w:val="auto"/>
                <w:highlight w:val="none"/>
              </w:rPr>
              <w:t>表</w:t>
            </w:r>
            <w:r>
              <w:rPr>
                <w:rFonts w:hint="eastAsia" w:ascii="Times New Roman" w:hAnsi="Times New Roman" w:eastAsia="宋体" w:cs="Times New Roman"/>
                <w:color w:val="auto"/>
                <w:highlight w:val="none"/>
                <w:lang w:val="en-US" w:eastAsia="zh-CN"/>
              </w:rPr>
              <w:t>3</w:t>
            </w:r>
            <w:r>
              <w:rPr>
                <w:rFonts w:hint="eastAsia"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 xml:space="preserve">6 </w:t>
            </w:r>
            <w:r>
              <w:rPr>
                <w:rFonts w:hint="default" w:ascii="Times New Roman" w:hAnsi="Times New Roman" w:eastAsia="宋体" w:cs="Times New Roman"/>
                <w:color w:val="auto"/>
                <w:highlight w:val="none"/>
              </w:rPr>
              <w:t xml:space="preserve"> 油烟净化设施去除效率</w:t>
            </w:r>
          </w:p>
          <w:tbl>
            <w:tblPr>
              <w:tblStyle w:val="22"/>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950"/>
              <w:gridCol w:w="1638"/>
              <w:gridCol w:w="1787"/>
              <w:gridCol w:w="15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950" w:type="dxa"/>
                  <w:tcBorders>
                    <w:tl2br w:val="nil"/>
                    <w:tr2bl w:val="nil"/>
                  </w:tcBorders>
                  <w:noWrap w:val="0"/>
                  <w:vAlign w:val="center"/>
                </w:tcPr>
                <w:p>
                  <w:pPr>
                    <w:spacing w:line="240" w:lineRule="atLeast"/>
                    <w:jc w:val="center"/>
                    <w:rPr>
                      <w:b/>
                      <w:bCs/>
                      <w:caps/>
                      <w:color w:val="auto"/>
                      <w:szCs w:val="21"/>
                    </w:rPr>
                  </w:pPr>
                  <w:r>
                    <w:rPr>
                      <w:rFonts w:hAnsi="宋体"/>
                      <w:b/>
                      <w:bCs/>
                      <w:caps/>
                      <w:color w:val="auto"/>
                      <w:szCs w:val="21"/>
                    </w:rPr>
                    <w:t>规模</w:t>
                  </w:r>
                </w:p>
              </w:tc>
              <w:tc>
                <w:tcPr>
                  <w:tcW w:w="1638" w:type="dxa"/>
                  <w:tcBorders>
                    <w:tl2br w:val="nil"/>
                    <w:tr2bl w:val="nil"/>
                  </w:tcBorders>
                  <w:noWrap w:val="0"/>
                  <w:vAlign w:val="center"/>
                </w:tcPr>
                <w:p>
                  <w:pPr>
                    <w:spacing w:line="240" w:lineRule="atLeast"/>
                    <w:jc w:val="center"/>
                    <w:rPr>
                      <w:caps/>
                      <w:color w:val="auto"/>
                      <w:szCs w:val="21"/>
                    </w:rPr>
                  </w:pPr>
                  <w:r>
                    <w:rPr>
                      <w:rFonts w:hAnsi="宋体"/>
                      <w:caps/>
                      <w:color w:val="auto"/>
                      <w:szCs w:val="21"/>
                    </w:rPr>
                    <w:t>小型</w:t>
                  </w:r>
                </w:p>
              </w:tc>
              <w:tc>
                <w:tcPr>
                  <w:tcW w:w="1787" w:type="dxa"/>
                  <w:tcBorders>
                    <w:tl2br w:val="nil"/>
                    <w:tr2bl w:val="nil"/>
                  </w:tcBorders>
                  <w:noWrap w:val="0"/>
                  <w:vAlign w:val="center"/>
                </w:tcPr>
                <w:p>
                  <w:pPr>
                    <w:spacing w:line="240" w:lineRule="atLeast"/>
                    <w:jc w:val="center"/>
                    <w:rPr>
                      <w:caps/>
                      <w:color w:val="auto"/>
                      <w:szCs w:val="21"/>
                    </w:rPr>
                  </w:pPr>
                  <w:r>
                    <w:rPr>
                      <w:rFonts w:hAnsi="宋体"/>
                      <w:caps/>
                      <w:color w:val="auto"/>
                      <w:szCs w:val="21"/>
                    </w:rPr>
                    <w:t>中型</w:t>
                  </w:r>
                </w:p>
              </w:tc>
              <w:tc>
                <w:tcPr>
                  <w:tcW w:w="1505" w:type="dxa"/>
                  <w:tcBorders>
                    <w:tl2br w:val="nil"/>
                    <w:tr2bl w:val="nil"/>
                  </w:tcBorders>
                  <w:noWrap w:val="0"/>
                  <w:vAlign w:val="center"/>
                </w:tcPr>
                <w:p>
                  <w:pPr>
                    <w:spacing w:line="240" w:lineRule="atLeast"/>
                    <w:jc w:val="center"/>
                    <w:rPr>
                      <w:caps/>
                      <w:color w:val="auto"/>
                      <w:szCs w:val="21"/>
                    </w:rPr>
                  </w:pPr>
                  <w:r>
                    <w:rPr>
                      <w:rFonts w:hAnsi="宋体"/>
                      <w:caps/>
                      <w:color w:val="auto"/>
                      <w:szCs w:val="21"/>
                    </w:rPr>
                    <w:t>大型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950" w:type="dxa"/>
                  <w:tcBorders>
                    <w:tl2br w:val="nil"/>
                    <w:tr2bl w:val="nil"/>
                  </w:tcBorders>
                  <w:noWrap w:val="0"/>
                  <w:vAlign w:val="center"/>
                </w:tcPr>
                <w:p>
                  <w:pPr>
                    <w:spacing w:line="240" w:lineRule="atLeast"/>
                    <w:jc w:val="center"/>
                    <w:rPr>
                      <w:b/>
                      <w:bCs/>
                      <w:color w:val="auto"/>
                      <w:szCs w:val="21"/>
                    </w:rPr>
                  </w:pPr>
                  <w:r>
                    <w:rPr>
                      <w:rFonts w:hAnsi="宋体"/>
                      <w:b/>
                      <w:bCs/>
                      <w:color w:val="auto"/>
                      <w:szCs w:val="21"/>
                    </w:rPr>
                    <w:t>最高允许排放浓度（</w:t>
                  </w:r>
                  <w:r>
                    <w:rPr>
                      <w:b/>
                      <w:bCs/>
                      <w:color w:val="auto"/>
                      <w:szCs w:val="21"/>
                    </w:rPr>
                    <w:t>mg/m</w:t>
                  </w:r>
                  <w:r>
                    <w:rPr>
                      <w:b/>
                      <w:bCs/>
                      <w:color w:val="auto"/>
                      <w:szCs w:val="21"/>
                      <w:vertAlign w:val="superscript"/>
                    </w:rPr>
                    <w:t>3</w:t>
                  </w:r>
                  <w:r>
                    <w:rPr>
                      <w:rFonts w:hAnsi="宋体"/>
                      <w:b/>
                      <w:bCs/>
                      <w:color w:val="auto"/>
                      <w:szCs w:val="21"/>
                    </w:rPr>
                    <w:t>）</w:t>
                  </w:r>
                </w:p>
              </w:tc>
              <w:tc>
                <w:tcPr>
                  <w:tcW w:w="4930" w:type="dxa"/>
                  <w:gridSpan w:val="3"/>
                  <w:tcBorders>
                    <w:tl2br w:val="nil"/>
                    <w:tr2bl w:val="nil"/>
                  </w:tcBorders>
                  <w:noWrap w:val="0"/>
                  <w:vAlign w:val="center"/>
                </w:tcPr>
                <w:p>
                  <w:pPr>
                    <w:spacing w:line="240" w:lineRule="atLeast"/>
                    <w:jc w:val="center"/>
                    <w:rPr>
                      <w:color w:val="auto"/>
                      <w:szCs w:val="21"/>
                    </w:rPr>
                  </w:pPr>
                  <w:r>
                    <w:rPr>
                      <w:color w:val="auto"/>
                      <w:szCs w:val="21"/>
                    </w:rPr>
                    <w:t>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950" w:type="dxa"/>
                  <w:tcBorders>
                    <w:tl2br w:val="nil"/>
                    <w:tr2bl w:val="nil"/>
                  </w:tcBorders>
                  <w:noWrap w:val="0"/>
                  <w:vAlign w:val="center"/>
                </w:tcPr>
                <w:p>
                  <w:pPr>
                    <w:spacing w:line="240" w:lineRule="atLeast"/>
                    <w:ind w:firstLine="200" w:firstLineChars="95"/>
                    <w:jc w:val="center"/>
                    <w:rPr>
                      <w:b/>
                      <w:bCs/>
                      <w:color w:val="auto"/>
                      <w:szCs w:val="21"/>
                    </w:rPr>
                  </w:pPr>
                  <w:r>
                    <w:rPr>
                      <w:rFonts w:hAnsi="宋体"/>
                      <w:b/>
                      <w:bCs/>
                      <w:color w:val="auto"/>
                      <w:szCs w:val="21"/>
                    </w:rPr>
                    <w:t>净化设施最低去除效率</w:t>
                  </w:r>
                </w:p>
              </w:tc>
              <w:tc>
                <w:tcPr>
                  <w:tcW w:w="1638" w:type="dxa"/>
                  <w:tcBorders>
                    <w:tl2br w:val="nil"/>
                    <w:tr2bl w:val="nil"/>
                  </w:tcBorders>
                  <w:noWrap w:val="0"/>
                  <w:vAlign w:val="center"/>
                </w:tcPr>
                <w:p>
                  <w:pPr>
                    <w:spacing w:line="240" w:lineRule="atLeast"/>
                    <w:jc w:val="center"/>
                    <w:rPr>
                      <w:color w:val="auto"/>
                      <w:szCs w:val="21"/>
                    </w:rPr>
                  </w:pPr>
                  <w:r>
                    <w:rPr>
                      <w:color w:val="auto"/>
                      <w:szCs w:val="21"/>
                    </w:rPr>
                    <w:t>60</w:t>
                  </w:r>
                </w:p>
              </w:tc>
              <w:tc>
                <w:tcPr>
                  <w:tcW w:w="1787" w:type="dxa"/>
                  <w:tcBorders>
                    <w:tl2br w:val="nil"/>
                    <w:tr2bl w:val="nil"/>
                  </w:tcBorders>
                  <w:noWrap w:val="0"/>
                  <w:vAlign w:val="center"/>
                </w:tcPr>
                <w:p>
                  <w:pPr>
                    <w:spacing w:line="240" w:lineRule="atLeast"/>
                    <w:jc w:val="center"/>
                    <w:rPr>
                      <w:color w:val="auto"/>
                      <w:szCs w:val="21"/>
                    </w:rPr>
                  </w:pPr>
                  <w:r>
                    <w:rPr>
                      <w:color w:val="auto"/>
                      <w:szCs w:val="21"/>
                    </w:rPr>
                    <w:t>75</w:t>
                  </w:r>
                </w:p>
              </w:tc>
              <w:tc>
                <w:tcPr>
                  <w:tcW w:w="1505" w:type="dxa"/>
                  <w:tcBorders>
                    <w:tl2br w:val="nil"/>
                    <w:tr2bl w:val="nil"/>
                  </w:tcBorders>
                  <w:noWrap w:val="0"/>
                  <w:vAlign w:val="center"/>
                </w:tcPr>
                <w:p>
                  <w:pPr>
                    <w:spacing w:line="240" w:lineRule="atLeast"/>
                    <w:jc w:val="center"/>
                    <w:rPr>
                      <w:color w:val="auto"/>
                      <w:szCs w:val="21"/>
                    </w:rPr>
                  </w:pPr>
                  <w:r>
                    <w:rPr>
                      <w:color w:val="auto"/>
                      <w:szCs w:val="21"/>
                    </w:rPr>
                    <w:t>85</w:t>
                  </w:r>
                </w:p>
              </w:tc>
            </w:tr>
          </w:tbl>
          <w:p>
            <w:pPr>
              <w:pStyle w:val="66"/>
              <w:keepNext w:val="0"/>
              <w:keepLines w:val="0"/>
              <w:pageBreakBefore w:val="0"/>
              <w:widowControl w:val="0"/>
              <w:kinsoku/>
              <w:wordWrap/>
              <w:overflowPunct/>
              <w:topLinePunct w:val="0"/>
              <w:autoSpaceDE/>
              <w:autoSpaceDN/>
              <w:bidi w:val="0"/>
              <w:adjustRightInd/>
              <w:snapToGrid/>
              <w:spacing w:before="157" w:beforeLines="50"/>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表</w:t>
            </w:r>
            <w:r>
              <w:rPr>
                <w:rFonts w:hint="eastAsia" w:ascii="Times New Roman" w:hAnsi="Times New Roman" w:eastAsia="宋体" w:cs="Times New Roman"/>
                <w:color w:val="auto"/>
                <w:highlight w:val="none"/>
                <w:lang w:val="en-US" w:eastAsia="zh-CN"/>
              </w:rPr>
              <w:t>3</w:t>
            </w:r>
            <w:r>
              <w:rPr>
                <w:rFonts w:hint="eastAsia"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7</w:t>
            </w:r>
            <w:r>
              <w:rPr>
                <w:rFonts w:hint="eastAsia" w:ascii="Times New Roman" w:hAnsi="Times New Roman" w:eastAsia="宋体" w:cs="Times New Roman"/>
                <w:color w:val="auto"/>
                <w:highlight w:val="none"/>
              </w:rPr>
              <w:t xml:space="preserve">  《恶臭污染物排放标准值》（ GB14554-93）表1</w:t>
            </w:r>
          </w:p>
          <w:tbl>
            <w:tblPr>
              <w:tblStyle w:val="22"/>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950"/>
              <w:gridCol w:w="1638"/>
              <w:gridCol w:w="329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950" w:type="dxa"/>
                  <w:tcBorders>
                    <w:tl2br w:val="nil"/>
                    <w:tr2bl w:val="nil"/>
                  </w:tcBorders>
                  <w:noWrap w:val="0"/>
                  <w:vAlign w:val="center"/>
                </w:tcPr>
                <w:p>
                  <w:pPr>
                    <w:spacing w:line="240" w:lineRule="atLeast"/>
                    <w:jc w:val="center"/>
                    <w:rPr>
                      <w:rFonts w:hint="eastAsia"/>
                      <w:b/>
                      <w:bCs/>
                      <w:caps/>
                      <w:color w:val="auto"/>
                      <w:szCs w:val="21"/>
                    </w:rPr>
                  </w:pPr>
                  <w:r>
                    <w:rPr>
                      <w:rFonts w:hint="eastAsia" w:hAnsi="宋体"/>
                      <w:b/>
                      <w:bCs/>
                      <w:caps/>
                      <w:color w:val="auto"/>
                      <w:szCs w:val="21"/>
                    </w:rPr>
                    <w:t>污染物</w:t>
                  </w:r>
                </w:p>
              </w:tc>
              <w:tc>
                <w:tcPr>
                  <w:tcW w:w="1638" w:type="dxa"/>
                  <w:tcBorders>
                    <w:tl2br w:val="nil"/>
                    <w:tr2bl w:val="nil"/>
                  </w:tcBorders>
                  <w:noWrap w:val="0"/>
                  <w:vAlign w:val="center"/>
                </w:tcPr>
                <w:p>
                  <w:pPr>
                    <w:spacing w:line="240" w:lineRule="atLeast"/>
                    <w:jc w:val="center"/>
                    <w:rPr>
                      <w:rFonts w:hint="eastAsia"/>
                      <w:b/>
                      <w:bCs/>
                      <w:caps/>
                      <w:color w:val="auto"/>
                      <w:szCs w:val="21"/>
                    </w:rPr>
                  </w:pPr>
                  <w:r>
                    <w:rPr>
                      <w:rFonts w:hint="eastAsia" w:hAnsi="宋体"/>
                      <w:b/>
                      <w:bCs/>
                      <w:caps/>
                      <w:color w:val="auto"/>
                      <w:szCs w:val="21"/>
                    </w:rPr>
                    <w:t>单位</w:t>
                  </w:r>
                </w:p>
              </w:tc>
              <w:tc>
                <w:tcPr>
                  <w:tcW w:w="3292" w:type="dxa"/>
                  <w:tcBorders>
                    <w:tl2br w:val="nil"/>
                    <w:tr2bl w:val="nil"/>
                  </w:tcBorders>
                  <w:noWrap w:val="0"/>
                  <w:vAlign w:val="center"/>
                </w:tcPr>
                <w:p>
                  <w:pPr>
                    <w:spacing w:line="240" w:lineRule="atLeast"/>
                    <w:jc w:val="center"/>
                    <w:rPr>
                      <w:b/>
                      <w:bCs/>
                      <w:caps/>
                      <w:color w:val="auto"/>
                      <w:szCs w:val="21"/>
                    </w:rPr>
                  </w:pPr>
                  <w:r>
                    <w:rPr>
                      <w:rFonts w:hint="eastAsia" w:hAnsi="宋体"/>
                      <w:b/>
                      <w:bCs/>
                      <w:caps/>
                      <w:color w:val="auto"/>
                      <w:szCs w:val="21"/>
                    </w:rPr>
                    <w:t>厂界标准值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950" w:type="dxa"/>
                  <w:tcBorders>
                    <w:tl2br w:val="nil"/>
                    <w:tr2bl w:val="nil"/>
                  </w:tcBorders>
                  <w:noWrap w:val="0"/>
                  <w:vAlign w:val="center"/>
                </w:tcPr>
                <w:p>
                  <w:pPr>
                    <w:spacing w:line="240" w:lineRule="atLeast"/>
                    <w:ind w:firstLine="199" w:firstLineChars="95"/>
                    <w:jc w:val="center"/>
                    <w:rPr>
                      <w:rFonts w:hint="eastAsia"/>
                      <w:color w:val="auto"/>
                      <w:szCs w:val="21"/>
                    </w:rPr>
                  </w:pPr>
                  <w:r>
                    <w:rPr>
                      <w:rFonts w:hint="eastAsia" w:hAnsi="宋体"/>
                      <w:color w:val="auto"/>
                      <w:szCs w:val="21"/>
                    </w:rPr>
                    <w:t>臭气深度</w:t>
                  </w:r>
                </w:p>
              </w:tc>
              <w:tc>
                <w:tcPr>
                  <w:tcW w:w="1638" w:type="dxa"/>
                  <w:tcBorders>
                    <w:tl2br w:val="nil"/>
                    <w:tr2bl w:val="nil"/>
                  </w:tcBorders>
                  <w:noWrap w:val="0"/>
                  <w:vAlign w:val="center"/>
                </w:tcPr>
                <w:p>
                  <w:pPr>
                    <w:spacing w:line="240" w:lineRule="atLeast"/>
                    <w:jc w:val="center"/>
                    <w:rPr>
                      <w:rFonts w:hint="eastAsia"/>
                      <w:color w:val="auto"/>
                      <w:szCs w:val="21"/>
                    </w:rPr>
                  </w:pPr>
                  <w:r>
                    <w:rPr>
                      <w:rFonts w:hint="eastAsia"/>
                      <w:color w:val="auto"/>
                      <w:szCs w:val="21"/>
                    </w:rPr>
                    <w:t>无量纲</w:t>
                  </w:r>
                </w:p>
              </w:tc>
              <w:tc>
                <w:tcPr>
                  <w:tcW w:w="3292" w:type="dxa"/>
                  <w:tcBorders>
                    <w:tl2br w:val="nil"/>
                    <w:tr2bl w:val="nil"/>
                  </w:tcBorders>
                  <w:noWrap w:val="0"/>
                  <w:vAlign w:val="center"/>
                </w:tcPr>
                <w:p>
                  <w:pPr>
                    <w:spacing w:line="240" w:lineRule="atLeast"/>
                    <w:jc w:val="center"/>
                    <w:rPr>
                      <w:color w:val="auto"/>
                      <w:szCs w:val="21"/>
                    </w:rPr>
                  </w:pPr>
                  <w:r>
                    <w:rPr>
                      <w:rFonts w:hint="eastAsia"/>
                      <w:color w:val="auto"/>
                      <w:szCs w:val="21"/>
                    </w:rPr>
                    <w:t>20</w:t>
                  </w:r>
                </w:p>
              </w:tc>
            </w:tr>
          </w:tbl>
          <w:p>
            <w:pPr>
              <w:pStyle w:val="7"/>
              <w:keepNext w:val="0"/>
              <w:keepLines w:val="0"/>
              <w:pageBreakBefore w:val="0"/>
              <w:widowControl w:val="0"/>
              <w:kinsoku/>
              <w:wordWrap/>
              <w:overflowPunct/>
              <w:topLinePunct w:val="0"/>
              <w:autoSpaceDE/>
              <w:autoSpaceDN/>
              <w:bidi w:val="0"/>
              <w:adjustRightInd w:val="0"/>
              <w:snapToGrid w:val="0"/>
              <w:spacing w:before="157" w:beforeLines="50"/>
              <w:ind w:left="0" w:leftChars="0" w:firstLine="0" w:firstLineChars="0"/>
              <w:jc w:val="both"/>
              <w:textAlignment w:val="auto"/>
              <w:rPr>
                <w:b/>
                <w:color w:val="auto"/>
                <w:sz w:val="24"/>
              </w:rPr>
            </w:pPr>
            <w:r>
              <w:rPr>
                <w:b/>
                <w:color w:val="auto"/>
                <w:sz w:val="24"/>
              </w:rPr>
              <w:t>2、废</w:t>
            </w:r>
            <w:r>
              <w:rPr>
                <w:rFonts w:hint="eastAsia"/>
                <w:b/>
                <w:color w:val="auto"/>
                <w:sz w:val="24"/>
              </w:rPr>
              <w:t>水</w:t>
            </w:r>
          </w:p>
          <w:p>
            <w:pPr>
              <w:spacing w:line="360" w:lineRule="auto"/>
              <w:ind w:firstLine="480" w:firstLineChars="200"/>
              <w:rPr>
                <w:rFonts w:hint="eastAsia" w:eastAsia="宋体"/>
                <w:color w:val="auto"/>
                <w:sz w:val="24"/>
              </w:rPr>
            </w:pPr>
            <w:r>
              <w:rPr>
                <w:rFonts w:hint="eastAsia" w:eastAsia="宋体"/>
                <w:color w:val="auto"/>
                <w:sz w:val="24"/>
              </w:rPr>
              <w:t>项目</w:t>
            </w:r>
            <w:r>
              <w:rPr>
                <w:rFonts w:hint="eastAsia"/>
                <w:color w:val="auto"/>
                <w:sz w:val="24"/>
              </w:rPr>
              <w:t>无生产废水；生活污水经化粪池处理后达</w:t>
            </w:r>
            <w:r>
              <w:rPr>
                <w:rFonts w:hint="eastAsia"/>
                <w:color w:val="auto"/>
                <w:sz w:val="24"/>
                <w:lang w:val="en-US" w:eastAsia="zh-CN"/>
              </w:rPr>
              <w:t>到</w:t>
            </w:r>
            <w:r>
              <w:rPr>
                <w:color w:val="auto"/>
                <w:sz w:val="24"/>
                <w:lang w:val="en-US" w:eastAsia="zh-CN"/>
              </w:rPr>
              <w:t>华容县团洲乡团洲新村污水处理厂</w:t>
            </w:r>
            <w:r>
              <w:rPr>
                <w:rFonts w:hint="eastAsia"/>
                <w:color w:val="auto"/>
                <w:sz w:val="24"/>
                <w:lang w:val="en-US" w:eastAsia="zh-CN"/>
              </w:rPr>
              <w:t>进水水质标准后</w:t>
            </w:r>
            <w:r>
              <w:rPr>
                <w:rFonts w:hint="eastAsia"/>
                <w:color w:val="auto"/>
                <w:sz w:val="24"/>
              </w:rPr>
              <w:t>经</w:t>
            </w:r>
            <w:r>
              <w:rPr>
                <w:rFonts w:hint="eastAsia"/>
                <w:color w:val="auto"/>
                <w:sz w:val="24"/>
                <w:lang w:val="en-US" w:eastAsia="zh-CN"/>
              </w:rPr>
              <w:t>市政</w:t>
            </w:r>
            <w:r>
              <w:rPr>
                <w:rFonts w:hint="eastAsia"/>
                <w:color w:val="auto"/>
                <w:sz w:val="24"/>
              </w:rPr>
              <w:t>污水管网收集后</w:t>
            </w:r>
            <w:r>
              <w:rPr>
                <w:rFonts w:hint="eastAsia"/>
                <w:color w:val="auto"/>
                <w:sz w:val="24"/>
                <w:lang w:val="en-US" w:eastAsia="zh-CN"/>
              </w:rPr>
              <w:t>排入</w:t>
            </w:r>
            <w:r>
              <w:rPr>
                <w:color w:val="auto"/>
                <w:sz w:val="24"/>
                <w:lang w:val="en-US" w:eastAsia="zh-CN"/>
              </w:rPr>
              <w:t>华容县团洲乡团洲新村污水处理厂</w:t>
            </w:r>
            <w:r>
              <w:rPr>
                <w:rFonts w:hint="eastAsia"/>
                <w:color w:val="auto"/>
                <w:sz w:val="24"/>
              </w:rPr>
              <w:t>进行深度处理</w:t>
            </w:r>
            <w:r>
              <w:rPr>
                <w:rFonts w:hint="eastAsia"/>
                <w:color w:val="auto"/>
                <w:sz w:val="24"/>
                <w:lang w:eastAsia="zh-CN"/>
              </w:rPr>
              <w:t>，</w:t>
            </w:r>
            <w:r>
              <w:rPr>
                <w:rFonts w:hint="eastAsia"/>
                <w:color w:val="auto"/>
                <w:sz w:val="24"/>
                <w:lang w:val="en-US" w:eastAsia="zh-CN"/>
              </w:rPr>
              <w:t>经处理</w:t>
            </w:r>
            <w:r>
              <w:rPr>
                <w:rFonts w:hint="eastAsia"/>
                <w:color w:val="auto"/>
                <w:sz w:val="24"/>
              </w:rPr>
              <w:t>排水水质达《城镇污水处理厂污染物排放标准》（GB</w:t>
            </w:r>
            <w:r>
              <w:rPr>
                <w:rFonts w:hint="eastAsia"/>
                <w:color w:val="auto"/>
                <w:sz w:val="24"/>
                <w:lang w:val="en-US" w:eastAsia="zh-CN"/>
              </w:rPr>
              <w:t xml:space="preserve"> </w:t>
            </w:r>
            <w:r>
              <w:rPr>
                <w:rFonts w:hint="eastAsia"/>
                <w:color w:val="auto"/>
                <w:sz w:val="24"/>
              </w:rPr>
              <w:t>18918-2002）</w:t>
            </w:r>
            <w:r>
              <w:rPr>
                <w:rFonts w:hint="eastAsia" w:eastAsia="宋体"/>
                <w:color w:val="auto"/>
                <w:sz w:val="24"/>
              </w:rPr>
              <w:t>一级A标准后，</w:t>
            </w:r>
            <w:r>
              <w:rPr>
                <w:rFonts w:hint="eastAsia"/>
                <w:color w:val="auto"/>
                <w:sz w:val="24"/>
                <w:lang w:val="en-US" w:eastAsia="zh-CN"/>
              </w:rPr>
              <w:t>回用于县区洒水降尘及绿化（若有多余部分可回用于周边农田），</w:t>
            </w:r>
            <w:r>
              <w:rPr>
                <w:rFonts w:hint="eastAsia" w:eastAsia="宋体"/>
                <w:color w:val="auto"/>
                <w:sz w:val="24"/>
              </w:rPr>
              <w:t>详见表3-</w:t>
            </w:r>
            <w:r>
              <w:rPr>
                <w:rFonts w:hint="eastAsia"/>
                <w:color w:val="auto"/>
                <w:sz w:val="24"/>
                <w:lang w:val="en-US" w:eastAsia="zh-CN"/>
              </w:rPr>
              <w:t>8</w:t>
            </w:r>
            <w:r>
              <w:rPr>
                <w:rFonts w:hint="eastAsia" w:eastAsia="宋体"/>
                <w:color w:val="auto"/>
                <w:sz w:val="24"/>
                <w:lang w:val="en-US" w:eastAsia="zh-CN"/>
              </w:rPr>
              <w:t>及表3-</w:t>
            </w:r>
            <w:r>
              <w:rPr>
                <w:rFonts w:hint="eastAsia"/>
                <w:color w:val="auto"/>
                <w:sz w:val="24"/>
                <w:lang w:val="en-US" w:eastAsia="zh-CN"/>
              </w:rPr>
              <w:t>9</w:t>
            </w:r>
            <w:r>
              <w:rPr>
                <w:rFonts w:hint="eastAsia" w:eastAsia="宋体"/>
                <w:color w:val="auto"/>
                <w:sz w:val="24"/>
              </w:rPr>
              <w:t>。</w:t>
            </w:r>
          </w:p>
          <w:p>
            <w:pPr>
              <w:pStyle w:val="66"/>
              <w:keepNext w:val="0"/>
              <w:keepLines w:val="0"/>
              <w:pageBreakBefore w:val="0"/>
              <w:widowControl w:val="0"/>
              <w:kinsoku/>
              <w:wordWrap/>
              <w:overflowPunct/>
              <w:topLinePunct w:val="0"/>
              <w:autoSpaceDE/>
              <w:autoSpaceDN/>
              <w:bidi w:val="0"/>
              <w:adjustRightInd/>
              <w:snapToGrid/>
              <w:spacing w:beforeLines="0"/>
              <w:textAlignment w:val="auto"/>
              <w:rPr>
                <w:rFonts w:hint="default" w:ascii="Times New Roman" w:hAnsi="Times New Roman" w:eastAsia="宋体" w:cs="Times New Roman"/>
                <w:b/>
                <w:color w:val="auto"/>
                <w:szCs w:val="21"/>
                <w:u w:val="none"/>
              </w:rPr>
            </w:pPr>
            <w:r>
              <w:rPr>
                <w:rFonts w:hint="default" w:ascii="Times New Roman" w:hAnsi="Times New Roman" w:eastAsia="宋体" w:cs="Times New Roman"/>
                <w:color w:val="auto"/>
                <w:highlight w:val="none"/>
              </w:rPr>
              <w:t>表</w:t>
            </w:r>
            <w:r>
              <w:rPr>
                <w:rFonts w:hint="eastAsia" w:ascii="Times New Roman" w:hAnsi="Times New Roman" w:eastAsia="宋体" w:cs="Times New Roman"/>
                <w:color w:val="auto"/>
                <w:highlight w:val="none"/>
                <w:lang w:val="en-US" w:eastAsia="zh-CN"/>
              </w:rPr>
              <w:t xml:space="preserve">3-8 </w:t>
            </w:r>
            <w:r>
              <w:rPr>
                <w:rFonts w:hint="default" w:ascii="Times New Roman" w:hAnsi="Times New Roman" w:eastAsia="宋体" w:cs="Times New Roman"/>
                <w:color w:val="auto"/>
                <w:highlight w:val="none"/>
              </w:rPr>
              <w:tab/>
            </w:r>
            <w:r>
              <w:rPr>
                <w:rFonts w:hint="default" w:ascii="Times New Roman" w:hAnsi="Times New Roman" w:eastAsia="宋体" w:cs="Times New Roman"/>
                <w:color w:val="auto"/>
                <w:highlight w:val="none"/>
              </w:rPr>
              <w:t>本项目污水排放标准</w:t>
            </w:r>
            <w:r>
              <w:rPr>
                <w:rFonts w:hint="default" w:ascii="Times New Roman" w:hAnsi="Times New Roman" w:eastAsia="宋体" w:cs="Times New Roman"/>
                <w:color w:val="auto"/>
                <w:highlight w:val="none"/>
              </w:rPr>
              <w:tab/>
            </w:r>
            <w:r>
              <w:rPr>
                <w:rFonts w:hint="default" w:ascii="Times New Roman" w:hAnsi="Times New Roman" w:eastAsia="宋体" w:cs="Times New Roman"/>
                <w:color w:val="auto"/>
                <w:highlight w:val="none"/>
              </w:rPr>
              <w:t>标准单位：mg/L</w:t>
            </w:r>
          </w:p>
          <w:tbl>
            <w:tblPr>
              <w:tblStyle w:val="22"/>
              <w:tblW w:w="7937" w:type="dxa"/>
              <w:tblInd w:w="-11"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2299"/>
              <w:gridCol w:w="743"/>
              <w:gridCol w:w="730"/>
              <w:gridCol w:w="1168"/>
              <w:gridCol w:w="998"/>
              <w:gridCol w:w="999"/>
              <w:gridCol w:w="1000"/>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90" w:hRule="atLeast"/>
              </w:trPr>
              <w:tc>
                <w:tcPr>
                  <w:tcW w:w="2634" w:type="dxa"/>
                  <w:tcBorders>
                    <w:tl2br w:val="nil"/>
                    <w:tr2bl w:val="nil"/>
                  </w:tcBorders>
                  <w:shd w:val="clear" w:color="auto" w:fill="F1F1F1"/>
                  <w:noWrap w:val="0"/>
                  <w:vAlign w:val="center"/>
                </w:tcPr>
                <w:p>
                  <w:pPr>
                    <w:pStyle w:val="49"/>
                    <w:spacing w:before="52"/>
                    <w:ind w:left="457" w:right="456"/>
                    <w:jc w:val="center"/>
                    <w:rPr>
                      <w:rFonts w:hint="default" w:ascii="Times New Roman" w:hAnsi="Times New Roman" w:cs="Times New Roman"/>
                      <w:b/>
                      <w:bCs/>
                      <w:color w:val="auto"/>
                      <w:sz w:val="21"/>
                      <w:u w:val="none"/>
                    </w:rPr>
                  </w:pPr>
                  <w:r>
                    <w:rPr>
                      <w:rFonts w:hint="default" w:ascii="Times New Roman" w:hAnsi="Times New Roman" w:cs="Times New Roman"/>
                      <w:b/>
                      <w:bCs/>
                      <w:color w:val="auto"/>
                      <w:sz w:val="21"/>
                      <w:u w:val="none"/>
                    </w:rPr>
                    <w:t>污染物</w:t>
                  </w:r>
                </w:p>
              </w:tc>
              <w:tc>
                <w:tcPr>
                  <w:tcW w:w="850" w:type="dxa"/>
                  <w:tcBorders>
                    <w:tl2br w:val="nil"/>
                    <w:tr2bl w:val="nil"/>
                  </w:tcBorders>
                  <w:shd w:val="clear" w:color="auto" w:fill="F1F1F1"/>
                  <w:noWrap w:val="0"/>
                  <w:vAlign w:val="center"/>
                </w:tcPr>
                <w:p>
                  <w:pPr>
                    <w:pStyle w:val="62"/>
                    <w:spacing w:line="240" w:lineRule="auto"/>
                    <w:jc w:val="center"/>
                    <w:rPr>
                      <w:rFonts w:hint="default" w:ascii="Times New Roman" w:hAnsi="Times New Roman" w:cs="Times New Roman"/>
                      <w:b/>
                      <w:bCs/>
                      <w:color w:val="auto"/>
                      <w:sz w:val="21"/>
                      <w:szCs w:val="21"/>
                      <w:u w:val="none"/>
                    </w:rPr>
                  </w:pPr>
                  <w:r>
                    <w:rPr>
                      <w:rFonts w:hint="default" w:ascii="Times New Roman" w:hAnsi="Times New Roman" w:cs="Times New Roman"/>
                      <w:b/>
                      <w:bCs/>
                      <w:color w:val="auto"/>
                      <w:sz w:val="21"/>
                      <w:szCs w:val="21"/>
                      <w:u w:val="none"/>
                    </w:rPr>
                    <w:t>pH</w:t>
                  </w:r>
                </w:p>
              </w:tc>
              <w:tc>
                <w:tcPr>
                  <w:tcW w:w="835" w:type="dxa"/>
                  <w:tcBorders>
                    <w:tl2br w:val="nil"/>
                    <w:tr2bl w:val="nil"/>
                  </w:tcBorders>
                  <w:shd w:val="clear" w:color="auto" w:fill="F1F1F1"/>
                  <w:noWrap w:val="0"/>
                  <w:vAlign w:val="center"/>
                </w:tcPr>
                <w:p>
                  <w:pPr>
                    <w:pStyle w:val="62"/>
                    <w:spacing w:line="240" w:lineRule="auto"/>
                    <w:jc w:val="center"/>
                    <w:rPr>
                      <w:rFonts w:hint="default" w:ascii="Times New Roman" w:hAnsi="Times New Roman" w:cs="Times New Roman"/>
                      <w:b/>
                      <w:bCs/>
                      <w:color w:val="auto"/>
                      <w:sz w:val="21"/>
                      <w:szCs w:val="21"/>
                      <w:u w:val="none"/>
                    </w:rPr>
                  </w:pPr>
                  <w:r>
                    <w:rPr>
                      <w:rFonts w:hint="default" w:ascii="Times New Roman" w:hAnsi="Times New Roman" w:cs="Times New Roman"/>
                      <w:b/>
                      <w:bCs/>
                      <w:color w:val="auto"/>
                      <w:sz w:val="21"/>
                      <w:szCs w:val="21"/>
                      <w:u w:val="none"/>
                    </w:rPr>
                    <w:t>SS</w:t>
                  </w:r>
                </w:p>
              </w:tc>
              <w:tc>
                <w:tcPr>
                  <w:tcW w:w="1338" w:type="dxa"/>
                  <w:tcBorders>
                    <w:tl2br w:val="nil"/>
                    <w:tr2bl w:val="nil"/>
                  </w:tcBorders>
                  <w:shd w:val="clear" w:color="auto" w:fill="F1F1F1"/>
                  <w:noWrap w:val="0"/>
                  <w:vAlign w:val="center"/>
                </w:tcPr>
                <w:p>
                  <w:pPr>
                    <w:pStyle w:val="62"/>
                    <w:spacing w:line="240" w:lineRule="auto"/>
                    <w:jc w:val="center"/>
                    <w:rPr>
                      <w:rFonts w:hint="default" w:ascii="Times New Roman" w:hAnsi="Times New Roman" w:cs="Times New Roman"/>
                      <w:b/>
                      <w:bCs/>
                      <w:color w:val="auto"/>
                      <w:sz w:val="21"/>
                      <w:szCs w:val="21"/>
                      <w:u w:val="none"/>
                    </w:rPr>
                  </w:pPr>
                  <w:r>
                    <w:rPr>
                      <w:rFonts w:hint="default" w:ascii="Times New Roman" w:hAnsi="Times New Roman" w:cs="Times New Roman"/>
                      <w:b/>
                      <w:bCs/>
                      <w:color w:val="auto"/>
                      <w:sz w:val="21"/>
                      <w:szCs w:val="21"/>
                      <w:u w:val="none"/>
                    </w:rPr>
                    <w:t>COD</w:t>
                  </w:r>
                  <w:r>
                    <w:rPr>
                      <w:rFonts w:hint="default" w:ascii="Times New Roman" w:hAnsi="Times New Roman" w:cs="Times New Roman"/>
                      <w:b/>
                      <w:bCs/>
                      <w:color w:val="auto"/>
                      <w:sz w:val="21"/>
                      <w:szCs w:val="21"/>
                      <w:u w:val="none"/>
                      <w:vertAlign w:val="subscript"/>
                    </w:rPr>
                    <w:t>Mn</w:t>
                  </w:r>
                </w:p>
              </w:tc>
              <w:tc>
                <w:tcPr>
                  <w:tcW w:w="1143" w:type="dxa"/>
                  <w:tcBorders>
                    <w:tl2br w:val="nil"/>
                    <w:tr2bl w:val="nil"/>
                  </w:tcBorders>
                  <w:shd w:val="clear" w:color="auto" w:fill="F1F1F1"/>
                  <w:noWrap w:val="0"/>
                  <w:vAlign w:val="center"/>
                </w:tcPr>
                <w:p>
                  <w:pPr>
                    <w:pStyle w:val="62"/>
                    <w:spacing w:line="240" w:lineRule="auto"/>
                    <w:jc w:val="center"/>
                    <w:rPr>
                      <w:rFonts w:hint="default" w:ascii="Times New Roman" w:hAnsi="Times New Roman" w:cs="Times New Roman"/>
                      <w:b/>
                      <w:bCs/>
                      <w:color w:val="auto"/>
                      <w:sz w:val="21"/>
                      <w:szCs w:val="21"/>
                      <w:u w:val="none"/>
                    </w:rPr>
                  </w:pPr>
                  <w:r>
                    <w:rPr>
                      <w:rFonts w:hint="default" w:ascii="Times New Roman" w:hAnsi="Times New Roman" w:cs="Times New Roman"/>
                      <w:b/>
                      <w:bCs/>
                      <w:color w:val="auto"/>
                      <w:sz w:val="21"/>
                      <w:szCs w:val="21"/>
                      <w:u w:val="none"/>
                    </w:rPr>
                    <w:t>BOD</w:t>
                  </w:r>
                  <w:r>
                    <w:rPr>
                      <w:rFonts w:hint="default" w:ascii="Times New Roman" w:hAnsi="Times New Roman" w:cs="Times New Roman"/>
                      <w:b/>
                      <w:bCs/>
                      <w:color w:val="auto"/>
                      <w:sz w:val="21"/>
                      <w:szCs w:val="21"/>
                      <w:u w:val="none"/>
                      <w:vertAlign w:val="subscript"/>
                    </w:rPr>
                    <w:t>5</w:t>
                  </w:r>
                </w:p>
              </w:tc>
              <w:tc>
                <w:tcPr>
                  <w:tcW w:w="1144" w:type="dxa"/>
                  <w:tcBorders>
                    <w:tl2br w:val="nil"/>
                    <w:tr2bl w:val="nil"/>
                  </w:tcBorders>
                  <w:shd w:val="clear" w:color="auto" w:fill="F1F1F1"/>
                  <w:noWrap w:val="0"/>
                  <w:vAlign w:val="center"/>
                </w:tcPr>
                <w:p>
                  <w:pPr>
                    <w:pStyle w:val="62"/>
                    <w:spacing w:line="240" w:lineRule="auto"/>
                    <w:jc w:val="center"/>
                    <w:rPr>
                      <w:rFonts w:hint="default" w:ascii="Times New Roman" w:hAnsi="Times New Roman" w:eastAsia="宋体" w:cs="Times New Roman"/>
                      <w:b/>
                      <w:bCs/>
                      <w:color w:val="auto"/>
                      <w:sz w:val="21"/>
                      <w:szCs w:val="21"/>
                      <w:u w:val="none"/>
                      <w:lang w:val="en-US" w:eastAsia="zh-CN"/>
                    </w:rPr>
                  </w:pPr>
                  <w:r>
                    <w:rPr>
                      <w:rFonts w:hint="eastAsia" w:ascii="Times New Roman" w:hAnsi="Times New Roman" w:cs="Times New Roman"/>
                      <w:b/>
                      <w:bCs/>
                      <w:color w:val="auto"/>
                      <w:sz w:val="21"/>
                      <w:szCs w:val="21"/>
                      <w:u w:val="none"/>
                      <w:lang w:val="en-US" w:eastAsia="zh-CN"/>
                    </w:rPr>
                    <w:t>NH</w:t>
                  </w:r>
                  <w:r>
                    <w:rPr>
                      <w:rFonts w:hint="eastAsia" w:ascii="Times New Roman" w:hAnsi="Times New Roman" w:cs="Times New Roman"/>
                      <w:b/>
                      <w:bCs/>
                      <w:color w:val="auto"/>
                      <w:sz w:val="21"/>
                      <w:szCs w:val="21"/>
                      <w:u w:val="none"/>
                      <w:vertAlign w:val="subscript"/>
                      <w:lang w:val="en-US" w:eastAsia="zh-CN"/>
                    </w:rPr>
                    <w:t>3</w:t>
                  </w:r>
                  <w:r>
                    <w:rPr>
                      <w:rFonts w:hint="eastAsia" w:ascii="Times New Roman" w:hAnsi="Times New Roman" w:cs="Times New Roman"/>
                      <w:b/>
                      <w:bCs/>
                      <w:color w:val="auto"/>
                      <w:sz w:val="21"/>
                      <w:szCs w:val="21"/>
                      <w:u w:val="none"/>
                      <w:lang w:val="en-US" w:eastAsia="zh-CN"/>
                    </w:rPr>
                    <w:t>-N</w:t>
                  </w:r>
                </w:p>
              </w:tc>
              <w:tc>
                <w:tcPr>
                  <w:tcW w:w="1144" w:type="dxa"/>
                  <w:tcBorders>
                    <w:tl2br w:val="nil"/>
                    <w:tr2bl w:val="nil"/>
                  </w:tcBorders>
                  <w:shd w:val="clear" w:color="auto" w:fill="F1F1F1"/>
                  <w:noWrap w:val="0"/>
                  <w:vAlign w:val="center"/>
                </w:tcPr>
                <w:p>
                  <w:pPr>
                    <w:pStyle w:val="62"/>
                    <w:spacing w:line="240" w:lineRule="auto"/>
                    <w:jc w:val="center"/>
                    <w:rPr>
                      <w:rFonts w:hint="default" w:ascii="Times New Roman" w:hAnsi="Times New Roman" w:cs="Times New Roman"/>
                      <w:b/>
                      <w:bCs/>
                      <w:color w:val="auto"/>
                      <w:sz w:val="21"/>
                      <w:szCs w:val="21"/>
                      <w:u w:val="none"/>
                      <w:lang w:val="en-US" w:eastAsia="zh-CN"/>
                    </w:rPr>
                  </w:pPr>
                  <w:r>
                    <w:rPr>
                      <w:rFonts w:hint="eastAsia" w:cs="Times New Roman"/>
                      <w:b/>
                      <w:bCs/>
                      <w:color w:val="auto"/>
                      <w:sz w:val="21"/>
                      <w:szCs w:val="21"/>
                      <w:u w:val="none"/>
                      <w:lang w:val="en-US" w:eastAsia="zh-CN"/>
                    </w:rPr>
                    <w:t>TP</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800" w:type="dxa"/>
                  <w:gridSpan w:val="5"/>
                  <w:tcBorders>
                    <w:tl2br w:val="nil"/>
                    <w:tr2bl w:val="nil"/>
                  </w:tcBorders>
                  <w:noWrap w:val="0"/>
                  <w:vAlign w:val="center"/>
                </w:tcPr>
                <w:p>
                  <w:pPr>
                    <w:pStyle w:val="62"/>
                    <w:spacing w:line="240" w:lineRule="auto"/>
                    <w:jc w:val="both"/>
                    <w:rPr>
                      <w:rFonts w:hint="default" w:ascii="Times New Roman" w:hAnsi="Times New Roman" w:cs="Times New Roman"/>
                      <w:color w:val="auto"/>
                      <w:sz w:val="21"/>
                      <w:szCs w:val="21"/>
                      <w:u w:val="none"/>
                    </w:rPr>
                  </w:pPr>
                  <w:r>
                    <w:rPr>
                      <w:rFonts w:hint="eastAsia" w:ascii="Times New Roman" w:hAnsi="Times New Roman" w:eastAsia="宋体" w:cs="Times New Roman"/>
                      <w:color w:val="auto"/>
                      <w:kern w:val="2"/>
                      <w:sz w:val="21"/>
                      <w:szCs w:val="21"/>
                      <w:lang w:val="en-US" w:eastAsia="zh-CN" w:bidi="ar-SA"/>
                    </w:rPr>
                    <w:t>依据：</w:t>
                  </w:r>
                  <w:r>
                    <w:rPr>
                      <w:rFonts w:hint="eastAsia" w:cs="Times New Roman"/>
                      <w:color w:val="auto"/>
                      <w:kern w:val="2"/>
                      <w:sz w:val="21"/>
                      <w:szCs w:val="21"/>
                      <w:lang w:val="en-US" w:eastAsia="zh-CN" w:bidi="ar-SA"/>
                    </w:rPr>
                    <w:t>华容县团洲乡团洲新村污水处理厂进水水质标准</w:t>
                  </w:r>
                </w:p>
              </w:tc>
              <w:tc>
                <w:tcPr>
                  <w:tcW w:w="1144" w:type="dxa"/>
                  <w:tcBorders>
                    <w:tl2br w:val="nil"/>
                    <w:tr2bl w:val="nil"/>
                  </w:tcBorders>
                  <w:noWrap w:val="0"/>
                  <w:vAlign w:val="center"/>
                </w:tcPr>
                <w:p>
                  <w:pPr>
                    <w:pStyle w:val="62"/>
                    <w:spacing w:line="240" w:lineRule="auto"/>
                    <w:jc w:val="center"/>
                    <w:rPr>
                      <w:rFonts w:hint="default" w:ascii="Times New Roman" w:hAnsi="Times New Roman" w:eastAsia="Times New Roman" w:cs="Times New Roman"/>
                      <w:color w:val="auto"/>
                      <w:sz w:val="21"/>
                      <w:u w:val="none"/>
                    </w:rPr>
                  </w:pPr>
                </w:p>
              </w:tc>
              <w:tc>
                <w:tcPr>
                  <w:tcW w:w="1144" w:type="dxa"/>
                  <w:tcBorders>
                    <w:tl2br w:val="nil"/>
                    <w:tr2bl w:val="nil"/>
                  </w:tcBorders>
                  <w:noWrap w:val="0"/>
                  <w:vAlign w:val="center"/>
                </w:tcPr>
                <w:p>
                  <w:pPr>
                    <w:pStyle w:val="62"/>
                    <w:spacing w:line="240" w:lineRule="auto"/>
                    <w:jc w:val="center"/>
                    <w:rPr>
                      <w:rFonts w:hint="default" w:ascii="Times New Roman" w:hAnsi="Times New Roman" w:eastAsia="Times New Roman" w:cs="Times New Roman"/>
                      <w:color w:val="auto"/>
                      <w:sz w:val="21"/>
                      <w:u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634" w:type="dxa"/>
                  <w:tcBorders>
                    <w:tl2br w:val="nil"/>
                    <w:tr2bl w:val="nil"/>
                  </w:tcBorders>
                  <w:noWrap w:val="0"/>
                  <w:vAlign w:val="center"/>
                </w:tcPr>
                <w:p>
                  <w:pPr>
                    <w:pStyle w:val="49"/>
                    <w:spacing w:line="248" w:lineRule="exact"/>
                    <w:ind w:left="460" w:right="456"/>
                    <w:jc w:val="center"/>
                    <w:rPr>
                      <w:rFonts w:hint="default" w:ascii="Times New Roman" w:hAnsi="Times New Roman" w:eastAsia="Times New Roman" w:cs="Times New Roman"/>
                      <w:color w:val="auto"/>
                      <w:sz w:val="21"/>
                      <w:u w:val="none"/>
                    </w:rPr>
                  </w:pPr>
                </w:p>
              </w:tc>
              <w:tc>
                <w:tcPr>
                  <w:tcW w:w="850" w:type="dxa"/>
                  <w:tcBorders>
                    <w:tl2br w:val="nil"/>
                    <w:tr2bl w:val="nil"/>
                  </w:tcBorders>
                  <w:noWrap w:val="0"/>
                  <w:vAlign w:val="center"/>
                </w:tcPr>
                <w:p>
                  <w:pPr>
                    <w:pStyle w:val="62"/>
                    <w:spacing w:line="240" w:lineRule="auto"/>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6~9</w:t>
                  </w:r>
                </w:p>
              </w:tc>
              <w:tc>
                <w:tcPr>
                  <w:tcW w:w="835" w:type="dxa"/>
                  <w:tcBorders>
                    <w:tl2br w:val="nil"/>
                    <w:tr2bl w:val="nil"/>
                  </w:tcBorders>
                  <w:noWrap w:val="0"/>
                  <w:vAlign w:val="center"/>
                </w:tcPr>
                <w:p>
                  <w:pPr>
                    <w:pStyle w:val="62"/>
                    <w:spacing w:line="240" w:lineRule="auto"/>
                    <w:jc w:val="center"/>
                    <w:rPr>
                      <w:rFonts w:hint="default" w:ascii="Times New Roman" w:hAnsi="Times New Roman" w:eastAsia="宋体" w:cs="Times New Roman"/>
                      <w:color w:val="auto"/>
                      <w:sz w:val="21"/>
                      <w:szCs w:val="21"/>
                      <w:u w:val="none"/>
                      <w:lang w:val="en-US" w:eastAsia="zh-CN"/>
                    </w:rPr>
                  </w:pPr>
                  <w:r>
                    <w:rPr>
                      <w:rFonts w:hint="eastAsia" w:cs="Times New Roman"/>
                      <w:color w:val="auto"/>
                      <w:sz w:val="21"/>
                      <w:szCs w:val="21"/>
                      <w:u w:val="none"/>
                      <w:lang w:val="en-US" w:eastAsia="zh-CN"/>
                    </w:rPr>
                    <w:t>150</w:t>
                  </w:r>
                </w:p>
              </w:tc>
              <w:tc>
                <w:tcPr>
                  <w:tcW w:w="1338" w:type="dxa"/>
                  <w:tcBorders>
                    <w:tl2br w:val="nil"/>
                    <w:tr2bl w:val="nil"/>
                  </w:tcBorders>
                  <w:noWrap w:val="0"/>
                  <w:vAlign w:val="center"/>
                </w:tcPr>
                <w:p>
                  <w:pPr>
                    <w:pStyle w:val="62"/>
                    <w:spacing w:line="240" w:lineRule="auto"/>
                    <w:jc w:val="center"/>
                    <w:rPr>
                      <w:rFonts w:hint="default" w:ascii="Times New Roman" w:hAnsi="Times New Roman" w:eastAsia="宋体" w:cs="Times New Roman"/>
                      <w:color w:val="auto"/>
                      <w:sz w:val="21"/>
                      <w:szCs w:val="21"/>
                      <w:u w:val="none"/>
                      <w:lang w:val="en-US" w:eastAsia="zh-CN"/>
                    </w:rPr>
                  </w:pPr>
                  <w:r>
                    <w:rPr>
                      <w:rFonts w:hint="eastAsia" w:cs="Times New Roman"/>
                      <w:color w:val="auto"/>
                      <w:sz w:val="21"/>
                      <w:szCs w:val="21"/>
                      <w:u w:val="none"/>
                      <w:lang w:val="en-US" w:eastAsia="zh-CN"/>
                    </w:rPr>
                    <w:t>350</w:t>
                  </w:r>
                </w:p>
              </w:tc>
              <w:tc>
                <w:tcPr>
                  <w:tcW w:w="1143" w:type="dxa"/>
                  <w:tcBorders>
                    <w:tl2br w:val="nil"/>
                    <w:tr2bl w:val="nil"/>
                  </w:tcBorders>
                  <w:noWrap w:val="0"/>
                  <w:vAlign w:val="center"/>
                </w:tcPr>
                <w:p>
                  <w:pPr>
                    <w:pStyle w:val="62"/>
                    <w:spacing w:line="240" w:lineRule="auto"/>
                    <w:jc w:val="center"/>
                    <w:rPr>
                      <w:rFonts w:hint="default" w:ascii="Times New Roman" w:hAnsi="Times New Roman" w:eastAsia="宋体" w:cs="Times New Roman"/>
                      <w:color w:val="auto"/>
                      <w:sz w:val="21"/>
                      <w:szCs w:val="21"/>
                      <w:u w:val="none"/>
                      <w:lang w:val="en-US" w:eastAsia="zh-CN"/>
                    </w:rPr>
                  </w:pPr>
                  <w:r>
                    <w:rPr>
                      <w:rFonts w:hint="eastAsia" w:cs="Times New Roman"/>
                      <w:color w:val="auto"/>
                      <w:sz w:val="21"/>
                      <w:szCs w:val="21"/>
                      <w:u w:val="none"/>
                      <w:lang w:val="en-US" w:eastAsia="zh-CN"/>
                    </w:rPr>
                    <w:t>180</w:t>
                  </w:r>
                </w:p>
              </w:tc>
              <w:tc>
                <w:tcPr>
                  <w:tcW w:w="1144" w:type="dxa"/>
                  <w:tcBorders>
                    <w:tl2br w:val="nil"/>
                    <w:tr2bl w:val="nil"/>
                  </w:tcBorders>
                  <w:noWrap w:val="0"/>
                  <w:vAlign w:val="center"/>
                </w:tcPr>
                <w:p>
                  <w:pPr>
                    <w:pStyle w:val="62"/>
                    <w:spacing w:line="240" w:lineRule="auto"/>
                    <w:jc w:val="center"/>
                    <w:rPr>
                      <w:rFonts w:hint="default" w:ascii="Times New Roman" w:hAnsi="Times New Roman" w:eastAsia="宋体" w:cs="Times New Roman"/>
                      <w:color w:val="auto"/>
                      <w:sz w:val="21"/>
                      <w:szCs w:val="21"/>
                      <w:u w:val="none"/>
                      <w:lang w:val="en-US" w:eastAsia="zh-CN"/>
                    </w:rPr>
                  </w:pPr>
                  <w:r>
                    <w:rPr>
                      <w:rFonts w:hint="eastAsia" w:cs="Times New Roman"/>
                      <w:color w:val="auto"/>
                      <w:sz w:val="21"/>
                      <w:szCs w:val="21"/>
                      <w:u w:val="none"/>
                      <w:lang w:val="en-US" w:eastAsia="zh-CN"/>
                    </w:rPr>
                    <w:t>30</w:t>
                  </w:r>
                </w:p>
              </w:tc>
              <w:tc>
                <w:tcPr>
                  <w:tcW w:w="1144" w:type="dxa"/>
                  <w:tcBorders>
                    <w:tl2br w:val="nil"/>
                    <w:tr2bl w:val="nil"/>
                  </w:tcBorders>
                  <w:noWrap w:val="0"/>
                  <w:vAlign w:val="center"/>
                </w:tcPr>
                <w:p>
                  <w:pPr>
                    <w:pStyle w:val="62"/>
                    <w:spacing w:line="240" w:lineRule="auto"/>
                    <w:jc w:val="center"/>
                    <w:rPr>
                      <w:rFonts w:hint="default" w:cs="Times New Roman"/>
                      <w:color w:val="auto"/>
                      <w:sz w:val="21"/>
                      <w:szCs w:val="21"/>
                      <w:u w:val="none"/>
                      <w:lang w:val="en-US" w:eastAsia="zh-CN"/>
                    </w:rPr>
                  </w:pPr>
                  <w:r>
                    <w:rPr>
                      <w:rFonts w:hint="eastAsia" w:cs="Times New Roman"/>
                      <w:color w:val="auto"/>
                      <w:sz w:val="21"/>
                      <w:szCs w:val="21"/>
                      <w:u w:val="none"/>
                      <w:lang w:val="en-US" w:eastAsia="zh-CN"/>
                    </w:rPr>
                    <w:t>6</w:t>
                  </w:r>
                </w:p>
              </w:tc>
            </w:tr>
          </w:tbl>
          <w:p>
            <w:pPr>
              <w:pStyle w:val="63"/>
              <w:spacing w:before="165" w:beforeLines="50"/>
              <w:ind w:firstLine="422"/>
              <w:rPr>
                <w:rFonts w:hint="default" w:ascii="Times New Roman" w:hAnsi="Times New Roman" w:eastAsia="宋体" w:cs="Times New Roman"/>
                <w:b/>
                <w:color w:val="auto"/>
                <w:kern w:val="2"/>
                <w:sz w:val="24"/>
                <w:szCs w:val="24"/>
                <w:highlight w:val="none"/>
                <w:lang w:val="en-US" w:eastAsia="zh-CN" w:bidi="ar-SA"/>
              </w:rPr>
            </w:pPr>
            <w:bookmarkStart w:id="12" w:name="_Toc535510061"/>
            <w:r>
              <w:rPr>
                <w:rFonts w:hint="default" w:ascii="Times New Roman" w:hAnsi="Times New Roman" w:eastAsia="宋体" w:cs="Times New Roman"/>
                <w:b/>
                <w:color w:val="auto"/>
                <w:kern w:val="2"/>
                <w:sz w:val="24"/>
                <w:szCs w:val="24"/>
                <w:highlight w:val="none"/>
                <w:lang w:val="en-US" w:eastAsia="zh-CN" w:bidi="ar-SA"/>
              </w:rPr>
              <w:t>表</w:t>
            </w:r>
            <w:r>
              <w:rPr>
                <w:rFonts w:hint="eastAsia" w:ascii="Times New Roman" w:hAnsi="Times New Roman" w:eastAsia="宋体" w:cs="Times New Roman"/>
                <w:b/>
                <w:color w:val="auto"/>
                <w:kern w:val="2"/>
                <w:sz w:val="24"/>
                <w:szCs w:val="24"/>
                <w:highlight w:val="none"/>
                <w:lang w:val="en-US" w:eastAsia="zh-CN" w:bidi="ar-SA"/>
              </w:rPr>
              <w:t>3-9</w:t>
            </w:r>
            <w:r>
              <w:rPr>
                <w:rFonts w:hint="default" w:ascii="Times New Roman" w:hAnsi="Times New Roman" w:eastAsia="宋体" w:cs="Times New Roman"/>
                <w:b/>
                <w:color w:val="auto"/>
                <w:kern w:val="2"/>
                <w:sz w:val="24"/>
                <w:szCs w:val="24"/>
                <w:highlight w:val="none"/>
                <w:lang w:val="en-US" w:eastAsia="zh-CN" w:bidi="ar-SA"/>
              </w:rPr>
              <w:t xml:space="preserve">  城镇污水处理厂污染物排放标准（GB18918-2002）  单位： mg/L</w:t>
            </w:r>
            <w:bookmarkEnd w:id="12"/>
          </w:p>
          <w:tbl>
            <w:tblPr>
              <w:tblStyle w:val="22"/>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50"/>
              <w:gridCol w:w="3104"/>
              <w:gridCol w:w="389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117" w:type="dxa"/>
                  <w:shd w:val="clear" w:color="auto" w:fill="F1F1F1"/>
                  <w:noWrap w:val="0"/>
                  <w:vAlign w:val="center"/>
                </w:tcPr>
                <w:p>
                  <w:pPr>
                    <w:pStyle w:val="54"/>
                    <w:rPr>
                      <w:b/>
                      <w:bCs/>
                      <w:color w:val="auto"/>
                    </w:rPr>
                  </w:pPr>
                  <w:r>
                    <w:rPr>
                      <w:b/>
                      <w:bCs/>
                      <w:color w:val="auto"/>
                    </w:rPr>
                    <w:t>序号</w:t>
                  </w:r>
                </w:p>
              </w:tc>
              <w:tc>
                <w:tcPr>
                  <w:tcW w:w="3650" w:type="dxa"/>
                  <w:shd w:val="clear" w:color="auto" w:fill="F1F1F1"/>
                  <w:noWrap w:val="0"/>
                  <w:vAlign w:val="center"/>
                </w:tcPr>
                <w:p>
                  <w:pPr>
                    <w:pStyle w:val="54"/>
                    <w:rPr>
                      <w:b/>
                      <w:bCs/>
                      <w:color w:val="auto"/>
                    </w:rPr>
                  </w:pPr>
                  <w:r>
                    <w:rPr>
                      <w:b/>
                      <w:bCs/>
                      <w:color w:val="auto"/>
                    </w:rPr>
                    <w:t>污染物项目</w:t>
                  </w:r>
                </w:p>
              </w:tc>
              <w:tc>
                <w:tcPr>
                  <w:tcW w:w="4576" w:type="dxa"/>
                  <w:shd w:val="clear" w:color="auto" w:fill="F1F1F1"/>
                  <w:noWrap w:val="0"/>
                  <w:vAlign w:val="center"/>
                </w:tcPr>
                <w:p>
                  <w:pPr>
                    <w:pStyle w:val="54"/>
                    <w:rPr>
                      <w:b/>
                      <w:bCs/>
                      <w:color w:val="auto"/>
                    </w:rPr>
                  </w:pPr>
                  <w:r>
                    <w:rPr>
                      <w:b/>
                      <w:bCs/>
                      <w:color w:val="auto"/>
                    </w:rPr>
                    <w:t>污水处理厂排放标准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117" w:type="dxa"/>
                  <w:noWrap w:val="0"/>
                  <w:vAlign w:val="center"/>
                </w:tcPr>
                <w:p>
                  <w:pPr>
                    <w:pStyle w:val="54"/>
                    <w:rPr>
                      <w:color w:val="auto"/>
                    </w:rPr>
                  </w:pPr>
                  <w:r>
                    <w:rPr>
                      <w:color w:val="auto"/>
                    </w:rPr>
                    <w:t>1</w:t>
                  </w:r>
                </w:p>
              </w:tc>
              <w:tc>
                <w:tcPr>
                  <w:tcW w:w="3650" w:type="dxa"/>
                  <w:noWrap w:val="0"/>
                  <w:vAlign w:val="center"/>
                </w:tcPr>
                <w:p>
                  <w:pPr>
                    <w:pStyle w:val="54"/>
                    <w:rPr>
                      <w:rFonts w:hint="eastAsia"/>
                      <w:color w:val="auto"/>
                    </w:rPr>
                  </w:pPr>
                  <w:r>
                    <w:rPr>
                      <w:rFonts w:hint="eastAsia"/>
                      <w:color w:val="auto"/>
                    </w:rPr>
                    <w:t>PH</w:t>
                  </w:r>
                </w:p>
              </w:tc>
              <w:tc>
                <w:tcPr>
                  <w:tcW w:w="4576" w:type="dxa"/>
                  <w:noWrap w:val="0"/>
                  <w:vAlign w:val="center"/>
                </w:tcPr>
                <w:p>
                  <w:pPr>
                    <w:pStyle w:val="54"/>
                    <w:rPr>
                      <w:color w:val="auto"/>
                    </w:rPr>
                  </w:pPr>
                  <w:r>
                    <w:rPr>
                      <w:color w:val="auto"/>
                    </w:rPr>
                    <w:t>6～9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117" w:type="dxa"/>
                  <w:noWrap w:val="0"/>
                  <w:vAlign w:val="center"/>
                </w:tcPr>
                <w:p>
                  <w:pPr>
                    <w:pStyle w:val="54"/>
                    <w:rPr>
                      <w:rFonts w:hint="eastAsia"/>
                      <w:color w:val="auto"/>
                    </w:rPr>
                  </w:pPr>
                  <w:r>
                    <w:rPr>
                      <w:rFonts w:hint="eastAsia"/>
                      <w:color w:val="auto"/>
                    </w:rPr>
                    <w:t>2</w:t>
                  </w:r>
                </w:p>
              </w:tc>
              <w:tc>
                <w:tcPr>
                  <w:tcW w:w="3650" w:type="dxa"/>
                  <w:noWrap w:val="0"/>
                  <w:vAlign w:val="center"/>
                </w:tcPr>
                <w:p>
                  <w:pPr>
                    <w:pStyle w:val="54"/>
                    <w:rPr>
                      <w:color w:val="auto"/>
                    </w:rPr>
                  </w:pPr>
                  <w:r>
                    <w:rPr>
                      <w:color w:val="auto"/>
                    </w:rPr>
                    <w:t>化学需氧量≤</w:t>
                  </w:r>
                </w:p>
              </w:tc>
              <w:tc>
                <w:tcPr>
                  <w:tcW w:w="4576" w:type="dxa"/>
                  <w:noWrap w:val="0"/>
                  <w:vAlign w:val="center"/>
                </w:tcPr>
                <w:p>
                  <w:pPr>
                    <w:pStyle w:val="54"/>
                    <w:rPr>
                      <w:color w:val="auto"/>
                    </w:rPr>
                  </w:pPr>
                  <w:r>
                    <w:rPr>
                      <w:color w:val="auto"/>
                    </w:rPr>
                    <w:t>50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117" w:type="dxa"/>
                  <w:noWrap w:val="0"/>
                  <w:vAlign w:val="center"/>
                </w:tcPr>
                <w:p>
                  <w:pPr>
                    <w:pStyle w:val="54"/>
                    <w:rPr>
                      <w:rFonts w:hint="eastAsia"/>
                      <w:color w:val="auto"/>
                    </w:rPr>
                  </w:pPr>
                  <w:r>
                    <w:rPr>
                      <w:rFonts w:hint="eastAsia"/>
                      <w:color w:val="auto"/>
                    </w:rPr>
                    <w:t>3</w:t>
                  </w:r>
                </w:p>
              </w:tc>
              <w:tc>
                <w:tcPr>
                  <w:tcW w:w="3650" w:type="dxa"/>
                  <w:noWrap w:val="0"/>
                  <w:vAlign w:val="center"/>
                </w:tcPr>
                <w:p>
                  <w:pPr>
                    <w:pStyle w:val="54"/>
                    <w:rPr>
                      <w:color w:val="auto"/>
                    </w:rPr>
                  </w:pPr>
                  <w:r>
                    <w:rPr>
                      <w:color w:val="auto"/>
                    </w:rPr>
                    <w:t>五日生化需氧量≤</w:t>
                  </w:r>
                </w:p>
              </w:tc>
              <w:tc>
                <w:tcPr>
                  <w:tcW w:w="4576" w:type="dxa"/>
                  <w:noWrap w:val="0"/>
                  <w:vAlign w:val="center"/>
                </w:tcPr>
                <w:p>
                  <w:pPr>
                    <w:pStyle w:val="54"/>
                    <w:rPr>
                      <w:color w:val="auto"/>
                    </w:rPr>
                  </w:pPr>
                  <w:r>
                    <w:rPr>
                      <w:color w:val="auto"/>
                    </w:rPr>
                    <w:t>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117" w:type="dxa"/>
                  <w:noWrap w:val="0"/>
                  <w:vAlign w:val="center"/>
                </w:tcPr>
                <w:p>
                  <w:pPr>
                    <w:pStyle w:val="54"/>
                    <w:rPr>
                      <w:rFonts w:hint="eastAsia"/>
                      <w:color w:val="auto"/>
                    </w:rPr>
                  </w:pPr>
                  <w:r>
                    <w:rPr>
                      <w:rFonts w:hint="eastAsia"/>
                      <w:color w:val="auto"/>
                    </w:rPr>
                    <w:t>4</w:t>
                  </w:r>
                </w:p>
              </w:tc>
              <w:tc>
                <w:tcPr>
                  <w:tcW w:w="3650" w:type="dxa"/>
                  <w:noWrap w:val="0"/>
                  <w:vAlign w:val="center"/>
                </w:tcPr>
                <w:p>
                  <w:pPr>
                    <w:pStyle w:val="54"/>
                    <w:rPr>
                      <w:color w:val="auto"/>
                    </w:rPr>
                  </w:pPr>
                  <w:r>
                    <w:rPr>
                      <w:color w:val="auto"/>
                    </w:rPr>
                    <w:t>悬浮物≤</w:t>
                  </w:r>
                </w:p>
              </w:tc>
              <w:tc>
                <w:tcPr>
                  <w:tcW w:w="4576" w:type="dxa"/>
                  <w:noWrap w:val="0"/>
                  <w:vAlign w:val="center"/>
                </w:tcPr>
                <w:p>
                  <w:pPr>
                    <w:pStyle w:val="54"/>
                    <w:rPr>
                      <w:color w:val="auto"/>
                    </w:rPr>
                  </w:pPr>
                  <w:r>
                    <w:rPr>
                      <w:color w:val="auto"/>
                    </w:rPr>
                    <w:t>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1" w:hRule="atLeast"/>
                <w:jc w:val="center"/>
              </w:trPr>
              <w:tc>
                <w:tcPr>
                  <w:tcW w:w="1117" w:type="dxa"/>
                  <w:noWrap w:val="0"/>
                  <w:vAlign w:val="center"/>
                </w:tcPr>
                <w:p>
                  <w:pPr>
                    <w:pStyle w:val="54"/>
                    <w:rPr>
                      <w:color w:val="auto"/>
                    </w:rPr>
                  </w:pPr>
                  <w:r>
                    <w:rPr>
                      <w:color w:val="auto"/>
                    </w:rPr>
                    <w:t>5</w:t>
                  </w:r>
                </w:p>
              </w:tc>
              <w:tc>
                <w:tcPr>
                  <w:tcW w:w="3650" w:type="dxa"/>
                  <w:noWrap w:val="0"/>
                  <w:vAlign w:val="center"/>
                </w:tcPr>
                <w:p>
                  <w:pPr>
                    <w:pStyle w:val="54"/>
                    <w:rPr>
                      <w:color w:val="auto"/>
                    </w:rPr>
                  </w:pPr>
                  <w:r>
                    <w:rPr>
                      <w:color w:val="auto"/>
                    </w:rPr>
                    <w:t>氨氮≤</w:t>
                  </w:r>
                </w:p>
              </w:tc>
              <w:tc>
                <w:tcPr>
                  <w:tcW w:w="4576" w:type="dxa"/>
                  <w:noWrap w:val="0"/>
                  <w:vAlign w:val="center"/>
                </w:tcPr>
                <w:p>
                  <w:pPr>
                    <w:pStyle w:val="54"/>
                    <w:rPr>
                      <w:color w:val="auto"/>
                    </w:rPr>
                  </w:pPr>
                  <w:r>
                    <w:rPr>
                      <w:color w:val="auto"/>
                    </w:rPr>
                    <w:t>5（8）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1" w:hRule="atLeast"/>
                <w:jc w:val="center"/>
              </w:trPr>
              <w:tc>
                <w:tcPr>
                  <w:tcW w:w="1117" w:type="dxa"/>
                  <w:noWrap w:val="0"/>
                  <w:vAlign w:val="center"/>
                </w:tcPr>
                <w:p>
                  <w:pPr>
                    <w:pStyle w:val="54"/>
                    <w:rPr>
                      <w:rFonts w:hint="eastAsia" w:eastAsia="宋体"/>
                      <w:color w:val="auto"/>
                      <w:lang w:val="en-US" w:eastAsia="zh-CN"/>
                    </w:rPr>
                  </w:pPr>
                  <w:r>
                    <w:rPr>
                      <w:rFonts w:hint="eastAsia"/>
                      <w:color w:val="auto"/>
                      <w:lang w:val="en-US" w:eastAsia="zh-CN"/>
                    </w:rPr>
                    <w:t>6</w:t>
                  </w:r>
                </w:p>
              </w:tc>
              <w:tc>
                <w:tcPr>
                  <w:tcW w:w="3650" w:type="dxa"/>
                  <w:noWrap w:val="0"/>
                  <w:vAlign w:val="center"/>
                </w:tcPr>
                <w:p>
                  <w:pPr>
                    <w:pStyle w:val="54"/>
                    <w:rPr>
                      <w:rFonts w:hint="eastAsia" w:eastAsia="宋体"/>
                      <w:color w:val="auto"/>
                      <w:lang w:val="en-US" w:eastAsia="zh-CN"/>
                    </w:rPr>
                  </w:pPr>
                  <w:r>
                    <w:rPr>
                      <w:rFonts w:hint="eastAsia"/>
                      <w:color w:val="auto"/>
                      <w:lang w:val="en-US" w:eastAsia="zh-CN"/>
                    </w:rPr>
                    <w:t>总磷</w:t>
                  </w:r>
                  <w:r>
                    <w:rPr>
                      <w:color w:val="auto"/>
                    </w:rPr>
                    <w:t>≤</w:t>
                  </w:r>
                </w:p>
              </w:tc>
              <w:tc>
                <w:tcPr>
                  <w:tcW w:w="4576" w:type="dxa"/>
                  <w:noWrap w:val="0"/>
                  <w:vAlign w:val="center"/>
                </w:tcPr>
                <w:p>
                  <w:pPr>
                    <w:pStyle w:val="54"/>
                    <w:rPr>
                      <w:rFonts w:hint="default" w:eastAsia="宋体"/>
                      <w:color w:val="auto"/>
                      <w:lang w:val="en-US" w:eastAsia="zh-CN"/>
                    </w:rPr>
                  </w:pPr>
                  <w:r>
                    <w:rPr>
                      <w:rFonts w:hint="eastAsia"/>
                      <w:color w:val="auto"/>
                      <w:lang w:val="en-US" w:eastAsia="zh-CN"/>
                    </w:rPr>
                    <w:t>0.5</w:t>
                  </w:r>
                </w:p>
              </w:tc>
            </w:tr>
          </w:tbl>
          <w:p>
            <w:pPr>
              <w:pStyle w:val="7"/>
              <w:keepNext w:val="0"/>
              <w:keepLines w:val="0"/>
              <w:pageBreakBefore w:val="0"/>
              <w:widowControl w:val="0"/>
              <w:kinsoku/>
              <w:wordWrap/>
              <w:overflowPunct/>
              <w:topLinePunct w:val="0"/>
              <w:autoSpaceDE/>
              <w:autoSpaceDN/>
              <w:bidi w:val="0"/>
              <w:adjustRightInd w:val="0"/>
              <w:snapToGrid w:val="0"/>
              <w:spacing w:before="157" w:beforeLines="50"/>
              <w:ind w:left="0" w:leftChars="0" w:firstLine="0" w:firstLineChars="0"/>
              <w:jc w:val="both"/>
              <w:textAlignment w:val="auto"/>
              <w:rPr>
                <w:b/>
                <w:color w:val="auto"/>
                <w:sz w:val="24"/>
              </w:rPr>
            </w:pPr>
            <w:r>
              <w:rPr>
                <w:b/>
                <w:color w:val="auto"/>
                <w:sz w:val="24"/>
              </w:rPr>
              <w:t>3、噪声</w:t>
            </w:r>
          </w:p>
          <w:p>
            <w:pPr>
              <w:spacing w:line="360" w:lineRule="auto"/>
              <w:ind w:firstLine="480" w:firstLineChars="200"/>
              <w:rPr>
                <w:rFonts w:hint="eastAsia"/>
                <w:color w:val="auto"/>
                <w:sz w:val="24"/>
              </w:rPr>
            </w:pPr>
            <w:r>
              <w:rPr>
                <w:rFonts w:hint="eastAsia"/>
                <w:color w:val="auto"/>
                <w:sz w:val="24"/>
              </w:rPr>
              <w:t>营运期厂界噪声执行《工业企业厂界环境噪声排放标准》（GB12348-2008）中</w:t>
            </w:r>
            <w:r>
              <w:rPr>
                <w:rFonts w:hint="eastAsia"/>
                <w:color w:val="auto"/>
                <w:sz w:val="24"/>
                <w:lang w:val="en-US" w:eastAsia="zh-CN"/>
              </w:rPr>
              <w:t>2</w:t>
            </w:r>
            <w:r>
              <w:rPr>
                <w:rFonts w:hint="eastAsia"/>
                <w:color w:val="auto"/>
                <w:sz w:val="24"/>
              </w:rPr>
              <w:t>类标准。</w:t>
            </w:r>
          </w:p>
          <w:p>
            <w:pPr>
              <w:pStyle w:val="10"/>
              <w:spacing w:after="0"/>
              <w:jc w:val="center"/>
              <w:rPr>
                <w:rFonts w:hint="default" w:ascii="Times New Roman" w:hAnsi="Times New Roman" w:eastAsia="宋体" w:cs="Times New Roman"/>
                <w:b/>
                <w:color w:val="auto"/>
                <w:szCs w:val="21"/>
                <w:u w:val="none"/>
                <w:lang w:eastAsia="zh-CN"/>
              </w:rPr>
            </w:pPr>
            <w:bookmarkStart w:id="13" w:name="_Toc501572804"/>
            <w:bookmarkStart w:id="14" w:name="_Toc191884053"/>
            <w:r>
              <w:rPr>
                <w:rFonts w:hint="eastAsia" w:ascii="Times New Roman" w:hAnsi="Times New Roman" w:eastAsia="宋体" w:cs="Times New Roman"/>
                <w:b/>
                <w:color w:val="auto"/>
                <w:szCs w:val="21"/>
                <w:u w:val="none"/>
                <w:lang w:val="en-US" w:eastAsia="zh-CN"/>
              </w:rPr>
              <w:t>表3-</w:t>
            </w:r>
            <w:r>
              <w:rPr>
                <w:rFonts w:hint="eastAsia" w:cs="Times New Roman"/>
                <w:b/>
                <w:color w:val="auto"/>
                <w:szCs w:val="21"/>
                <w:u w:val="none"/>
                <w:lang w:val="en-US" w:eastAsia="zh-CN"/>
              </w:rPr>
              <w:t>10</w:t>
            </w:r>
            <w:r>
              <w:rPr>
                <w:rFonts w:hint="default" w:ascii="Times New Roman" w:hAnsi="Times New Roman" w:eastAsia="宋体" w:cs="Times New Roman"/>
                <w:b/>
                <w:color w:val="auto"/>
                <w:szCs w:val="21"/>
                <w:u w:val="none"/>
                <w:lang w:val="en-US" w:eastAsia="zh-CN"/>
              </w:rPr>
              <w:t xml:space="preserve">  </w:t>
            </w:r>
            <w:r>
              <w:rPr>
                <w:rFonts w:hint="default" w:ascii="Times New Roman" w:hAnsi="Times New Roman" w:eastAsia="宋体" w:cs="Times New Roman"/>
                <w:b/>
                <w:color w:val="auto"/>
                <w:szCs w:val="21"/>
                <w:u w:val="none"/>
              </w:rPr>
              <w:t>工业企业厂界环境噪声排放标准</w:t>
            </w:r>
            <w:r>
              <w:rPr>
                <w:rFonts w:hint="eastAsia" w:ascii="Times New Roman" w:hAnsi="Times New Roman" w:eastAsia="宋体" w:cs="Times New Roman"/>
                <w:b/>
                <w:color w:val="auto"/>
                <w:szCs w:val="21"/>
                <w:u w:val="none"/>
                <w:lang w:val="en-US" w:eastAsia="zh-CN"/>
              </w:rPr>
              <w:t>3</w:t>
            </w:r>
            <w:r>
              <w:rPr>
                <w:rFonts w:hint="default" w:ascii="Times New Roman" w:hAnsi="Times New Roman" w:eastAsia="宋体" w:cs="Times New Roman"/>
                <w:b/>
                <w:color w:val="auto"/>
                <w:szCs w:val="21"/>
                <w:u w:val="none"/>
              </w:rPr>
              <w:t>类标准</w:t>
            </w:r>
            <w:r>
              <w:rPr>
                <w:rFonts w:hint="default" w:ascii="Times New Roman" w:hAnsi="Times New Roman" w:eastAsia="宋体" w:cs="Times New Roman"/>
                <w:b/>
                <w:color w:val="auto"/>
                <w:szCs w:val="21"/>
                <w:u w:val="none"/>
                <w:lang w:val="en-US" w:eastAsia="zh-CN"/>
              </w:rPr>
              <w:t xml:space="preserve">  </w:t>
            </w:r>
            <w:r>
              <w:rPr>
                <w:rFonts w:hint="default" w:ascii="Times New Roman" w:hAnsi="Times New Roman" w:eastAsia="宋体" w:cs="Times New Roman"/>
                <w:b/>
                <w:color w:val="auto"/>
                <w:szCs w:val="21"/>
                <w:u w:val="none"/>
              </w:rPr>
              <w:t>单位：dB</w:t>
            </w:r>
            <w:r>
              <w:rPr>
                <w:rFonts w:hint="default" w:ascii="Times New Roman" w:hAnsi="Times New Roman" w:eastAsia="宋体" w:cs="Times New Roman"/>
                <w:b/>
                <w:color w:val="auto"/>
                <w:szCs w:val="21"/>
                <w:u w:val="none"/>
                <w:lang w:eastAsia="zh-CN"/>
              </w:rPr>
              <w:t>（</w:t>
            </w:r>
            <w:r>
              <w:rPr>
                <w:rFonts w:hint="default" w:ascii="Times New Roman" w:hAnsi="Times New Roman" w:eastAsia="宋体" w:cs="Times New Roman"/>
                <w:b/>
                <w:color w:val="auto"/>
                <w:szCs w:val="21"/>
                <w:u w:val="none"/>
              </w:rPr>
              <w:t>A</w:t>
            </w:r>
            <w:r>
              <w:rPr>
                <w:rFonts w:hint="default" w:ascii="Times New Roman" w:hAnsi="Times New Roman" w:eastAsia="宋体" w:cs="Times New Roman"/>
                <w:b/>
                <w:color w:val="auto"/>
                <w:szCs w:val="21"/>
                <w:u w:val="none"/>
                <w:lang w:eastAsia="zh-CN"/>
              </w:rPr>
              <w:t>）</w:t>
            </w:r>
          </w:p>
          <w:bookmarkEnd w:id="13"/>
          <w:bookmarkEnd w:id="14"/>
          <w:tbl>
            <w:tblPr>
              <w:tblStyle w:val="22"/>
              <w:tblW w:w="499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34"/>
              <w:gridCol w:w="936"/>
              <w:gridCol w:w="2191"/>
              <w:gridCol w:w="387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8" w:type="pct"/>
                  <w:tcBorders>
                    <w:tl2br w:val="nil"/>
                    <w:tr2bl w:val="nil"/>
                  </w:tcBorders>
                  <w:noWrap w:val="0"/>
                  <w:vAlign w:val="center"/>
                </w:tcPr>
                <w:p>
                  <w:pPr>
                    <w:tabs>
                      <w:tab w:val="left" w:pos="1170"/>
                    </w:tabs>
                    <w:adjustRightInd w:val="0"/>
                    <w:snapToGrid w:val="0"/>
                    <w:jc w:val="center"/>
                    <w:rPr>
                      <w:rFonts w:ascii="Times New Roman" w:hAnsi="Times New Roman" w:cs="Times New Roman"/>
                      <w:b/>
                      <w:bCs/>
                      <w:color w:val="auto"/>
                      <w:sz w:val="21"/>
                      <w:szCs w:val="21"/>
                    </w:rPr>
                  </w:pPr>
                  <w:r>
                    <w:rPr>
                      <w:rFonts w:ascii="Times New Roman" w:hAnsi="Times New Roman" w:cs="Times New Roman"/>
                      <w:b/>
                      <w:bCs/>
                      <w:color w:val="auto"/>
                      <w:sz w:val="21"/>
                      <w:szCs w:val="21"/>
                    </w:rPr>
                    <w:t>时期</w:t>
                  </w:r>
                </w:p>
              </w:tc>
              <w:tc>
                <w:tcPr>
                  <w:tcW w:w="589" w:type="pct"/>
                  <w:tcBorders>
                    <w:tl2br w:val="nil"/>
                    <w:tr2bl w:val="nil"/>
                  </w:tcBorders>
                  <w:noWrap w:val="0"/>
                  <w:vAlign w:val="center"/>
                </w:tcPr>
                <w:p>
                  <w:pPr>
                    <w:tabs>
                      <w:tab w:val="left" w:pos="1170"/>
                    </w:tabs>
                    <w:adjustRightInd w:val="0"/>
                    <w:snapToGrid w:val="0"/>
                    <w:jc w:val="center"/>
                    <w:rPr>
                      <w:rFonts w:ascii="Times New Roman" w:hAnsi="Times New Roman" w:cs="Times New Roman"/>
                      <w:b/>
                      <w:bCs/>
                      <w:color w:val="auto"/>
                      <w:sz w:val="21"/>
                      <w:szCs w:val="21"/>
                    </w:rPr>
                  </w:pPr>
                  <w:r>
                    <w:rPr>
                      <w:rFonts w:ascii="Times New Roman" w:hAnsi="Times New Roman" w:cs="Times New Roman"/>
                      <w:b/>
                      <w:bCs/>
                      <w:color w:val="auto"/>
                      <w:sz w:val="21"/>
                      <w:szCs w:val="21"/>
                    </w:rPr>
                    <w:t>类别</w:t>
                  </w:r>
                </w:p>
              </w:tc>
              <w:tc>
                <w:tcPr>
                  <w:tcW w:w="1379" w:type="pct"/>
                  <w:tcBorders>
                    <w:tl2br w:val="nil"/>
                    <w:tr2bl w:val="nil"/>
                  </w:tcBorders>
                  <w:noWrap w:val="0"/>
                  <w:vAlign w:val="center"/>
                </w:tcPr>
                <w:p>
                  <w:pPr>
                    <w:tabs>
                      <w:tab w:val="left" w:pos="1170"/>
                    </w:tabs>
                    <w:adjustRightInd w:val="0"/>
                    <w:snapToGrid w:val="0"/>
                    <w:jc w:val="center"/>
                    <w:rPr>
                      <w:rFonts w:ascii="Times New Roman" w:hAnsi="Times New Roman" w:cs="Times New Roman"/>
                      <w:b/>
                      <w:bCs/>
                      <w:color w:val="auto"/>
                      <w:sz w:val="21"/>
                      <w:szCs w:val="21"/>
                    </w:rPr>
                  </w:pPr>
                  <w:r>
                    <w:rPr>
                      <w:rFonts w:ascii="Times New Roman" w:hAnsi="Times New Roman" w:cs="Times New Roman"/>
                      <w:b/>
                      <w:bCs/>
                      <w:color w:val="auto"/>
                      <w:sz w:val="21"/>
                      <w:szCs w:val="21"/>
                    </w:rPr>
                    <w:t>标准值</w:t>
                  </w:r>
                </w:p>
              </w:tc>
              <w:tc>
                <w:tcPr>
                  <w:tcW w:w="2442" w:type="pct"/>
                  <w:tcBorders>
                    <w:tl2br w:val="nil"/>
                    <w:tr2bl w:val="nil"/>
                  </w:tcBorders>
                  <w:noWrap w:val="0"/>
                  <w:vAlign w:val="center"/>
                </w:tcPr>
                <w:p>
                  <w:pPr>
                    <w:tabs>
                      <w:tab w:val="left" w:pos="1170"/>
                    </w:tabs>
                    <w:adjustRightInd w:val="0"/>
                    <w:snapToGrid w:val="0"/>
                    <w:jc w:val="center"/>
                    <w:rPr>
                      <w:rFonts w:ascii="Times New Roman" w:hAnsi="Times New Roman" w:cs="Times New Roman"/>
                      <w:b/>
                      <w:bCs/>
                      <w:color w:val="auto"/>
                      <w:sz w:val="21"/>
                      <w:szCs w:val="21"/>
                    </w:rPr>
                  </w:pPr>
                  <w:r>
                    <w:rPr>
                      <w:rFonts w:ascii="Times New Roman" w:hAnsi="Times New Roman" w:cs="Times New Roman"/>
                      <w:b/>
                      <w:bCs/>
                      <w:color w:val="auto"/>
                      <w:sz w:val="21"/>
                      <w:szCs w:val="21"/>
                    </w:rPr>
                    <w:t>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8" w:type="pct"/>
                  <w:vMerge w:val="restart"/>
                  <w:tcBorders>
                    <w:tl2br w:val="nil"/>
                    <w:tr2bl w:val="nil"/>
                  </w:tcBorders>
                  <w:noWrap w:val="0"/>
                  <w:vAlign w:val="center"/>
                </w:tcPr>
                <w:p>
                  <w:pPr>
                    <w:tabs>
                      <w:tab w:val="left" w:pos="1170"/>
                    </w:tabs>
                    <w:adjustRightInd w:val="0"/>
                    <w:snapToGrid w:val="0"/>
                    <w:jc w:val="center"/>
                    <w:rPr>
                      <w:rFonts w:ascii="Times New Roman" w:hAnsi="Times New Roman" w:cs="Times New Roman"/>
                      <w:color w:val="auto"/>
                      <w:sz w:val="21"/>
                      <w:szCs w:val="21"/>
                    </w:rPr>
                  </w:pPr>
                  <w:r>
                    <w:rPr>
                      <w:rFonts w:ascii="Times New Roman" w:hAnsi="Times New Roman" w:cs="Times New Roman"/>
                      <w:color w:val="auto"/>
                      <w:sz w:val="21"/>
                      <w:szCs w:val="21"/>
                    </w:rPr>
                    <w:t>运营期</w:t>
                  </w:r>
                </w:p>
              </w:tc>
              <w:tc>
                <w:tcPr>
                  <w:tcW w:w="589" w:type="pct"/>
                  <w:vMerge w:val="restart"/>
                  <w:tcBorders>
                    <w:tl2br w:val="nil"/>
                    <w:tr2bl w:val="nil"/>
                  </w:tcBorders>
                  <w:noWrap w:val="0"/>
                  <w:vAlign w:val="center"/>
                </w:tcPr>
                <w:p>
                  <w:pPr>
                    <w:tabs>
                      <w:tab w:val="left" w:pos="1170"/>
                    </w:tabs>
                    <w:adjustRightInd w:val="0"/>
                    <w:snapToGrid w:val="0"/>
                    <w:jc w:val="center"/>
                    <w:rPr>
                      <w:rFonts w:hint="eastAsia" w:ascii="Times New Roman" w:hAnsi="Times New Roman" w:eastAsia="宋体" w:cs="Times New Roman"/>
                      <w:color w:val="auto"/>
                      <w:sz w:val="21"/>
                      <w:szCs w:val="21"/>
                      <w:lang w:eastAsia="zh-CN"/>
                    </w:rPr>
                  </w:pPr>
                  <w:r>
                    <w:rPr>
                      <w:rFonts w:hint="eastAsia" w:cs="Times New Roman"/>
                      <w:color w:val="auto"/>
                      <w:sz w:val="21"/>
                      <w:szCs w:val="21"/>
                      <w:lang w:val="en-US" w:eastAsia="zh-CN"/>
                    </w:rPr>
                    <w:t>2</w:t>
                  </w:r>
                  <w:r>
                    <w:rPr>
                      <w:rFonts w:ascii="Times New Roman" w:hAnsi="Times New Roman" w:cs="Times New Roman"/>
                      <w:color w:val="auto"/>
                      <w:sz w:val="21"/>
                      <w:szCs w:val="21"/>
                    </w:rPr>
                    <w:t>类</w:t>
                  </w:r>
                </w:p>
              </w:tc>
              <w:tc>
                <w:tcPr>
                  <w:tcW w:w="1379" w:type="pct"/>
                  <w:tcBorders>
                    <w:tl2br w:val="nil"/>
                    <w:tr2bl w:val="nil"/>
                  </w:tcBorders>
                  <w:noWrap w:val="0"/>
                  <w:vAlign w:val="center"/>
                </w:tcPr>
                <w:p>
                  <w:pPr>
                    <w:tabs>
                      <w:tab w:val="left" w:pos="1170"/>
                    </w:tabs>
                    <w:adjustRightInd w:val="0"/>
                    <w:snapToGrid w:val="0"/>
                    <w:jc w:val="center"/>
                    <w:rPr>
                      <w:rFonts w:ascii="Times New Roman" w:hAnsi="Times New Roman" w:cs="Times New Roman"/>
                      <w:color w:val="auto"/>
                      <w:sz w:val="21"/>
                      <w:szCs w:val="21"/>
                    </w:rPr>
                  </w:pPr>
                  <w:r>
                    <w:rPr>
                      <w:rFonts w:ascii="Times New Roman" w:hAnsi="Times New Roman" w:cs="Times New Roman"/>
                      <w:color w:val="auto"/>
                      <w:sz w:val="21"/>
                      <w:szCs w:val="21"/>
                    </w:rPr>
                    <w:t>昼间≤6</w:t>
                  </w:r>
                  <w:r>
                    <w:rPr>
                      <w:rFonts w:hint="eastAsia" w:cs="Times New Roman"/>
                      <w:color w:val="auto"/>
                      <w:sz w:val="21"/>
                      <w:szCs w:val="21"/>
                      <w:lang w:val="en-US" w:eastAsia="zh-CN"/>
                    </w:rPr>
                    <w:t>0</w:t>
                  </w:r>
                  <w:r>
                    <w:rPr>
                      <w:rFonts w:ascii="Times New Roman" w:hAnsi="Times New Roman" w:cs="Times New Roman"/>
                      <w:color w:val="auto"/>
                      <w:sz w:val="21"/>
                      <w:szCs w:val="21"/>
                    </w:rPr>
                    <w:t>dB(A)</w:t>
                  </w:r>
                </w:p>
              </w:tc>
              <w:tc>
                <w:tcPr>
                  <w:tcW w:w="2442" w:type="pct"/>
                  <w:vMerge w:val="restart"/>
                  <w:tcBorders>
                    <w:tl2br w:val="nil"/>
                    <w:tr2bl w:val="nil"/>
                  </w:tcBorders>
                  <w:noWrap w:val="0"/>
                  <w:vAlign w:val="center"/>
                </w:tcPr>
                <w:p>
                  <w:pPr>
                    <w:tabs>
                      <w:tab w:val="left" w:pos="1170"/>
                    </w:tabs>
                    <w:adjustRightInd w:val="0"/>
                    <w:snapToGrid w:val="0"/>
                    <w:jc w:val="center"/>
                    <w:rPr>
                      <w:rFonts w:ascii="Times New Roman" w:hAnsi="Times New Roman" w:cs="Times New Roman"/>
                      <w:color w:val="auto"/>
                      <w:sz w:val="21"/>
                      <w:szCs w:val="21"/>
                    </w:rPr>
                  </w:pPr>
                  <w:r>
                    <w:rPr>
                      <w:rFonts w:ascii="Times New Roman" w:hAnsi="Times New Roman" w:cs="Times New Roman"/>
                      <w:color w:val="auto"/>
                      <w:sz w:val="21"/>
                      <w:szCs w:val="21"/>
                    </w:rPr>
                    <w:t>《工业企业厂界环境噪声排放标准》（GB12348-2008）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8" w:type="pct"/>
                  <w:vMerge w:val="continue"/>
                  <w:tcBorders>
                    <w:tl2br w:val="nil"/>
                    <w:tr2bl w:val="nil"/>
                  </w:tcBorders>
                  <w:noWrap w:val="0"/>
                  <w:vAlign w:val="center"/>
                </w:tcPr>
                <w:p>
                  <w:pPr>
                    <w:tabs>
                      <w:tab w:val="left" w:pos="1170"/>
                    </w:tabs>
                    <w:adjustRightInd w:val="0"/>
                    <w:snapToGrid w:val="0"/>
                    <w:jc w:val="center"/>
                    <w:rPr>
                      <w:rFonts w:ascii="Times New Roman" w:hAnsi="Times New Roman" w:cs="Times New Roman"/>
                      <w:color w:val="auto"/>
                      <w:sz w:val="21"/>
                      <w:szCs w:val="21"/>
                    </w:rPr>
                  </w:pPr>
                </w:p>
              </w:tc>
              <w:tc>
                <w:tcPr>
                  <w:tcW w:w="589" w:type="pct"/>
                  <w:vMerge w:val="continue"/>
                  <w:tcBorders>
                    <w:tl2br w:val="nil"/>
                    <w:tr2bl w:val="nil"/>
                  </w:tcBorders>
                  <w:noWrap w:val="0"/>
                  <w:vAlign w:val="center"/>
                </w:tcPr>
                <w:p>
                  <w:pPr>
                    <w:tabs>
                      <w:tab w:val="left" w:pos="1170"/>
                    </w:tabs>
                    <w:adjustRightInd w:val="0"/>
                    <w:snapToGrid w:val="0"/>
                    <w:jc w:val="center"/>
                    <w:rPr>
                      <w:rFonts w:ascii="Times New Roman" w:hAnsi="Times New Roman" w:cs="Times New Roman"/>
                      <w:color w:val="auto"/>
                      <w:sz w:val="21"/>
                      <w:szCs w:val="21"/>
                    </w:rPr>
                  </w:pPr>
                </w:p>
              </w:tc>
              <w:tc>
                <w:tcPr>
                  <w:tcW w:w="1379" w:type="pct"/>
                  <w:tcBorders>
                    <w:tl2br w:val="nil"/>
                    <w:tr2bl w:val="nil"/>
                  </w:tcBorders>
                  <w:noWrap w:val="0"/>
                  <w:vAlign w:val="center"/>
                </w:tcPr>
                <w:p>
                  <w:pPr>
                    <w:tabs>
                      <w:tab w:val="left" w:pos="1170"/>
                    </w:tabs>
                    <w:adjustRightInd w:val="0"/>
                    <w:snapToGrid w:val="0"/>
                    <w:jc w:val="center"/>
                    <w:rPr>
                      <w:rFonts w:ascii="Times New Roman" w:hAnsi="Times New Roman" w:cs="Times New Roman"/>
                      <w:color w:val="auto"/>
                      <w:sz w:val="21"/>
                      <w:szCs w:val="21"/>
                    </w:rPr>
                  </w:pPr>
                  <w:r>
                    <w:rPr>
                      <w:rFonts w:ascii="Times New Roman" w:hAnsi="Times New Roman" w:cs="Times New Roman"/>
                      <w:color w:val="auto"/>
                      <w:sz w:val="21"/>
                      <w:szCs w:val="21"/>
                    </w:rPr>
                    <w:t>夜间≤5</w:t>
                  </w:r>
                  <w:r>
                    <w:rPr>
                      <w:rFonts w:hint="eastAsia" w:cs="Times New Roman"/>
                      <w:color w:val="auto"/>
                      <w:sz w:val="21"/>
                      <w:szCs w:val="21"/>
                      <w:lang w:val="en-US" w:eastAsia="zh-CN"/>
                    </w:rPr>
                    <w:t>0</w:t>
                  </w:r>
                  <w:r>
                    <w:rPr>
                      <w:rFonts w:ascii="Times New Roman" w:hAnsi="Times New Roman" w:cs="Times New Roman"/>
                      <w:color w:val="auto"/>
                      <w:sz w:val="21"/>
                      <w:szCs w:val="21"/>
                    </w:rPr>
                    <w:t>dB(A)</w:t>
                  </w:r>
                </w:p>
              </w:tc>
              <w:tc>
                <w:tcPr>
                  <w:tcW w:w="2442" w:type="pct"/>
                  <w:vMerge w:val="continue"/>
                  <w:tcBorders>
                    <w:tl2br w:val="nil"/>
                    <w:tr2bl w:val="nil"/>
                  </w:tcBorders>
                  <w:noWrap w:val="0"/>
                  <w:vAlign w:val="center"/>
                </w:tcPr>
                <w:p>
                  <w:pPr>
                    <w:tabs>
                      <w:tab w:val="left" w:pos="1170"/>
                    </w:tabs>
                    <w:adjustRightInd w:val="0"/>
                    <w:snapToGrid w:val="0"/>
                    <w:jc w:val="center"/>
                    <w:rPr>
                      <w:rFonts w:ascii="Times New Roman" w:hAnsi="Times New Roman" w:cs="Times New Roman"/>
                      <w:color w:val="auto"/>
                      <w:sz w:val="21"/>
                      <w:szCs w:val="21"/>
                    </w:rPr>
                  </w:pPr>
                </w:p>
              </w:tc>
            </w:tr>
          </w:tbl>
          <w:p>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b/>
                <w:bCs/>
                <w:color w:val="auto"/>
                <w:sz w:val="24"/>
              </w:rPr>
            </w:pPr>
            <w:r>
              <w:rPr>
                <w:rFonts w:hint="eastAsia"/>
                <w:b/>
                <w:bCs/>
                <w:color w:val="auto"/>
                <w:sz w:val="24"/>
              </w:rPr>
              <w:t>4、固废</w:t>
            </w:r>
          </w:p>
          <w:p>
            <w:pPr>
              <w:spacing w:line="360" w:lineRule="auto"/>
              <w:ind w:firstLine="480" w:firstLineChars="200"/>
              <w:rPr>
                <w:rFonts w:cs="宋体"/>
                <w:color w:val="auto"/>
                <w:kern w:val="0"/>
                <w:sz w:val="24"/>
                <w:szCs w:val="21"/>
              </w:rPr>
            </w:pPr>
            <w:r>
              <w:rPr>
                <w:rFonts w:hint="eastAsia"/>
                <w:color w:val="auto"/>
                <w:sz w:val="24"/>
              </w:rPr>
              <w:t>一般工业固体废物执行《一般工业固体废物贮存和填埋污染控制标准》（GB18599-2020）；危险废物执行《危险物贮存污染控制标准》 （GB18597</w:t>
            </w:r>
            <w:r>
              <w:rPr>
                <w:rFonts w:hint="eastAsia"/>
                <w:color w:val="auto"/>
                <w:sz w:val="24"/>
                <w:lang w:val="en-US" w:eastAsia="zh-CN"/>
              </w:rPr>
              <w:t xml:space="preserve"> </w:t>
            </w:r>
            <w:r>
              <w:rPr>
                <w:rFonts w:hint="eastAsia"/>
                <w:color w:val="auto"/>
                <w:sz w:val="24"/>
              </w:rPr>
              <w:t>-20</w:t>
            </w:r>
            <w:r>
              <w:rPr>
                <w:rFonts w:hint="eastAsia"/>
                <w:color w:val="auto"/>
                <w:sz w:val="24"/>
                <w:lang w:val="en-US" w:eastAsia="zh-CN"/>
              </w:rPr>
              <w:t>23</w:t>
            </w:r>
            <w:r>
              <w:rPr>
                <w:rFonts w:hint="eastAsia"/>
                <w:color w:val="auto"/>
                <w:sz w:val="24"/>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42" w:hRule="atLeast"/>
          <w:jc w:val="center"/>
        </w:trPr>
        <w:tc>
          <w:tcPr>
            <w:tcW w:w="800" w:type="dxa"/>
            <w:vAlign w:val="center"/>
          </w:tcPr>
          <w:p>
            <w:pPr>
              <w:adjustRightInd w:val="0"/>
              <w:snapToGrid w:val="0"/>
              <w:jc w:val="center"/>
              <w:rPr>
                <w:rFonts w:hint="eastAsia" w:eastAsia="宋体" w:cs="宋体"/>
                <w:color w:val="auto"/>
                <w:kern w:val="0"/>
                <w:sz w:val="24"/>
                <w:szCs w:val="21"/>
                <w:lang w:val="en-US" w:eastAsia="zh-CN"/>
              </w:rPr>
            </w:pPr>
            <w:r>
              <w:rPr>
                <w:rFonts w:hint="eastAsia" w:cs="宋体"/>
                <w:color w:val="auto"/>
                <w:kern w:val="0"/>
                <w:sz w:val="24"/>
                <w:szCs w:val="21"/>
                <w:lang w:val="en-US" w:eastAsia="zh-CN"/>
              </w:rPr>
              <w:t>其他</w:t>
            </w:r>
          </w:p>
        </w:tc>
        <w:tc>
          <w:tcPr>
            <w:tcW w:w="8190" w:type="dxa"/>
            <w:vAlign w:val="center"/>
          </w:tcPr>
          <w:p>
            <w:pPr>
              <w:adjustRightInd w:val="0"/>
              <w:snapToGrid w:val="0"/>
              <w:spacing w:line="360" w:lineRule="auto"/>
              <w:ind w:firstLine="480" w:firstLineChars="200"/>
              <w:jc w:val="left"/>
              <w:rPr>
                <w:rFonts w:hint="eastAsia" w:eastAsia="宋体"/>
                <w:color w:val="auto"/>
                <w:sz w:val="24"/>
              </w:rPr>
            </w:pPr>
            <w:r>
              <w:rPr>
                <w:rFonts w:hint="eastAsia" w:eastAsia="宋体"/>
                <w:color w:val="auto"/>
                <w:sz w:val="24"/>
              </w:rPr>
              <w:t>根据国家对总量控制的要求，全省主要对SO</w:t>
            </w:r>
            <w:r>
              <w:rPr>
                <w:rFonts w:hint="eastAsia" w:eastAsia="宋体"/>
                <w:color w:val="auto"/>
                <w:sz w:val="24"/>
                <w:vertAlign w:val="subscript"/>
              </w:rPr>
              <w:t>2</w:t>
            </w:r>
            <w:r>
              <w:rPr>
                <w:rFonts w:hint="eastAsia" w:eastAsia="宋体"/>
                <w:color w:val="auto"/>
                <w:sz w:val="24"/>
              </w:rPr>
              <w:t>、NOx、COD、氨氮及</w:t>
            </w:r>
            <w:r>
              <w:rPr>
                <w:rFonts w:hint="eastAsia"/>
                <w:color w:val="auto"/>
                <w:sz w:val="24"/>
                <w:lang w:val="en-US" w:eastAsia="zh-CN"/>
              </w:rPr>
              <w:t>总磷</w:t>
            </w:r>
            <w:r>
              <w:rPr>
                <w:rFonts w:hint="eastAsia" w:eastAsia="宋体"/>
                <w:color w:val="auto"/>
                <w:sz w:val="24"/>
              </w:rPr>
              <w:t>实行总量控制。项目运营期间主要大气污染物为</w:t>
            </w:r>
            <w:r>
              <w:rPr>
                <w:rFonts w:hint="eastAsia"/>
                <w:color w:val="auto"/>
                <w:sz w:val="24"/>
                <w:lang w:val="en-US" w:eastAsia="zh-CN"/>
              </w:rPr>
              <w:t>油烟和恶臭</w:t>
            </w:r>
            <w:r>
              <w:rPr>
                <w:rFonts w:hint="eastAsia" w:eastAsia="宋体"/>
                <w:color w:val="auto"/>
                <w:sz w:val="24"/>
                <w:lang w:eastAsia="zh-CN"/>
              </w:rPr>
              <w:t>；</w:t>
            </w:r>
            <w:r>
              <w:rPr>
                <w:rFonts w:hint="eastAsia" w:eastAsia="宋体"/>
                <w:color w:val="auto"/>
                <w:sz w:val="24"/>
                <w:lang w:val="en-US" w:eastAsia="zh-CN"/>
              </w:rPr>
              <w:t>生活污水中总量已纳入</w:t>
            </w:r>
            <w:r>
              <w:rPr>
                <w:rFonts w:hint="eastAsia"/>
                <w:color w:val="auto"/>
                <w:sz w:val="24"/>
                <w:lang w:val="en-US" w:eastAsia="zh-CN"/>
              </w:rPr>
              <w:t>下游污水处理</w:t>
            </w:r>
            <w:r>
              <w:rPr>
                <w:rFonts w:hint="eastAsia" w:eastAsia="宋体"/>
                <w:color w:val="auto"/>
                <w:sz w:val="24"/>
                <w:lang w:val="en-US" w:eastAsia="zh-CN"/>
              </w:rPr>
              <w:t>厂</w:t>
            </w:r>
            <w:r>
              <w:rPr>
                <w:rFonts w:hint="eastAsia" w:eastAsia="宋体"/>
                <w:color w:val="auto"/>
                <w:sz w:val="24"/>
              </w:rPr>
              <w:t>总量控制指标中，无需申请总量控制指标</w:t>
            </w:r>
            <w:r>
              <w:rPr>
                <w:rFonts w:hint="eastAsia" w:eastAsia="宋体"/>
                <w:color w:val="auto"/>
                <w:sz w:val="24"/>
                <w:lang w:eastAsia="zh-CN"/>
              </w:rPr>
              <w:t>。</w:t>
            </w:r>
            <w:r>
              <w:rPr>
                <w:rFonts w:hint="eastAsia" w:eastAsia="宋体"/>
                <w:color w:val="auto"/>
                <w:sz w:val="24"/>
              </w:rPr>
              <w:t>故</w:t>
            </w:r>
            <w:r>
              <w:rPr>
                <w:rFonts w:hint="eastAsia" w:eastAsia="宋体"/>
                <w:color w:val="auto"/>
                <w:sz w:val="24"/>
                <w:lang w:val="en-US" w:eastAsia="zh-CN"/>
              </w:rPr>
              <w:t>本</w:t>
            </w:r>
            <w:r>
              <w:rPr>
                <w:rFonts w:hint="eastAsia" w:eastAsia="宋体"/>
                <w:color w:val="auto"/>
                <w:sz w:val="24"/>
              </w:rPr>
              <w:t>项目</w:t>
            </w:r>
            <w:r>
              <w:rPr>
                <w:rFonts w:hint="eastAsia" w:eastAsia="宋体"/>
                <w:color w:val="auto"/>
                <w:sz w:val="24"/>
                <w:lang w:val="en-US" w:eastAsia="zh-CN"/>
              </w:rPr>
              <w:t>无需申请</w:t>
            </w:r>
            <w:r>
              <w:rPr>
                <w:rFonts w:hint="eastAsia" w:eastAsia="宋体"/>
                <w:color w:val="auto"/>
                <w:sz w:val="24"/>
              </w:rPr>
              <w:t>总量控制</w:t>
            </w:r>
            <w:r>
              <w:rPr>
                <w:rFonts w:hint="eastAsia" w:eastAsia="宋体"/>
                <w:color w:val="auto"/>
                <w:sz w:val="24"/>
                <w:lang w:val="en-US" w:eastAsia="zh-CN"/>
              </w:rPr>
              <w:t>指标</w:t>
            </w:r>
            <w:r>
              <w:rPr>
                <w:rFonts w:hint="eastAsia" w:eastAsia="宋体"/>
                <w:color w:val="auto"/>
                <w:sz w:val="24"/>
              </w:rPr>
              <w:t>。</w:t>
            </w:r>
          </w:p>
          <w:p>
            <w:pPr>
              <w:adjustRightInd w:val="0"/>
              <w:snapToGrid w:val="0"/>
              <w:spacing w:line="360" w:lineRule="auto"/>
              <w:ind w:firstLine="480" w:firstLineChars="200"/>
              <w:jc w:val="left"/>
              <w:rPr>
                <w:rFonts w:hint="eastAsia" w:eastAsia="宋体"/>
                <w:color w:val="auto"/>
                <w:sz w:val="24"/>
              </w:rPr>
            </w:pPr>
          </w:p>
          <w:p>
            <w:pPr>
              <w:adjustRightInd w:val="0"/>
              <w:snapToGrid w:val="0"/>
              <w:spacing w:line="360" w:lineRule="auto"/>
              <w:ind w:firstLine="480" w:firstLineChars="200"/>
              <w:jc w:val="left"/>
              <w:rPr>
                <w:rFonts w:hint="eastAsia" w:eastAsia="宋体"/>
                <w:color w:val="auto"/>
                <w:sz w:val="24"/>
              </w:rPr>
            </w:pPr>
          </w:p>
          <w:p>
            <w:pPr>
              <w:adjustRightInd w:val="0"/>
              <w:snapToGrid w:val="0"/>
              <w:spacing w:line="360" w:lineRule="auto"/>
              <w:ind w:firstLine="480" w:firstLineChars="200"/>
              <w:jc w:val="left"/>
              <w:rPr>
                <w:rFonts w:hint="eastAsia" w:eastAsia="宋体"/>
                <w:color w:val="auto"/>
                <w:sz w:val="24"/>
              </w:rPr>
            </w:pPr>
          </w:p>
          <w:p>
            <w:pPr>
              <w:adjustRightInd w:val="0"/>
              <w:snapToGrid w:val="0"/>
              <w:spacing w:line="360" w:lineRule="auto"/>
              <w:ind w:firstLine="480" w:firstLineChars="200"/>
              <w:jc w:val="left"/>
              <w:rPr>
                <w:rFonts w:hint="eastAsia" w:eastAsia="宋体"/>
                <w:color w:val="auto"/>
                <w:sz w:val="24"/>
              </w:rPr>
            </w:pPr>
          </w:p>
          <w:p>
            <w:pPr>
              <w:adjustRightInd w:val="0"/>
              <w:snapToGrid w:val="0"/>
              <w:spacing w:line="360" w:lineRule="auto"/>
              <w:ind w:firstLine="480" w:firstLineChars="200"/>
              <w:jc w:val="left"/>
              <w:rPr>
                <w:rFonts w:hint="eastAsia" w:eastAsia="宋体"/>
                <w:color w:val="auto"/>
                <w:sz w:val="24"/>
              </w:rPr>
            </w:pPr>
          </w:p>
          <w:p>
            <w:pPr>
              <w:adjustRightInd w:val="0"/>
              <w:snapToGrid w:val="0"/>
              <w:spacing w:line="360" w:lineRule="auto"/>
              <w:ind w:firstLine="480" w:firstLineChars="200"/>
              <w:jc w:val="left"/>
              <w:rPr>
                <w:rFonts w:hint="eastAsia" w:eastAsia="宋体"/>
                <w:color w:val="auto"/>
                <w:sz w:val="24"/>
              </w:rPr>
            </w:pPr>
          </w:p>
          <w:p>
            <w:pPr>
              <w:adjustRightInd w:val="0"/>
              <w:snapToGrid w:val="0"/>
              <w:spacing w:line="360" w:lineRule="auto"/>
              <w:ind w:firstLine="480" w:firstLineChars="200"/>
              <w:jc w:val="left"/>
              <w:rPr>
                <w:rFonts w:hint="eastAsia" w:eastAsia="宋体"/>
                <w:color w:val="auto"/>
                <w:sz w:val="24"/>
              </w:rPr>
            </w:pPr>
          </w:p>
          <w:p>
            <w:pPr>
              <w:adjustRightInd w:val="0"/>
              <w:snapToGrid w:val="0"/>
              <w:spacing w:line="360" w:lineRule="auto"/>
              <w:ind w:firstLine="480" w:firstLineChars="200"/>
              <w:jc w:val="left"/>
              <w:rPr>
                <w:rFonts w:hint="eastAsia" w:eastAsia="宋体"/>
                <w:color w:val="auto"/>
                <w:sz w:val="24"/>
              </w:rPr>
            </w:pPr>
          </w:p>
          <w:p>
            <w:pPr>
              <w:adjustRightInd w:val="0"/>
              <w:snapToGrid w:val="0"/>
              <w:spacing w:line="360" w:lineRule="auto"/>
              <w:ind w:firstLine="480" w:firstLineChars="200"/>
              <w:jc w:val="left"/>
              <w:rPr>
                <w:rFonts w:hint="eastAsia" w:eastAsia="宋体"/>
                <w:color w:val="auto"/>
                <w:sz w:val="24"/>
              </w:rPr>
            </w:pPr>
          </w:p>
          <w:p>
            <w:pPr>
              <w:adjustRightInd w:val="0"/>
              <w:snapToGrid w:val="0"/>
              <w:spacing w:line="360" w:lineRule="auto"/>
              <w:ind w:firstLine="480" w:firstLineChars="200"/>
              <w:jc w:val="left"/>
              <w:rPr>
                <w:rFonts w:hint="eastAsia" w:eastAsia="宋体"/>
                <w:color w:val="auto"/>
                <w:sz w:val="24"/>
              </w:rPr>
            </w:pPr>
          </w:p>
          <w:p>
            <w:pPr>
              <w:adjustRightInd w:val="0"/>
              <w:snapToGrid w:val="0"/>
              <w:spacing w:line="360" w:lineRule="auto"/>
              <w:ind w:firstLine="480" w:firstLineChars="200"/>
              <w:jc w:val="left"/>
              <w:rPr>
                <w:rFonts w:hint="eastAsia" w:eastAsia="宋体"/>
                <w:color w:val="auto"/>
                <w:sz w:val="24"/>
              </w:rPr>
            </w:pPr>
          </w:p>
          <w:p>
            <w:pPr>
              <w:adjustRightInd w:val="0"/>
              <w:snapToGrid w:val="0"/>
              <w:spacing w:line="360" w:lineRule="auto"/>
              <w:ind w:firstLine="480" w:firstLineChars="200"/>
              <w:jc w:val="left"/>
              <w:rPr>
                <w:rFonts w:hint="eastAsia" w:eastAsia="宋体"/>
                <w:color w:val="auto"/>
                <w:sz w:val="24"/>
              </w:rPr>
            </w:pPr>
          </w:p>
          <w:p>
            <w:pPr>
              <w:adjustRightInd w:val="0"/>
              <w:snapToGrid w:val="0"/>
              <w:spacing w:line="360" w:lineRule="auto"/>
              <w:ind w:firstLine="480" w:firstLineChars="200"/>
              <w:jc w:val="left"/>
              <w:rPr>
                <w:rFonts w:hint="eastAsia" w:eastAsia="宋体"/>
                <w:color w:val="auto"/>
                <w:sz w:val="24"/>
              </w:rPr>
            </w:pPr>
          </w:p>
          <w:p>
            <w:pPr>
              <w:adjustRightInd w:val="0"/>
              <w:snapToGrid w:val="0"/>
              <w:spacing w:line="360" w:lineRule="auto"/>
              <w:ind w:firstLine="480" w:firstLineChars="200"/>
              <w:jc w:val="left"/>
              <w:rPr>
                <w:rFonts w:hint="eastAsia" w:eastAsia="宋体"/>
                <w:color w:val="auto"/>
                <w:sz w:val="24"/>
              </w:rPr>
            </w:pPr>
          </w:p>
          <w:p>
            <w:pPr>
              <w:adjustRightInd w:val="0"/>
              <w:snapToGrid w:val="0"/>
              <w:spacing w:line="360" w:lineRule="auto"/>
              <w:ind w:firstLine="480" w:firstLineChars="200"/>
              <w:jc w:val="left"/>
              <w:rPr>
                <w:rFonts w:hint="eastAsia" w:eastAsia="宋体"/>
                <w:color w:val="auto"/>
                <w:sz w:val="24"/>
              </w:rPr>
            </w:pPr>
          </w:p>
          <w:p>
            <w:pPr>
              <w:adjustRightInd w:val="0"/>
              <w:snapToGrid w:val="0"/>
              <w:spacing w:line="360" w:lineRule="auto"/>
              <w:ind w:firstLine="480" w:firstLineChars="200"/>
              <w:jc w:val="left"/>
              <w:rPr>
                <w:rFonts w:hint="eastAsia" w:eastAsia="宋体"/>
                <w:color w:val="auto"/>
                <w:sz w:val="24"/>
              </w:rPr>
            </w:pPr>
          </w:p>
          <w:p>
            <w:pPr>
              <w:adjustRightInd w:val="0"/>
              <w:snapToGrid w:val="0"/>
              <w:spacing w:line="360" w:lineRule="auto"/>
              <w:ind w:firstLine="480" w:firstLineChars="200"/>
              <w:jc w:val="left"/>
              <w:rPr>
                <w:rFonts w:hint="eastAsia" w:eastAsia="宋体"/>
                <w:color w:val="auto"/>
                <w:sz w:val="24"/>
              </w:rPr>
            </w:pPr>
          </w:p>
          <w:p>
            <w:pPr>
              <w:adjustRightInd w:val="0"/>
              <w:snapToGrid w:val="0"/>
              <w:spacing w:line="360" w:lineRule="auto"/>
              <w:ind w:firstLine="480" w:firstLineChars="200"/>
              <w:jc w:val="left"/>
              <w:rPr>
                <w:rFonts w:hint="eastAsia" w:eastAsia="宋体"/>
                <w:color w:val="auto"/>
                <w:sz w:val="24"/>
              </w:rPr>
            </w:pPr>
          </w:p>
          <w:p>
            <w:pPr>
              <w:adjustRightInd w:val="0"/>
              <w:snapToGrid w:val="0"/>
              <w:spacing w:line="360" w:lineRule="auto"/>
              <w:ind w:firstLine="480" w:firstLineChars="200"/>
              <w:jc w:val="left"/>
              <w:rPr>
                <w:rFonts w:hint="eastAsia" w:eastAsia="宋体"/>
                <w:color w:val="auto"/>
                <w:sz w:val="24"/>
              </w:rPr>
            </w:pPr>
          </w:p>
          <w:p>
            <w:pPr>
              <w:adjustRightInd w:val="0"/>
              <w:snapToGrid w:val="0"/>
              <w:spacing w:line="360" w:lineRule="auto"/>
              <w:ind w:firstLine="480" w:firstLineChars="200"/>
              <w:jc w:val="left"/>
              <w:rPr>
                <w:rFonts w:hint="eastAsia" w:eastAsia="宋体"/>
                <w:color w:val="auto"/>
                <w:sz w:val="24"/>
              </w:rPr>
            </w:pPr>
          </w:p>
          <w:p>
            <w:pPr>
              <w:adjustRightInd w:val="0"/>
              <w:snapToGrid w:val="0"/>
              <w:spacing w:line="360" w:lineRule="auto"/>
              <w:ind w:firstLine="480" w:firstLineChars="200"/>
              <w:jc w:val="left"/>
              <w:rPr>
                <w:rFonts w:hint="eastAsia" w:eastAsia="宋体"/>
                <w:color w:val="auto"/>
                <w:sz w:val="24"/>
              </w:rPr>
            </w:pPr>
          </w:p>
          <w:p>
            <w:pPr>
              <w:adjustRightInd w:val="0"/>
              <w:snapToGrid w:val="0"/>
              <w:spacing w:line="360" w:lineRule="auto"/>
              <w:ind w:firstLine="480" w:firstLineChars="200"/>
              <w:jc w:val="left"/>
              <w:rPr>
                <w:rFonts w:hint="eastAsia" w:eastAsia="宋体"/>
                <w:color w:val="auto"/>
                <w:sz w:val="24"/>
              </w:rPr>
            </w:pPr>
          </w:p>
          <w:p>
            <w:pPr>
              <w:adjustRightInd w:val="0"/>
              <w:snapToGrid w:val="0"/>
              <w:spacing w:line="360" w:lineRule="auto"/>
              <w:ind w:firstLine="480" w:firstLineChars="200"/>
              <w:jc w:val="left"/>
              <w:rPr>
                <w:rFonts w:hint="eastAsia" w:eastAsia="宋体"/>
                <w:color w:val="auto"/>
                <w:sz w:val="24"/>
              </w:rPr>
            </w:pPr>
          </w:p>
        </w:tc>
      </w:tr>
    </w:tbl>
    <w:p>
      <w:pPr>
        <w:pStyle w:val="18"/>
        <w:jc w:val="center"/>
        <w:outlineLvl w:val="0"/>
        <w:rPr>
          <w:rFonts w:ascii="黑体" w:hAnsi="黑体" w:eastAsia="黑体"/>
          <w:snapToGrid w:val="0"/>
          <w:color w:val="auto"/>
          <w:sz w:val="30"/>
          <w:szCs w:val="30"/>
        </w:rPr>
      </w:pPr>
      <w:r>
        <w:rPr>
          <w:rFonts w:ascii="黑体" w:hAnsi="黑体" w:eastAsia="黑体"/>
          <w:snapToGrid w:val="0"/>
          <w:color w:val="auto"/>
          <w:sz w:val="36"/>
          <w:szCs w:val="36"/>
        </w:rPr>
        <w:br w:type="page"/>
      </w:r>
      <w:bookmarkStart w:id="15" w:name="_Toc9330"/>
      <w:bookmarkStart w:id="16" w:name="_Toc4081"/>
      <w:r>
        <w:rPr>
          <w:rFonts w:hint="eastAsia" w:ascii="黑体" w:hAnsi="黑体" w:eastAsia="黑体"/>
          <w:snapToGrid w:val="0"/>
          <w:color w:val="auto"/>
          <w:sz w:val="30"/>
          <w:szCs w:val="30"/>
        </w:rPr>
        <w:t>四、</w:t>
      </w:r>
      <w:bookmarkEnd w:id="15"/>
      <w:r>
        <w:rPr>
          <w:rFonts w:hint="eastAsia" w:ascii="黑体" w:hAnsi="黑体" w:eastAsia="黑体"/>
          <w:snapToGrid w:val="0"/>
          <w:color w:val="auto"/>
          <w:sz w:val="30"/>
          <w:szCs w:val="30"/>
          <w:lang w:val="en-US" w:eastAsia="zh-CN"/>
        </w:rPr>
        <w:t>生态环境影响分析</w:t>
      </w:r>
      <w:bookmarkEnd w:id="16"/>
    </w:p>
    <w:tbl>
      <w:tblPr>
        <w:tblStyle w:val="22"/>
        <w:tblW w:w="890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46"/>
        <w:gridCol w:w="816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5" w:hRule="atLeast"/>
          <w:jc w:val="center"/>
        </w:trPr>
        <w:tc>
          <w:tcPr>
            <w:tcW w:w="746" w:type="dxa"/>
            <w:tcMar>
              <w:left w:w="28" w:type="dxa"/>
              <w:right w:w="28" w:type="dxa"/>
            </w:tcMar>
            <w:vAlign w:val="center"/>
          </w:tcPr>
          <w:p>
            <w:pPr>
              <w:pStyle w:val="18"/>
              <w:adjustRightInd w:val="0"/>
              <w:snapToGrid w:val="0"/>
              <w:spacing w:before="0" w:beforeAutospacing="0" w:after="0" w:afterAutospacing="0"/>
              <w:jc w:val="center"/>
              <w:rPr>
                <w:rFonts w:cs="宋体"/>
                <w:color w:val="auto"/>
                <w:kern w:val="2"/>
                <w:szCs w:val="24"/>
              </w:rPr>
            </w:pPr>
            <w:r>
              <w:rPr>
                <w:rFonts w:hint="eastAsia" w:cs="宋体"/>
                <w:color w:val="auto"/>
                <w:kern w:val="2"/>
                <w:szCs w:val="24"/>
              </w:rPr>
              <w:t>施工</w:t>
            </w:r>
          </w:p>
          <w:p>
            <w:pPr>
              <w:pStyle w:val="18"/>
              <w:adjustRightInd w:val="0"/>
              <w:snapToGrid w:val="0"/>
              <w:spacing w:before="0" w:beforeAutospacing="0" w:after="0" w:afterAutospacing="0"/>
              <w:jc w:val="center"/>
              <w:rPr>
                <w:rFonts w:cs="宋体"/>
                <w:bCs/>
                <w:color w:val="auto"/>
                <w:kern w:val="2"/>
                <w:szCs w:val="24"/>
              </w:rPr>
            </w:pPr>
            <w:r>
              <w:rPr>
                <w:rFonts w:hint="eastAsia" w:cs="宋体"/>
                <w:color w:val="auto"/>
                <w:kern w:val="2"/>
                <w:szCs w:val="24"/>
              </w:rPr>
              <w:t>期</w:t>
            </w:r>
            <w:r>
              <w:rPr>
                <w:rFonts w:hint="eastAsia" w:cs="宋体"/>
                <w:color w:val="auto"/>
                <w:kern w:val="2"/>
                <w:szCs w:val="24"/>
                <w:lang w:val="en-US" w:eastAsia="zh-CN"/>
              </w:rPr>
              <w:t>生态环境影响分析</w:t>
            </w:r>
          </w:p>
        </w:tc>
        <w:tc>
          <w:tcPr>
            <w:tcW w:w="8162"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eastAsia="宋体"/>
                <w:color w:val="auto"/>
                <w:sz w:val="24"/>
                <w:lang w:val="en-US" w:eastAsia="zh-CN"/>
              </w:rPr>
            </w:pPr>
            <w:r>
              <w:rPr>
                <w:rFonts w:hint="eastAsia" w:eastAsia="宋体"/>
                <w:color w:val="auto"/>
                <w:sz w:val="24"/>
                <w:lang w:val="en-US" w:eastAsia="zh-CN"/>
              </w:rPr>
              <w:t>本项目</w:t>
            </w:r>
            <w:r>
              <w:rPr>
                <w:rFonts w:hint="eastAsia"/>
                <w:color w:val="auto"/>
                <w:sz w:val="24"/>
                <w:lang w:val="en-US" w:eastAsia="zh-CN"/>
              </w:rPr>
              <w:t>主体工程已建成</w:t>
            </w:r>
            <w:r>
              <w:rPr>
                <w:rFonts w:hint="eastAsia" w:eastAsia="宋体"/>
                <w:color w:val="auto"/>
                <w:sz w:val="24"/>
                <w:lang w:val="en-US" w:eastAsia="zh-CN"/>
              </w:rPr>
              <w:t>，</w:t>
            </w:r>
            <w:r>
              <w:rPr>
                <w:rFonts w:hint="eastAsia"/>
                <w:color w:val="auto"/>
                <w:sz w:val="24"/>
                <w:lang w:val="en-US" w:eastAsia="zh-CN"/>
              </w:rPr>
              <w:t>目前正在收尾阶段（外墙喷漆阶段），</w:t>
            </w:r>
            <w:r>
              <w:rPr>
                <w:rFonts w:hint="eastAsia" w:eastAsia="宋体"/>
                <w:color w:val="auto"/>
                <w:sz w:val="24"/>
                <w:lang w:val="en-US" w:eastAsia="zh-CN"/>
              </w:rPr>
              <w:t>项目施工期</w:t>
            </w:r>
            <w:r>
              <w:rPr>
                <w:rFonts w:hint="eastAsia"/>
                <w:color w:val="auto"/>
                <w:sz w:val="24"/>
                <w:lang w:val="en-US" w:eastAsia="zh-CN"/>
              </w:rPr>
              <w:t>未</w:t>
            </w:r>
            <w:r>
              <w:rPr>
                <w:rFonts w:hint="eastAsia" w:eastAsia="宋体"/>
                <w:color w:val="auto"/>
                <w:sz w:val="24"/>
                <w:lang w:val="en-US" w:eastAsia="zh-CN"/>
              </w:rPr>
              <w:t>对周围环境产生明显影响，</w:t>
            </w:r>
            <w:r>
              <w:rPr>
                <w:rFonts w:hint="eastAsia"/>
                <w:color w:val="auto"/>
                <w:sz w:val="24"/>
                <w:lang w:val="en-US" w:eastAsia="zh-CN"/>
              </w:rPr>
              <w:t>无遗留污染存在。后续工程主要为小区内绿化完善及道路硬化，工程体量小且均在现已有围挡内施工，污染物产生量较小。</w:t>
            </w:r>
            <w:r>
              <w:rPr>
                <w:rFonts w:hint="eastAsia" w:eastAsia="宋体"/>
                <w:color w:val="auto"/>
                <w:sz w:val="24"/>
                <w:lang w:val="en-US" w:eastAsia="zh-CN"/>
              </w:rPr>
              <w:t>故本次评价不对施工期影响进行</w:t>
            </w:r>
            <w:r>
              <w:rPr>
                <w:rFonts w:hint="eastAsia"/>
                <w:color w:val="auto"/>
                <w:sz w:val="24"/>
                <w:lang w:val="en-US" w:eastAsia="zh-CN"/>
              </w:rPr>
              <w:t>重点</w:t>
            </w:r>
            <w:r>
              <w:rPr>
                <w:rFonts w:hint="eastAsia" w:eastAsia="宋体"/>
                <w:color w:val="auto"/>
                <w:sz w:val="24"/>
                <w:lang w:val="en-US" w:eastAsia="zh-CN"/>
              </w:rPr>
              <w:t>分析。</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eastAsia="宋体"/>
                <w:color w:val="auto"/>
                <w:sz w:val="24"/>
                <w:lang w:val="en-US" w:eastAsia="zh-CN"/>
              </w:rPr>
            </w:pPr>
            <w:r>
              <w:rPr>
                <w:rFonts w:hint="eastAsia"/>
                <w:color w:val="auto"/>
                <w:sz w:val="24"/>
                <w:lang w:val="en-US" w:eastAsia="zh-CN"/>
              </w:rPr>
              <w:t>因项目为房地产业，属于生态影响类项目，施工期主要体现在对生态环境的影响，因此，</w:t>
            </w:r>
            <w:r>
              <w:rPr>
                <w:rFonts w:hint="eastAsia" w:eastAsia="宋体"/>
                <w:color w:val="auto"/>
                <w:sz w:val="24"/>
                <w:lang w:val="en-US" w:eastAsia="zh-CN"/>
              </w:rPr>
              <w:t>本次评价</w:t>
            </w:r>
            <w:r>
              <w:rPr>
                <w:rFonts w:hint="eastAsia"/>
                <w:color w:val="auto"/>
                <w:sz w:val="24"/>
                <w:lang w:val="en-US" w:eastAsia="zh-CN"/>
              </w:rPr>
              <w:t>仅对施工期的生态环境影响进行回顾性分析，具体详见生态环境影响专题报告</w:t>
            </w:r>
            <w:r>
              <w:rPr>
                <w:rFonts w:hint="eastAsia" w:eastAsia="宋体"/>
                <w:color w:val="auto"/>
                <w:sz w:val="24"/>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6" w:type="dxa"/>
            <w:tcMar>
              <w:left w:w="28" w:type="dxa"/>
              <w:right w:w="28" w:type="dxa"/>
            </w:tcMar>
            <w:vAlign w:val="center"/>
          </w:tcPr>
          <w:p>
            <w:pPr>
              <w:adjustRightInd w:val="0"/>
              <w:snapToGrid w:val="0"/>
              <w:jc w:val="center"/>
              <w:rPr>
                <w:rFonts w:ascii="宋体" w:hAnsi="宋体" w:cs="宋体"/>
                <w:bCs/>
                <w:color w:val="auto"/>
                <w:sz w:val="24"/>
              </w:rPr>
            </w:pPr>
            <w:r>
              <w:rPr>
                <w:rFonts w:hint="eastAsia" w:ascii="宋体" w:hAnsi="宋体" w:cs="宋体"/>
                <w:bCs/>
                <w:color w:val="auto"/>
                <w:sz w:val="24"/>
              </w:rPr>
              <w:t>运营</w:t>
            </w:r>
          </w:p>
          <w:p>
            <w:pPr>
              <w:adjustRightInd w:val="0"/>
              <w:snapToGrid w:val="0"/>
              <w:jc w:val="center"/>
              <w:rPr>
                <w:rFonts w:ascii="宋体" w:hAnsi="宋体" w:cs="宋体"/>
                <w:bCs/>
                <w:color w:val="auto"/>
                <w:sz w:val="24"/>
              </w:rPr>
            </w:pPr>
            <w:r>
              <w:rPr>
                <w:rFonts w:hint="eastAsia" w:ascii="宋体" w:hAnsi="宋体" w:cs="宋体"/>
                <w:bCs/>
                <w:color w:val="auto"/>
                <w:sz w:val="24"/>
              </w:rPr>
              <w:t>期环</w:t>
            </w:r>
          </w:p>
          <w:p>
            <w:pPr>
              <w:adjustRightInd w:val="0"/>
              <w:snapToGrid w:val="0"/>
              <w:jc w:val="center"/>
              <w:rPr>
                <w:rFonts w:ascii="宋体" w:hAnsi="宋体" w:cs="宋体"/>
                <w:bCs/>
                <w:color w:val="auto"/>
                <w:sz w:val="24"/>
              </w:rPr>
            </w:pPr>
            <w:r>
              <w:rPr>
                <w:rFonts w:hint="eastAsia" w:ascii="宋体" w:hAnsi="宋体" w:cs="宋体"/>
                <w:bCs/>
                <w:color w:val="auto"/>
                <w:sz w:val="24"/>
              </w:rPr>
              <w:t>境影</w:t>
            </w:r>
          </w:p>
          <w:p>
            <w:pPr>
              <w:adjustRightInd w:val="0"/>
              <w:snapToGrid w:val="0"/>
              <w:jc w:val="center"/>
              <w:rPr>
                <w:rFonts w:ascii="宋体" w:hAnsi="宋体" w:cs="宋体"/>
                <w:bCs/>
                <w:color w:val="auto"/>
                <w:sz w:val="24"/>
              </w:rPr>
            </w:pPr>
            <w:r>
              <w:rPr>
                <w:rFonts w:hint="eastAsia" w:ascii="宋体" w:hAnsi="宋体" w:cs="宋体"/>
                <w:bCs/>
                <w:color w:val="auto"/>
                <w:sz w:val="24"/>
              </w:rPr>
              <w:t>响和</w:t>
            </w:r>
          </w:p>
          <w:p>
            <w:pPr>
              <w:adjustRightInd w:val="0"/>
              <w:snapToGrid w:val="0"/>
              <w:jc w:val="center"/>
              <w:rPr>
                <w:rFonts w:ascii="宋体" w:hAnsi="宋体" w:cs="宋体"/>
                <w:bCs/>
                <w:color w:val="auto"/>
                <w:sz w:val="24"/>
              </w:rPr>
            </w:pPr>
            <w:r>
              <w:rPr>
                <w:rFonts w:hint="eastAsia" w:ascii="宋体" w:hAnsi="宋体" w:cs="宋体"/>
                <w:bCs/>
                <w:color w:val="auto"/>
                <w:sz w:val="24"/>
              </w:rPr>
              <w:t>保护</w:t>
            </w:r>
          </w:p>
          <w:p>
            <w:pPr>
              <w:adjustRightInd w:val="0"/>
              <w:snapToGrid w:val="0"/>
              <w:jc w:val="center"/>
              <w:rPr>
                <w:rFonts w:ascii="宋体" w:hAnsi="宋体" w:cs="宋体"/>
                <w:bCs/>
                <w:color w:val="auto"/>
                <w:sz w:val="24"/>
              </w:rPr>
            </w:pPr>
            <w:r>
              <w:rPr>
                <w:rFonts w:hint="eastAsia" w:ascii="宋体" w:hAnsi="宋体" w:cs="宋体"/>
                <w:bCs/>
                <w:color w:val="auto"/>
                <w:sz w:val="24"/>
              </w:rPr>
              <w:t>措施</w:t>
            </w:r>
          </w:p>
        </w:tc>
        <w:tc>
          <w:tcPr>
            <w:tcW w:w="8162" w:type="dxa"/>
            <w:vAlign w:val="center"/>
          </w:tcPr>
          <w:p>
            <w:pPr>
              <w:numPr>
                <w:ilvl w:val="0"/>
                <w:numId w:val="0"/>
              </w:numPr>
              <w:adjustRightInd w:val="0"/>
              <w:snapToGrid w:val="0"/>
              <w:spacing w:line="360" w:lineRule="auto"/>
              <w:rPr>
                <w:rFonts w:hint="eastAsia" w:cs="宋体"/>
                <w:b/>
                <w:color w:val="auto"/>
                <w:spacing w:val="-10"/>
                <w:sz w:val="24"/>
                <w:szCs w:val="21"/>
                <w:lang w:val="en-US" w:eastAsia="zh-CN"/>
              </w:rPr>
            </w:pPr>
            <w:r>
              <w:rPr>
                <w:rFonts w:hint="eastAsia" w:cs="宋体"/>
                <w:b/>
                <w:color w:val="auto"/>
                <w:spacing w:val="-10"/>
                <w:sz w:val="24"/>
                <w:szCs w:val="21"/>
                <w:lang w:val="en-US" w:eastAsia="zh-CN"/>
              </w:rPr>
              <w:t>1、、生态环境影响分析</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项目运营期生态环境影响分析</w:t>
            </w:r>
            <w:r>
              <w:rPr>
                <w:rFonts w:hint="default" w:ascii="Times New Roman" w:hAnsi="Times New Roman" w:eastAsia="宋体" w:cs="Times New Roman"/>
                <w:color w:val="auto"/>
                <w:sz w:val="24"/>
                <w:lang w:val="en-US" w:eastAsia="zh-CN"/>
              </w:rPr>
              <w:t>详见</w:t>
            </w:r>
            <w:r>
              <w:rPr>
                <w:rFonts w:hint="eastAsia" w:ascii="Times New Roman" w:hAnsi="Times New Roman" w:eastAsia="宋体" w:cs="Times New Roman"/>
                <w:color w:val="auto"/>
                <w:sz w:val="24"/>
                <w:lang w:val="en-US" w:eastAsia="zh-CN"/>
              </w:rPr>
              <w:t>生态</w:t>
            </w:r>
            <w:r>
              <w:rPr>
                <w:rFonts w:hint="default" w:ascii="Times New Roman" w:hAnsi="Times New Roman" w:eastAsia="宋体" w:cs="Times New Roman"/>
                <w:color w:val="auto"/>
                <w:sz w:val="24"/>
                <w:lang w:val="en-US" w:eastAsia="zh-CN"/>
              </w:rPr>
              <w:t>环境影响</w:t>
            </w:r>
            <w:r>
              <w:rPr>
                <w:rFonts w:hint="eastAsia" w:ascii="Times New Roman" w:hAnsi="Times New Roman" w:eastAsia="宋体" w:cs="Times New Roman"/>
                <w:color w:val="auto"/>
                <w:sz w:val="24"/>
                <w:lang w:val="en-US" w:eastAsia="zh-CN"/>
              </w:rPr>
              <w:t>专项报告</w:t>
            </w:r>
          </w:p>
          <w:p>
            <w:pPr>
              <w:numPr>
                <w:ilvl w:val="0"/>
                <w:numId w:val="0"/>
              </w:numPr>
              <w:adjustRightInd w:val="0"/>
              <w:snapToGrid w:val="0"/>
              <w:spacing w:line="360" w:lineRule="auto"/>
              <w:rPr>
                <w:rFonts w:cs="宋体"/>
                <w:b/>
                <w:color w:val="auto"/>
                <w:spacing w:val="-10"/>
                <w:sz w:val="24"/>
                <w:szCs w:val="21"/>
              </w:rPr>
            </w:pPr>
            <w:r>
              <w:rPr>
                <w:rFonts w:hint="eastAsia" w:cs="宋体"/>
                <w:b/>
                <w:color w:val="auto"/>
                <w:spacing w:val="-10"/>
                <w:sz w:val="24"/>
                <w:szCs w:val="21"/>
                <w:lang w:val="en-US" w:eastAsia="zh-CN"/>
              </w:rPr>
              <w:t>2、</w:t>
            </w:r>
            <w:r>
              <w:rPr>
                <w:rFonts w:hint="eastAsia" w:cs="宋体"/>
                <w:b/>
                <w:color w:val="auto"/>
                <w:spacing w:val="-10"/>
                <w:sz w:val="24"/>
                <w:szCs w:val="21"/>
              </w:rPr>
              <w:t>大气环境影响分析</w:t>
            </w:r>
          </w:p>
          <w:p>
            <w:pPr>
              <w:adjustRightInd w:val="0"/>
              <w:snapToGrid w:val="0"/>
              <w:spacing w:line="360" w:lineRule="auto"/>
              <w:ind w:firstLine="440" w:firstLineChars="200"/>
              <w:rPr>
                <w:rFonts w:hint="eastAsia" w:cs="宋体"/>
                <w:bCs/>
                <w:color w:val="auto"/>
                <w:spacing w:val="-10"/>
                <w:sz w:val="24"/>
                <w:szCs w:val="21"/>
              </w:rPr>
            </w:pPr>
            <w:r>
              <w:rPr>
                <w:rFonts w:hint="eastAsia" w:cs="宋体"/>
                <w:bCs/>
                <w:color w:val="auto"/>
                <w:spacing w:val="-10"/>
                <w:sz w:val="24"/>
                <w:szCs w:val="21"/>
              </w:rPr>
              <w:t>根据工程分析，拟建项目运营期间产生废气主要为油烟</w:t>
            </w:r>
            <w:r>
              <w:rPr>
                <w:rFonts w:hint="eastAsia" w:cs="宋体"/>
                <w:bCs/>
                <w:color w:val="auto"/>
                <w:spacing w:val="-10"/>
                <w:sz w:val="24"/>
                <w:szCs w:val="21"/>
                <w:lang w:eastAsia="zh-CN"/>
              </w:rPr>
              <w:t>、</w:t>
            </w:r>
            <w:r>
              <w:rPr>
                <w:rFonts w:hint="eastAsia" w:cs="宋体"/>
                <w:bCs/>
                <w:color w:val="auto"/>
                <w:spacing w:val="-10"/>
                <w:sz w:val="24"/>
                <w:szCs w:val="21"/>
                <w:lang w:val="en-US" w:eastAsia="zh-CN"/>
              </w:rPr>
              <w:t>汽车而尾气、垃圾桶恶臭等</w:t>
            </w:r>
            <w:r>
              <w:rPr>
                <w:rFonts w:hint="eastAsia" w:cs="宋体"/>
                <w:bCs/>
                <w:color w:val="auto"/>
                <w:spacing w:val="-10"/>
                <w:sz w:val="24"/>
                <w:szCs w:val="21"/>
              </w:rPr>
              <w:t>。</w:t>
            </w:r>
          </w:p>
          <w:p>
            <w:pPr>
              <w:spacing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①油烟</w:t>
            </w:r>
          </w:p>
          <w:p>
            <w:pPr>
              <w:adjustRightInd w:val="0"/>
              <w:snapToGrid w:val="0"/>
              <w:spacing w:line="360" w:lineRule="auto"/>
              <w:ind w:firstLine="440" w:firstLineChars="200"/>
              <w:rPr>
                <w:rFonts w:hint="eastAsia" w:ascii="Times New Roman" w:hAnsi="Times New Roman" w:eastAsia="宋体" w:cs="宋体"/>
                <w:bCs/>
                <w:color w:val="auto"/>
                <w:spacing w:val="-10"/>
                <w:sz w:val="24"/>
                <w:szCs w:val="21"/>
                <w:lang w:val="en-US" w:eastAsia="zh-CN"/>
              </w:rPr>
            </w:pPr>
            <w:r>
              <w:rPr>
                <w:rFonts w:hint="eastAsia" w:ascii="Times New Roman" w:hAnsi="Times New Roman" w:eastAsia="宋体" w:cs="宋体"/>
                <w:bCs/>
                <w:color w:val="auto"/>
                <w:spacing w:val="-10"/>
                <w:sz w:val="24"/>
                <w:szCs w:val="21"/>
                <w:lang w:val="en-US" w:eastAsia="zh-CN"/>
              </w:rPr>
              <w:t>本项目为安置区，</w:t>
            </w:r>
            <w:r>
              <w:rPr>
                <w:rFonts w:hint="eastAsia" w:ascii="Times New Roman" w:hAnsi="Times New Roman" w:eastAsia="宋体" w:cs="宋体"/>
                <w:bCs/>
                <w:color w:val="auto"/>
                <w:spacing w:val="-10"/>
                <w:sz w:val="24"/>
                <w:szCs w:val="21"/>
                <w:lang w:eastAsia="zh-CN"/>
              </w:rPr>
              <w:t>设置有厨房</w:t>
            </w:r>
            <w:r>
              <w:rPr>
                <w:rFonts w:hint="eastAsia" w:ascii="Times New Roman" w:hAnsi="Times New Roman" w:eastAsia="宋体" w:cs="宋体"/>
                <w:bCs/>
                <w:color w:val="auto"/>
                <w:spacing w:val="-10"/>
                <w:sz w:val="24"/>
                <w:szCs w:val="21"/>
              </w:rPr>
              <w:t>，</w:t>
            </w:r>
            <w:r>
              <w:rPr>
                <w:rFonts w:hint="eastAsia" w:ascii="Times New Roman" w:hAnsi="Times New Roman" w:eastAsia="宋体" w:cs="宋体"/>
                <w:bCs/>
                <w:color w:val="auto"/>
                <w:spacing w:val="-10"/>
                <w:sz w:val="24"/>
                <w:szCs w:val="21"/>
                <w:lang w:eastAsia="zh-CN"/>
              </w:rPr>
              <w:t>由于</w:t>
            </w:r>
            <w:r>
              <w:rPr>
                <w:rFonts w:hint="eastAsia" w:ascii="Times New Roman" w:hAnsi="Times New Roman" w:eastAsia="宋体" w:cs="宋体"/>
                <w:bCs/>
                <w:color w:val="auto"/>
                <w:spacing w:val="-10"/>
                <w:sz w:val="24"/>
                <w:szCs w:val="21"/>
                <w:lang w:val="en-US" w:eastAsia="zh-CN"/>
              </w:rPr>
              <w:t>家庭用房</w:t>
            </w:r>
            <w:r>
              <w:rPr>
                <w:rFonts w:hint="eastAsia" w:ascii="Times New Roman" w:hAnsi="Times New Roman" w:eastAsia="宋体" w:cs="宋体"/>
                <w:bCs/>
                <w:color w:val="auto"/>
                <w:spacing w:val="-10"/>
                <w:sz w:val="24"/>
                <w:szCs w:val="21"/>
                <w:lang w:eastAsia="zh-CN"/>
              </w:rPr>
              <w:t>内厨房油烟产生量较小，</w:t>
            </w:r>
            <w:r>
              <w:rPr>
                <w:rFonts w:hint="eastAsia" w:ascii="Times New Roman" w:hAnsi="Times New Roman" w:eastAsia="宋体" w:cs="宋体"/>
                <w:bCs/>
                <w:color w:val="auto"/>
                <w:spacing w:val="-10"/>
                <w:sz w:val="24"/>
                <w:szCs w:val="21"/>
                <w:lang w:val="en-US" w:eastAsia="zh-CN"/>
              </w:rPr>
              <w:t>且用户均会安装符合要求的油烟净化器，少量油烟经净化器处理后</w:t>
            </w:r>
            <w:r>
              <w:rPr>
                <w:rFonts w:hint="default" w:ascii="Times New Roman" w:hAnsi="Times New Roman" w:eastAsia="宋体" w:cs="宋体"/>
                <w:bCs/>
                <w:color w:val="auto"/>
                <w:spacing w:val="-10"/>
                <w:sz w:val="24"/>
                <w:szCs w:val="21"/>
              </w:rPr>
              <w:t>可以达到《饮食业油烟排放标准</w:t>
            </w:r>
            <w:r>
              <w:rPr>
                <w:rFonts w:hint="default" w:ascii="Times New Roman" w:hAnsi="Times New Roman" w:eastAsia="宋体" w:cs="宋体"/>
                <w:bCs/>
                <w:color w:val="auto"/>
                <w:spacing w:val="-10"/>
                <w:sz w:val="24"/>
                <w:szCs w:val="21"/>
                <w:lang w:val="en-US" w:eastAsia="zh-CN"/>
              </w:rPr>
              <w:t>（试行）》（GB18483-2001）要求</w:t>
            </w:r>
            <w:r>
              <w:rPr>
                <w:rFonts w:hint="eastAsia" w:ascii="Times New Roman" w:hAnsi="Times New Roman" w:eastAsia="宋体" w:cs="宋体"/>
                <w:bCs/>
                <w:color w:val="auto"/>
                <w:spacing w:val="-10"/>
                <w:sz w:val="24"/>
                <w:szCs w:val="21"/>
                <w:lang w:val="en-US" w:eastAsia="zh-CN"/>
              </w:rPr>
              <w:t>，经周边大气环境稀释后对周边环境影响较小。由于家庭用餐时间不统一，且油烟产生量较小，本次不定量进行分析。</w:t>
            </w:r>
          </w:p>
          <w:p>
            <w:pPr>
              <w:adjustRightInd w:val="0"/>
              <w:snapToGrid w:val="0"/>
              <w:spacing w:line="360" w:lineRule="auto"/>
              <w:ind w:firstLine="440" w:firstLineChars="200"/>
              <w:rPr>
                <w:rFonts w:hint="default" w:ascii="Times New Roman" w:hAnsi="Times New Roman" w:eastAsia="宋体" w:cs="宋体"/>
                <w:bCs/>
                <w:color w:val="auto"/>
                <w:spacing w:val="-10"/>
                <w:sz w:val="24"/>
                <w:szCs w:val="21"/>
                <w:lang w:val="en-US" w:eastAsia="zh-CN"/>
              </w:rPr>
            </w:pPr>
            <w:r>
              <w:rPr>
                <w:rFonts w:hint="eastAsia" w:ascii="Times New Roman" w:hAnsi="Times New Roman" w:eastAsia="宋体" w:cs="宋体"/>
                <w:bCs/>
                <w:color w:val="auto"/>
                <w:spacing w:val="-10"/>
                <w:sz w:val="24"/>
                <w:szCs w:val="21"/>
                <w:lang w:val="en-US" w:eastAsia="zh-CN"/>
              </w:rPr>
              <w:t>本项目安置区主要定位为团洲乡团北村团洲垸遭受严重洪涝灾害人员的住房安置，安置区内不得不引进大型餐饮企业，若需引进，需额外进行环评并设置符合要求油烟净化等环保设备。</w:t>
            </w:r>
          </w:p>
          <w:p>
            <w:pPr>
              <w:spacing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②汽车尾气</w:t>
            </w:r>
          </w:p>
          <w:p>
            <w:pPr>
              <w:pStyle w:val="7"/>
              <w:spacing w:line="360" w:lineRule="auto"/>
              <w:ind w:firstLine="480" w:firstLineChars="200"/>
              <w:rPr>
                <w:rFonts w:hint="eastAsia" w:ascii="Times New Roman" w:hAnsi="Times New Roman" w:eastAsia="宋体" w:cs="Times New Roman"/>
                <w:color w:val="auto"/>
                <w:kern w:val="2"/>
                <w:sz w:val="24"/>
                <w:szCs w:val="22"/>
                <w:lang w:val="en-US" w:eastAsia="zh-CN" w:bidi="ar-SA"/>
              </w:rPr>
            </w:pPr>
            <w:r>
              <w:rPr>
                <w:rFonts w:hint="default" w:ascii="Times New Roman" w:hAnsi="Times New Roman" w:eastAsia="宋体" w:cs="Times New Roman"/>
                <w:color w:val="auto"/>
                <w:sz w:val="24"/>
              </w:rPr>
              <w:t>本项目共设置机动停车位</w:t>
            </w:r>
            <w:r>
              <w:rPr>
                <w:rFonts w:hint="eastAsia" w:cs="Times New Roman"/>
                <w:color w:val="auto"/>
                <w:sz w:val="24"/>
                <w:lang w:val="en-US" w:eastAsia="zh-CN"/>
              </w:rPr>
              <w:t>993</w:t>
            </w:r>
            <w:r>
              <w:rPr>
                <w:rFonts w:hint="default" w:ascii="Times New Roman" w:hAnsi="Times New Roman" w:eastAsia="宋体" w:cs="Times New Roman"/>
                <w:color w:val="auto"/>
                <w:sz w:val="24"/>
              </w:rPr>
              <w:t>个，</w:t>
            </w:r>
            <w:r>
              <w:rPr>
                <w:rFonts w:hint="eastAsia" w:ascii="Times New Roman" w:hAnsi="Times New Roman" w:eastAsia="宋体" w:cs="Times New Roman"/>
                <w:color w:val="auto"/>
                <w:sz w:val="24"/>
                <w:lang w:eastAsia="zh-CN"/>
              </w:rPr>
              <w:t>为地上</w:t>
            </w:r>
            <w:r>
              <w:rPr>
                <w:rFonts w:hint="eastAsia" w:cs="Times New Roman"/>
                <w:color w:val="auto"/>
                <w:sz w:val="24"/>
                <w:lang w:val="en-US" w:eastAsia="zh-CN"/>
              </w:rPr>
              <w:t>+地下</w:t>
            </w:r>
            <w:r>
              <w:rPr>
                <w:rFonts w:hint="eastAsia" w:ascii="Times New Roman" w:hAnsi="Times New Roman" w:eastAsia="宋体" w:cs="Times New Roman"/>
                <w:color w:val="auto"/>
                <w:sz w:val="24"/>
                <w:lang w:eastAsia="zh-CN"/>
              </w:rPr>
              <w:t>停车</w:t>
            </w:r>
            <w:r>
              <w:rPr>
                <w:rFonts w:hint="eastAsia" w:ascii="Times New Roman" w:hAnsi="Times New Roman" w:eastAsia="宋体" w:cs="Times New Roman"/>
                <w:color w:val="auto"/>
                <w:kern w:val="2"/>
                <w:sz w:val="24"/>
                <w:szCs w:val="22"/>
                <w:lang w:val="en-US" w:eastAsia="zh-CN" w:bidi="ar-SA"/>
              </w:rPr>
              <w:t>位，污染源主要是汽车在启动过程中的怠速及慢速（5km/h）行驶时汽车产生的尾气。根据有关资料，停车场产生的主要污染物为汽车尾气中所含的CO、NO</w:t>
            </w:r>
            <w:r>
              <w:rPr>
                <w:rFonts w:hint="eastAsia" w:ascii="Times New Roman" w:hAnsi="Times New Roman" w:eastAsia="宋体" w:cs="Times New Roman"/>
                <w:color w:val="auto"/>
                <w:kern w:val="2"/>
                <w:sz w:val="24"/>
                <w:szCs w:val="22"/>
                <w:vertAlign w:val="subscript"/>
                <w:lang w:val="en-US" w:eastAsia="zh-CN" w:bidi="ar-SA"/>
              </w:rPr>
              <w:t>X</w:t>
            </w:r>
            <w:r>
              <w:rPr>
                <w:rFonts w:hint="eastAsia" w:ascii="Times New Roman" w:hAnsi="Times New Roman" w:eastAsia="宋体" w:cs="Times New Roman"/>
                <w:color w:val="auto"/>
                <w:kern w:val="2"/>
                <w:sz w:val="24"/>
                <w:szCs w:val="22"/>
                <w:lang w:val="en-US" w:eastAsia="zh-CN" w:bidi="ar-SA"/>
              </w:rPr>
              <w:t>及HC，汽车尾气主要污染因子及排放的浓度范围参见表4-1。</w:t>
            </w:r>
          </w:p>
          <w:p>
            <w:pPr>
              <w:ind w:firstLine="482" w:firstLineChars="200"/>
              <w:jc w:val="center"/>
              <w:rPr>
                <w:rFonts w:hint="eastAsia" w:ascii="Times New Roman" w:hAnsi="Times New Roman" w:eastAsia="宋体" w:cs="Times New Roman"/>
                <w:b/>
                <w:bCs/>
                <w:color w:val="auto"/>
                <w:sz w:val="24"/>
                <w:szCs w:val="24"/>
              </w:rPr>
            </w:pPr>
            <w:r>
              <w:rPr>
                <w:rFonts w:hint="eastAsia" w:ascii="Times New Roman" w:hAnsi="Times New Roman" w:eastAsia="宋体" w:cs="Times New Roman"/>
                <w:b/>
                <w:bCs/>
                <w:color w:val="auto"/>
                <w:sz w:val="24"/>
                <w:szCs w:val="24"/>
              </w:rPr>
              <w:t>表</w:t>
            </w:r>
            <w:r>
              <w:rPr>
                <w:rFonts w:hint="eastAsia" w:ascii="Times New Roman" w:hAnsi="Times New Roman" w:eastAsia="宋体" w:cs="Times New Roman"/>
                <w:b/>
                <w:bCs/>
                <w:color w:val="auto"/>
                <w:sz w:val="24"/>
                <w:szCs w:val="24"/>
                <w:lang w:val="en-US" w:eastAsia="zh-CN"/>
              </w:rPr>
              <w:t>4-1</w:t>
            </w:r>
            <w:r>
              <w:rPr>
                <w:rFonts w:hint="eastAsia" w:ascii="Times New Roman" w:hAnsi="Times New Roman" w:eastAsia="宋体" w:cs="Times New Roman"/>
                <w:b/>
                <w:bCs/>
                <w:color w:val="auto"/>
                <w:sz w:val="24"/>
                <w:szCs w:val="24"/>
              </w:rPr>
              <w:t xml:space="preserve"> 汽车废气主要污染物浓度</w:t>
            </w:r>
          </w:p>
          <w:tbl>
            <w:tblPr>
              <w:tblStyle w:val="22"/>
              <w:tblW w:w="793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20"/>
              <w:gridCol w:w="1306"/>
              <w:gridCol w:w="2407"/>
              <w:gridCol w:w="240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13" w:type="dxa"/>
                  <w:tcBorders>
                    <w:tl2br w:val="nil"/>
                    <w:tr2bl w:val="nil"/>
                  </w:tcBorders>
                  <w:noWrap w:val="0"/>
                  <w:vAlign w:val="center"/>
                </w:tcPr>
                <w:p>
                  <w:pPr>
                    <w:adjustRightInd w:val="0"/>
                    <w:snapToGrid w:val="0"/>
                    <w:spacing w:line="360" w:lineRule="exact"/>
                    <w:jc w:val="center"/>
                    <w:rPr>
                      <w:rFonts w:hint="default" w:ascii="Times New Roman" w:hAnsi="Times New Roman" w:cs="Times New Roman"/>
                      <w:b/>
                      <w:bCs w:val="0"/>
                      <w:color w:val="auto"/>
                    </w:rPr>
                  </w:pPr>
                  <w:r>
                    <w:rPr>
                      <w:rFonts w:hint="default" w:ascii="Times New Roman" w:hAnsi="Times New Roman" w:cs="Times New Roman"/>
                      <w:b/>
                      <w:bCs w:val="0"/>
                      <w:color w:val="auto"/>
                    </w:rPr>
                    <w:t>污染物</w:t>
                  </w:r>
                </w:p>
              </w:tc>
              <w:tc>
                <w:tcPr>
                  <w:tcW w:w="1437" w:type="dxa"/>
                  <w:tcBorders>
                    <w:tl2br w:val="nil"/>
                    <w:tr2bl w:val="nil"/>
                  </w:tcBorders>
                  <w:noWrap w:val="0"/>
                  <w:vAlign w:val="center"/>
                </w:tcPr>
                <w:p>
                  <w:pPr>
                    <w:adjustRightInd w:val="0"/>
                    <w:snapToGrid w:val="0"/>
                    <w:spacing w:line="360" w:lineRule="exact"/>
                    <w:jc w:val="center"/>
                    <w:rPr>
                      <w:rFonts w:hint="default" w:ascii="Times New Roman" w:hAnsi="Times New Roman" w:cs="Times New Roman"/>
                      <w:b/>
                      <w:bCs w:val="0"/>
                      <w:color w:val="auto"/>
                    </w:rPr>
                  </w:pPr>
                  <w:r>
                    <w:rPr>
                      <w:rFonts w:hint="default" w:ascii="Times New Roman" w:hAnsi="Times New Roman" w:cs="Times New Roman"/>
                      <w:b/>
                      <w:bCs w:val="0"/>
                      <w:color w:val="auto"/>
                    </w:rPr>
                    <w:t>单位</w:t>
                  </w:r>
                </w:p>
              </w:tc>
              <w:tc>
                <w:tcPr>
                  <w:tcW w:w="2670" w:type="dxa"/>
                  <w:tcBorders>
                    <w:tl2br w:val="nil"/>
                    <w:tr2bl w:val="nil"/>
                  </w:tcBorders>
                  <w:noWrap w:val="0"/>
                  <w:vAlign w:val="center"/>
                </w:tcPr>
                <w:p>
                  <w:pPr>
                    <w:adjustRightInd w:val="0"/>
                    <w:snapToGrid w:val="0"/>
                    <w:spacing w:line="360" w:lineRule="exact"/>
                    <w:jc w:val="center"/>
                    <w:rPr>
                      <w:rFonts w:hint="default" w:ascii="Times New Roman" w:hAnsi="Times New Roman" w:cs="Times New Roman"/>
                      <w:b/>
                      <w:bCs w:val="0"/>
                      <w:color w:val="auto"/>
                    </w:rPr>
                  </w:pPr>
                  <w:r>
                    <w:rPr>
                      <w:rFonts w:hint="default" w:ascii="Times New Roman" w:hAnsi="Times New Roman" w:cs="Times New Roman"/>
                      <w:b/>
                      <w:bCs w:val="0"/>
                      <w:color w:val="auto"/>
                    </w:rPr>
                    <w:t>汽油车</w:t>
                  </w:r>
                </w:p>
              </w:tc>
              <w:tc>
                <w:tcPr>
                  <w:tcW w:w="2667" w:type="dxa"/>
                  <w:tcBorders>
                    <w:tl2br w:val="nil"/>
                    <w:tr2bl w:val="nil"/>
                  </w:tcBorders>
                  <w:noWrap w:val="0"/>
                  <w:vAlign w:val="center"/>
                </w:tcPr>
                <w:p>
                  <w:pPr>
                    <w:adjustRightInd w:val="0"/>
                    <w:snapToGrid w:val="0"/>
                    <w:spacing w:line="360" w:lineRule="exact"/>
                    <w:jc w:val="center"/>
                    <w:rPr>
                      <w:rFonts w:hint="default" w:ascii="Times New Roman" w:hAnsi="Times New Roman" w:cs="Times New Roman"/>
                      <w:b/>
                      <w:bCs w:val="0"/>
                      <w:color w:val="auto"/>
                    </w:rPr>
                  </w:pPr>
                  <w:r>
                    <w:rPr>
                      <w:rFonts w:hint="default" w:ascii="Times New Roman" w:hAnsi="Times New Roman" w:cs="Times New Roman"/>
                      <w:b/>
                      <w:bCs w:val="0"/>
                      <w:color w:val="auto"/>
                    </w:rPr>
                    <w:t>柴油车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13" w:type="dxa"/>
                  <w:tcBorders>
                    <w:tl2br w:val="nil"/>
                    <w:tr2bl w:val="nil"/>
                  </w:tcBorders>
                  <w:noWrap w:val="0"/>
                  <w:vAlign w:val="center"/>
                </w:tcPr>
                <w:p>
                  <w:pPr>
                    <w:adjustRightInd w:val="0"/>
                    <w:snapToGrid w:val="0"/>
                    <w:spacing w:line="360" w:lineRule="exact"/>
                    <w:jc w:val="center"/>
                    <w:rPr>
                      <w:rFonts w:hint="default" w:ascii="Times New Roman" w:hAnsi="Times New Roman" w:cs="Times New Roman"/>
                      <w:b w:val="0"/>
                      <w:bCs/>
                      <w:color w:val="auto"/>
                    </w:rPr>
                  </w:pPr>
                  <w:r>
                    <w:rPr>
                      <w:rFonts w:hint="default" w:ascii="Times New Roman" w:hAnsi="Times New Roman" w:cs="Times New Roman"/>
                      <w:b w:val="0"/>
                      <w:bCs/>
                      <w:color w:val="auto"/>
                    </w:rPr>
                    <w:t>CO</w:t>
                  </w:r>
                </w:p>
              </w:tc>
              <w:tc>
                <w:tcPr>
                  <w:tcW w:w="1437" w:type="dxa"/>
                  <w:tcBorders>
                    <w:tl2br w:val="nil"/>
                    <w:tr2bl w:val="nil"/>
                  </w:tcBorders>
                  <w:noWrap w:val="0"/>
                  <w:vAlign w:val="center"/>
                </w:tcPr>
                <w:p>
                  <w:pPr>
                    <w:adjustRightInd w:val="0"/>
                    <w:snapToGrid w:val="0"/>
                    <w:spacing w:line="360" w:lineRule="exact"/>
                    <w:jc w:val="center"/>
                    <w:rPr>
                      <w:rFonts w:hint="default" w:ascii="Times New Roman" w:hAnsi="Times New Roman" w:cs="Times New Roman"/>
                      <w:b w:val="0"/>
                      <w:bCs/>
                      <w:color w:val="auto"/>
                    </w:rPr>
                  </w:pPr>
                  <w:r>
                    <w:rPr>
                      <w:rFonts w:hint="default" w:ascii="Times New Roman" w:hAnsi="Times New Roman" w:cs="Times New Roman"/>
                      <w:b w:val="0"/>
                      <w:bCs/>
                      <w:color w:val="auto"/>
                    </w:rPr>
                    <w:t>％</w:t>
                  </w:r>
                </w:p>
              </w:tc>
              <w:tc>
                <w:tcPr>
                  <w:tcW w:w="2670" w:type="dxa"/>
                  <w:tcBorders>
                    <w:tl2br w:val="nil"/>
                    <w:tr2bl w:val="nil"/>
                  </w:tcBorders>
                  <w:noWrap w:val="0"/>
                  <w:vAlign w:val="center"/>
                </w:tcPr>
                <w:p>
                  <w:pPr>
                    <w:adjustRightInd w:val="0"/>
                    <w:snapToGrid w:val="0"/>
                    <w:spacing w:line="360" w:lineRule="exact"/>
                    <w:jc w:val="center"/>
                    <w:rPr>
                      <w:rFonts w:hint="default" w:ascii="Times New Roman" w:hAnsi="Times New Roman" w:cs="Times New Roman"/>
                      <w:b w:val="0"/>
                      <w:bCs/>
                      <w:color w:val="auto"/>
                    </w:rPr>
                  </w:pPr>
                  <w:r>
                    <w:rPr>
                      <w:rFonts w:hint="default" w:ascii="Times New Roman" w:hAnsi="Times New Roman" w:cs="Times New Roman"/>
                      <w:b w:val="0"/>
                      <w:bCs/>
                      <w:color w:val="auto"/>
                    </w:rPr>
                    <w:t>3.8~6</w:t>
                  </w:r>
                </w:p>
              </w:tc>
              <w:tc>
                <w:tcPr>
                  <w:tcW w:w="2667" w:type="dxa"/>
                  <w:tcBorders>
                    <w:tl2br w:val="nil"/>
                    <w:tr2bl w:val="nil"/>
                  </w:tcBorders>
                  <w:noWrap w:val="0"/>
                  <w:vAlign w:val="center"/>
                </w:tcPr>
                <w:p>
                  <w:pPr>
                    <w:adjustRightInd w:val="0"/>
                    <w:snapToGrid w:val="0"/>
                    <w:spacing w:line="360" w:lineRule="exact"/>
                    <w:jc w:val="center"/>
                    <w:rPr>
                      <w:rFonts w:hint="default" w:ascii="Times New Roman" w:hAnsi="Times New Roman" w:cs="Times New Roman"/>
                      <w:b w:val="0"/>
                      <w:bCs/>
                      <w:color w:val="auto"/>
                    </w:rPr>
                  </w:pPr>
                  <w:r>
                    <w:rPr>
                      <w:rFonts w:hint="default" w:ascii="Times New Roman" w:hAnsi="Times New Roman" w:cs="Times New Roman"/>
                      <w:b w:val="0"/>
                      <w:bCs/>
                      <w:color w:val="auto"/>
                    </w:rPr>
                    <w:t>&lt;2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13" w:type="dxa"/>
                  <w:tcBorders>
                    <w:tl2br w:val="nil"/>
                    <w:tr2bl w:val="nil"/>
                  </w:tcBorders>
                  <w:noWrap w:val="0"/>
                  <w:vAlign w:val="center"/>
                </w:tcPr>
                <w:p>
                  <w:pPr>
                    <w:adjustRightInd w:val="0"/>
                    <w:snapToGrid w:val="0"/>
                    <w:spacing w:line="360" w:lineRule="exact"/>
                    <w:jc w:val="center"/>
                    <w:rPr>
                      <w:rFonts w:hint="default" w:ascii="Times New Roman" w:hAnsi="Times New Roman" w:cs="Times New Roman"/>
                      <w:b w:val="0"/>
                      <w:bCs/>
                      <w:color w:val="auto"/>
                    </w:rPr>
                  </w:pPr>
                  <w:r>
                    <w:rPr>
                      <w:rFonts w:hint="default" w:ascii="Times New Roman" w:hAnsi="Times New Roman" w:cs="Times New Roman"/>
                      <w:b w:val="0"/>
                      <w:bCs/>
                      <w:color w:val="auto"/>
                    </w:rPr>
                    <w:t>NO</w:t>
                  </w:r>
                  <w:r>
                    <w:rPr>
                      <w:rFonts w:hint="default" w:ascii="Times New Roman" w:hAnsi="Times New Roman" w:cs="Times New Roman"/>
                      <w:b w:val="0"/>
                      <w:bCs/>
                      <w:color w:val="auto"/>
                      <w:vertAlign w:val="subscript"/>
                    </w:rPr>
                    <w:t>2</w:t>
                  </w:r>
                </w:p>
              </w:tc>
              <w:tc>
                <w:tcPr>
                  <w:tcW w:w="1437" w:type="dxa"/>
                  <w:tcBorders>
                    <w:tl2br w:val="nil"/>
                    <w:tr2bl w:val="nil"/>
                  </w:tcBorders>
                  <w:noWrap w:val="0"/>
                  <w:vAlign w:val="center"/>
                </w:tcPr>
                <w:p>
                  <w:pPr>
                    <w:adjustRightInd w:val="0"/>
                    <w:snapToGrid w:val="0"/>
                    <w:spacing w:line="360" w:lineRule="exact"/>
                    <w:jc w:val="center"/>
                    <w:rPr>
                      <w:rFonts w:hint="default" w:ascii="Times New Roman" w:hAnsi="Times New Roman" w:cs="Times New Roman"/>
                      <w:b w:val="0"/>
                      <w:bCs/>
                      <w:color w:val="auto"/>
                    </w:rPr>
                  </w:pPr>
                  <w:r>
                    <w:rPr>
                      <w:rFonts w:hint="default" w:ascii="Times New Roman" w:hAnsi="Times New Roman" w:cs="Times New Roman"/>
                      <w:b w:val="0"/>
                      <w:bCs/>
                      <w:color w:val="auto"/>
                    </w:rPr>
                    <w:t>ppm</w:t>
                  </w:r>
                </w:p>
              </w:tc>
              <w:tc>
                <w:tcPr>
                  <w:tcW w:w="2670" w:type="dxa"/>
                  <w:tcBorders>
                    <w:tl2br w:val="nil"/>
                    <w:tr2bl w:val="nil"/>
                  </w:tcBorders>
                  <w:noWrap w:val="0"/>
                  <w:vAlign w:val="center"/>
                </w:tcPr>
                <w:p>
                  <w:pPr>
                    <w:adjustRightInd w:val="0"/>
                    <w:snapToGrid w:val="0"/>
                    <w:spacing w:line="360" w:lineRule="exact"/>
                    <w:jc w:val="center"/>
                    <w:rPr>
                      <w:rFonts w:hint="default" w:ascii="Times New Roman" w:hAnsi="Times New Roman" w:cs="Times New Roman"/>
                      <w:b w:val="0"/>
                      <w:bCs/>
                      <w:color w:val="auto"/>
                    </w:rPr>
                  </w:pPr>
                  <w:r>
                    <w:rPr>
                      <w:rFonts w:hint="default" w:ascii="Times New Roman" w:hAnsi="Times New Roman" w:cs="Times New Roman"/>
                      <w:b w:val="0"/>
                      <w:bCs/>
                      <w:color w:val="auto"/>
                    </w:rPr>
                    <w:t>2000~5000</w:t>
                  </w:r>
                </w:p>
              </w:tc>
              <w:tc>
                <w:tcPr>
                  <w:tcW w:w="2667" w:type="dxa"/>
                  <w:tcBorders>
                    <w:tl2br w:val="nil"/>
                    <w:tr2bl w:val="nil"/>
                  </w:tcBorders>
                  <w:noWrap w:val="0"/>
                  <w:vAlign w:val="center"/>
                </w:tcPr>
                <w:p>
                  <w:pPr>
                    <w:adjustRightInd w:val="0"/>
                    <w:snapToGrid w:val="0"/>
                    <w:spacing w:line="360" w:lineRule="exact"/>
                    <w:jc w:val="center"/>
                    <w:rPr>
                      <w:rFonts w:hint="default" w:ascii="Times New Roman" w:hAnsi="Times New Roman" w:cs="Times New Roman"/>
                      <w:b w:val="0"/>
                      <w:bCs/>
                      <w:color w:val="auto"/>
                    </w:rPr>
                  </w:pPr>
                  <w:r>
                    <w:rPr>
                      <w:rFonts w:hint="default" w:ascii="Times New Roman" w:hAnsi="Times New Roman" w:cs="Times New Roman"/>
                      <w:b w:val="0"/>
                      <w:bCs/>
                      <w:color w:val="auto"/>
                    </w:rPr>
                    <w:t>&lt;1000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13" w:type="dxa"/>
                  <w:tcBorders>
                    <w:tl2br w:val="nil"/>
                    <w:tr2bl w:val="nil"/>
                  </w:tcBorders>
                  <w:noWrap w:val="0"/>
                  <w:vAlign w:val="center"/>
                </w:tcPr>
                <w:p>
                  <w:pPr>
                    <w:adjustRightInd w:val="0"/>
                    <w:snapToGrid w:val="0"/>
                    <w:spacing w:line="360" w:lineRule="exact"/>
                    <w:jc w:val="center"/>
                    <w:rPr>
                      <w:rFonts w:hint="default" w:ascii="Times New Roman" w:hAnsi="Times New Roman" w:cs="Times New Roman"/>
                      <w:b w:val="0"/>
                      <w:bCs/>
                      <w:color w:val="auto"/>
                    </w:rPr>
                  </w:pPr>
                  <w:r>
                    <w:rPr>
                      <w:rFonts w:hint="default" w:ascii="Times New Roman" w:hAnsi="Times New Roman" w:cs="Times New Roman"/>
                      <w:b w:val="0"/>
                      <w:bCs/>
                      <w:color w:val="auto"/>
                    </w:rPr>
                    <w:t>HC</w:t>
                  </w:r>
                </w:p>
              </w:tc>
              <w:tc>
                <w:tcPr>
                  <w:tcW w:w="1437" w:type="dxa"/>
                  <w:tcBorders>
                    <w:tl2br w:val="nil"/>
                    <w:tr2bl w:val="nil"/>
                  </w:tcBorders>
                  <w:noWrap w:val="0"/>
                  <w:vAlign w:val="center"/>
                </w:tcPr>
                <w:p>
                  <w:pPr>
                    <w:adjustRightInd w:val="0"/>
                    <w:snapToGrid w:val="0"/>
                    <w:spacing w:line="360" w:lineRule="exact"/>
                    <w:jc w:val="center"/>
                    <w:rPr>
                      <w:rFonts w:hint="default" w:ascii="Times New Roman" w:hAnsi="Times New Roman" w:cs="Times New Roman"/>
                      <w:b w:val="0"/>
                      <w:bCs/>
                      <w:color w:val="auto"/>
                    </w:rPr>
                  </w:pPr>
                  <w:r>
                    <w:rPr>
                      <w:rFonts w:hint="default" w:ascii="Times New Roman" w:hAnsi="Times New Roman" w:cs="Times New Roman"/>
                      <w:b w:val="0"/>
                      <w:bCs/>
                      <w:color w:val="auto"/>
                    </w:rPr>
                    <w:t>ppm</w:t>
                  </w:r>
                </w:p>
              </w:tc>
              <w:tc>
                <w:tcPr>
                  <w:tcW w:w="2670" w:type="dxa"/>
                  <w:tcBorders>
                    <w:tl2br w:val="nil"/>
                    <w:tr2bl w:val="nil"/>
                  </w:tcBorders>
                  <w:noWrap w:val="0"/>
                  <w:vAlign w:val="center"/>
                </w:tcPr>
                <w:p>
                  <w:pPr>
                    <w:adjustRightInd w:val="0"/>
                    <w:snapToGrid w:val="0"/>
                    <w:spacing w:line="360" w:lineRule="exact"/>
                    <w:jc w:val="center"/>
                    <w:rPr>
                      <w:rFonts w:hint="default" w:ascii="Times New Roman" w:hAnsi="Times New Roman" w:cs="Times New Roman"/>
                      <w:b w:val="0"/>
                      <w:bCs/>
                      <w:color w:val="auto"/>
                    </w:rPr>
                  </w:pPr>
                  <w:r>
                    <w:rPr>
                      <w:rFonts w:hint="default" w:ascii="Times New Roman" w:hAnsi="Times New Roman" w:cs="Times New Roman"/>
                      <w:b w:val="0"/>
                      <w:bCs/>
                      <w:color w:val="auto"/>
                    </w:rPr>
                    <w:t>500~2500</w:t>
                  </w:r>
                </w:p>
              </w:tc>
              <w:tc>
                <w:tcPr>
                  <w:tcW w:w="2667" w:type="dxa"/>
                  <w:tcBorders>
                    <w:tl2br w:val="nil"/>
                    <w:tr2bl w:val="nil"/>
                  </w:tcBorders>
                  <w:noWrap w:val="0"/>
                  <w:vAlign w:val="center"/>
                </w:tcPr>
                <w:p>
                  <w:pPr>
                    <w:adjustRightInd w:val="0"/>
                    <w:snapToGrid w:val="0"/>
                    <w:spacing w:line="360" w:lineRule="exact"/>
                    <w:jc w:val="center"/>
                    <w:rPr>
                      <w:rFonts w:hint="default" w:ascii="Times New Roman" w:hAnsi="Times New Roman" w:cs="Times New Roman"/>
                      <w:b w:val="0"/>
                      <w:bCs/>
                      <w:color w:val="auto"/>
                    </w:rPr>
                  </w:pPr>
                  <w:r>
                    <w:rPr>
                      <w:rFonts w:hint="default" w:ascii="Times New Roman" w:hAnsi="Times New Roman" w:cs="Times New Roman"/>
                      <w:b w:val="0"/>
                      <w:bCs/>
                      <w:color w:val="auto"/>
                    </w:rPr>
                    <w:t>&lt;2500</w:t>
                  </w:r>
                </w:p>
              </w:tc>
            </w:tr>
          </w:tbl>
          <w:p>
            <w:pPr>
              <w:spacing w:line="360" w:lineRule="auto"/>
              <w:ind w:firstLine="480" w:firstLineChars="200"/>
              <w:rPr>
                <w:rFonts w:hint="eastAsia" w:ascii="Times New Roman" w:hAnsi="宋体" w:eastAsia="宋体" w:cs="Times New Roman"/>
                <w:color w:val="auto"/>
                <w:sz w:val="24"/>
              </w:rPr>
            </w:pPr>
            <w:r>
              <w:rPr>
                <w:rFonts w:hint="eastAsia"/>
                <w:color w:val="auto"/>
                <w:sz w:val="24"/>
              </w:rPr>
              <w:t>本项目</w:t>
            </w:r>
            <w:r>
              <w:rPr>
                <w:rFonts w:hint="eastAsia"/>
                <w:color w:val="auto"/>
                <w:sz w:val="24"/>
                <w:lang w:val="en-US" w:eastAsia="zh-CN"/>
              </w:rPr>
              <w:t>地面</w:t>
            </w:r>
            <w:r>
              <w:rPr>
                <w:rFonts w:hint="eastAsia"/>
                <w:color w:val="auto"/>
                <w:sz w:val="24"/>
              </w:rPr>
              <w:t>不设置集中大型停车场，停车位分散布置在用房周边空地上，汽车尾气在地面直接扩散外排，属面源无组织排放。区域内没有高层建筑物，空气流通顺畅，有利于污染物的扩散，</w:t>
            </w:r>
            <w:r>
              <w:rPr>
                <w:rFonts w:hAnsi="宋体"/>
                <w:color w:val="auto"/>
                <w:sz w:val="24"/>
              </w:rPr>
              <w:t>不会发生富集现象</w:t>
            </w:r>
            <w:r>
              <w:rPr>
                <w:rFonts w:hint="eastAsia"/>
                <w:color w:val="auto"/>
                <w:sz w:val="24"/>
              </w:rPr>
              <w:t>；项目区内同时启动的车辆较少，启动时间较短，尾气产生量少；厂区加强绿化，种植一些对</w:t>
            </w:r>
            <w:r>
              <w:rPr>
                <w:rFonts w:hAnsi="宋体"/>
                <w:color w:val="auto"/>
                <w:sz w:val="24"/>
              </w:rPr>
              <w:t>有害气体吸收能力较强的树木</w:t>
            </w:r>
            <w:r>
              <w:rPr>
                <w:rFonts w:hint="eastAsia" w:hAnsi="宋体"/>
                <w:color w:val="auto"/>
                <w:sz w:val="24"/>
              </w:rPr>
              <w:t>，可进一步减小尾气产生量</w:t>
            </w:r>
            <w:r>
              <w:rPr>
                <w:rFonts w:hint="eastAsia"/>
                <w:color w:val="auto"/>
                <w:sz w:val="24"/>
              </w:rPr>
              <w:t>。因此，汽车尾气</w:t>
            </w:r>
            <w:r>
              <w:rPr>
                <w:rFonts w:hint="eastAsia" w:ascii="Times New Roman" w:hAnsi="宋体" w:eastAsia="宋体" w:cs="Times New Roman"/>
                <w:color w:val="auto"/>
                <w:sz w:val="24"/>
              </w:rPr>
              <w:t>对区域环境影响较小，本环评不对其进行定量分析。</w:t>
            </w:r>
          </w:p>
          <w:p>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lang w:val="en-US" w:eastAsia="zh-CN"/>
              </w:rPr>
              <w:t xml:space="preserve">地下车库汽车尾气，其主要污染物是 </w:t>
            </w:r>
            <w:r>
              <w:rPr>
                <w:rFonts w:hint="default" w:ascii="Times New Roman" w:hAnsi="Times New Roman" w:eastAsia="宋体" w:cs="Times New Roman"/>
                <w:color w:val="auto"/>
                <w:sz w:val="24"/>
                <w:lang w:val="en-US" w:eastAsia="zh-CN"/>
              </w:rPr>
              <w:t>CO</w:t>
            </w:r>
            <w:r>
              <w:rPr>
                <w:rFonts w:hint="eastAsia" w:ascii="Times New Roman" w:hAnsi="Times New Roman" w:eastAsia="宋体" w:cs="Times New Roman"/>
                <w:color w:val="auto"/>
                <w:sz w:val="24"/>
                <w:lang w:val="en-US" w:eastAsia="zh-CN"/>
              </w:rPr>
              <w:t>、</w:t>
            </w:r>
            <w:r>
              <w:rPr>
                <w:rFonts w:hint="default" w:ascii="Times New Roman" w:hAnsi="Times New Roman" w:eastAsia="宋体" w:cs="Times New Roman"/>
                <w:color w:val="auto"/>
                <w:sz w:val="24"/>
                <w:lang w:val="en-US" w:eastAsia="zh-CN"/>
              </w:rPr>
              <w:t xml:space="preserve">NOx </w:t>
            </w:r>
            <w:r>
              <w:rPr>
                <w:rFonts w:hint="eastAsia" w:ascii="Times New Roman" w:hAnsi="Times New Roman" w:eastAsia="宋体" w:cs="Times New Roman"/>
                <w:color w:val="auto"/>
                <w:sz w:val="24"/>
                <w:lang w:val="en-US" w:eastAsia="zh-CN"/>
              </w:rPr>
              <w:t xml:space="preserve">和 </w:t>
            </w:r>
            <w:r>
              <w:rPr>
                <w:rFonts w:hint="default" w:ascii="Times New Roman" w:hAnsi="Times New Roman" w:eastAsia="宋体" w:cs="Times New Roman"/>
                <w:color w:val="auto"/>
                <w:sz w:val="24"/>
                <w:lang w:val="en-US" w:eastAsia="zh-CN"/>
              </w:rPr>
              <w:t>HC(</w:t>
            </w:r>
            <w:r>
              <w:rPr>
                <w:rFonts w:hint="eastAsia" w:ascii="Times New Roman" w:hAnsi="Times New Roman" w:eastAsia="宋体" w:cs="Times New Roman"/>
                <w:color w:val="auto"/>
                <w:sz w:val="24"/>
                <w:lang w:val="en-US" w:eastAsia="zh-CN"/>
              </w:rPr>
              <w:t>碳氢化合物</w:t>
            </w:r>
            <w:r>
              <w:rPr>
                <w:rFonts w:hint="default" w:ascii="Times New Roman" w:hAnsi="Times New Roman" w:eastAsia="宋体" w:cs="Times New Roman"/>
                <w:color w:val="auto"/>
                <w:sz w:val="24"/>
                <w:lang w:val="en-US" w:eastAsia="zh-CN"/>
              </w:rPr>
              <w:t>)</w:t>
            </w:r>
            <w:r>
              <w:rPr>
                <w:rFonts w:hint="eastAsia" w:ascii="Times New Roman" w:hAnsi="Times New Roman" w:eastAsia="宋体" w:cs="Times New Roman"/>
                <w:color w:val="auto"/>
                <w:sz w:val="24"/>
                <w:lang w:val="en-US" w:eastAsia="zh-CN"/>
              </w:rPr>
              <w:t>。</w:t>
            </w:r>
            <w:r>
              <w:rPr>
                <w:rFonts w:hint="default" w:ascii="Times New Roman" w:hAnsi="Times New Roman" w:eastAsia="宋体" w:cs="Times New Roman"/>
                <w:color w:val="auto"/>
                <w:sz w:val="24"/>
                <w:lang w:val="en-US" w:eastAsia="zh-CN"/>
              </w:rPr>
              <w:t>CO</w:t>
            </w:r>
            <w:r>
              <w:rPr>
                <w:rFonts w:hint="eastAsia" w:ascii="Times New Roman" w:hAnsi="Times New Roman" w:eastAsia="宋体" w:cs="Times New Roman"/>
                <w:color w:val="auto"/>
                <w:sz w:val="24"/>
                <w:lang w:val="en-US" w:eastAsia="zh-CN"/>
              </w:rPr>
              <w:t>是汽油燃烧的产物；</w:t>
            </w:r>
            <w:r>
              <w:rPr>
                <w:rFonts w:hint="default" w:ascii="Times New Roman" w:hAnsi="Times New Roman" w:eastAsia="宋体" w:cs="Times New Roman"/>
                <w:color w:val="auto"/>
                <w:sz w:val="24"/>
                <w:lang w:val="en-US" w:eastAsia="zh-CN"/>
              </w:rPr>
              <w:t>NOx</w:t>
            </w:r>
            <w:r>
              <w:rPr>
                <w:rFonts w:hint="eastAsia" w:ascii="Times New Roman" w:hAnsi="Times New Roman" w:eastAsia="宋体" w:cs="Times New Roman"/>
                <w:color w:val="auto"/>
                <w:sz w:val="24"/>
                <w:lang w:val="en-US" w:eastAsia="zh-CN"/>
              </w:rPr>
              <w:t>是汽油燃烧时空气中的氮气与氧气化合而成的产物；</w:t>
            </w:r>
            <w:r>
              <w:rPr>
                <w:rFonts w:hint="default" w:ascii="Times New Roman" w:hAnsi="Times New Roman" w:eastAsia="宋体" w:cs="Times New Roman"/>
                <w:color w:val="auto"/>
                <w:sz w:val="24"/>
                <w:lang w:val="en-US" w:eastAsia="zh-CN"/>
              </w:rPr>
              <w:t>HC(</w:t>
            </w:r>
            <w:r>
              <w:rPr>
                <w:rFonts w:hint="eastAsia" w:ascii="Times New Roman" w:hAnsi="Times New Roman" w:eastAsia="宋体" w:cs="Times New Roman"/>
                <w:color w:val="auto"/>
                <w:sz w:val="24"/>
                <w:lang w:val="en-US" w:eastAsia="zh-CN"/>
              </w:rPr>
              <w:t>碳氢化合物</w:t>
            </w:r>
            <w:r>
              <w:rPr>
                <w:rFonts w:hint="default" w:ascii="Times New Roman" w:hAnsi="Times New Roman" w:eastAsia="宋体" w:cs="Times New Roman"/>
                <w:color w:val="auto"/>
                <w:sz w:val="24"/>
                <w:lang w:val="en-US" w:eastAsia="zh-CN"/>
              </w:rPr>
              <w:t>)</w:t>
            </w:r>
            <w:r>
              <w:rPr>
                <w:rFonts w:hint="eastAsia" w:ascii="Times New Roman" w:hAnsi="Times New Roman" w:eastAsia="宋体" w:cs="Times New Roman"/>
                <w:color w:val="auto"/>
                <w:sz w:val="24"/>
                <w:lang w:val="en-US" w:eastAsia="zh-CN"/>
              </w:rPr>
              <w:t xml:space="preserve">是汽油不完全燃烧的产物。汽车尾气产生量与车辆数量、汽车种类、行驶状态、空燃比等有关，加上电动汽车的推广与普及，汽车尾气产排量较难定量。 </w:t>
            </w:r>
          </w:p>
          <w:p>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lang w:val="en-US" w:eastAsia="zh-CN"/>
              </w:rPr>
              <w:t>本项目地下车库设置机械排风，采用汽车坡道自然补风和补风风机共同补风，排风量按平均每小时换气</w:t>
            </w:r>
            <w:r>
              <w:rPr>
                <w:rFonts w:hint="default" w:ascii="Times New Roman" w:hAnsi="Times New Roman" w:eastAsia="宋体" w:cs="Times New Roman"/>
                <w:color w:val="auto"/>
                <w:sz w:val="24"/>
                <w:lang w:val="en-US" w:eastAsia="zh-CN"/>
              </w:rPr>
              <w:t>4</w:t>
            </w:r>
            <w:r>
              <w:rPr>
                <w:rFonts w:hint="eastAsia" w:ascii="Times New Roman" w:hAnsi="Times New Roman" w:eastAsia="宋体" w:cs="Times New Roman"/>
                <w:color w:val="auto"/>
                <w:sz w:val="24"/>
                <w:lang w:val="en-US" w:eastAsia="zh-CN"/>
              </w:rPr>
              <w:t>次计。地下车库设置与排风系统联动的</w:t>
            </w:r>
            <w:r>
              <w:rPr>
                <w:rFonts w:hint="default" w:ascii="Times New Roman" w:hAnsi="Times New Roman" w:eastAsia="宋体" w:cs="Times New Roman"/>
                <w:color w:val="auto"/>
                <w:sz w:val="24"/>
                <w:lang w:val="en-US" w:eastAsia="zh-CN"/>
              </w:rPr>
              <w:t xml:space="preserve">CO </w:t>
            </w:r>
            <w:r>
              <w:rPr>
                <w:rFonts w:hint="eastAsia" w:ascii="Times New Roman" w:hAnsi="Times New Roman" w:eastAsia="宋体" w:cs="Times New Roman"/>
                <w:color w:val="auto"/>
                <w:sz w:val="24"/>
                <w:lang w:val="en-US" w:eastAsia="zh-CN"/>
              </w:rPr>
              <w:t>浓度监测装置。经过通风换气后，汽车尾气不会在地下室内积聚；地下车库汽车尾气由机械排风装置引至</w:t>
            </w:r>
            <w:r>
              <w:rPr>
                <w:rFonts w:hint="default" w:ascii="Times New Roman" w:hAnsi="Times New Roman" w:eastAsia="宋体" w:cs="Times New Roman"/>
                <w:color w:val="auto"/>
                <w:sz w:val="24"/>
                <w:lang w:val="en-US" w:eastAsia="zh-CN"/>
              </w:rPr>
              <w:t>2.5m</w:t>
            </w:r>
            <w:r>
              <w:rPr>
                <w:rFonts w:hint="eastAsia" w:ascii="Times New Roman" w:hAnsi="Times New Roman" w:eastAsia="宋体" w:cs="Times New Roman"/>
                <w:color w:val="auto"/>
                <w:sz w:val="24"/>
                <w:lang w:val="en-US" w:eastAsia="zh-CN"/>
              </w:rPr>
              <w:t>近地排放口排放，经过大气扩散稀释及绿化吸收后，对周围环境影响不大。但仍建议加强通风，尤其在高峰期，排风设备必须全部开启，在此基础上，地下车库的汽车尾气对周围环境影响较小。</w:t>
            </w:r>
          </w:p>
          <w:p>
            <w:pPr>
              <w:spacing w:line="360" w:lineRule="auto"/>
              <w:ind w:firstLine="480" w:firstLineChars="200"/>
              <w:rPr>
                <w:rFonts w:hint="default" w:ascii="Times New Roman" w:hAnsi="宋体" w:eastAsia="宋体" w:cs="Times New Roman"/>
                <w:color w:val="auto"/>
                <w:sz w:val="24"/>
              </w:rPr>
            </w:pPr>
            <w:r>
              <w:rPr>
                <w:rFonts w:hint="default" w:ascii="Times New Roman" w:hAnsi="宋体" w:eastAsia="宋体" w:cs="Times New Roman"/>
                <w:color w:val="auto"/>
                <w:sz w:val="24"/>
              </w:rPr>
              <w:t>③恶臭</w:t>
            </w:r>
          </w:p>
          <w:p>
            <w:pPr>
              <w:spacing w:line="360" w:lineRule="auto"/>
              <w:ind w:firstLine="480" w:firstLineChars="200"/>
              <w:rPr>
                <w:rFonts w:hint="default" w:ascii="Times New Roman" w:hAnsi="宋体" w:eastAsia="宋体" w:cs="Times New Roman"/>
                <w:color w:val="auto"/>
                <w:sz w:val="24"/>
              </w:rPr>
            </w:pPr>
            <w:r>
              <w:rPr>
                <w:rFonts w:hint="default" w:ascii="Times New Roman" w:hAnsi="宋体" w:eastAsia="宋体" w:cs="Times New Roman"/>
                <w:color w:val="auto"/>
                <w:sz w:val="24"/>
              </w:rPr>
              <w:t>本项目</w:t>
            </w:r>
            <w:r>
              <w:rPr>
                <w:rFonts w:hint="eastAsia" w:ascii="Times New Roman" w:hAnsi="宋体" w:eastAsia="宋体" w:cs="Times New Roman"/>
                <w:color w:val="auto"/>
                <w:sz w:val="24"/>
                <w:lang w:val="en-US" w:eastAsia="zh-CN"/>
              </w:rPr>
              <w:t>未</w:t>
            </w:r>
            <w:r>
              <w:rPr>
                <w:rFonts w:hint="eastAsia" w:ascii="Times New Roman" w:hAnsi="宋体" w:eastAsia="宋体" w:cs="Times New Roman"/>
                <w:color w:val="auto"/>
                <w:sz w:val="24"/>
                <w:lang w:eastAsia="zh-CN"/>
              </w:rPr>
              <w:t>设置</w:t>
            </w:r>
            <w:r>
              <w:rPr>
                <w:rFonts w:hint="default" w:ascii="Times New Roman" w:hAnsi="宋体" w:eastAsia="宋体" w:cs="Times New Roman"/>
                <w:color w:val="auto"/>
                <w:sz w:val="24"/>
              </w:rPr>
              <w:t>集中式垃圾站，</w:t>
            </w:r>
            <w:r>
              <w:rPr>
                <w:rFonts w:hint="eastAsia" w:ascii="Times New Roman" w:hAnsi="宋体" w:eastAsia="宋体" w:cs="Times New Roman"/>
                <w:color w:val="auto"/>
                <w:sz w:val="24"/>
                <w:lang w:val="en-US" w:eastAsia="zh-CN"/>
              </w:rPr>
              <w:t>仅有小型垃圾收集桶</w:t>
            </w:r>
            <w:r>
              <w:rPr>
                <w:rFonts w:hint="default" w:ascii="Times New Roman" w:hAnsi="宋体" w:eastAsia="宋体" w:cs="Times New Roman"/>
                <w:color w:val="auto"/>
                <w:sz w:val="24"/>
              </w:rPr>
              <w:t>，</w:t>
            </w:r>
            <w:r>
              <w:rPr>
                <w:rFonts w:hint="eastAsia" w:ascii="Times New Roman" w:hAnsi="宋体" w:eastAsia="宋体" w:cs="Times New Roman"/>
                <w:color w:val="auto"/>
                <w:sz w:val="24"/>
                <w:lang w:val="en-US" w:eastAsia="zh-CN"/>
              </w:rPr>
              <w:t>小型垃圾收集桶内</w:t>
            </w:r>
            <w:r>
              <w:rPr>
                <w:rFonts w:hint="default" w:ascii="Times New Roman" w:hAnsi="宋体" w:eastAsia="宋体" w:cs="Times New Roman"/>
                <w:color w:val="auto"/>
                <w:sz w:val="24"/>
              </w:rPr>
              <w:t>部分易腐败的有机垃圾由于其分解会发出异味，对环境的影响主要表现为恶臭，恶臭污染物根据国家标准，主要指一切刺激嗅觉器官引起人们不愉快及损害生活环境的气体物质。来自生活垃圾中的有机垃圾（变质腐烂蔬菜等）所产生的恶臭气体有两种来源；一种是垃圾成分中本身发出的异味，不是垃圾主要的恶臭来源。另一种是有机物腐败分解产生的恶臭气体，垃圾内含有 40～70%有机物，分为植物类（例如米饭、面食、瓜皮果壳和蔬菜烂叶、根等）和动物类（例如鱼、肉、骨头等），在微生物作用下的分解产生恶臭味是垃圾恶臭的主要来源，同时有机物腐败产生的恶臭程度与季节有很大的关系，在夏季气温较高时有机物极易腐败，此时从垃圾中散发的恶臭气体明显比冬季强烈。垃圾产生的臭气的成分和含量均较难确定，本环评对其源强作定性分析。据资料调查，臭气中主要成分为氨、硫化氢和甲硫醇、三甲胺等脂肪族类物质。</w:t>
            </w:r>
            <w:r>
              <w:rPr>
                <w:rFonts w:hint="eastAsia" w:ascii="Times New Roman" w:hAnsi="宋体" w:eastAsia="宋体" w:cs="Times New Roman"/>
                <w:color w:val="auto"/>
                <w:sz w:val="24"/>
              </w:rPr>
              <w:t>由于</w:t>
            </w:r>
            <w:r>
              <w:rPr>
                <w:rFonts w:hint="eastAsia" w:ascii="Times New Roman" w:hAnsi="宋体" w:eastAsia="宋体" w:cs="Times New Roman"/>
                <w:color w:val="auto"/>
                <w:sz w:val="24"/>
                <w:lang w:val="en-US" w:eastAsia="zh-CN"/>
              </w:rPr>
              <w:t>安置区内垃圾桶体量较小且分布</w:t>
            </w:r>
            <w:r>
              <w:rPr>
                <w:rFonts w:hint="eastAsia" w:ascii="Times New Roman" w:hAnsi="宋体" w:eastAsia="宋体" w:cs="Times New Roman"/>
                <w:color w:val="auto"/>
                <w:sz w:val="24"/>
                <w:lang w:eastAsia="zh-CN"/>
              </w:rPr>
              <w:t>相对分散，</w:t>
            </w:r>
            <w:r>
              <w:rPr>
                <w:rFonts w:hint="eastAsia" w:ascii="Times New Roman" w:hAnsi="宋体" w:eastAsia="宋体" w:cs="Times New Roman"/>
                <w:color w:val="auto"/>
                <w:sz w:val="24"/>
                <w:lang w:val="en-US" w:eastAsia="zh-CN"/>
              </w:rPr>
              <w:t>安置区内物业人员及时清理清运</w:t>
            </w:r>
            <w:r>
              <w:rPr>
                <w:rFonts w:hint="eastAsia" w:ascii="Times New Roman" w:hAnsi="宋体" w:eastAsia="宋体" w:cs="Times New Roman"/>
                <w:color w:val="auto"/>
                <w:sz w:val="24"/>
              </w:rPr>
              <w:t>，本项目</w:t>
            </w:r>
            <w:r>
              <w:rPr>
                <w:rFonts w:hint="eastAsia" w:ascii="Times New Roman" w:hAnsi="宋体" w:eastAsia="宋体" w:cs="Times New Roman"/>
                <w:color w:val="auto"/>
                <w:sz w:val="24"/>
                <w:lang w:val="en-US" w:eastAsia="zh-CN"/>
              </w:rPr>
              <w:t>恶臭</w:t>
            </w:r>
            <w:r>
              <w:rPr>
                <w:rFonts w:hint="eastAsia" w:ascii="Times New Roman" w:hAnsi="宋体" w:eastAsia="宋体" w:cs="Times New Roman"/>
                <w:color w:val="auto"/>
                <w:sz w:val="24"/>
              </w:rPr>
              <w:t>污染物浓度较低</w:t>
            </w:r>
            <w:r>
              <w:rPr>
                <w:rFonts w:hint="eastAsia" w:ascii="Times New Roman" w:hAnsi="宋体" w:eastAsia="宋体" w:cs="Times New Roman"/>
                <w:color w:val="auto"/>
                <w:sz w:val="24"/>
                <w:lang w:eastAsia="zh-CN"/>
              </w:rPr>
              <w:t>，</w:t>
            </w:r>
            <w:r>
              <w:rPr>
                <w:rFonts w:hint="eastAsia" w:ascii="Times New Roman" w:hAnsi="Times New Roman" w:eastAsia="宋体" w:cs="宋体"/>
                <w:bCs/>
                <w:color w:val="auto"/>
                <w:spacing w:val="-10"/>
                <w:sz w:val="24"/>
                <w:szCs w:val="21"/>
                <w:lang w:val="en-US" w:eastAsia="zh-CN"/>
              </w:rPr>
              <w:t>经周边大气环境稀释后对周边环境影响较小，</w:t>
            </w:r>
            <w:r>
              <w:rPr>
                <w:rFonts w:hint="eastAsia" w:ascii="Times New Roman" w:hAnsi="宋体" w:eastAsia="宋体" w:cs="Times New Roman"/>
                <w:color w:val="auto"/>
                <w:sz w:val="24"/>
                <w:lang w:eastAsia="zh-CN"/>
              </w:rPr>
              <w:t>不进行定量分析</w:t>
            </w:r>
            <w:r>
              <w:rPr>
                <w:rFonts w:hint="eastAsia" w:ascii="Times New Roman" w:hAnsi="宋体" w:eastAsia="宋体" w:cs="Times New Roman"/>
                <w:color w:val="auto"/>
                <w:sz w:val="24"/>
              </w:rPr>
              <w:t>。</w:t>
            </w:r>
          </w:p>
          <w:p>
            <w:pPr>
              <w:numPr>
                <w:ilvl w:val="0"/>
                <w:numId w:val="0"/>
              </w:numPr>
              <w:adjustRightInd w:val="0"/>
              <w:snapToGrid w:val="0"/>
              <w:spacing w:line="360" w:lineRule="auto"/>
              <w:rPr>
                <w:rFonts w:cs="宋体"/>
                <w:b/>
                <w:color w:val="auto"/>
                <w:spacing w:val="-10"/>
                <w:sz w:val="24"/>
                <w:szCs w:val="21"/>
              </w:rPr>
            </w:pPr>
            <w:r>
              <w:rPr>
                <w:rFonts w:hint="eastAsia" w:cs="宋体"/>
                <w:b/>
                <w:color w:val="auto"/>
                <w:spacing w:val="-10"/>
                <w:sz w:val="24"/>
                <w:szCs w:val="21"/>
                <w:lang w:val="en-US" w:eastAsia="zh-CN"/>
              </w:rPr>
              <w:t>3、</w:t>
            </w:r>
            <w:r>
              <w:rPr>
                <w:rFonts w:hint="eastAsia" w:cs="宋体"/>
                <w:b/>
                <w:color w:val="auto"/>
                <w:spacing w:val="-10"/>
                <w:sz w:val="24"/>
                <w:szCs w:val="21"/>
              </w:rPr>
              <w:t>废水环境影响分析</w:t>
            </w:r>
          </w:p>
          <w:p>
            <w:pPr>
              <w:pStyle w:val="53"/>
              <w:adjustRightInd w:val="0"/>
              <w:snapToGrid w:val="0"/>
              <w:spacing w:line="360" w:lineRule="auto"/>
              <w:ind w:firstLine="482"/>
              <w:rPr>
                <w:rFonts w:hint="eastAsia"/>
                <w:b/>
                <w:bCs/>
                <w:color w:val="auto"/>
                <w:sz w:val="24"/>
                <w:highlight w:val="none"/>
              </w:rPr>
            </w:pPr>
            <w:r>
              <w:rPr>
                <w:rFonts w:hint="eastAsia"/>
                <w:b/>
                <w:bCs/>
                <w:color w:val="auto"/>
                <w:sz w:val="24"/>
                <w:highlight w:val="none"/>
                <w:lang w:val="en-US" w:eastAsia="zh-CN"/>
              </w:rPr>
              <w:t>3.1</w:t>
            </w:r>
            <w:r>
              <w:rPr>
                <w:rFonts w:hint="eastAsia"/>
                <w:b/>
                <w:bCs/>
                <w:color w:val="auto"/>
                <w:sz w:val="24"/>
                <w:highlight w:val="none"/>
              </w:rPr>
              <w:t>废水污染源强分析</w:t>
            </w:r>
          </w:p>
          <w:p>
            <w:pPr>
              <w:pStyle w:val="61"/>
              <w:ind w:firstLine="480"/>
              <w:rPr>
                <w:rFonts w:hint="eastAsia" w:ascii="Times New Roman" w:hAnsi="Times New Roman" w:eastAsia="宋体" w:cs="Times New Roman"/>
                <w:color w:val="auto"/>
              </w:rPr>
            </w:pPr>
            <w:r>
              <w:rPr>
                <w:rFonts w:hint="eastAsia" w:ascii="Times New Roman" w:hAnsi="Times New Roman" w:eastAsia="宋体" w:cs="Times New Roman"/>
                <w:color w:val="auto"/>
              </w:rPr>
              <w:t>本项目无生产废水产生，运营期废水主要为职工生活污水。</w:t>
            </w:r>
            <w:r>
              <w:rPr>
                <w:rFonts w:hint="eastAsia" w:ascii="Times New Roman" w:hAnsi="Times New Roman" w:eastAsia="宋体" w:cs="Times New Roman"/>
                <w:color w:val="auto"/>
                <w:lang w:val="en-US" w:eastAsia="zh-CN"/>
              </w:rPr>
              <w:t>根据</w:t>
            </w:r>
            <w:r>
              <w:rPr>
                <w:rFonts w:hint="eastAsia" w:cs="Times New Roman"/>
                <w:color w:val="auto"/>
                <w:lang w:val="en-US" w:eastAsia="zh-CN"/>
              </w:rPr>
              <w:t>前述</w:t>
            </w:r>
            <w:r>
              <w:rPr>
                <w:rFonts w:hint="eastAsia" w:ascii="Times New Roman" w:hAnsi="Times New Roman" w:eastAsia="宋体" w:cs="Times New Roman"/>
                <w:color w:val="auto"/>
                <w:lang w:val="en-US" w:eastAsia="zh-CN"/>
              </w:rPr>
              <w:t>计算，生活</w:t>
            </w:r>
            <w:r>
              <w:rPr>
                <w:rFonts w:hint="eastAsia" w:cs="Times New Roman"/>
                <w:color w:val="auto"/>
                <w:lang w:val="en-US" w:eastAsia="zh-CN"/>
              </w:rPr>
              <w:t>用水量</w:t>
            </w:r>
            <w:r>
              <w:rPr>
                <w:rFonts w:hint="eastAsia" w:cs="Times New Roman"/>
                <w:color w:val="auto"/>
                <w:highlight w:val="none"/>
                <w:lang w:val="en-US" w:eastAsia="zh-CN"/>
              </w:rPr>
              <w:t>为73000</w:t>
            </w:r>
            <w:r>
              <w:rPr>
                <w:rFonts w:hint="eastAsia" w:cs="宋体"/>
                <w:bCs/>
                <w:color w:val="auto"/>
                <w:sz w:val="24"/>
                <w:szCs w:val="21"/>
                <w:highlight w:val="none"/>
              </w:rPr>
              <w:t>t/</w:t>
            </w:r>
            <w:r>
              <w:rPr>
                <w:rFonts w:hint="eastAsia" w:cs="宋体"/>
                <w:bCs/>
                <w:color w:val="auto"/>
                <w:sz w:val="24"/>
                <w:szCs w:val="21"/>
                <w:highlight w:val="none"/>
                <w:lang w:val="en-US" w:eastAsia="zh-CN"/>
              </w:rPr>
              <w:t>a</w:t>
            </w:r>
            <w:r>
              <w:rPr>
                <w:rFonts w:hint="eastAsia" w:cs="Times New Roman"/>
                <w:color w:val="auto"/>
                <w:highlight w:val="none"/>
                <w:lang w:val="en-US" w:eastAsia="zh-CN"/>
              </w:rPr>
              <w:t>，产污率按80%计算，则</w:t>
            </w:r>
            <w:r>
              <w:rPr>
                <w:rFonts w:hint="eastAsia" w:ascii="Times New Roman" w:hAnsi="Times New Roman" w:eastAsia="宋体" w:cs="Times New Roman"/>
                <w:color w:val="auto"/>
                <w:highlight w:val="none"/>
                <w:lang w:val="en-US" w:eastAsia="zh-CN"/>
              </w:rPr>
              <w:t>污水排放量</w:t>
            </w:r>
            <w:r>
              <w:rPr>
                <w:rFonts w:hint="eastAsia" w:cs="Times New Roman"/>
                <w:color w:val="auto"/>
                <w:highlight w:val="none"/>
                <w:lang w:val="en-US" w:eastAsia="zh-CN"/>
              </w:rPr>
              <w:t>为58400</w:t>
            </w:r>
            <w:r>
              <w:rPr>
                <w:rFonts w:hint="eastAsia" w:cs="宋体"/>
                <w:bCs/>
                <w:color w:val="auto"/>
                <w:sz w:val="24"/>
                <w:szCs w:val="21"/>
                <w:highlight w:val="none"/>
              </w:rPr>
              <w:t>t/</w:t>
            </w:r>
            <w:r>
              <w:rPr>
                <w:rFonts w:hint="eastAsia" w:cs="宋体"/>
                <w:bCs/>
                <w:color w:val="auto"/>
                <w:sz w:val="24"/>
                <w:szCs w:val="21"/>
                <w:highlight w:val="none"/>
                <w:lang w:val="en-US" w:eastAsia="zh-CN"/>
              </w:rPr>
              <w:t>a，160</w:t>
            </w:r>
            <w:r>
              <w:rPr>
                <w:rFonts w:hint="eastAsia" w:cs="宋体"/>
                <w:bCs/>
                <w:color w:val="auto"/>
                <w:sz w:val="24"/>
                <w:szCs w:val="21"/>
                <w:highlight w:val="none"/>
              </w:rPr>
              <w:t>t/</w:t>
            </w:r>
            <w:r>
              <w:rPr>
                <w:rFonts w:hint="eastAsia" w:cs="宋体"/>
                <w:bCs/>
                <w:color w:val="auto"/>
                <w:sz w:val="24"/>
                <w:szCs w:val="21"/>
                <w:highlight w:val="none"/>
                <w:lang w:val="en-US" w:eastAsia="zh-CN"/>
              </w:rPr>
              <w:t>d</w:t>
            </w:r>
            <w:r>
              <w:rPr>
                <w:rFonts w:hint="eastAsia" w:cs="宋体"/>
                <w:bCs/>
                <w:color w:val="auto"/>
                <w:sz w:val="24"/>
                <w:szCs w:val="21"/>
                <w:highlight w:val="none"/>
              </w:rPr>
              <w:t>。</w:t>
            </w:r>
            <w:r>
              <w:rPr>
                <w:rFonts w:hint="eastAsia" w:ascii="Times New Roman" w:hAnsi="Times New Roman" w:eastAsia="宋体" w:cs="Times New Roman"/>
                <w:color w:val="auto"/>
                <w:highlight w:val="none"/>
              </w:rPr>
              <w:t>污染物浓度为</w:t>
            </w:r>
            <w:r>
              <w:rPr>
                <w:rFonts w:hint="default" w:ascii="Times New Roman" w:hAnsi="Times New Roman" w:eastAsia="宋体" w:cs="Times New Roman"/>
                <w:color w:val="auto"/>
                <w:highlight w:val="none"/>
              </w:rPr>
              <w:t>COD</w:t>
            </w:r>
            <w:r>
              <w:rPr>
                <w:rFonts w:hint="eastAsia" w:ascii="Times New Roman" w:hAnsi="Times New Roman" w:eastAsia="宋体" w:cs="Times New Roman"/>
                <w:color w:val="auto"/>
                <w:highlight w:val="none"/>
              </w:rPr>
              <w:t>为</w:t>
            </w:r>
            <w:r>
              <w:rPr>
                <w:rFonts w:hint="default" w:ascii="Times New Roman" w:hAnsi="Times New Roman" w:eastAsia="宋体" w:cs="Times New Roman"/>
                <w:color w:val="auto"/>
                <w:highlight w:val="none"/>
              </w:rPr>
              <w:t>350mg/L</w:t>
            </w:r>
            <w:r>
              <w:rPr>
                <w:rFonts w:hint="eastAsia" w:ascii="Times New Roman" w:hAnsi="Times New Roman" w:eastAsia="宋体" w:cs="Times New Roman"/>
                <w:color w:val="auto"/>
                <w:highlight w:val="none"/>
              </w:rPr>
              <w:t>、</w:t>
            </w:r>
            <w:r>
              <w:rPr>
                <w:rFonts w:hint="default" w:ascii="Times New Roman" w:hAnsi="Times New Roman" w:eastAsia="宋体" w:cs="Times New Roman"/>
                <w:color w:val="auto"/>
                <w:highlight w:val="none"/>
              </w:rPr>
              <w:t>BOD</w:t>
            </w:r>
            <w:r>
              <w:rPr>
                <w:rFonts w:hint="default" w:ascii="Times New Roman" w:hAnsi="Times New Roman" w:eastAsia="宋体" w:cs="Times New Roman"/>
                <w:color w:val="auto"/>
                <w:highlight w:val="none"/>
                <w:vertAlign w:val="subscript"/>
              </w:rPr>
              <w:t>5</w:t>
            </w:r>
            <w:r>
              <w:rPr>
                <w:rFonts w:hint="eastAsia" w:ascii="Times New Roman" w:hAnsi="Times New Roman" w:eastAsia="宋体" w:cs="Times New Roman"/>
                <w:color w:val="auto"/>
                <w:highlight w:val="none"/>
              </w:rPr>
              <w:t>为</w:t>
            </w:r>
            <w:r>
              <w:rPr>
                <w:rFonts w:hint="default" w:ascii="Times New Roman" w:hAnsi="Times New Roman" w:eastAsia="宋体" w:cs="Times New Roman"/>
                <w:color w:val="auto"/>
                <w:highlight w:val="none"/>
              </w:rPr>
              <w:t>200mg/L</w:t>
            </w:r>
            <w:r>
              <w:rPr>
                <w:rFonts w:hint="eastAsia" w:ascii="Times New Roman" w:hAnsi="Times New Roman" w:eastAsia="宋体" w:cs="Times New Roman"/>
                <w:color w:val="auto"/>
                <w:highlight w:val="none"/>
              </w:rPr>
              <w:t>、</w:t>
            </w:r>
            <w:r>
              <w:rPr>
                <w:rFonts w:hint="default" w:ascii="Times New Roman" w:hAnsi="Times New Roman" w:eastAsia="宋体" w:cs="Times New Roman"/>
                <w:color w:val="auto"/>
                <w:highlight w:val="none"/>
              </w:rPr>
              <w:t>SS</w:t>
            </w:r>
            <w:r>
              <w:rPr>
                <w:rFonts w:hint="eastAsia" w:ascii="Times New Roman" w:hAnsi="Times New Roman" w:eastAsia="宋体" w:cs="Times New Roman"/>
                <w:color w:val="auto"/>
                <w:highlight w:val="none"/>
              </w:rPr>
              <w:t>为</w:t>
            </w:r>
            <w:r>
              <w:rPr>
                <w:rFonts w:hint="default" w:ascii="Times New Roman" w:hAnsi="Times New Roman" w:eastAsia="宋体" w:cs="Times New Roman"/>
                <w:color w:val="auto"/>
                <w:highlight w:val="none"/>
              </w:rPr>
              <w:t>300mg/L</w:t>
            </w:r>
            <w:r>
              <w:rPr>
                <w:rFonts w:hint="eastAsia" w:ascii="Times New Roman" w:hAnsi="Times New Roman" w:eastAsia="宋体" w:cs="Times New Roman"/>
                <w:color w:val="auto"/>
                <w:highlight w:val="none"/>
              </w:rPr>
              <w:t>、</w:t>
            </w:r>
            <w:r>
              <w:rPr>
                <w:rFonts w:hint="default" w:ascii="Times New Roman" w:hAnsi="Times New Roman" w:eastAsia="宋体" w:cs="Times New Roman"/>
                <w:color w:val="auto"/>
                <w:highlight w:val="none"/>
              </w:rPr>
              <w:t>NH</w:t>
            </w:r>
            <w:r>
              <w:rPr>
                <w:rFonts w:hint="default" w:ascii="Times New Roman" w:hAnsi="Times New Roman" w:eastAsia="宋体" w:cs="Times New Roman"/>
                <w:color w:val="auto"/>
                <w:highlight w:val="none"/>
                <w:vertAlign w:val="subscript"/>
              </w:rPr>
              <w:t>3</w:t>
            </w:r>
            <w:r>
              <w:rPr>
                <w:rFonts w:hint="default" w:ascii="Times New Roman" w:hAnsi="Times New Roman" w:eastAsia="宋体" w:cs="Times New Roman"/>
                <w:color w:val="auto"/>
                <w:highlight w:val="none"/>
              </w:rPr>
              <w:t>-N</w:t>
            </w:r>
            <w:r>
              <w:rPr>
                <w:rFonts w:hint="eastAsia" w:ascii="Times New Roman" w:hAnsi="Times New Roman" w:eastAsia="宋体" w:cs="Times New Roman"/>
                <w:color w:val="auto"/>
                <w:highlight w:val="none"/>
              </w:rPr>
              <w:t>为</w:t>
            </w:r>
            <w:r>
              <w:rPr>
                <w:rFonts w:hint="default" w:ascii="Times New Roman" w:hAnsi="Times New Roman" w:eastAsia="宋体" w:cs="Times New Roman"/>
                <w:color w:val="auto"/>
                <w:highlight w:val="none"/>
              </w:rPr>
              <w:t>30mg/L</w:t>
            </w:r>
            <w:r>
              <w:rPr>
                <w:rFonts w:hint="eastAsia" w:cs="Times New Roman"/>
                <w:color w:val="auto"/>
                <w:highlight w:val="none"/>
                <w:lang w:eastAsia="zh-CN"/>
              </w:rPr>
              <w:t>、</w:t>
            </w:r>
            <w:r>
              <w:rPr>
                <w:rFonts w:hint="eastAsia" w:cs="Times New Roman"/>
                <w:color w:val="auto"/>
                <w:highlight w:val="none"/>
                <w:lang w:val="en-US" w:eastAsia="zh-CN"/>
              </w:rPr>
              <w:t>TP为10</w:t>
            </w:r>
            <w:r>
              <w:rPr>
                <w:rFonts w:hint="default" w:ascii="Times New Roman" w:hAnsi="Times New Roman" w:eastAsia="宋体" w:cs="Times New Roman"/>
                <w:color w:val="auto"/>
                <w:highlight w:val="none"/>
              </w:rPr>
              <w:t>mg/L</w:t>
            </w:r>
            <w:r>
              <w:rPr>
                <w:rFonts w:hint="eastAsia" w:ascii="Times New Roman" w:hAnsi="Times New Roman" w:eastAsia="宋体" w:cs="Times New Roman"/>
                <w:color w:val="auto"/>
                <w:highlight w:val="none"/>
              </w:rPr>
              <w:t>。</w:t>
            </w:r>
            <w:r>
              <w:rPr>
                <w:rFonts w:hint="eastAsia"/>
                <w:color w:val="auto"/>
                <w:spacing w:val="-3"/>
                <w:sz w:val="24"/>
                <w:szCs w:val="24"/>
                <w:highlight w:val="none"/>
              </w:rPr>
              <w:t>本项目生</w:t>
            </w:r>
            <w:r>
              <w:rPr>
                <w:rFonts w:hint="eastAsia"/>
                <w:color w:val="auto"/>
                <w:spacing w:val="-3"/>
                <w:sz w:val="24"/>
                <w:szCs w:val="24"/>
              </w:rPr>
              <w:t>活污水经化粪池处理后达</w:t>
            </w:r>
            <w:r>
              <w:rPr>
                <w:rFonts w:hint="eastAsia"/>
                <w:color w:val="auto"/>
                <w:sz w:val="24"/>
                <w:lang w:val="en-US" w:eastAsia="zh-CN"/>
              </w:rPr>
              <w:t>到</w:t>
            </w:r>
            <w:r>
              <w:rPr>
                <w:color w:val="auto"/>
                <w:sz w:val="24"/>
                <w:lang w:val="en-US" w:eastAsia="zh-CN"/>
              </w:rPr>
              <w:t>华容县团洲乡团洲新村污水处理厂</w:t>
            </w:r>
            <w:r>
              <w:rPr>
                <w:rFonts w:hint="eastAsia"/>
                <w:color w:val="auto"/>
                <w:sz w:val="24"/>
                <w:lang w:val="en-US" w:eastAsia="zh-CN"/>
              </w:rPr>
              <w:t>进水水质标准后</w:t>
            </w:r>
            <w:r>
              <w:rPr>
                <w:rFonts w:hint="eastAsia"/>
                <w:color w:val="auto"/>
                <w:sz w:val="24"/>
              </w:rPr>
              <w:t>经</w:t>
            </w:r>
            <w:r>
              <w:rPr>
                <w:rFonts w:hint="eastAsia"/>
                <w:color w:val="auto"/>
                <w:sz w:val="24"/>
                <w:lang w:val="en-US" w:eastAsia="zh-CN"/>
              </w:rPr>
              <w:t>市政</w:t>
            </w:r>
            <w:r>
              <w:rPr>
                <w:rFonts w:hint="eastAsia"/>
                <w:color w:val="auto"/>
                <w:sz w:val="24"/>
              </w:rPr>
              <w:t>污水管网收集后</w:t>
            </w:r>
            <w:r>
              <w:rPr>
                <w:rFonts w:hint="eastAsia"/>
                <w:color w:val="auto"/>
                <w:sz w:val="24"/>
                <w:lang w:val="en-US" w:eastAsia="zh-CN"/>
              </w:rPr>
              <w:t>排入</w:t>
            </w:r>
            <w:r>
              <w:rPr>
                <w:color w:val="auto"/>
                <w:sz w:val="24"/>
                <w:lang w:val="en-US" w:eastAsia="zh-CN"/>
              </w:rPr>
              <w:t>华容县团洲乡团洲新村污水处理厂</w:t>
            </w:r>
            <w:r>
              <w:rPr>
                <w:rFonts w:hint="eastAsia"/>
                <w:color w:val="auto"/>
                <w:sz w:val="24"/>
              </w:rPr>
              <w:t>进行深度处理</w:t>
            </w:r>
            <w:r>
              <w:rPr>
                <w:rFonts w:hint="eastAsia"/>
                <w:color w:val="auto"/>
                <w:sz w:val="24"/>
                <w:lang w:eastAsia="zh-CN"/>
              </w:rPr>
              <w:t>，</w:t>
            </w:r>
            <w:r>
              <w:rPr>
                <w:rFonts w:hint="eastAsia"/>
                <w:color w:val="auto"/>
                <w:sz w:val="24"/>
                <w:lang w:val="en-US" w:eastAsia="zh-CN"/>
              </w:rPr>
              <w:t>经处理</w:t>
            </w:r>
            <w:r>
              <w:rPr>
                <w:rFonts w:hint="eastAsia"/>
                <w:color w:val="auto"/>
                <w:sz w:val="24"/>
              </w:rPr>
              <w:t>排水水质达《城镇污水处理厂污染物排放标准》（GB</w:t>
            </w:r>
            <w:r>
              <w:rPr>
                <w:rFonts w:hint="eastAsia"/>
                <w:color w:val="auto"/>
                <w:sz w:val="24"/>
                <w:lang w:val="en-US" w:eastAsia="zh-CN"/>
              </w:rPr>
              <w:t xml:space="preserve"> </w:t>
            </w:r>
            <w:r>
              <w:rPr>
                <w:rFonts w:hint="eastAsia"/>
                <w:color w:val="auto"/>
                <w:sz w:val="24"/>
              </w:rPr>
              <w:t>18918-2002）</w:t>
            </w:r>
            <w:r>
              <w:rPr>
                <w:rFonts w:hint="eastAsia" w:eastAsia="宋体"/>
                <w:color w:val="auto"/>
                <w:sz w:val="24"/>
              </w:rPr>
              <w:t>一级A标准后，</w:t>
            </w:r>
            <w:r>
              <w:rPr>
                <w:rFonts w:hint="eastAsia"/>
                <w:color w:val="auto"/>
                <w:sz w:val="24"/>
                <w:lang w:val="en-US" w:eastAsia="zh-CN"/>
              </w:rPr>
              <w:t>回用于县区洒水降尘及绿化（若有多余部分可回用于周边农田），</w:t>
            </w:r>
            <w:r>
              <w:rPr>
                <w:rFonts w:hint="eastAsia"/>
                <w:color w:val="auto"/>
                <w:sz w:val="24"/>
                <w:szCs w:val="24"/>
                <w:lang w:val="en-US" w:eastAsia="zh-CN"/>
              </w:rPr>
              <w:t>不直接外排周边水体，对周边环境影响较小</w:t>
            </w:r>
            <w:r>
              <w:rPr>
                <w:rFonts w:hint="eastAsia"/>
                <w:color w:val="auto"/>
                <w:sz w:val="24"/>
                <w:szCs w:val="24"/>
              </w:rPr>
              <w:t>。</w:t>
            </w:r>
          </w:p>
          <w:p>
            <w:pPr>
              <w:adjustRightInd w:val="0"/>
              <w:snapToGrid w:val="0"/>
              <w:ind w:firstLine="442" w:firstLineChars="200"/>
              <w:jc w:val="center"/>
              <w:rPr>
                <w:rFonts w:hint="eastAsia" w:cs="宋体"/>
                <w:b/>
                <w:color w:val="auto"/>
                <w:spacing w:val="-10"/>
                <w:sz w:val="24"/>
                <w:szCs w:val="21"/>
                <w:highlight w:val="none"/>
              </w:rPr>
            </w:pPr>
            <w:r>
              <w:rPr>
                <w:rFonts w:hint="eastAsia" w:cs="宋体"/>
                <w:b/>
                <w:color w:val="auto"/>
                <w:spacing w:val="-10"/>
                <w:sz w:val="24"/>
                <w:szCs w:val="21"/>
                <w:highlight w:val="none"/>
              </w:rPr>
              <w:t>表</w:t>
            </w:r>
            <w:r>
              <w:rPr>
                <w:rFonts w:hint="eastAsia" w:cs="宋体"/>
                <w:b/>
                <w:color w:val="auto"/>
                <w:spacing w:val="-10"/>
                <w:sz w:val="24"/>
                <w:szCs w:val="21"/>
                <w:highlight w:val="none"/>
                <w:lang w:val="en-US" w:eastAsia="zh-CN"/>
              </w:rPr>
              <w:t>4-2</w:t>
            </w:r>
            <w:r>
              <w:rPr>
                <w:rFonts w:hint="default" w:cs="宋体"/>
                <w:b/>
                <w:color w:val="auto"/>
                <w:spacing w:val="-10"/>
                <w:sz w:val="24"/>
                <w:szCs w:val="21"/>
                <w:highlight w:val="none"/>
              </w:rPr>
              <w:tab/>
            </w:r>
            <w:r>
              <w:rPr>
                <w:rFonts w:hint="eastAsia" w:cs="宋体"/>
                <w:b/>
                <w:color w:val="auto"/>
                <w:spacing w:val="-10"/>
                <w:sz w:val="24"/>
                <w:szCs w:val="21"/>
                <w:highlight w:val="none"/>
                <w:lang w:val="en-US" w:eastAsia="zh-CN"/>
              </w:rPr>
              <w:t xml:space="preserve"> </w:t>
            </w:r>
            <w:r>
              <w:rPr>
                <w:rFonts w:hint="eastAsia" w:cs="宋体"/>
                <w:b/>
                <w:color w:val="auto"/>
                <w:spacing w:val="-10"/>
                <w:sz w:val="24"/>
                <w:szCs w:val="21"/>
                <w:highlight w:val="none"/>
              </w:rPr>
              <w:t>项目运营期废水污染物产生情况一览表</w:t>
            </w:r>
          </w:p>
          <w:tbl>
            <w:tblPr>
              <w:tblStyle w:val="22"/>
              <w:tblW w:w="7937"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973"/>
              <w:gridCol w:w="1116"/>
              <w:gridCol w:w="1258"/>
              <w:gridCol w:w="1257"/>
              <w:gridCol w:w="1258"/>
              <w:gridCol w:w="1258"/>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0" w:hRule="atLeast"/>
                <w:jc w:val="center"/>
              </w:trPr>
              <w:tc>
                <w:tcPr>
                  <w:tcW w:w="817" w:type="dxa"/>
                  <w:tcBorders>
                    <w:tl2br w:val="nil"/>
                    <w:tr2bl w:val="nil"/>
                  </w:tcBorders>
                  <w:shd w:val="clear" w:color="auto" w:fill="F1F1F1"/>
                  <w:noWrap w:val="0"/>
                  <w:vAlign w:val="center"/>
                </w:tcPr>
                <w:p>
                  <w:pPr>
                    <w:pStyle w:val="50"/>
                    <w:jc w:val="center"/>
                    <w:rPr>
                      <w:rFonts w:hint="eastAsia" w:ascii="Times New Roman" w:hAnsi="Times New Roman" w:eastAsia="宋体" w:cs="Times New Roman"/>
                      <w:b/>
                      <w:bCs/>
                      <w:color w:val="auto"/>
                    </w:rPr>
                  </w:pPr>
                  <w:r>
                    <w:rPr>
                      <w:rFonts w:hint="eastAsia" w:ascii="Times New Roman" w:hAnsi="Times New Roman" w:eastAsia="宋体" w:cs="Times New Roman"/>
                      <w:b/>
                      <w:bCs/>
                      <w:color w:val="auto"/>
                    </w:rPr>
                    <w:t>项目</w:t>
                  </w:r>
                </w:p>
              </w:tc>
              <w:tc>
                <w:tcPr>
                  <w:tcW w:w="973" w:type="dxa"/>
                  <w:tcBorders>
                    <w:tl2br w:val="nil"/>
                    <w:tr2bl w:val="nil"/>
                  </w:tcBorders>
                  <w:shd w:val="clear" w:color="auto" w:fill="F1F1F1"/>
                  <w:noWrap w:val="0"/>
                  <w:vAlign w:val="center"/>
                </w:tcPr>
                <w:p>
                  <w:pPr>
                    <w:pStyle w:val="50"/>
                    <w:jc w:val="center"/>
                    <w:rPr>
                      <w:rFonts w:hint="eastAsia" w:ascii="Times New Roman" w:hAnsi="Times New Roman" w:eastAsia="宋体" w:cs="Times New Roman"/>
                      <w:b/>
                      <w:bCs/>
                      <w:color w:val="auto"/>
                    </w:rPr>
                  </w:pPr>
                  <w:r>
                    <w:rPr>
                      <w:rFonts w:hint="eastAsia" w:ascii="Times New Roman" w:hAnsi="Times New Roman" w:eastAsia="宋体" w:cs="Times New Roman"/>
                      <w:b/>
                      <w:bCs/>
                      <w:color w:val="auto"/>
                    </w:rPr>
                    <w:t>污染因子</w:t>
                  </w:r>
                </w:p>
              </w:tc>
              <w:tc>
                <w:tcPr>
                  <w:tcW w:w="1116" w:type="dxa"/>
                  <w:tcBorders>
                    <w:tl2br w:val="nil"/>
                    <w:tr2bl w:val="nil"/>
                  </w:tcBorders>
                  <w:shd w:val="clear" w:color="auto" w:fill="F1F1F1"/>
                  <w:noWrap w:val="0"/>
                  <w:vAlign w:val="center"/>
                </w:tcPr>
                <w:p>
                  <w:pPr>
                    <w:pStyle w:val="50"/>
                    <w:jc w:val="center"/>
                    <w:rPr>
                      <w:rFonts w:hint="eastAsia" w:ascii="Times New Roman" w:hAnsi="Times New Roman" w:eastAsia="宋体" w:cs="Times New Roman"/>
                      <w:b/>
                      <w:bCs/>
                      <w:color w:val="auto"/>
                    </w:rPr>
                  </w:pPr>
                  <w:r>
                    <w:rPr>
                      <w:rFonts w:hint="eastAsia" w:ascii="Times New Roman" w:hAnsi="Times New Roman" w:eastAsia="宋体" w:cs="Times New Roman"/>
                      <w:b/>
                      <w:bCs/>
                      <w:color w:val="auto"/>
                    </w:rPr>
                    <w:t>产生浓度</w:t>
                  </w:r>
                </w:p>
                <w:p>
                  <w:pPr>
                    <w:pStyle w:val="50"/>
                    <w:jc w:val="center"/>
                    <w:rPr>
                      <w:rFonts w:hint="eastAsia" w:ascii="Times New Roman" w:hAnsi="Times New Roman" w:eastAsia="宋体" w:cs="Times New Roman"/>
                      <w:b/>
                      <w:bCs/>
                      <w:color w:val="auto"/>
                    </w:rPr>
                  </w:pPr>
                  <w:r>
                    <w:rPr>
                      <w:rFonts w:hint="eastAsia" w:ascii="Times New Roman" w:hAnsi="Times New Roman" w:eastAsia="宋体" w:cs="Times New Roman"/>
                      <w:b/>
                      <w:bCs/>
                      <w:color w:val="auto"/>
                    </w:rPr>
                    <w:t>（</w:t>
                  </w:r>
                  <w:r>
                    <w:rPr>
                      <w:rFonts w:hint="default" w:ascii="Times New Roman" w:hAnsi="Times New Roman" w:eastAsia="宋体" w:cs="Times New Roman"/>
                      <w:b/>
                      <w:bCs/>
                      <w:color w:val="auto"/>
                    </w:rPr>
                    <w:t>mg/L</w:t>
                  </w:r>
                  <w:r>
                    <w:rPr>
                      <w:rFonts w:hint="eastAsia" w:ascii="Times New Roman" w:hAnsi="Times New Roman" w:eastAsia="宋体" w:cs="Times New Roman"/>
                      <w:b/>
                      <w:bCs/>
                      <w:color w:val="auto"/>
                    </w:rPr>
                    <w:t>）</w:t>
                  </w:r>
                </w:p>
              </w:tc>
              <w:tc>
                <w:tcPr>
                  <w:tcW w:w="1258" w:type="dxa"/>
                  <w:tcBorders>
                    <w:tl2br w:val="nil"/>
                    <w:tr2bl w:val="nil"/>
                  </w:tcBorders>
                  <w:shd w:val="clear" w:color="auto" w:fill="F1F1F1"/>
                  <w:noWrap w:val="0"/>
                  <w:vAlign w:val="center"/>
                </w:tcPr>
                <w:p>
                  <w:pPr>
                    <w:pStyle w:val="50"/>
                    <w:jc w:val="center"/>
                    <w:rPr>
                      <w:rFonts w:hint="eastAsia" w:ascii="Times New Roman" w:hAnsi="Times New Roman" w:eastAsia="宋体" w:cs="Times New Roman"/>
                      <w:b/>
                      <w:bCs/>
                      <w:color w:val="auto"/>
                    </w:rPr>
                  </w:pPr>
                  <w:r>
                    <w:rPr>
                      <w:rFonts w:hint="eastAsia" w:ascii="Times New Roman" w:hAnsi="Times New Roman" w:eastAsia="宋体" w:cs="Times New Roman"/>
                      <w:b/>
                      <w:bCs/>
                      <w:color w:val="auto"/>
                    </w:rPr>
                    <w:t>产生量</w:t>
                  </w:r>
                </w:p>
                <w:p>
                  <w:pPr>
                    <w:pStyle w:val="50"/>
                    <w:jc w:val="center"/>
                    <w:rPr>
                      <w:rFonts w:hint="eastAsia" w:ascii="Times New Roman" w:hAnsi="Times New Roman" w:eastAsia="宋体" w:cs="Times New Roman"/>
                      <w:b/>
                      <w:bCs/>
                      <w:color w:val="auto"/>
                    </w:rPr>
                  </w:pPr>
                  <w:r>
                    <w:rPr>
                      <w:rFonts w:hint="eastAsia" w:ascii="Times New Roman" w:hAnsi="Times New Roman" w:eastAsia="宋体" w:cs="Times New Roman"/>
                      <w:b/>
                      <w:bCs/>
                      <w:color w:val="auto"/>
                    </w:rPr>
                    <w:t>（</w:t>
                  </w:r>
                  <w:r>
                    <w:rPr>
                      <w:rFonts w:hint="default" w:ascii="Times New Roman" w:hAnsi="Times New Roman" w:eastAsia="宋体" w:cs="Times New Roman"/>
                      <w:b/>
                      <w:bCs/>
                      <w:color w:val="auto"/>
                    </w:rPr>
                    <w:t>t/a</w:t>
                  </w:r>
                  <w:r>
                    <w:rPr>
                      <w:rFonts w:hint="eastAsia" w:ascii="Times New Roman" w:hAnsi="Times New Roman" w:eastAsia="宋体" w:cs="Times New Roman"/>
                      <w:b/>
                      <w:bCs/>
                      <w:color w:val="auto"/>
                    </w:rPr>
                    <w:t>）</w:t>
                  </w:r>
                </w:p>
              </w:tc>
              <w:tc>
                <w:tcPr>
                  <w:tcW w:w="1257" w:type="dxa"/>
                  <w:tcBorders>
                    <w:tl2br w:val="nil"/>
                    <w:tr2bl w:val="nil"/>
                  </w:tcBorders>
                  <w:shd w:val="clear" w:color="auto" w:fill="F1F1F1"/>
                  <w:noWrap w:val="0"/>
                  <w:vAlign w:val="center"/>
                </w:tcPr>
                <w:p>
                  <w:pPr>
                    <w:pStyle w:val="50"/>
                    <w:jc w:val="center"/>
                    <w:rPr>
                      <w:rFonts w:hint="eastAsia" w:ascii="Times New Roman" w:hAnsi="Times New Roman" w:eastAsia="宋体" w:cs="Times New Roman"/>
                      <w:b/>
                      <w:bCs/>
                      <w:color w:val="auto"/>
                    </w:rPr>
                  </w:pPr>
                  <w:r>
                    <w:rPr>
                      <w:rFonts w:hint="eastAsia" w:ascii="Times New Roman" w:hAnsi="Times New Roman" w:eastAsia="宋体" w:cs="Times New Roman"/>
                      <w:b/>
                      <w:bCs/>
                      <w:color w:val="auto"/>
                    </w:rPr>
                    <w:t>处置措施</w:t>
                  </w:r>
                </w:p>
              </w:tc>
              <w:tc>
                <w:tcPr>
                  <w:tcW w:w="1258" w:type="dxa"/>
                  <w:tcBorders>
                    <w:tl2br w:val="nil"/>
                    <w:tr2bl w:val="nil"/>
                  </w:tcBorders>
                  <w:shd w:val="clear" w:color="auto" w:fill="F1F1F1"/>
                  <w:noWrap w:val="0"/>
                  <w:vAlign w:val="center"/>
                </w:tcPr>
                <w:p>
                  <w:pPr>
                    <w:pStyle w:val="50"/>
                    <w:jc w:val="center"/>
                    <w:rPr>
                      <w:rFonts w:hint="eastAsia" w:ascii="Times New Roman" w:hAnsi="Times New Roman" w:eastAsia="宋体" w:cs="Times New Roman"/>
                      <w:b/>
                      <w:bCs/>
                      <w:color w:val="auto"/>
                    </w:rPr>
                  </w:pPr>
                  <w:r>
                    <w:rPr>
                      <w:rFonts w:hint="eastAsia" w:ascii="Times New Roman" w:hAnsi="Times New Roman" w:eastAsia="宋体" w:cs="Times New Roman"/>
                      <w:b/>
                      <w:bCs/>
                      <w:color w:val="auto"/>
                    </w:rPr>
                    <w:t>排放浓度</w:t>
                  </w:r>
                </w:p>
                <w:p>
                  <w:pPr>
                    <w:pStyle w:val="50"/>
                    <w:jc w:val="center"/>
                    <w:rPr>
                      <w:rFonts w:hint="eastAsia" w:ascii="Times New Roman" w:hAnsi="Times New Roman" w:eastAsia="宋体" w:cs="Times New Roman"/>
                      <w:b/>
                      <w:bCs/>
                      <w:color w:val="auto"/>
                    </w:rPr>
                  </w:pPr>
                  <w:r>
                    <w:rPr>
                      <w:rFonts w:hint="eastAsia" w:ascii="Times New Roman" w:hAnsi="Times New Roman" w:eastAsia="宋体" w:cs="Times New Roman"/>
                      <w:b/>
                      <w:bCs/>
                      <w:color w:val="auto"/>
                    </w:rPr>
                    <w:t>（</w:t>
                  </w:r>
                  <w:r>
                    <w:rPr>
                      <w:rFonts w:hint="default" w:ascii="Times New Roman" w:hAnsi="Times New Roman" w:eastAsia="宋体" w:cs="Times New Roman"/>
                      <w:b/>
                      <w:bCs/>
                      <w:color w:val="auto"/>
                    </w:rPr>
                    <w:t>mg/L</w:t>
                  </w:r>
                  <w:r>
                    <w:rPr>
                      <w:rFonts w:hint="eastAsia" w:ascii="Times New Roman" w:hAnsi="Times New Roman" w:eastAsia="宋体" w:cs="Times New Roman"/>
                      <w:b/>
                      <w:bCs/>
                      <w:color w:val="auto"/>
                    </w:rPr>
                    <w:t>）</w:t>
                  </w:r>
                </w:p>
              </w:tc>
              <w:tc>
                <w:tcPr>
                  <w:tcW w:w="1258" w:type="dxa"/>
                  <w:tcBorders>
                    <w:tl2br w:val="nil"/>
                    <w:tr2bl w:val="nil"/>
                  </w:tcBorders>
                  <w:shd w:val="clear" w:color="auto" w:fill="F1F1F1"/>
                  <w:noWrap w:val="0"/>
                  <w:vAlign w:val="center"/>
                </w:tcPr>
                <w:p>
                  <w:pPr>
                    <w:pStyle w:val="50"/>
                    <w:jc w:val="center"/>
                    <w:rPr>
                      <w:rFonts w:hint="eastAsia" w:ascii="Times New Roman" w:hAnsi="Times New Roman" w:eastAsia="宋体" w:cs="Times New Roman"/>
                      <w:b/>
                      <w:bCs/>
                      <w:color w:val="auto"/>
                    </w:rPr>
                  </w:pPr>
                  <w:r>
                    <w:rPr>
                      <w:rFonts w:hint="eastAsia" w:ascii="Times New Roman" w:hAnsi="Times New Roman" w:eastAsia="宋体" w:cs="Times New Roman"/>
                      <w:b/>
                      <w:bCs/>
                      <w:color w:val="auto"/>
                    </w:rPr>
                    <w:t>排放量</w:t>
                  </w:r>
                </w:p>
                <w:p>
                  <w:pPr>
                    <w:pStyle w:val="50"/>
                    <w:jc w:val="center"/>
                    <w:rPr>
                      <w:rFonts w:hint="eastAsia" w:ascii="Times New Roman" w:hAnsi="Times New Roman" w:eastAsia="宋体" w:cs="Times New Roman"/>
                      <w:b/>
                      <w:bCs/>
                      <w:color w:val="auto"/>
                    </w:rPr>
                  </w:pPr>
                  <w:r>
                    <w:rPr>
                      <w:rFonts w:hint="eastAsia" w:ascii="Times New Roman" w:hAnsi="Times New Roman" w:eastAsia="宋体" w:cs="Times New Roman"/>
                      <w:b/>
                      <w:bCs/>
                      <w:color w:val="auto"/>
                    </w:rPr>
                    <w:t>（</w:t>
                  </w:r>
                  <w:r>
                    <w:rPr>
                      <w:rFonts w:hint="default" w:ascii="Times New Roman" w:hAnsi="Times New Roman" w:eastAsia="宋体" w:cs="Times New Roman"/>
                      <w:b/>
                      <w:bCs/>
                      <w:color w:val="auto"/>
                    </w:rPr>
                    <w:t>t/a</w:t>
                  </w:r>
                  <w:r>
                    <w:rPr>
                      <w:rFonts w:hint="eastAsia" w:ascii="Times New Roman" w:hAnsi="Times New Roman" w:eastAsia="宋体" w:cs="Times New Roman"/>
                      <w:b/>
                      <w:bCs/>
                      <w:color w:val="auto"/>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0" w:hRule="atLeast"/>
                <w:jc w:val="center"/>
              </w:trPr>
              <w:tc>
                <w:tcPr>
                  <w:tcW w:w="817" w:type="dxa"/>
                  <w:vMerge w:val="restart"/>
                  <w:tcBorders>
                    <w:tl2br w:val="nil"/>
                    <w:tr2bl w:val="nil"/>
                  </w:tcBorders>
                  <w:noWrap w:val="0"/>
                  <w:vAlign w:val="center"/>
                </w:tcPr>
                <w:p>
                  <w:pPr>
                    <w:pStyle w:val="5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生活污水</w:t>
                  </w:r>
                </w:p>
                <w:p>
                  <w:pPr>
                    <w:pStyle w:val="50"/>
                    <w:jc w:val="both"/>
                    <w:rPr>
                      <w:rFonts w:hint="default" w:ascii="Times New Roman" w:hAnsi="Times New Roman" w:eastAsia="宋体" w:cs="Times New Roman"/>
                      <w:color w:val="auto"/>
                    </w:rPr>
                  </w:pPr>
                  <w:r>
                    <w:rPr>
                      <w:rFonts w:hint="eastAsia" w:cs="Times New Roman"/>
                      <w:color w:val="auto"/>
                      <w:lang w:val="en-US" w:eastAsia="zh-CN"/>
                    </w:rPr>
                    <w:t>58400</w:t>
                  </w:r>
                  <w:r>
                    <w:rPr>
                      <w:rFonts w:hint="default" w:ascii="Times New Roman" w:hAnsi="Times New Roman" w:eastAsia="宋体" w:cs="Times New Roman"/>
                      <w:color w:val="auto"/>
                    </w:rPr>
                    <w:t>m</w:t>
                  </w:r>
                  <w:r>
                    <w:rPr>
                      <w:rFonts w:hint="default" w:ascii="Times New Roman" w:hAnsi="Times New Roman" w:eastAsia="宋体" w:cs="Times New Roman"/>
                      <w:color w:val="auto"/>
                      <w:vertAlign w:val="superscript"/>
                    </w:rPr>
                    <w:t>3</w:t>
                  </w:r>
                  <w:r>
                    <w:rPr>
                      <w:rFonts w:hint="default" w:ascii="Times New Roman" w:hAnsi="Times New Roman" w:eastAsia="宋体" w:cs="Times New Roman"/>
                      <w:color w:val="auto"/>
                    </w:rPr>
                    <w:t>/a</w:t>
                  </w:r>
                </w:p>
              </w:tc>
              <w:tc>
                <w:tcPr>
                  <w:tcW w:w="973" w:type="dxa"/>
                  <w:tcBorders>
                    <w:tl2br w:val="nil"/>
                    <w:tr2bl w:val="nil"/>
                  </w:tcBorders>
                  <w:noWrap w:val="0"/>
                  <w:vAlign w:val="center"/>
                </w:tcPr>
                <w:p>
                  <w:pPr>
                    <w:pStyle w:val="50"/>
                    <w:jc w:val="center"/>
                    <w:rPr>
                      <w:rFonts w:hint="default" w:ascii="Times New Roman" w:hAnsi="Times New Roman" w:eastAsia="宋体" w:cs="Times New Roman"/>
                      <w:color w:val="auto"/>
                    </w:rPr>
                  </w:pPr>
                  <w:r>
                    <w:rPr>
                      <w:rFonts w:hint="default" w:ascii="Times New Roman" w:hAnsi="Times New Roman" w:eastAsia="宋体" w:cs="Times New Roman"/>
                      <w:color w:val="auto"/>
                    </w:rPr>
                    <w:t>COD</w:t>
                  </w:r>
                </w:p>
              </w:tc>
              <w:tc>
                <w:tcPr>
                  <w:tcW w:w="111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b/>
                      <w:bCs/>
                      <w:i w:val="0"/>
                      <w:iCs w:val="0"/>
                      <w:color w:val="auto"/>
                      <w:kern w:val="0"/>
                      <w:sz w:val="21"/>
                      <w:szCs w:val="21"/>
                      <w:u w:val="none"/>
                      <w:lang w:val="en-US" w:eastAsia="zh-CN" w:bidi="ar"/>
                    </w:rPr>
                    <w:t>350</w:t>
                  </w:r>
                </w:p>
              </w:tc>
              <w:tc>
                <w:tcPr>
                  <w:tcW w:w="1258"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20.440 </w:t>
                  </w:r>
                </w:p>
              </w:tc>
              <w:tc>
                <w:tcPr>
                  <w:tcW w:w="1257" w:type="dxa"/>
                  <w:vMerge w:val="restart"/>
                  <w:tcBorders>
                    <w:tl2br w:val="nil"/>
                    <w:tr2bl w:val="nil"/>
                  </w:tcBorders>
                  <w:noWrap w:val="0"/>
                  <w:vAlign w:val="center"/>
                </w:tcPr>
                <w:p>
                  <w:pPr>
                    <w:pStyle w:val="5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化粪池</w:t>
                  </w:r>
                  <w:r>
                    <w:rPr>
                      <w:rFonts w:hint="default" w:ascii="Times New Roman" w:hAnsi="Times New Roman" w:eastAsia="宋体" w:cs="Times New Roman"/>
                      <w:color w:val="auto"/>
                    </w:rPr>
                    <w:t>+</w:t>
                  </w:r>
                  <w:r>
                    <w:rPr>
                      <w:rFonts w:hint="eastAsia"/>
                      <w:color w:val="auto"/>
                    </w:rPr>
                    <w:t>城镇污水处理厂</w:t>
                  </w:r>
                </w:p>
              </w:tc>
              <w:tc>
                <w:tcPr>
                  <w:tcW w:w="1258"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b/>
                      <w:bCs/>
                      <w:i w:val="0"/>
                      <w:iCs w:val="0"/>
                      <w:color w:val="auto"/>
                      <w:kern w:val="0"/>
                      <w:sz w:val="21"/>
                      <w:szCs w:val="21"/>
                      <w:u w:val="none"/>
                      <w:lang w:val="en-US" w:eastAsia="zh-CN" w:bidi="ar"/>
                    </w:rPr>
                    <w:t>50</w:t>
                  </w:r>
                </w:p>
              </w:tc>
              <w:tc>
                <w:tcPr>
                  <w:tcW w:w="1258"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i w:val="0"/>
                      <w:iCs w:val="0"/>
                      <w:color w:val="auto"/>
                      <w:kern w:val="0"/>
                      <w:sz w:val="21"/>
                      <w:szCs w:val="21"/>
                      <w:u w:val="none"/>
                      <w:lang w:val="en-US" w:eastAsia="zh-CN" w:bidi="ar"/>
                    </w:rPr>
                    <w:t xml:space="preserve">2.920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0" w:hRule="atLeast"/>
                <w:jc w:val="center"/>
              </w:trPr>
              <w:tc>
                <w:tcPr>
                  <w:tcW w:w="817" w:type="dxa"/>
                  <w:vMerge w:val="continue"/>
                  <w:tcBorders>
                    <w:tl2br w:val="nil"/>
                    <w:tr2bl w:val="nil"/>
                  </w:tcBorders>
                  <w:noWrap w:val="0"/>
                  <w:vAlign w:val="center"/>
                </w:tcPr>
                <w:p>
                  <w:pPr>
                    <w:pStyle w:val="50"/>
                    <w:jc w:val="center"/>
                    <w:rPr>
                      <w:rFonts w:hint="eastAsia" w:ascii="Times New Roman" w:hAnsi="Times New Roman" w:eastAsia="宋体" w:cs="Times New Roman"/>
                      <w:color w:val="auto"/>
                    </w:rPr>
                  </w:pPr>
                </w:p>
              </w:tc>
              <w:tc>
                <w:tcPr>
                  <w:tcW w:w="973" w:type="dxa"/>
                  <w:tcBorders>
                    <w:tl2br w:val="nil"/>
                    <w:tr2bl w:val="nil"/>
                  </w:tcBorders>
                  <w:noWrap w:val="0"/>
                  <w:vAlign w:val="center"/>
                </w:tcPr>
                <w:p>
                  <w:pPr>
                    <w:pStyle w:val="5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rPr>
                    <w:t>BOD</w:t>
                  </w:r>
                  <w:r>
                    <w:rPr>
                      <w:rFonts w:hint="eastAsia" w:ascii="Times New Roman" w:hAnsi="Times New Roman" w:eastAsia="宋体" w:cs="Times New Roman"/>
                      <w:color w:val="auto"/>
                      <w:vertAlign w:val="subscript"/>
                      <w:lang w:val="en-US" w:eastAsia="zh-CN"/>
                    </w:rPr>
                    <w:t>5</w:t>
                  </w:r>
                </w:p>
              </w:tc>
              <w:tc>
                <w:tcPr>
                  <w:tcW w:w="111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b/>
                      <w:bCs/>
                      <w:i w:val="0"/>
                      <w:iCs w:val="0"/>
                      <w:color w:val="auto"/>
                      <w:kern w:val="0"/>
                      <w:sz w:val="21"/>
                      <w:szCs w:val="21"/>
                      <w:u w:val="none"/>
                      <w:lang w:val="en-US" w:eastAsia="zh-CN" w:bidi="ar"/>
                    </w:rPr>
                    <w:t>200</w:t>
                  </w:r>
                </w:p>
              </w:tc>
              <w:tc>
                <w:tcPr>
                  <w:tcW w:w="1258"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i w:val="0"/>
                      <w:iCs w:val="0"/>
                      <w:color w:val="auto"/>
                      <w:kern w:val="0"/>
                      <w:sz w:val="21"/>
                      <w:szCs w:val="21"/>
                      <w:u w:val="none"/>
                      <w:lang w:val="en-US" w:eastAsia="zh-CN" w:bidi="ar"/>
                    </w:rPr>
                    <w:t xml:space="preserve">11.680 </w:t>
                  </w:r>
                </w:p>
              </w:tc>
              <w:tc>
                <w:tcPr>
                  <w:tcW w:w="1257" w:type="dxa"/>
                  <w:vMerge w:val="continue"/>
                  <w:tcBorders>
                    <w:tl2br w:val="nil"/>
                    <w:tr2bl w:val="nil"/>
                  </w:tcBorders>
                  <w:noWrap w:val="0"/>
                  <w:vAlign w:val="center"/>
                </w:tcPr>
                <w:p>
                  <w:pPr>
                    <w:pStyle w:val="50"/>
                    <w:jc w:val="center"/>
                    <w:rPr>
                      <w:rFonts w:hint="eastAsia" w:ascii="Times New Roman" w:hAnsi="Times New Roman" w:eastAsia="宋体" w:cs="Times New Roman"/>
                      <w:color w:val="auto"/>
                    </w:rPr>
                  </w:pPr>
                </w:p>
              </w:tc>
              <w:tc>
                <w:tcPr>
                  <w:tcW w:w="1258"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b/>
                      <w:bCs/>
                      <w:i w:val="0"/>
                      <w:iCs w:val="0"/>
                      <w:color w:val="auto"/>
                      <w:kern w:val="0"/>
                      <w:sz w:val="21"/>
                      <w:szCs w:val="21"/>
                      <w:u w:val="none"/>
                      <w:lang w:val="en-US" w:eastAsia="zh-CN" w:bidi="ar"/>
                    </w:rPr>
                    <w:t>10</w:t>
                  </w:r>
                </w:p>
              </w:tc>
              <w:tc>
                <w:tcPr>
                  <w:tcW w:w="1258"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i w:val="0"/>
                      <w:iCs w:val="0"/>
                      <w:color w:val="auto"/>
                      <w:kern w:val="0"/>
                      <w:sz w:val="21"/>
                      <w:szCs w:val="21"/>
                      <w:u w:val="none"/>
                      <w:lang w:val="en-US" w:eastAsia="zh-CN" w:bidi="ar"/>
                    </w:rPr>
                    <w:t xml:space="preserve">0.584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17" w:type="dxa"/>
                  <w:vMerge w:val="continue"/>
                  <w:tcBorders>
                    <w:tl2br w:val="nil"/>
                    <w:tr2bl w:val="nil"/>
                  </w:tcBorders>
                  <w:noWrap w:val="0"/>
                  <w:vAlign w:val="center"/>
                </w:tcPr>
                <w:p>
                  <w:pPr>
                    <w:pStyle w:val="50"/>
                    <w:jc w:val="center"/>
                    <w:rPr>
                      <w:rFonts w:hint="eastAsia" w:ascii="Times New Roman" w:hAnsi="Times New Roman" w:eastAsia="宋体" w:cs="Times New Roman"/>
                      <w:color w:val="auto"/>
                    </w:rPr>
                  </w:pPr>
                </w:p>
              </w:tc>
              <w:tc>
                <w:tcPr>
                  <w:tcW w:w="973" w:type="dxa"/>
                  <w:tcBorders>
                    <w:tl2br w:val="nil"/>
                    <w:tr2bl w:val="nil"/>
                  </w:tcBorders>
                  <w:noWrap w:val="0"/>
                  <w:vAlign w:val="center"/>
                </w:tcPr>
                <w:p>
                  <w:pPr>
                    <w:pStyle w:val="50"/>
                    <w:jc w:val="center"/>
                    <w:rPr>
                      <w:rFonts w:hint="default" w:ascii="Times New Roman" w:hAnsi="Times New Roman" w:eastAsia="宋体" w:cs="Times New Roman"/>
                      <w:color w:val="auto"/>
                    </w:rPr>
                  </w:pPr>
                  <w:r>
                    <w:rPr>
                      <w:rFonts w:hint="default" w:ascii="Times New Roman" w:hAnsi="Times New Roman" w:eastAsia="宋体" w:cs="Times New Roman"/>
                      <w:color w:val="auto"/>
                    </w:rPr>
                    <w:t>NH</w:t>
                  </w:r>
                  <w:r>
                    <w:rPr>
                      <w:rFonts w:hint="default" w:ascii="Times New Roman" w:hAnsi="Times New Roman" w:eastAsia="宋体" w:cs="Times New Roman"/>
                      <w:color w:val="auto"/>
                      <w:vertAlign w:val="subscript"/>
                    </w:rPr>
                    <w:t>3</w:t>
                  </w:r>
                  <w:r>
                    <w:rPr>
                      <w:rFonts w:hint="default" w:ascii="Times New Roman" w:hAnsi="Times New Roman" w:eastAsia="宋体" w:cs="Times New Roman"/>
                      <w:color w:val="auto"/>
                    </w:rPr>
                    <w:t>-N</w:t>
                  </w:r>
                </w:p>
              </w:tc>
              <w:tc>
                <w:tcPr>
                  <w:tcW w:w="111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b/>
                      <w:bCs/>
                      <w:i w:val="0"/>
                      <w:iCs w:val="0"/>
                      <w:color w:val="auto"/>
                      <w:kern w:val="0"/>
                      <w:sz w:val="21"/>
                      <w:szCs w:val="21"/>
                      <w:u w:val="none"/>
                      <w:lang w:val="en-US" w:eastAsia="zh-CN" w:bidi="ar"/>
                    </w:rPr>
                    <w:t>30</w:t>
                  </w:r>
                </w:p>
              </w:tc>
              <w:tc>
                <w:tcPr>
                  <w:tcW w:w="1258"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i w:val="0"/>
                      <w:iCs w:val="0"/>
                      <w:color w:val="auto"/>
                      <w:kern w:val="0"/>
                      <w:sz w:val="21"/>
                      <w:szCs w:val="21"/>
                      <w:u w:val="none"/>
                      <w:lang w:val="en-US" w:eastAsia="zh-CN" w:bidi="ar"/>
                    </w:rPr>
                    <w:t xml:space="preserve">1.752 </w:t>
                  </w:r>
                </w:p>
              </w:tc>
              <w:tc>
                <w:tcPr>
                  <w:tcW w:w="1257" w:type="dxa"/>
                  <w:vMerge w:val="continue"/>
                  <w:tcBorders>
                    <w:tl2br w:val="nil"/>
                    <w:tr2bl w:val="nil"/>
                  </w:tcBorders>
                  <w:noWrap w:val="0"/>
                  <w:vAlign w:val="center"/>
                </w:tcPr>
                <w:p>
                  <w:pPr>
                    <w:pStyle w:val="50"/>
                    <w:jc w:val="center"/>
                    <w:rPr>
                      <w:rFonts w:hint="eastAsia" w:ascii="Times New Roman" w:hAnsi="Times New Roman" w:eastAsia="宋体" w:cs="Times New Roman"/>
                      <w:color w:val="auto"/>
                    </w:rPr>
                  </w:pPr>
                </w:p>
              </w:tc>
              <w:tc>
                <w:tcPr>
                  <w:tcW w:w="1258"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b/>
                      <w:bCs/>
                      <w:i w:val="0"/>
                      <w:iCs w:val="0"/>
                      <w:color w:val="auto"/>
                      <w:kern w:val="0"/>
                      <w:sz w:val="21"/>
                      <w:szCs w:val="21"/>
                      <w:u w:val="none"/>
                      <w:lang w:val="en-US" w:eastAsia="zh-CN" w:bidi="ar"/>
                    </w:rPr>
                    <w:t>8</w:t>
                  </w:r>
                </w:p>
              </w:tc>
              <w:tc>
                <w:tcPr>
                  <w:tcW w:w="1258"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i w:val="0"/>
                      <w:iCs w:val="0"/>
                      <w:color w:val="auto"/>
                      <w:kern w:val="0"/>
                      <w:sz w:val="21"/>
                      <w:szCs w:val="21"/>
                      <w:u w:val="none"/>
                      <w:lang w:val="en-US" w:eastAsia="zh-CN" w:bidi="ar"/>
                    </w:rPr>
                    <w:t xml:space="preserve">0.467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0" w:hRule="atLeast"/>
                <w:jc w:val="center"/>
              </w:trPr>
              <w:tc>
                <w:tcPr>
                  <w:tcW w:w="817" w:type="dxa"/>
                  <w:vMerge w:val="continue"/>
                  <w:tcBorders>
                    <w:tl2br w:val="nil"/>
                    <w:tr2bl w:val="nil"/>
                  </w:tcBorders>
                  <w:noWrap w:val="0"/>
                  <w:vAlign w:val="center"/>
                </w:tcPr>
                <w:p>
                  <w:pPr>
                    <w:pStyle w:val="50"/>
                    <w:jc w:val="center"/>
                    <w:rPr>
                      <w:rFonts w:hint="eastAsia" w:ascii="Times New Roman" w:hAnsi="Times New Roman" w:eastAsia="宋体" w:cs="Times New Roman"/>
                      <w:color w:val="auto"/>
                    </w:rPr>
                  </w:pPr>
                </w:p>
              </w:tc>
              <w:tc>
                <w:tcPr>
                  <w:tcW w:w="973" w:type="dxa"/>
                  <w:tcBorders>
                    <w:tl2br w:val="nil"/>
                    <w:tr2bl w:val="nil"/>
                  </w:tcBorders>
                  <w:noWrap w:val="0"/>
                  <w:vAlign w:val="center"/>
                </w:tcPr>
                <w:p>
                  <w:pPr>
                    <w:pStyle w:val="50"/>
                    <w:jc w:val="center"/>
                    <w:rPr>
                      <w:rFonts w:hint="default" w:ascii="Times New Roman" w:hAnsi="Times New Roman" w:eastAsia="宋体" w:cs="Times New Roman"/>
                      <w:color w:val="auto"/>
                    </w:rPr>
                  </w:pPr>
                  <w:r>
                    <w:rPr>
                      <w:rFonts w:hint="default" w:ascii="Times New Roman" w:hAnsi="Times New Roman" w:eastAsia="宋体" w:cs="Times New Roman"/>
                      <w:color w:val="auto"/>
                    </w:rPr>
                    <w:t>SS</w:t>
                  </w:r>
                </w:p>
              </w:tc>
              <w:tc>
                <w:tcPr>
                  <w:tcW w:w="111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rPr>
                  </w:pPr>
                  <w:r>
                    <w:rPr>
                      <w:rFonts w:hint="eastAsia" w:cs="Times New Roman"/>
                      <w:b/>
                      <w:bCs/>
                      <w:i w:val="0"/>
                      <w:iCs w:val="0"/>
                      <w:color w:val="auto"/>
                      <w:kern w:val="0"/>
                      <w:sz w:val="21"/>
                      <w:szCs w:val="21"/>
                      <w:u w:val="none"/>
                      <w:lang w:val="en-US" w:eastAsia="zh-CN" w:bidi="ar"/>
                    </w:rPr>
                    <w:t>3</w:t>
                  </w:r>
                  <w:r>
                    <w:rPr>
                      <w:rFonts w:hint="default" w:ascii="Times New Roman" w:hAnsi="Times New Roman" w:eastAsia="宋体" w:cs="Times New Roman"/>
                      <w:b/>
                      <w:bCs/>
                      <w:i w:val="0"/>
                      <w:iCs w:val="0"/>
                      <w:color w:val="auto"/>
                      <w:kern w:val="0"/>
                      <w:sz w:val="21"/>
                      <w:szCs w:val="21"/>
                      <w:u w:val="none"/>
                      <w:lang w:val="en-US" w:eastAsia="zh-CN" w:bidi="ar"/>
                    </w:rPr>
                    <w:t>00</w:t>
                  </w:r>
                </w:p>
              </w:tc>
              <w:tc>
                <w:tcPr>
                  <w:tcW w:w="1258"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i w:val="0"/>
                      <w:iCs w:val="0"/>
                      <w:color w:val="auto"/>
                      <w:kern w:val="0"/>
                      <w:sz w:val="21"/>
                      <w:szCs w:val="21"/>
                      <w:u w:val="none"/>
                      <w:lang w:val="en-US" w:eastAsia="zh-CN" w:bidi="ar"/>
                    </w:rPr>
                    <w:t xml:space="preserve">17.520 </w:t>
                  </w:r>
                </w:p>
              </w:tc>
              <w:tc>
                <w:tcPr>
                  <w:tcW w:w="1257" w:type="dxa"/>
                  <w:vMerge w:val="continue"/>
                  <w:tcBorders>
                    <w:tl2br w:val="nil"/>
                    <w:tr2bl w:val="nil"/>
                  </w:tcBorders>
                  <w:noWrap w:val="0"/>
                  <w:vAlign w:val="center"/>
                </w:tcPr>
                <w:p>
                  <w:pPr>
                    <w:pStyle w:val="50"/>
                    <w:jc w:val="center"/>
                    <w:rPr>
                      <w:rFonts w:hint="eastAsia" w:ascii="Times New Roman" w:hAnsi="Times New Roman" w:eastAsia="宋体" w:cs="Times New Roman"/>
                      <w:color w:val="auto"/>
                    </w:rPr>
                  </w:pPr>
                </w:p>
              </w:tc>
              <w:tc>
                <w:tcPr>
                  <w:tcW w:w="1258"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b/>
                      <w:bCs/>
                      <w:i w:val="0"/>
                      <w:iCs w:val="0"/>
                      <w:color w:val="auto"/>
                      <w:kern w:val="0"/>
                      <w:sz w:val="21"/>
                      <w:szCs w:val="21"/>
                      <w:u w:val="none"/>
                      <w:lang w:val="en-US" w:eastAsia="zh-CN" w:bidi="ar"/>
                    </w:rPr>
                    <w:t>10</w:t>
                  </w:r>
                </w:p>
              </w:tc>
              <w:tc>
                <w:tcPr>
                  <w:tcW w:w="1258"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i w:val="0"/>
                      <w:iCs w:val="0"/>
                      <w:color w:val="auto"/>
                      <w:kern w:val="0"/>
                      <w:sz w:val="21"/>
                      <w:szCs w:val="21"/>
                      <w:u w:val="none"/>
                      <w:lang w:val="en-US" w:eastAsia="zh-CN" w:bidi="ar"/>
                    </w:rPr>
                    <w:t xml:space="preserve">0.584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0" w:hRule="atLeast"/>
                <w:jc w:val="center"/>
              </w:trPr>
              <w:tc>
                <w:tcPr>
                  <w:tcW w:w="817" w:type="dxa"/>
                  <w:vMerge w:val="continue"/>
                  <w:tcBorders>
                    <w:tl2br w:val="nil"/>
                    <w:tr2bl w:val="nil"/>
                  </w:tcBorders>
                  <w:noWrap w:val="0"/>
                  <w:vAlign w:val="center"/>
                </w:tcPr>
                <w:p>
                  <w:pPr>
                    <w:pStyle w:val="50"/>
                    <w:jc w:val="center"/>
                    <w:rPr>
                      <w:rFonts w:hint="eastAsia" w:ascii="Times New Roman" w:hAnsi="Times New Roman" w:eastAsia="宋体" w:cs="Times New Roman"/>
                      <w:color w:val="auto"/>
                    </w:rPr>
                  </w:pPr>
                </w:p>
              </w:tc>
              <w:tc>
                <w:tcPr>
                  <w:tcW w:w="973" w:type="dxa"/>
                  <w:tcBorders>
                    <w:tl2br w:val="nil"/>
                    <w:tr2bl w:val="nil"/>
                  </w:tcBorders>
                  <w:noWrap w:val="0"/>
                  <w:vAlign w:val="center"/>
                </w:tcPr>
                <w:p>
                  <w:pPr>
                    <w:pStyle w:val="50"/>
                    <w:jc w:val="center"/>
                    <w:rPr>
                      <w:rFonts w:hint="eastAsia" w:ascii="Times New Roman" w:hAnsi="Times New Roman" w:eastAsia="宋体" w:cs="Times New Roman"/>
                      <w:color w:val="auto"/>
                      <w:lang w:val="en-US" w:eastAsia="zh-CN"/>
                    </w:rPr>
                  </w:pPr>
                  <w:r>
                    <w:rPr>
                      <w:rFonts w:hint="eastAsia" w:cs="Times New Roman"/>
                      <w:color w:val="auto"/>
                      <w:lang w:val="en-US" w:eastAsia="zh-CN"/>
                    </w:rPr>
                    <w:t>TP</w:t>
                  </w:r>
                </w:p>
              </w:tc>
              <w:tc>
                <w:tcPr>
                  <w:tcW w:w="111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eastAsia" w:cs="Times New Roman"/>
                      <w:b/>
                      <w:bCs/>
                      <w:i w:val="0"/>
                      <w:iCs w:val="0"/>
                      <w:color w:val="auto"/>
                      <w:kern w:val="0"/>
                      <w:sz w:val="21"/>
                      <w:szCs w:val="21"/>
                      <w:u w:val="none"/>
                      <w:lang w:val="en-US" w:eastAsia="zh-CN" w:bidi="ar"/>
                    </w:rPr>
                    <w:t>10</w:t>
                  </w:r>
                </w:p>
              </w:tc>
              <w:tc>
                <w:tcPr>
                  <w:tcW w:w="1258"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0.584 </w:t>
                  </w:r>
                </w:p>
              </w:tc>
              <w:tc>
                <w:tcPr>
                  <w:tcW w:w="1257" w:type="dxa"/>
                  <w:vMerge w:val="continue"/>
                  <w:tcBorders>
                    <w:tl2br w:val="nil"/>
                    <w:tr2bl w:val="nil"/>
                  </w:tcBorders>
                  <w:noWrap w:val="0"/>
                  <w:vAlign w:val="center"/>
                </w:tcPr>
                <w:p>
                  <w:pPr>
                    <w:pStyle w:val="50"/>
                    <w:jc w:val="center"/>
                    <w:rPr>
                      <w:rFonts w:hint="eastAsia" w:ascii="Times New Roman" w:hAnsi="Times New Roman" w:eastAsia="宋体" w:cs="Times New Roman"/>
                      <w:color w:val="auto"/>
                    </w:rPr>
                  </w:pPr>
                </w:p>
              </w:tc>
              <w:tc>
                <w:tcPr>
                  <w:tcW w:w="1258"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eastAsia" w:cs="Times New Roman"/>
                      <w:b/>
                      <w:bCs/>
                      <w:i w:val="0"/>
                      <w:iCs w:val="0"/>
                      <w:color w:val="auto"/>
                      <w:kern w:val="0"/>
                      <w:sz w:val="21"/>
                      <w:szCs w:val="21"/>
                      <w:u w:val="none"/>
                      <w:lang w:val="en-US" w:eastAsia="zh-CN" w:bidi="ar"/>
                    </w:rPr>
                    <w:t>0.5</w:t>
                  </w:r>
                </w:p>
              </w:tc>
              <w:tc>
                <w:tcPr>
                  <w:tcW w:w="1258"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0.029 </w:t>
                  </w:r>
                </w:p>
              </w:tc>
            </w:tr>
          </w:tbl>
          <w:p>
            <w:pPr>
              <w:pStyle w:val="61"/>
              <w:ind w:firstLine="482"/>
              <w:rPr>
                <w:rFonts w:hint="default" w:ascii="Times New Roman" w:hAnsi="Times New Roman" w:eastAsia="宋体" w:cs="Times New Roman"/>
                <w:b/>
                <w:color w:val="auto"/>
                <w:lang w:val="en-US" w:eastAsia="zh-CN"/>
              </w:rPr>
            </w:pPr>
            <w:r>
              <w:rPr>
                <w:rFonts w:hint="eastAsia" w:cs="Times New Roman"/>
                <w:b/>
                <w:color w:val="auto"/>
                <w:lang w:val="en-US" w:eastAsia="zh-CN"/>
              </w:rPr>
              <w:t>3</w:t>
            </w:r>
            <w:r>
              <w:rPr>
                <w:rFonts w:hint="eastAsia" w:ascii="Times New Roman" w:hAnsi="Times New Roman" w:eastAsia="宋体" w:cs="Times New Roman"/>
                <w:b/>
                <w:color w:val="auto"/>
                <w:lang w:val="en-US" w:eastAsia="zh-CN"/>
              </w:rPr>
              <w:t>.</w:t>
            </w:r>
            <w:r>
              <w:rPr>
                <w:rFonts w:hint="eastAsia" w:cs="Times New Roman"/>
                <w:b/>
                <w:color w:val="auto"/>
                <w:lang w:val="en-US" w:eastAsia="zh-CN"/>
              </w:rPr>
              <w:t>2</w:t>
            </w:r>
            <w:r>
              <w:rPr>
                <w:rFonts w:hint="eastAsia" w:ascii="Times New Roman" w:hAnsi="Times New Roman" w:eastAsia="宋体" w:cs="Times New Roman"/>
                <w:b/>
                <w:color w:val="auto"/>
                <w:lang w:val="en-US" w:eastAsia="zh-CN"/>
              </w:rPr>
              <w:t>排放口基本情况</w:t>
            </w:r>
          </w:p>
          <w:p>
            <w:pPr>
              <w:adjustRightInd w:val="0"/>
              <w:snapToGrid w:val="0"/>
              <w:jc w:val="center"/>
              <w:rPr>
                <w:rFonts w:cs="宋体"/>
                <w:b/>
                <w:color w:val="auto"/>
                <w:spacing w:val="-10"/>
                <w:sz w:val="24"/>
                <w:szCs w:val="21"/>
              </w:rPr>
            </w:pPr>
            <w:r>
              <w:rPr>
                <w:rFonts w:hint="eastAsia" w:cs="宋体"/>
                <w:b/>
                <w:color w:val="auto"/>
                <w:spacing w:val="-10"/>
                <w:sz w:val="24"/>
                <w:szCs w:val="21"/>
              </w:rPr>
              <w:t>表4-</w:t>
            </w:r>
            <w:r>
              <w:rPr>
                <w:rFonts w:hint="eastAsia" w:cs="宋体"/>
                <w:b/>
                <w:color w:val="auto"/>
                <w:spacing w:val="-10"/>
                <w:sz w:val="24"/>
                <w:szCs w:val="21"/>
                <w:lang w:val="en-US" w:eastAsia="zh-CN"/>
              </w:rPr>
              <w:t>3</w:t>
            </w:r>
            <w:r>
              <w:rPr>
                <w:rFonts w:hint="eastAsia" w:cs="宋体"/>
                <w:b/>
                <w:color w:val="auto"/>
                <w:spacing w:val="-10"/>
                <w:sz w:val="24"/>
                <w:szCs w:val="21"/>
              </w:rPr>
              <w:t xml:space="preserve">  废水间接排放口基本情况表</w:t>
            </w:r>
          </w:p>
          <w:tbl>
            <w:tblPr>
              <w:tblStyle w:val="23"/>
              <w:tblW w:w="793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0"/>
              <w:gridCol w:w="828"/>
              <w:gridCol w:w="860"/>
              <w:gridCol w:w="859"/>
              <w:gridCol w:w="661"/>
              <w:gridCol w:w="793"/>
              <w:gridCol w:w="711"/>
              <w:gridCol w:w="859"/>
              <w:gridCol w:w="789"/>
              <w:gridCol w:w="74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30" w:type="dxa"/>
                  <w:vMerge w:val="restart"/>
                  <w:tcBorders>
                    <w:tl2br w:val="nil"/>
                    <w:tr2bl w:val="nil"/>
                  </w:tcBorders>
                  <w:vAlign w:val="center"/>
                </w:tcPr>
                <w:p>
                  <w:pPr>
                    <w:adjustRightInd w:val="0"/>
                    <w:snapToGrid w:val="0"/>
                    <w:jc w:val="center"/>
                    <w:rPr>
                      <w:rFonts w:cs="宋体"/>
                      <w:b/>
                      <w:color w:val="auto"/>
                      <w:spacing w:val="-10"/>
                      <w:sz w:val="21"/>
                      <w:szCs w:val="21"/>
                    </w:rPr>
                  </w:pPr>
                  <w:r>
                    <w:rPr>
                      <w:rFonts w:hint="eastAsia" w:cs="宋体"/>
                      <w:b/>
                      <w:color w:val="auto"/>
                      <w:spacing w:val="-10"/>
                      <w:sz w:val="21"/>
                      <w:szCs w:val="21"/>
                    </w:rPr>
                    <w:t>排放口编号</w:t>
                  </w:r>
                </w:p>
              </w:tc>
              <w:tc>
                <w:tcPr>
                  <w:tcW w:w="1688" w:type="dxa"/>
                  <w:gridSpan w:val="2"/>
                  <w:tcBorders>
                    <w:tl2br w:val="nil"/>
                    <w:tr2bl w:val="nil"/>
                  </w:tcBorders>
                  <w:vAlign w:val="center"/>
                </w:tcPr>
                <w:p>
                  <w:pPr>
                    <w:adjustRightInd w:val="0"/>
                    <w:snapToGrid w:val="0"/>
                    <w:jc w:val="center"/>
                    <w:rPr>
                      <w:rFonts w:cs="宋体"/>
                      <w:b/>
                      <w:color w:val="auto"/>
                      <w:spacing w:val="-10"/>
                      <w:sz w:val="21"/>
                      <w:szCs w:val="21"/>
                    </w:rPr>
                  </w:pPr>
                  <w:r>
                    <w:rPr>
                      <w:rFonts w:hint="eastAsia" w:cs="宋体"/>
                      <w:b/>
                      <w:color w:val="auto"/>
                      <w:spacing w:val="-10"/>
                      <w:sz w:val="21"/>
                      <w:szCs w:val="21"/>
                    </w:rPr>
                    <w:t>排放口地理坐标</w:t>
                  </w:r>
                </w:p>
              </w:tc>
              <w:tc>
                <w:tcPr>
                  <w:tcW w:w="859" w:type="dxa"/>
                  <w:vMerge w:val="restart"/>
                  <w:tcBorders>
                    <w:tl2br w:val="nil"/>
                    <w:tr2bl w:val="nil"/>
                  </w:tcBorders>
                  <w:vAlign w:val="center"/>
                </w:tcPr>
                <w:p>
                  <w:pPr>
                    <w:adjustRightInd w:val="0"/>
                    <w:snapToGrid w:val="0"/>
                    <w:jc w:val="center"/>
                    <w:rPr>
                      <w:rFonts w:cs="宋体"/>
                      <w:b/>
                      <w:color w:val="auto"/>
                      <w:spacing w:val="-10"/>
                      <w:sz w:val="21"/>
                      <w:szCs w:val="21"/>
                    </w:rPr>
                  </w:pPr>
                  <w:r>
                    <w:rPr>
                      <w:rFonts w:hint="eastAsia" w:cs="宋体"/>
                      <w:b/>
                      <w:color w:val="auto"/>
                      <w:spacing w:val="-10"/>
                      <w:sz w:val="21"/>
                      <w:szCs w:val="21"/>
                    </w:rPr>
                    <w:t>废水</w:t>
                  </w:r>
                </w:p>
                <w:p>
                  <w:pPr>
                    <w:adjustRightInd w:val="0"/>
                    <w:snapToGrid w:val="0"/>
                    <w:jc w:val="center"/>
                    <w:rPr>
                      <w:rFonts w:cs="宋体"/>
                      <w:b/>
                      <w:color w:val="auto"/>
                      <w:spacing w:val="-10"/>
                      <w:sz w:val="21"/>
                      <w:szCs w:val="21"/>
                    </w:rPr>
                  </w:pPr>
                  <w:r>
                    <w:rPr>
                      <w:rFonts w:hint="eastAsia" w:cs="宋体"/>
                      <w:b/>
                      <w:color w:val="auto"/>
                      <w:spacing w:val="-10"/>
                      <w:sz w:val="21"/>
                      <w:szCs w:val="21"/>
                    </w:rPr>
                    <w:t>排放量</w:t>
                  </w:r>
                </w:p>
              </w:tc>
              <w:tc>
                <w:tcPr>
                  <w:tcW w:w="661" w:type="dxa"/>
                  <w:vMerge w:val="restart"/>
                  <w:tcBorders>
                    <w:tl2br w:val="nil"/>
                    <w:tr2bl w:val="nil"/>
                  </w:tcBorders>
                  <w:vAlign w:val="center"/>
                </w:tcPr>
                <w:p>
                  <w:pPr>
                    <w:adjustRightInd w:val="0"/>
                    <w:snapToGrid w:val="0"/>
                    <w:jc w:val="center"/>
                    <w:rPr>
                      <w:rFonts w:cs="宋体"/>
                      <w:b/>
                      <w:color w:val="auto"/>
                      <w:spacing w:val="-10"/>
                      <w:sz w:val="21"/>
                      <w:szCs w:val="21"/>
                    </w:rPr>
                  </w:pPr>
                  <w:r>
                    <w:rPr>
                      <w:rFonts w:hint="eastAsia" w:cs="宋体"/>
                      <w:b/>
                      <w:color w:val="auto"/>
                      <w:spacing w:val="-10"/>
                      <w:sz w:val="21"/>
                      <w:szCs w:val="21"/>
                    </w:rPr>
                    <w:t>排放去向</w:t>
                  </w:r>
                </w:p>
              </w:tc>
              <w:tc>
                <w:tcPr>
                  <w:tcW w:w="793" w:type="dxa"/>
                  <w:vMerge w:val="restart"/>
                  <w:tcBorders>
                    <w:tl2br w:val="nil"/>
                    <w:tr2bl w:val="nil"/>
                  </w:tcBorders>
                  <w:vAlign w:val="center"/>
                </w:tcPr>
                <w:p>
                  <w:pPr>
                    <w:adjustRightInd w:val="0"/>
                    <w:snapToGrid w:val="0"/>
                    <w:jc w:val="center"/>
                    <w:rPr>
                      <w:rFonts w:cs="宋体"/>
                      <w:b/>
                      <w:color w:val="auto"/>
                      <w:spacing w:val="-10"/>
                      <w:szCs w:val="21"/>
                    </w:rPr>
                  </w:pPr>
                  <w:r>
                    <w:rPr>
                      <w:rFonts w:hint="eastAsia" w:cs="宋体"/>
                      <w:b/>
                      <w:color w:val="auto"/>
                      <w:spacing w:val="-10"/>
                      <w:sz w:val="21"/>
                      <w:szCs w:val="21"/>
                    </w:rPr>
                    <w:t>排放</w:t>
                  </w:r>
                </w:p>
                <w:p>
                  <w:pPr>
                    <w:adjustRightInd w:val="0"/>
                    <w:snapToGrid w:val="0"/>
                    <w:jc w:val="center"/>
                    <w:rPr>
                      <w:rFonts w:cs="宋体"/>
                      <w:b/>
                      <w:color w:val="auto"/>
                      <w:spacing w:val="-10"/>
                      <w:sz w:val="21"/>
                      <w:szCs w:val="21"/>
                    </w:rPr>
                  </w:pPr>
                  <w:r>
                    <w:rPr>
                      <w:rFonts w:hint="eastAsia" w:cs="宋体"/>
                      <w:b/>
                      <w:color w:val="auto"/>
                      <w:spacing w:val="-10"/>
                      <w:sz w:val="21"/>
                      <w:szCs w:val="21"/>
                    </w:rPr>
                    <w:t>规律</w:t>
                  </w:r>
                </w:p>
              </w:tc>
              <w:tc>
                <w:tcPr>
                  <w:tcW w:w="711" w:type="dxa"/>
                  <w:vMerge w:val="restart"/>
                  <w:tcBorders>
                    <w:tl2br w:val="nil"/>
                    <w:tr2bl w:val="nil"/>
                  </w:tcBorders>
                  <w:vAlign w:val="center"/>
                </w:tcPr>
                <w:p>
                  <w:pPr>
                    <w:adjustRightInd w:val="0"/>
                    <w:snapToGrid w:val="0"/>
                    <w:jc w:val="center"/>
                    <w:rPr>
                      <w:rFonts w:cs="宋体"/>
                      <w:b/>
                      <w:color w:val="auto"/>
                      <w:spacing w:val="-10"/>
                      <w:sz w:val="21"/>
                      <w:szCs w:val="21"/>
                    </w:rPr>
                  </w:pPr>
                  <w:r>
                    <w:rPr>
                      <w:rFonts w:hint="eastAsia" w:cs="宋体"/>
                      <w:b/>
                      <w:color w:val="auto"/>
                      <w:spacing w:val="-10"/>
                      <w:sz w:val="21"/>
                      <w:szCs w:val="21"/>
                    </w:rPr>
                    <w:t>间接排放时段</w:t>
                  </w:r>
                </w:p>
              </w:tc>
              <w:tc>
                <w:tcPr>
                  <w:tcW w:w="2394" w:type="dxa"/>
                  <w:gridSpan w:val="3"/>
                  <w:tcBorders>
                    <w:tl2br w:val="nil"/>
                    <w:tr2bl w:val="nil"/>
                  </w:tcBorders>
                  <w:vAlign w:val="center"/>
                </w:tcPr>
                <w:p>
                  <w:pPr>
                    <w:adjustRightInd w:val="0"/>
                    <w:snapToGrid w:val="0"/>
                    <w:jc w:val="center"/>
                    <w:rPr>
                      <w:rFonts w:cs="宋体"/>
                      <w:b/>
                      <w:color w:val="auto"/>
                      <w:spacing w:val="-10"/>
                      <w:sz w:val="21"/>
                      <w:szCs w:val="21"/>
                    </w:rPr>
                  </w:pPr>
                  <w:r>
                    <w:rPr>
                      <w:rFonts w:hint="eastAsia" w:cs="宋体"/>
                      <w:b/>
                      <w:color w:val="auto"/>
                      <w:spacing w:val="-10"/>
                      <w:sz w:val="21"/>
                      <w:szCs w:val="21"/>
                    </w:rPr>
                    <w:t>收纳污水处理厂信息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30" w:type="dxa"/>
                  <w:vMerge w:val="continue"/>
                  <w:tcBorders>
                    <w:tl2br w:val="nil"/>
                    <w:tr2bl w:val="nil"/>
                  </w:tcBorders>
                  <w:vAlign w:val="center"/>
                </w:tcPr>
                <w:p>
                  <w:pPr>
                    <w:adjustRightInd w:val="0"/>
                    <w:snapToGrid w:val="0"/>
                    <w:jc w:val="center"/>
                    <w:rPr>
                      <w:rFonts w:cs="宋体"/>
                      <w:b/>
                      <w:color w:val="auto"/>
                      <w:spacing w:val="-10"/>
                      <w:sz w:val="21"/>
                      <w:szCs w:val="21"/>
                    </w:rPr>
                  </w:pPr>
                </w:p>
              </w:tc>
              <w:tc>
                <w:tcPr>
                  <w:tcW w:w="828" w:type="dxa"/>
                  <w:tcBorders>
                    <w:tl2br w:val="nil"/>
                    <w:tr2bl w:val="nil"/>
                  </w:tcBorders>
                  <w:vAlign w:val="center"/>
                </w:tcPr>
                <w:p>
                  <w:pPr>
                    <w:adjustRightInd w:val="0"/>
                    <w:snapToGrid w:val="0"/>
                    <w:jc w:val="center"/>
                    <w:rPr>
                      <w:rFonts w:cs="宋体"/>
                      <w:b/>
                      <w:color w:val="auto"/>
                      <w:spacing w:val="-10"/>
                      <w:sz w:val="21"/>
                      <w:szCs w:val="21"/>
                    </w:rPr>
                  </w:pPr>
                  <w:r>
                    <w:rPr>
                      <w:rFonts w:hint="eastAsia" w:cs="宋体"/>
                      <w:b/>
                      <w:color w:val="auto"/>
                      <w:spacing w:val="-10"/>
                      <w:sz w:val="21"/>
                      <w:szCs w:val="21"/>
                    </w:rPr>
                    <w:t>经度</w:t>
                  </w:r>
                </w:p>
              </w:tc>
              <w:tc>
                <w:tcPr>
                  <w:tcW w:w="860" w:type="dxa"/>
                  <w:tcBorders>
                    <w:tl2br w:val="nil"/>
                    <w:tr2bl w:val="nil"/>
                  </w:tcBorders>
                  <w:vAlign w:val="center"/>
                </w:tcPr>
                <w:p>
                  <w:pPr>
                    <w:adjustRightInd w:val="0"/>
                    <w:snapToGrid w:val="0"/>
                    <w:jc w:val="center"/>
                    <w:rPr>
                      <w:rFonts w:cs="宋体"/>
                      <w:b/>
                      <w:color w:val="auto"/>
                      <w:spacing w:val="-10"/>
                      <w:sz w:val="21"/>
                      <w:szCs w:val="21"/>
                    </w:rPr>
                  </w:pPr>
                  <w:r>
                    <w:rPr>
                      <w:rFonts w:hint="eastAsia" w:cs="宋体"/>
                      <w:b/>
                      <w:color w:val="auto"/>
                      <w:spacing w:val="-10"/>
                      <w:sz w:val="21"/>
                      <w:szCs w:val="21"/>
                    </w:rPr>
                    <w:t>纬度</w:t>
                  </w:r>
                </w:p>
              </w:tc>
              <w:tc>
                <w:tcPr>
                  <w:tcW w:w="859" w:type="dxa"/>
                  <w:vMerge w:val="continue"/>
                  <w:tcBorders>
                    <w:tl2br w:val="nil"/>
                    <w:tr2bl w:val="nil"/>
                  </w:tcBorders>
                  <w:vAlign w:val="center"/>
                </w:tcPr>
                <w:p>
                  <w:pPr>
                    <w:adjustRightInd w:val="0"/>
                    <w:snapToGrid w:val="0"/>
                    <w:jc w:val="center"/>
                    <w:rPr>
                      <w:rFonts w:cs="宋体"/>
                      <w:b/>
                      <w:color w:val="auto"/>
                      <w:spacing w:val="-10"/>
                      <w:sz w:val="21"/>
                      <w:szCs w:val="21"/>
                    </w:rPr>
                  </w:pPr>
                </w:p>
              </w:tc>
              <w:tc>
                <w:tcPr>
                  <w:tcW w:w="661" w:type="dxa"/>
                  <w:vMerge w:val="continue"/>
                  <w:tcBorders>
                    <w:tl2br w:val="nil"/>
                    <w:tr2bl w:val="nil"/>
                  </w:tcBorders>
                  <w:vAlign w:val="center"/>
                </w:tcPr>
                <w:p>
                  <w:pPr>
                    <w:adjustRightInd w:val="0"/>
                    <w:snapToGrid w:val="0"/>
                    <w:jc w:val="center"/>
                    <w:rPr>
                      <w:rFonts w:cs="宋体"/>
                      <w:b/>
                      <w:color w:val="auto"/>
                      <w:spacing w:val="-10"/>
                      <w:sz w:val="21"/>
                      <w:szCs w:val="21"/>
                    </w:rPr>
                  </w:pPr>
                </w:p>
              </w:tc>
              <w:tc>
                <w:tcPr>
                  <w:tcW w:w="793" w:type="dxa"/>
                  <w:vMerge w:val="continue"/>
                  <w:tcBorders>
                    <w:tl2br w:val="nil"/>
                    <w:tr2bl w:val="nil"/>
                  </w:tcBorders>
                  <w:vAlign w:val="center"/>
                </w:tcPr>
                <w:p>
                  <w:pPr>
                    <w:adjustRightInd w:val="0"/>
                    <w:snapToGrid w:val="0"/>
                    <w:jc w:val="center"/>
                    <w:rPr>
                      <w:rFonts w:cs="宋体"/>
                      <w:b/>
                      <w:color w:val="auto"/>
                      <w:spacing w:val="-10"/>
                      <w:sz w:val="21"/>
                      <w:szCs w:val="21"/>
                    </w:rPr>
                  </w:pPr>
                </w:p>
              </w:tc>
              <w:tc>
                <w:tcPr>
                  <w:tcW w:w="711" w:type="dxa"/>
                  <w:vMerge w:val="continue"/>
                  <w:tcBorders>
                    <w:tl2br w:val="nil"/>
                    <w:tr2bl w:val="nil"/>
                  </w:tcBorders>
                  <w:vAlign w:val="center"/>
                </w:tcPr>
                <w:p>
                  <w:pPr>
                    <w:adjustRightInd w:val="0"/>
                    <w:snapToGrid w:val="0"/>
                    <w:jc w:val="center"/>
                    <w:rPr>
                      <w:rFonts w:cs="宋体"/>
                      <w:b/>
                      <w:color w:val="auto"/>
                      <w:spacing w:val="-10"/>
                      <w:sz w:val="21"/>
                      <w:szCs w:val="21"/>
                    </w:rPr>
                  </w:pPr>
                </w:p>
              </w:tc>
              <w:tc>
                <w:tcPr>
                  <w:tcW w:w="859" w:type="dxa"/>
                  <w:tcBorders>
                    <w:tl2br w:val="nil"/>
                    <w:tr2bl w:val="nil"/>
                  </w:tcBorders>
                  <w:vAlign w:val="center"/>
                </w:tcPr>
                <w:p>
                  <w:pPr>
                    <w:adjustRightInd w:val="0"/>
                    <w:snapToGrid w:val="0"/>
                    <w:jc w:val="center"/>
                    <w:rPr>
                      <w:rFonts w:cs="宋体"/>
                      <w:b/>
                      <w:color w:val="auto"/>
                      <w:spacing w:val="-10"/>
                      <w:sz w:val="21"/>
                      <w:szCs w:val="21"/>
                    </w:rPr>
                  </w:pPr>
                  <w:r>
                    <w:rPr>
                      <w:rFonts w:hint="eastAsia" w:cs="宋体"/>
                      <w:b/>
                      <w:color w:val="auto"/>
                      <w:spacing w:val="-10"/>
                      <w:sz w:val="21"/>
                      <w:szCs w:val="21"/>
                    </w:rPr>
                    <w:t>名称</w:t>
                  </w:r>
                </w:p>
              </w:tc>
              <w:tc>
                <w:tcPr>
                  <w:tcW w:w="789" w:type="dxa"/>
                  <w:tcBorders>
                    <w:tl2br w:val="nil"/>
                    <w:tr2bl w:val="nil"/>
                  </w:tcBorders>
                  <w:vAlign w:val="center"/>
                </w:tcPr>
                <w:p>
                  <w:pPr>
                    <w:adjustRightInd w:val="0"/>
                    <w:snapToGrid w:val="0"/>
                    <w:jc w:val="center"/>
                    <w:rPr>
                      <w:rFonts w:cs="宋体"/>
                      <w:b/>
                      <w:color w:val="auto"/>
                      <w:spacing w:val="-10"/>
                      <w:sz w:val="21"/>
                      <w:szCs w:val="21"/>
                    </w:rPr>
                  </w:pPr>
                  <w:r>
                    <w:rPr>
                      <w:rFonts w:hint="eastAsia" w:cs="宋体"/>
                      <w:b/>
                      <w:color w:val="auto"/>
                      <w:spacing w:val="-10"/>
                      <w:sz w:val="21"/>
                      <w:szCs w:val="21"/>
                    </w:rPr>
                    <w:t>污染物种类</w:t>
                  </w:r>
                </w:p>
              </w:tc>
              <w:tc>
                <w:tcPr>
                  <w:tcW w:w="746" w:type="dxa"/>
                  <w:tcBorders>
                    <w:tl2br w:val="nil"/>
                    <w:tr2bl w:val="nil"/>
                  </w:tcBorders>
                  <w:vAlign w:val="center"/>
                </w:tcPr>
                <w:p>
                  <w:pPr>
                    <w:adjustRightInd w:val="0"/>
                    <w:snapToGrid w:val="0"/>
                    <w:jc w:val="center"/>
                    <w:rPr>
                      <w:rFonts w:cs="宋体"/>
                      <w:b/>
                      <w:color w:val="auto"/>
                      <w:spacing w:val="-10"/>
                      <w:szCs w:val="21"/>
                    </w:rPr>
                  </w:pPr>
                  <w:r>
                    <w:rPr>
                      <w:rFonts w:hint="eastAsia" w:cs="宋体"/>
                      <w:b/>
                      <w:color w:val="auto"/>
                      <w:spacing w:val="-10"/>
                      <w:sz w:val="21"/>
                      <w:szCs w:val="21"/>
                    </w:rPr>
                    <w:t>浓度</w:t>
                  </w:r>
                </w:p>
                <w:p>
                  <w:pPr>
                    <w:adjustRightInd w:val="0"/>
                    <w:snapToGrid w:val="0"/>
                    <w:jc w:val="center"/>
                    <w:rPr>
                      <w:rFonts w:cs="宋体"/>
                      <w:b/>
                      <w:color w:val="auto"/>
                      <w:spacing w:val="-10"/>
                      <w:sz w:val="21"/>
                      <w:szCs w:val="21"/>
                    </w:rPr>
                  </w:pPr>
                  <w:r>
                    <w:rPr>
                      <w:rFonts w:hint="eastAsia" w:cs="宋体"/>
                      <w:b/>
                      <w:color w:val="auto"/>
                      <w:spacing w:val="-10"/>
                      <w:sz w:val="21"/>
                      <w:szCs w:val="21"/>
                    </w:rPr>
                    <w:t>限值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30" w:type="dxa"/>
                  <w:vMerge w:val="restart"/>
                  <w:tcBorders>
                    <w:tl2br w:val="nil"/>
                    <w:tr2bl w:val="nil"/>
                  </w:tcBorders>
                  <w:vAlign w:val="center"/>
                </w:tcPr>
                <w:p>
                  <w:pPr>
                    <w:adjustRightInd w:val="0"/>
                    <w:snapToGrid w:val="0"/>
                    <w:jc w:val="center"/>
                    <w:rPr>
                      <w:rFonts w:cs="宋体"/>
                      <w:bCs/>
                      <w:color w:val="auto"/>
                      <w:spacing w:val="-10"/>
                      <w:sz w:val="21"/>
                      <w:szCs w:val="21"/>
                    </w:rPr>
                  </w:pPr>
                  <w:r>
                    <w:rPr>
                      <w:rFonts w:cs="宋体"/>
                      <w:bCs/>
                      <w:color w:val="auto"/>
                      <w:spacing w:val="-10"/>
                      <w:sz w:val="21"/>
                      <w:szCs w:val="21"/>
                    </w:rPr>
                    <w:t>DW</w:t>
                  </w:r>
                </w:p>
                <w:p>
                  <w:pPr>
                    <w:adjustRightInd w:val="0"/>
                    <w:snapToGrid w:val="0"/>
                    <w:jc w:val="center"/>
                    <w:rPr>
                      <w:rFonts w:cs="宋体"/>
                      <w:bCs/>
                      <w:color w:val="auto"/>
                      <w:spacing w:val="-10"/>
                      <w:sz w:val="21"/>
                      <w:szCs w:val="21"/>
                    </w:rPr>
                  </w:pPr>
                  <w:r>
                    <w:rPr>
                      <w:rFonts w:cs="宋体"/>
                      <w:bCs/>
                      <w:color w:val="auto"/>
                      <w:spacing w:val="-10"/>
                      <w:sz w:val="21"/>
                      <w:szCs w:val="21"/>
                    </w:rPr>
                    <w:t>001</w:t>
                  </w:r>
                </w:p>
              </w:tc>
              <w:tc>
                <w:tcPr>
                  <w:tcW w:w="828" w:type="dxa"/>
                  <w:vMerge w:val="restart"/>
                  <w:tcBorders>
                    <w:tl2br w:val="nil"/>
                    <w:tr2bl w:val="nil"/>
                  </w:tcBorders>
                  <w:vAlign w:val="center"/>
                </w:tcPr>
                <w:p>
                  <w:pPr>
                    <w:adjustRightInd w:val="0"/>
                    <w:snapToGrid w:val="0"/>
                    <w:jc w:val="center"/>
                    <w:rPr>
                      <w:rFonts w:hint="default" w:ascii="Times New Roman" w:hAnsi="Times New Roman" w:eastAsia="宋体" w:cs="宋体"/>
                      <w:bCs/>
                      <w:color w:val="auto"/>
                      <w:spacing w:val="-10"/>
                      <w:sz w:val="21"/>
                      <w:szCs w:val="21"/>
                      <w:lang w:val="en-US" w:eastAsia="zh-CN"/>
                    </w:rPr>
                  </w:pPr>
                  <w:r>
                    <w:rPr>
                      <w:rFonts w:hint="eastAsia" w:ascii="Times New Roman" w:hAnsi="Times New Roman" w:eastAsia="宋体" w:cs="宋体"/>
                      <w:bCs/>
                      <w:color w:val="auto"/>
                      <w:spacing w:val="-10"/>
                      <w:sz w:val="21"/>
                      <w:szCs w:val="21"/>
                      <w:lang w:val="en-US" w:eastAsia="zh-CN"/>
                    </w:rPr>
                    <w:t>112.79957</w:t>
                  </w:r>
                  <w:r>
                    <w:rPr>
                      <w:rFonts w:hint="eastAsia" w:cs="宋体"/>
                      <w:bCs/>
                      <w:color w:val="auto"/>
                      <w:spacing w:val="-10"/>
                      <w:sz w:val="21"/>
                      <w:szCs w:val="21"/>
                      <w:lang w:val="en-US" w:eastAsia="zh-CN"/>
                    </w:rPr>
                    <w:t>7</w:t>
                  </w:r>
                </w:p>
              </w:tc>
              <w:tc>
                <w:tcPr>
                  <w:tcW w:w="860" w:type="dxa"/>
                  <w:vMerge w:val="restart"/>
                  <w:tcBorders>
                    <w:tl2br w:val="nil"/>
                    <w:tr2bl w:val="nil"/>
                  </w:tcBorders>
                  <w:vAlign w:val="center"/>
                </w:tcPr>
                <w:p>
                  <w:pPr>
                    <w:adjustRightInd w:val="0"/>
                    <w:snapToGrid w:val="0"/>
                    <w:jc w:val="center"/>
                    <w:rPr>
                      <w:rFonts w:hint="eastAsia" w:ascii="Times New Roman" w:hAnsi="Times New Roman" w:eastAsia="宋体" w:cs="宋体"/>
                      <w:bCs/>
                      <w:color w:val="auto"/>
                      <w:spacing w:val="-10"/>
                      <w:sz w:val="21"/>
                      <w:szCs w:val="21"/>
                      <w:lang w:val="en-US" w:eastAsia="zh-CN"/>
                    </w:rPr>
                  </w:pPr>
                  <w:r>
                    <w:rPr>
                      <w:rFonts w:hint="eastAsia" w:ascii="Times New Roman" w:hAnsi="Times New Roman" w:eastAsia="宋体" w:cs="宋体"/>
                      <w:bCs/>
                      <w:color w:val="auto"/>
                      <w:spacing w:val="-10"/>
                      <w:sz w:val="21"/>
                      <w:szCs w:val="21"/>
                      <w:lang w:val="en-US" w:eastAsia="zh-CN"/>
                    </w:rPr>
                    <w:t>29.332099</w:t>
                  </w:r>
                </w:p>
              </w:tc>
              <w:tc>
                <w:tcPr>
                  <w:tcW w:w="859" w:type="dxa"/>
                  <w:vMerge w:val="restart"/>
                  <w:tcBorders>
                    <w:tl2br w:val="nil"/>
                    <w:tr2bl w:val="nil"/>
                  </w:tcBorders>
                  <w:vAlign w:val="center"/>
                </w:tcPr>
                <w:p>
                  <w:pPr>
                    <w:adjustRightInd w:val="0"/>
                    <w:snapToGrid w:val="0"/>
                    <w:jc w:val="center"/>
                    <w:rPr>
                      <w:rFonts w:cs="宋体"/>
                      <w:bCs/>
                      <w:color w:val="auto"/>
                      <w:spacing w:val="-10"/>
                      <w:sz w:val="21"/>
                      <w:szCs w:val="21"/>
                    </w:rPr>
                  </w:pPr>
                  <w:r>
                    <w:rPr>
                      <w:rFonts w:hint="eastAsia" w:cs="宋体"/>
                      <w:bCs/>
                      <w:color w:val="auto"/>
                      <w:spacing w:val="-10"/>
                      <w:sz w:val="21"/>
                      <w:szCs w:val="21"/>
                      <w:lang w:val="en-US" w:eastAsia="zh-CN"/>
                    </w:rPr>
                    <w:t>58400</w:t>
                  </w:r>
                  <w:r>
                    <w:rPr>
                      <w:rFonts w:cs="宋体"/>
                      <w:bCs/>
                      <w:color w:val="auto"/>
                      <w:spacing w:val="-10"/>
                      <w:sz w:val="21"/>
                      <w:szCs w:val="21"/>
                    </w:rPr>
                    <w:t>m</w:t>
                  </w:r>
                  <w:r>
                    <w:rPr>
                      <w:rFonts w:cs="宋体"/>
                      <w:b/>
                      <w:color w:val="auto"/>
                      <w:spacing w:val="-10"/>
                      <w:sz w:val="21"/>
                      <w:szCs w:val="21"/>
                      <w:vertAlign w:val="superscript"/>
                    </w:rPr>
                    <w:t>3</w:t>
                  </w:r>
                  <w:r>
                    <w:rPr>
                      <w:rFonts w:cs="宋体"/>
                      <w:bCs/>
                      <w:color w:val="auto"/>
                      <w:spacing w:val="-10"/>
                      <w:sz w:val="21"/>
                      <w:szCs w:val="21"/>
                    </w:rPr>
                    <w:t>/a</w:t>
                  </w:r>
                </w:p>
              </w:tc>
              <w:tc>
                <w:tcPr>
                  <w:tcW w:w="661" w:type="dxa"/>
                  <w:vMerge w:val="restart"/>
                  <w:tcBorders>
                    <w:tl2br w:val="nil"/>
                    <w:tr2bl w:val="nil"/>
                  </w:tcBorders>
                  <w:vAlign w:val="center"/>
                </w:tcPr>
                <w:p>
                  <w:pPr>
                    <w:adjustRightInd w:val="0"/>
                    <w:snapToGrid w:val="0"/>
                    <w:jc w:val="center"/>
                    <w:rPr>
                      <w:rFonts w:cs="宋体"/>
                      <w:bCs/>
                      <w:color w:val="auto"/>
                      <w:spacing w:val="-10"/>
                      <w:sz w:val="21"/>
                      <w:szCs w:val="21"/>
                    </w:rPr>
                  </w:pPr>
                  <w:r>
                    <w:rPr>
                      <w:rFonts w:hint="eastAsia" w:cs="宋体"/>
                      <w:bCs/>
                      <w:color w:val="auto"/>
                      <w:spacing w:val="-10"/>
                      <w:sz w:val="21"/>
                      <w:szCs w:val="21"/>
                      <w:lang w:val="en-US" w:eastAsia="zh-CN"/>
                    </w:rPr>
                    <w:t>城镇</w:t>
                  </w:r>
                  <w:r>
                    <w:rPr>
                      <w:rFonts w:hint="eastAsia" w:cs="宋体"/>
                      <w:bCs/>
                      <w:color w:val="auto"/>
                      <w:spacing w:val="-10"/>
                      <w:sz w:val="21"/>
                      <w:szCs w:val="21"/>
                    </w:rPr>
                    <w:t>污水处理厂</w:t>
                  </w:r>
                </w:p>
              </w:tc>
              <w:tc>
                <w:tcPr>
                  <w:tcW w:w="793" w:type="dxa"/>
                  <w:vMerge w:val="restart"/>
                  <w:tcBorders>
                    <w:tl2br w:val="nil"/>
                    <w:tr2bl w:val="nil"/>
                  </w:tcBorders>
                  <w:vAlign w:val="center"/>
                </w:tcPr>
                <w:p>
                  <w:pPr>
                    <w:adjustRightInd w:val="0"/>
                    <w:snapToGrid w:val="0"/>
                    <w:jc w:val="center"/>
                    <w:rPr>
                      <w:rFonts w:cs="宋体"/>
                      <w:bCs/>
                      <w:color w:val="auto"/>
                      <w:spacing w:val="-10"/>
                      <w:sz w:val="21"/>
                      <w:szCs w:val="21"/>
                    </w:rPr>
                  </w:pPr>
                  <w:r>
                    <w:rPr>
                      <w:rFonts w:hint="eastAsia" w:cs="宋体"/>
                      <w:bCs/>
                      <w:color w:val="auto"/>
                      <w:spacing w:val="-10"/>
                      <w:sz w:val="21"/>
                      <w:szCs w:val="21"/>
                    </w:rPr>
                    <w:t>间断排放，流量不稳定且无规律.</w:t>
                  </w:r>
                </w:p>
              </w:tc>
              <w:tc>
                <w:tcPr>
                  <w:tcW w:w="711" w:type="dxa"/>
                  <w:vMerge w:val="restart"/>
                  <w:tcBorders>
                    <w:tl2br w:val="nil"/>
                    <w:tr2bl w:val="nil"/>
                  </w:tcBorders>
                  <w:vAlign w:val="center"/>
                </w:tcPr>
                <w:p>
                  <w:pPr>
                    <w:adjustRightInd w:val="0"/>
                    <w:snapToGrid w:val="0"/>
                    <w:jc w:val="center"/>
                    <w:rPr>
                      <w:rFonts w:cs="宋体"/>
                      <w:bCs/>
                      <w:color w:val="auto"/>
                      <w:spacing w:val="-10"/>
                      <w:sz w:val="21"/>
                      <w:szCs w:val="21"/>
                    </w:rPr>
                  </w:pPr>
                  <w:r>
                    <w:rPr>
                      <w:rFonts w:cs="宋体"/>
                      <w:bCs/>
                      <w:color w:val="auto"/>
                      <w:spacing w:val="-10"/>
                      <w:sz w:val="21"/>
                      <w:szCs w:val="21"/>
                    </w:rPr>
                    <w:t>/</w:t>
                  </w:r>
                </w:p>
              </w:tc>
              <w:tc>
                <w:tcPr>
                  <w:tcW w:w="859" w:type="dxa"/>
                  <w:vMerge w:val="restart"/>
                  <w:tcBorders>
                    <w:tl2br w:val="nil"/>
                    <w:tr2bl w:val="nil"/>
                  </w:tcBorders>
                  <w:vAlign w:val="center"/>
                </w:tcPr>
                <w:p>
                  <w:pPr>
                    <w:adjustRightInd w:val="0"/>
                    <w:snapToGrid w:val="0"/>
                    <w:jc w:val="center"/>
                    <w:rPr>
                      <w:rFonts w:hint="eastAsia" w:ascii="Times New Roman" w:hAnsi="Times New Roman" w:eastAsia="宋体" w:cs="宋体"/>
                      <w:bCs/>
                      <w:color w:val="auto"/>
                      <w:spacing w:val="-10"/>
                      <w:sz w:val="21"/>
                      <w:szCs w:val="21"/>
                      <w:lang w:val="en-US" w:eastAsia="zh-CN"/>
                    </w:rPr>
                  </w:pPr>
                  <w:r>
                    <w:rPr>
                      <w:rFonts w:hint="eastAsia" w:ascii="Times New Roman" w:hAnsi="Times New Roman" w:eastAsia="宋体" w:cs="宋体"/>
                      <w:bCs/>
                      <w:color w:val="auto"/>
                      <w:spacing w:val="-10"/>
                      <w:sz w:val="21"/>
                      <w:szCs w:val="21"/>
                      <w:lang w:val="en-US" w:eastAsia="zh-CN"/>
                    </w:rPr>
                    <w:t>华容县团洲乡团洲新村污水处理厂</w:t>
                  </w:r>
                </w:p>
              </w:tc>
              <w:tc>
                <w:tcPr>
                  <w:tcW w:w="789" w:type="dxa"/>
                  <w:tcBorders>
                    <w:tl2br w:val="nil"/>
                    <w:tr2bl w:val="nil"/>
                  </w:tcBorders>
                  <w:vAlign w:val="center"/>
                </w:tcPr>
                <w:p>
                  <w:pPr>
                    <w:adjustRightInd w:val="0"/>
                    <w:snapToGrid w:val="0"/>
                    <w:jc w:val="center"/>
                    <w:rPr>
                      <w:rFonts w:hint="default" w:ascii="Times New Roman" w:hAnsi="Times New Roman" w:eastAsia="宋体" w:cs="宋体"/>
                      <w:bCs/>
                      <w:color w:val="auto"/>
                      <w:spacing w:val="-10"/>
                      <w:sz w:val="21"/>
                      <w:szCs w:val="21"/>
                      <w:lang w:val="en-US" w:eastAsia="zh-CN"/>
                    </w:rPr>
                  </w:pPr>
                  <w:r>
                    <w:rPr>
                      <w:rFonts w:hint="default" w:ascii="Times New Roman" w:hAnsi="Times New Roman" w:eastAsia="宋体" w:cs="宋体"/>
                      <w:bCs/>
                      <w:color w:val="auto"/>
                      <w:spacing w:val="-10"/>
                      <w:sz w:val="21"/>
                      <w:szCs w:val="21"/>
                      <w:lang w:val="en-US" w:eastAsia="zh-CN"/>
                    </w:rPr>
                    <w:t>COD</w:t>
                  </w:r>
                </w:p>
              </w:tc>
              <w:tc>
                <w:tcPr>
                  <w:tcW w:w="746" w:type="dxa"/>
                  <w:tcBorders>
                    <w:tl2br w:val="nil"/>
                    <w:tr2bl w:val="nil"/>
                  </w:tcBorders>
                  <w:vAlign w:val="center"/>
                </w:tcPr>
                <w:p>
                  <w:pPr>
                    <w:adjustRightInd w:val="0"/>
                    <w:snapToGrid w:val="0"/>
                    <w:jc w:val="center"/>
                    <w:rPr>
                      <w:rFonts w:hint="default" w:ascii="Times New Roman" w:hAnsi="Times New Roman" w:eastAsia="宋体" w:cs="宋体"/>
                      <w:bCs/>
                      <w:color w:val="auto"/>
                      <w:spacing w:val="-10"/>
                      <w:sz w:val="21"/>
                      <w:szCs w:val="21"/>
                      <w:lang w:val="en-US" w:eastAsia="zh-CN"/>
                    </w:rPr>
                  </w:pPr>
                  <w:r>
                    <w:rPr>
                      <w:rFonts w:hint="default" w:ascii="Times New Roman" w:hAnsi="Times New Roman" w:eastAsia="宋体" w:cs="宋体"/>
                      <w:bCs/>
                      <w:color w:val="auto"/>
                      <w:spacing w:val="-10"/>
                      <w:sz w:val="21"/>
                      <w:szCs w:val="21"/>
                      <w:lang w:val="en-US" w:eastAsia="zh-CN"/>
                    </w:rPr>
                    <w:t>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30"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828"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860"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859"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661"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793"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711"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859" w:type="dxa"/>
                  <w:vMerge w:val="continue"/>
                  <w:tcBorders>
                    <w:tl2br w:val="nil"/>
                    <w:tr2bl w:val="nil"/>
                  </w:tcBorders>
                  <w:vAlign w:val="center"/>
                </w:tcPr>
                <w:p>
                  <w:pPr>
                    <w:adjustRightInd w:val="0"/>
                    <w:snapToGrid w:val="0"/>
                    <w:jc w:val="center"/>
                    <w:rPr>
                      <w:rFonts w:hint="default" w:ascii="Times New Roman" w:hAnsi="Times New Roman" w:eastAsia="宋体" w:cs="宋体"/>
                      <w:bCs/>
                      <w:color w:val="auto"/>
                      <w:spacing w:val="-10"/>
                      <w:sz w:val="21"/>
                      <w:szCs w:val="21"/>
                      <w:lang w:val="en-US" w:eastAsia="zh-CN"/>
                    </w:rPr>
                  </w:pPr>
                </w:p>
              </w:tc>
              <w:tc>
                <w:tcPr>
                  <w:tcW w:w="789" w:type="dxa"/>
                  <w:tcBorders>
                    <w:tl2br w:val="nil"/>
                    <w:tr2bl w:val="nil"/>
                  </w:tcBorders>
                  <w:vAlign w:val="center"/>
                </w:tcPr>
                <w:p>
                  <w:pPr>
                    <w:adjustRightInd w:val="0"/>
                    <w:snapToGrid w:val="0"/>
                    <w:jc w:val="center"/>
                    <w:rPr>
                      <w:rFonts w:hint="default" w:ascii="Times New Roman" w:hAnsi="Times New Roman" w:eastAsia="宋体" w:cs="宋体"/>
                      <w:bCs/>
                      <w:color w:val="auto"/>
                      <w:spacing w:val="-10"/>
                      <w:sz w:val="21"/>
                      <w:szCs w:val="21"/>
                      <w:lang w:val="en-US" w:eastAsia="zh-CN"/>
                    </w:rPr>
                  </w:pPr>
                  <w:r>
                    <w:rPr>
                      <w:rFonts w:hint="default" w:ascii="Times New Roman" w:hAnsi="Times New Roman" w:eastAsia="宋体" w:cs="宋体"/>
                      <w:bCs/>
                      <w:color w:val="auto"/>
                      <w:spacing w:val="-10"/>
                      <w:sz w:val="21"/>
                      <w:szCs w:val="21"/>
                      <w:lang w:val="en-US" w:eastAsia="zh-CN"/>
                    </w:rPr>
                    <w:t>BOD</w:t>
                  </w:r>
                  <w:r>
                    <w:rPr>
                      <w:rFonts w:hint="eastAsia" w:ascii="Times New Roman" w:hAnsi="Times New Roman" w:eastAsia="宋体" w:cs="宋体"/>
                      <w:bCs/>
                      <w:color w:val="auto"/>
                      <w:spacing w:val="-10"/>
                      <w:sz w:val="21"/>
                      <w:szCs w:val="21"/>
                      <w:vertAlign w:val="subscript"/>
                      <w:lang w:val="en-US" w:eastAsia="zh-CN"/>
                    </w:rPr>
                    <w:t>5</w:t>
                  </w:r>
                </w:p>
              </w:tc>
              <w:tc>
                <w:tcPr>
                  <w:tcW w:w="746" w:type="dxa"/>
                  <w:tcBorders>
                    <w:tl2br w:val="nil"/>
                    <w:tr2bl w:val="nil"/>
                  </w:tcBorders>
                  <w:vAlign w:val="center"/>
                </w:tcPr>
                <w:p>
                  <w:pPr>
                    <w:adjustRightInd w:val="0"/>
                    <w:snapToGrid w:val="0"/>
                    <w:jc w:val="center"/>
                    <w:rPr>
                      <w:rFonts w:hint="default" w:ascii="Times New Roman" w:hAnsi="Times New Roman" w:eastAsia="宋体" w:cs="宋体"/>
                      <w:bCs/>
                      <w:color w:val="auto"/>
                      <w:spacing w:val="-10"/>
                      <w:sz w:val="21"/>
                      <w:szCs w:val="21"/>
                      <w:lang w:val="en-US" w:eastAsia="zh-CN"/>
                    </w:rPr>
                  </w:pPr>
                  <w:r>
                    <w:rPr>
                      <w:rFonts w:hint="default" w:ascii="Times New Roman" w:hAnsi="Times New Roman" w:eastAsia="宋体" w:cs="宋体"/>
                      <w:bCs/>
                      <w:color w:val="auto"/>
                      <w:spacing w:val="-10"/>
                      <w:sz w:val="21"/>
                      <w:szCs w:val="21"/>
                      <w:lang w:val="en-US" w:eastAsia="zh-CN"/>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30"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828"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860"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859"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661"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793"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711"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859" w:type="dxa"/>
                  <w:vMerge w:val="continue"/>
                  <w:tcBorders>
                    <w:tl2br w:val="nil"/>
                    <w:tr2bl w:val="nil"/>
                  </w:tcBorders>
                  <w:vAlign w:val="center"/>
                </w:tcPr>
                <w:p>
                  <w:pPr>
                    <w:adjustRightInd w:val="0"/>
                    <w:snapToGrid w:val="0"/>
                    <w:jc w:val="center"/>
                    <w:rPr>
                      <w:rFonts w:hint="default" w:ascii="Times New Roman" w:hAnsi="Times New Roman" w:eastAsia="宋体" w:cs="宋体"/>
                      <w:bCs/>
                      <w:color w:val="auto"/>
                      <w:spacing w:val="-10"/>
                      <w:sz w:val="21"/>
                      <w:szCs w:val="21"/>
                      <w:lang w:val="en-US" w:eastAsia="zh-CN"/>
                    </w:rPr>
                  </w:pPr>
                </w:p>
              </w:tc>
              <w:tc>
                <w:tcPr>
                  <w:tcW w:w="789" w:type="dxa"/>
                  <w:tcBorders>
                    <w:tl2br w:val="nil"/>
                    <w:tr2bl w:val="nil"/>
                  </w:tcBorders>
                  <w:vAlign w:val="center"/>
                </w:tcPr>
                <w:p>
                  <w:pPr>
                    <w:adjustRightInd w:val="0"/>
                    <w:snapToGrid w:val="0"/>
                    <w:jc w:val="center"/>
                    <w:rPr>
                      <w:rFonts w:hint="default" w:ascii="Times New Roman" w:hAnsi="Times New Roman" w:eastAsia="宋体" w:cs="宋体"/>
                      <w:bCs/>
                      <w:color w:val="auto"/>
                      <w:spacing w:val="-10"/>
                      <w:sz w:val="21"/>
                      <w:szCs w:val="21"/>
                      <w:lang w:val="en-US" w:eastAsia="zh-CN"/>
                    </w:rPr>
                  </w:pPr>
                  <w:r>
                    <w:rPr>
                      <w:rFonts w:hint="default" w:ascii="Times New Roman" w:hAnsi="Times New Roman" w:eastAsia="宋体" w:cs="宋体"/>
                      <w:bCs/>
                      <w:color w:val="auto"/>
                      <w:spacing w:val="-10"/>
                      <w:sz w:val="21"/>
                      <w:szCs w:val="21"/>
                      <w:lang w:val="en-US" w:eastAsia="zh-CN"/>
                    </w:rPr>
                    <w:t>NH</w:t>
                  </w:r>
                  <w:r>
                    <w:rPr>
                      <w:rFonts w:hint="default" w:ascii="Times New Roman" w:hAnsi="Times New Roman" w:eastAsia="宋体" w:cs="宋体"/>
                      <w:bCs/>
                      <w:color w:val="auto"/>
                      <w:spacing w:val="-10"/>
                      <w:sz w:val="21"/>
                      <w:szCs w:val="21"/>
                      <w:vertAlign w:val="subscript"/>
                      <w:lang w:val="en-US" w:eastAsia="zh-CN"/>
                    </w:rPr>
                    <w:t>3</w:t>
                  </w:r>
                  <w:r>
                    <w:rPr>
                      <w:rFonts w:hint="default" w:ascii="Times New Roman" w:hAnsi="Times New Roman" w:eastAsia="宋体" w:cs="宋体"/>
                      <w:bCs/>
                      <w:color w:val="auto"/>
                      <w:spacing w:val="-10"/>
                      <w:sz w:val="21"/>
                      <w:szCs w:val="21"/>
                      <w:lang w:val="en-US" w:eastAsia="zh-CN"/>
                    </w:rPr>
                    <w:t>-N</w:t>
                  </w:r>
                </w:p>
              </w:tc>
              <w:tc>
                <w:tcPr>
                  <w:tcW w:w="746" w:type="dxa"/>
                  <w:tcBorders>
                    <w:tl2br w:val="nil"/>
                    <w:tr2bl w:val="nil"/>
                  </w:tcBorders>
                  <w:vAlign w:val="center"/>
                </w:tcPr>
                <w:p>
                  <w:pPr>
                    <w:adjustRightInd w:val="0"/>
                    <w:snapToGrid w:val="0"/>
                    <w:jc w:val="center"/>
                    <w:rPr>
                      <w:rFonts w:hint="default" w:ascii="Times New Roman" w:hAnsi="Times New Roman" w:eastAsia="宋体" w:cs="宋体"/>
                      <w:bCs/>
                      <w:color w:val="auto"/>
                      <w:spacing w:val="-10"/>
                      <w:sz w:val="21"/>
                      <w:szCs w:val="21"/>
                      <w:lang w:val="en-US" w:eastAsia="zh-CN"/>
                    </w:rPr>
                  </w:pPr>
                  <w:r>
                    <w:rPr>
                      <w:rFonts w:hint="default" w:ascii="Times New Roman" w:hAnsi="Times New Roman" w:eastAsia="宋体" w:cs="宋体"/>
                      <w:bCs/>
                      <w:color w:val="auto"/>
                      <w:spacing w:val="-10"/>
                      <w:sz w:val="21"/>
                      <w:szCs w:val="21"/>
                      <w:lang w:val="en-US" w:eastAsia="zh-CN"/>
                    </w:rPr>
                    <w:t>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30"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828"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860"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859"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661"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793"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711"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859" w:type="dxa"/>
                  <w:vMerge w:val="continue"/>
                  <w:tcBorders>
                    <w:tl2br w:val="nil"/>
                    <w:tr2bl w:val="nil"/>
                  </w:tcBorders>
                  <w:vAlign w:val="center"/>
                </w:tcPr>
                <w:p>
                  <w:pPr>
                    <w:adjustRightInd w:val="0"/>
                    <w:snapToGrid w:val="0"/>
                    <w:jc w:val="center"/>
                    <w:rPr>
                      <w:rFonts w:hint="default" w:ascii="Times New Roman" w:hAnsi="Times New Roman" w:eastAsia="宋体" w:cs="宋体"/>
                      <w:bCs/>
                      <w:color w:val="auto"/>
                      <w:spacing w:val="-10"/>
                      <w:sz w:val="21"/>
                      <w:szCs w:val="21"/>
                      <w:lang w:val="en-US" w:eastAsia="zh-CN"/>
                    </w:rPr>
                  </w:pPr>
                </w:p>
              </w:tc>
              <w:tc>
                <w:tcPr>
                  <w:tcW w:w="789" w:type="dxa"/>
                  <w:tcBorders>
                    <w:tl2br w:val="nil"/>
                    <w:tr2bl w:val="nil"/>
                  </w:tcBorders>
                  <w:vAlign w:val="center"/>
                </w:tcPr>
                <w:p>
                  <w:pPr>
                    <w:adjustRightInd w:val="0"/>
                    <w:snapToGrid w:val="0"/>
                    <w:jc w:val="center"/>
                    <w:rPr>
                      <w:rFonts w:hint="default" w:ascii="Times New Roman" w:hAnsi="Times New Roman" w:eastAsia="宋体" w:cs="宋体"/>
                      <w:bCs/>
                      <w:color w:val="auto"/>
                      <w:spacing w:val="-10"/>
                      <w:sz w:val="21"/>
                      <w:szCs w:val="21"/>
                      <w:lang w:val="en-US" w:eastAsia="zh-CN"/>
                    </w:rPr>
                  </w:pPr>
                  <w:r>
                    <w:rPr>
                      <w:rFonts w:hint="default" w:ascii="Times New Roman" w:hAnsi="Times New Roman" w:eastAsia="宋体" w:cs="宋体"/>
                      <w:bCs/>
                      <w:color w:val="auto"/>
                      <w:spacing w:val="-10"/>
                      <w:sz w:val="21"/>
                      <w:szCs w:val="21"/>
                      <w:lang w:val="en-US" w:eastAsia="zh-CN"/>
                    </w:rPr>
                    <w:t>SS</w:t>
                  </w:r>
                </w:p>
              </w:tc>
              <w:tc>
                <w:tcPr>
                  <w:tcW w:w="746" w:type="dxa"/>
                  <w:tcBorders>
                    <w:tl2br w:val="nil"/>
                    <w:tr2bl w:val="nil"/>
                  </w:tcBorders>
                  <w:vAlign w:val="center"/>
                </w:tcPr>
                <w:p>
                  <w:pPr>
                    <w:adjustRightInd w:val="0"/>
                    <w:snapToGrid w:val="0"/>
                    <w:jc w:val="center"/>
                    <w:rPr>
                      <w:rFonts w:hint="default" w:ascii="Times New Roman" w:hAnsi="Times New Roman" w:eastAsia="宋体" w:cs="宋体"/>
                      <w:bCs/>
                      <w:color w:val="auto"/>
                      <w:spacing w:val="-10"/>
                      <w:sz w:val="21"/>
                      <w:szCs w:val="21"/>
                      <w:lang w:val="en-US" w:eastAsia="zh-CN"/>
                    </w:rPr>
                  </w:pPr>
                  <w:r>
                    <w:rPr>
                      <w:rFonts w:hint="default" w:ascii="Times New Roman" w:hAnsi="Times New Roman" w:eastAsia="宋体" w:cs="宋体"/>
                      <w:bCs/>
                      <w:color w:val="auto"/>
                      <w:spacing w:val="-10"/>
                      <w:sz w:val="21"/>
                      <w:szCs w:val="21"/>
                      <w:lang w:val="en-US" w:eastAsia="zh-CN"/>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30"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828"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860"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859"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661"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793"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711"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859" w:type="dxa"/>
                  <w:vMerge w:val="continue"/>
                  <w:tcBorders>
                    <w:tl2br w:val="nil"/>
                    <w:tr2bl w:val="nil"/>
                  </w:tcBorders>
                  <w:vAlign w:val="center"/>
                </w:tcPr>
                <w:p>
                  <w:pPr>
                    <w:adjustRightInd w:val="0"/>
                    <w:snapToGrid w:val="0"/>
                    <w:jc w:val="center"/>
                    <w:rPr>
                      <w:rFonts w:hint="default" w:ascii="Times New Roman" w:hAnsi="Times New Roman" w:eastAsia="宋体" w:cs="宋体"/>
                      <w:bCs/>
                      <w:color w:val="auto"/>
                      <w:spacing w:val="-10"/>
                      <w:sz w:val="21"/>
                      <w:szCs w:val="21"/>
                      <w:lang w:val="en-US" w:eastAsia="zh-CN"/>
                    </w:rPr>
                  </w:pPr>
                </w:p>
              </w:tc>
              <w:tc>
                <w:tcPr>
                  <w:tcW w:w="789" w:type="dxa"/>
                  <w:tcBorders>
                    <w:tl2br w:val="nil"/>
                    <w:tr2bl w:val="nil"/>
                  </w:tcBorders>
                  <w:vAlign w:val="center"/>
                </w:tcPr>
                <w:p>
                  <w:pPr>
                    <w:adjustRightInd w:val="0"/>
                    <w:snapToGrid w:val="0"/>
                    <w:jc w:val="center"/>
                    <w:rPr>
                      <w:rFonts w:hint="default" w:ascii="Times New Roman" w:hAnsi="Times New Roman" w:eastAsia="宋体" w:cs="宋体"/>
                      <w:bCs/>
                      <w:color w:val="auto"/>
                      <w:spacing w:val="-10"/>
                      <w:sz w:val="21"/>
                      <w:szCs w:val="21"/>
                      <w:lang w:val="en-US" w:eastAsia="zh-CN"/>
                    </w:rPr>
                  </w:pPr>
                  <w:r>
                    <w:rPr>
                      <w:rFonts w:hint="eastAsia" w:ascii="Times New Roman" w:hAnsi="Times New Roman" w:eastAsia="宋体" w:cs="宋体"/>
                      <w:bCs/>
                      <w:color w:val="auto"/>
                      <w:spacing w:val="-10"/>
                      <w:sz w:val="21"/>
                      <w:szCs w:val="21"/>
                      <w:lang w:val="en-US" w:eastAsia="zh-CN"/>
                    </w:rPr>
                    <w:t>TP</w:t>
                  </w:r>
                </w:p>
              </w:tc>
              <w:tc>
                <w:tcPr>
                  <w:tcW w:w="746" w:type="dxa"/>
                  <w:tcBorders>
                    <w:tl2br w:val="nil"/>
                    <w:tr2bl w:val="nil"/>
                  </w:tcBorders>
                  <w:vAlign w:val="center"/>
                </w:tcPr>
                <w:p>
                  <w:pPr>
                    <w:adjustRightInd w:val="0"/>
                    <w:snapToGrid w:val="0"/>
                    <w:jc w:val="center"/>
                    <w:rPr>
                      <w:rFonts w:hint="default" w:ascii="Times New Roman" w:hAnsi="Times New Roman" w:eastAsia="宋体" w:cs="宋体"/>
                      <w:bCs/>
                      <w:color w:val="auto"/>
                      <w:spacing w:val="-10"/>
                      <w:sz w:val="21"/>
                      <w:szCs w:val="21"/>
                      <w:lang w:val="en-US" w:eastAsia="zh-CN"/>
                    </w:rPr>
                  </w:pPr>
                  <w:r>
                    <w:rPr>
                      <w:rFonts w:hint="eastAsia" w:ascii="Times New Roman" w:hAnsi="Times New Roman" w:eastAsia="宋体" w:cs="宋体"/>
                      <w:bCs/>
                      <w:color w:val="auto"/>
                      <w:spacing w:val="-10"/>
                      <w:sz w:val="21"/>
                      <w:szCs w:val="21"/>
                      <w:lang w:val="en-US" w:eastAsia="zh-CN"/>
                    </w:rPr>
                    <w:t>0.5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30"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828"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860"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859"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661"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793"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711"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859" w:type="dxa"/>
                  <w:vMerge w:val="continue"/>
                  <w:tcBorders>
                    <w:tl2br w:val="nil"/>
                    <w:tr2bl w:val="nil"/>
                  </w:tcBorders>
                  <w:vAlign w:val="center"/>
                </w:tcPr>
                <w:p>
                  <w:pPr>
                    <w:adjustRightInd w:val="0"/>
                    <w:snapToGrid w:val="0"/>
                    <w:jc w:val="center"/>
                    <w:rPr>
                      <w:rFonts w:hint="default" w:ascii="Times New Roman" w:hAnsi="Times New Roman" w:eastAsia="宋体" w:cs="宋体"/>
                      <w:bCs/>
                      <w:color w:val="auto"/>
                      <w:spacing w:val="-10"/>
                      <w:sz w:val="21"/>
                      <w:szCs w:val="21"/>
                      <w:lang w:val="en-US" w:eastAsia="zh-CN"/>
                    </w:rPr>
                  </w:pPr>
                </w:p>
              </w:tc>
              <w:tc>
                <w:tcPr>
                  <w:tcW w:w="789" w:type="dxa"/>
                  <w:tcBorders>
                    <w:tl2br w:val="nil"/>
                    <w:tr2bl w:val="nil"/>
                  </w:tcBorders>
                  <w:vAlign w:val="center"/>
                </w:tcPr>
                <w:p>
                  <w:pPr>
                    <w:adjustRightInd w:val="0"/>
                    <w:snapToGrid w:val="0"/>
                    <w:jc w:val="center"/>
                    <w:rPr>
                      <w:rFonts w:hint="eastAsia" w:ascii="Times New Roman" w:hAnsi="Times New Roman" w:eastAsia="宋体" w:cs="宋体"/>
                      <w:bCs/>
                      <w:color w:val="auto"/>
                      <w:spacing w:val="-10"/>
                      <w:sz w:val="21"/>
                      <w:szCs w:val="21"/>
                      <w:lang w:val="en-US" w:eastAsia="zh-CN"/>
                    </w:rPr>
                  </w:pPr>
                  <w:r>
                    <w:rPr>
                      <w:rFonts w:hint="eastAsia" w:ascii="Times New Roman" w:hAnsi="Times New Roman" w:eastAsia="宋体" w:cs="宋体"/>
                      <w:bCs/>
                      <w:color w:val="auto"/>
                      <w:spacing w:val="-10"/>
                      <w:sz w:val="21"/>
                      <w:szCs w:val="21"/>
                      <w:lang w:val="en-US" w:eastAsia="zh-CN"/>
                    </w:rPr>
                    <w:t>pH</w:t>
                  </w:r>
                </w:p>
              </w:tc>
              <w:tc>
                <w:tcPr>
                  <w:tcW w:w="746" w:type="dxa"/>
                  <w:tcBorders>
                    <w:tl2br w:val="nil"/>
                    <w:tr2bl w:val="nil"/>
                  </w:tcBorders>
                  <w:vAlign w:val="center"/>
                </w:tcPr>
                <w:p>
                  <w:pPr>
                    <w:adjustRightInd w:val="0"/>
                    <w:snapToGrid w:val="0"/>
                    <w:jc w:val="center"/>
                    <w:rPr>
                      <w:rFonts w:hint="default" w:ascii="Times New Roman" w:hAnsi="Times New Roman" w:eastAsia="宋体" w:cs="宋体"/>
                      <w:bCs/>
                      <w:color w:val="auto"/>
                      <w:spacing w:val="-10"/>
                      <w:sz w:val="21"/>
                      <w:szCs w:val="21"/>
                      <w:lang w:val="en-US" w:eastAsia="zh-CN"/>
                    </w:rPr>
                  </w:pPr>
                  <w:r>
                    <w:rPr>
                      <w:rFonts w:hint="default" w:ascii="Times New Roman" w:hAnsi="Times New Roman" w:eastAsia="宋体" w:cs="宋体"/>
                      <w:bCs/>
                      <w:color w:val="auto"/>
                      <w:spacing w:val="-10"/>
                      <w:sz w:val="21"/>
                      <w:szCs w:val="21"/>
                      <w:lang w:val="en-US" w:eastAsia="zh-CN"/>
                    </w:rPr>
                    <w:t>6-9</w:t>
                  </w:r>
                </w:p>
              </w:tc>
            </w:tr>
          </w:tbl>
          <w:p>
            <w:pPr>
              <w:numPr>
                <w:ilvl w:val="0"/>
                <w:numId w:val="0"/>
              </w:numPr>
              <w:adjustRightInd w:val="0"/>
              <w:snapToGrid w:val="0"/>
              <w:spacing w:line="360" w:lineRule="auto"/>
              <w:rPr>
                <w:rFonts w:cs="宋体"/>
                <w:b/>
                <w:color w:val="auto"/>
                <w:spacing w:val="-10"/>
                <w:sz w:val="24"/>
                <w:szCs w:val="21"/>
              </w:rPr>
            </w:pPr>
            <w:r>
              <w:rPr>
                <w:rFonts w:hint="eastAsia" w:cs="宋体"/>
                <w:b/>
                <w:color w:val="auto"/>
                <w:spacing w:val="-10"/>
                <w:sz w:val="24"/>
                <w:szCs w:val="21"/>
                <w:lang w:val="en-US" w:eastAsia="zh-CN"/>
              </w:rPr>
              <w:t>4、</w:t>
            </w:r>
            <w:r>
              <w:rPr>
                <w:rFonts w:hint="eastAsia" w:cs="宋体"/>
                <w:b/>
                <w:color w:val="auto"/>
                <w:spacing w:val="-10"/>
                <w:sz w:val="24"/>
                <w:szCs w:val="21"/>
              </w:rPr>
              <w:t>声环境影响分析</w:t>
            </w:r>
          </w:p>
          <w:p>
            <w:pPr>
              <w:adjustRightInd w:val="0"/>
              <w:snapToGrid w:val="0"/>
              <w:spacing w:line="360" w:lineRule="auto"/>
              <w:ind w:firstLine="480" w:firstLineChars="200"/>
              <w:jc w:val="left"/>
              <w:rPr>
                <w:rFonts w:hint="default" w:ascii="Times New Roman" w:hAnsi="Times New Roman" w:eastAsia="宋体" w:cs="宋体"/>
                <w:bCs/>
                <w:i w:val="0"/>
                <w:iCs w:val="0"/>
                <w:color w:val="auto"/>
                <w:sz w:val="24"/>
                <w:szCs w:val="21"/>
                <w:u w:val="none"/>
                <w:lang w:val="en-US" w:eastAsia="zh-CN"/>
              </w:rPr>
            </w:pPr>
            <w:r>
              <w:rPr>
                <w:rFonts w:hint="default" w:ascii="Times New Roman" w:hAnsi="Times New Roman" w:eastAsia="宋体" w:cs="宋体"/>
                <w:bCs/>
                <w:i w:val="0"/>
                <w:iCs w:val="0"/>
                <w:color w:val="auto"/>
                <w:sz w:val="24"/>
                <w:szCs w:val="21"/>
                <w:u w:val="none"/>
                <w:lang w:val="en-US" w:eastAsia="zh-CN"/>
              </w:rPr>
              <w:t>根据对本项目噪声污染源的分析及同类型项目的调研可知，噪声污染源主要为车辆进出、</w:t>
            </w:r>
            <w:r>
              <w:rPr>
                <w:rFonts w:hint="eastAsia" w:ascii="Times New Roman" w:hAnsi="Times New Roman" w:eastAsia="宋体" w:cs="宋体"/>
                <w:bCs/>
                <w:i w:val="0"/>
                <w:iCs w:val="0"/>
                <w:color w:val="auto"/>
                <w:sz w:val="24"/>
                <w:szCs w:val="21"/>
                <w:u w:val="none"/>
                <w:lang w:val="en-US" w:eastAsia="zh-CN"/>
              </w:rPr>
              <w:t>人群活动</w:t>
            </w:r>
            <w:r>
              <w:rPr>
                <w:rFonts w:hint="default" w:ascii="Times New Roman" w:hAnsi="Times New Roman" w:eastAsia="宋体" w:cs="宋体"/>
                <w:bCs/>
                <w:i w:val="0"/>
                <w:iCs w:val="0"/>
                <w:color w:val="auto"/>
                <w:sz w:val="24"/>
                <w:szCs w:val="21"/>
                <w:u w:val="none"/>
                <w:lang w:val="en-US" w:eastAsia="zh-CN"/>
              </w:rPr>
              <w:t>和各类设备运行噪声等，</w:t>
            </w:r>
            <w:r>
              <w:rPr>
                <w:rFonts w:hint="eastAsia" w:ascii="Times New Roman" w:hAnsi="Times New Roman" w:eastAsia="宋体" w:cs="宋体"/>
                <w:bCs/>
                <w:i w:val="0"/>
                <w:iCs w:val="0"/>
                <w:color w:val="auto"/>
                <w:sz w:val="24"/>
                <w:szCs w:val="21"/>
                <w:u w:val="none"/>
                <w:lang w:val="en-US" w:eastAsia="zh-CN"/>
              </w:rPr>
              <w:t>电梯机组</w:t>
            </w:r>
            <w:r>
              <w:rPr>
                <w:rFonts w:hint="default" w:ascii="Times New Roman" w:hAnsi="Times New Roman" w:eastAsia="宋体" w:cs="宋体"/>
                <w:bCs/>
                <w:i w:val="0"/>
                <w:iCs w:val="0"/>
                <w:color w:val="auto"/>
                <w:sz w:val="24"/>
                <w:szCs w:val="21"/>
                <w:u w:val="none"/>
                <w:lang w:val="en-US" w:eastAsia="zh-CN"/>
              </w:rPr>
              <w:t>以及配电房等设备噪声。本评价根据对同类型设备的类比监测，了解各噪声源正常作业时的噪声源强，具体见表</w:t>
            </w:r>
            <w:r>
              <w:rPr>
                <w:rFonts w:hint="eastAsia" w:ascii="Times New Roman" w:hAnsi="Times New Roman" w:eastAsia="宋体" w:cs="宋体"/>
                <w:bCs/>
                <w:i w:val="0"/>
                <w:iCs w:val="0"/>
                <w:color w:val="auto"/>
                <w:sz w:val="24"/>
                <w:szCs w:val="21"/>
                <w:u w:val="none"/>
                <w:lang w:val="en-US" w:eastAsia="zh-CN"/>
              </w:rPr>
              <w:t>4-4</w:t>
            </w:r>
            <w:r>
              <w:rPr>
                <w:rFonts w:hint="default" w:ascii="Times New Roman" w:hAnsi="Times New Roman" w:eastAsia="宋体" w:cs="宋体"/>
                <w:bCs/>
                <w:i w:val="0"/>
                <w:iCs w:val="0"/>
                <w:color w:val="auto"/>
                <w:sz w:val="24"/>
                <w:szCs w:val="21"/>
                <w:u w:val="none"/>
                <w:lang w:val="en-US" w:eastAsia="zh-CN"/>
              </w:rPr>
              <w:t>。</w:t>
            </w:r>
          </w:p>
          <w:p>
            <w:pPr>
              <w:adjustRightInd w:val="0"/>
              <w:snapToGrid w:val="0"/>
              <w:jc w:val="center"/>
              <w:rPr>
                <w:rFonts w:hint="default" w:ascii="Times New Roman" w:hAnsi="Times New Roman" w:eastAsia="宋体" w:cs="Times New Roman"/>
                <w:b/>
                <w:color w:val="auto"/>
                <w:sz w:val="24"/>
                <w:szCs w:val="21"/>
                <w:lang w:val="en-US" w:eastAsia="zh-CN"/>
              </w:rPr>
            </w:pPr>
            <w:r>
              <w:rPr>
                <w:rFonts w:hint="default" w:ascii="Times New Roman" w:hAnsi="Times New Roman" w:eastAsia="宋体" w:cs="Times New Roman"/>
                <w:b/>
                <w:color w:val="auto"/>
                <w:sz w:val="24"/>
                <w:szCs w:val="21"/>
                <w:lang w:val="en-US" w:eastAsia="zh-CN"/>
              </w:rPr>
              <w:t>表</w:t>
            </w:r>
            <w:r>
              <w:rPr>
                <w:rFonts w:hint="eastAsia" w:ascii="Times New Roman" w:hAnsi="Times New Roman" w:eastAsia="宋体" w:cs="Times New Roman"/>
                <w:b/>
                <w:color w:val="auto"/>
                <w:sz w:val="24"/>
                <w:szCs w:val="21"/>
                <w:lang w:val="en-US" w:eastAsia="zh-CN"/>
              </w:rPr>
              <w:t>4-4</w:t>
            </w:r>
            <w:r>
              <w:rPr>
                <w:rFonts w:hint="default" w:ascii="Times New Roman" w:hAnsi="Times New Roman" w:eastAsia="宋体" w:cs="Times New Roman"/>
                <w:b/>
                <w:color w:val="auto"/>
                <w:sz w:val="24"/>
                <w:szCs w:val="21"/>
                <w:lang w:val="en-US" w:eastAsia="zh-CN"/>
              </w:rPr>
              <w:t xml:space="preserve">  项目噪声源强  单位：dB(A)</w:t>
            </w:r>
          </w:p>
          <w:tbl>
            <w:tblPr>
              <w:tblStyle w:val="22"/>
              <w:tblW w:w="793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34"/>
              <w:gridCol w:w="2256"/>
              <w:gridCol w:w="1845"/>
              <w:gridCol w:w="240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34" w:type="dxa"/>
                  <w:tcBorders>
                    <w:tl2br w:val="nil"/>
                    <w:tr2bl w:val="nil"/>
                  </w:tcBorders>
                  <w:noWrap w:val="0"/>
                  <w:vAlign w:val="center"/>
                </w:tcPr>
                <w:p>
                  <w:pPr>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噪声类型</w:t>
                  </w:r>
                </w:p>
              </w:tc>
              <w:tc>
                <w:tcPr>
                  <w:tcW w:w="2256" w:type="dxa"/>
                  <w:tcBorders>
                    <w:tl2br w:val="nil"/>
                    <w:tr2bl w:val="nil"/>
                  </w:tcBorders>
                  <w:noWrap w:val="0"/>
                  <w:vAlign w:val="center"/>
                </w:tcPr>
                <w:p>
                  <w:pPr>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位置</w:t>
                  </w:r>
                </w:p>
              </w:tc>
              <w:tc>
                <w:tcPr>
                  <w:tcW w:w="1845" w:type="dxa"/>
                  <w:tcBorders>
                    <w:tl2br w:val="nil"/>
                    <w:tr2bl w:val="nil"/>
                  </w:tcBorders>
                  <w:noWrap w:val="0"/>
                  <w:vAlign w:val="center"/>
                </w:tcPr>
                <w:p>
                  <w:pPr>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源强值</w:t>
                  </w:r>
                </w:p>
              </w:tc>
              <w:tc>
                <w:tcPr>
                  <w:tcW w:w="2402" w:type="dxa"/>
                  <w:tcBorders>
                    <w:tl2br w:val="nil"/>
                    <w:tr2bl w:val="nil"/>
                  </w:tcBorders>
                  <w:noWrap w:val="0"/>
                  <w:vAlign w:val="center"/>
                </w:tcPr>
                <w:p>
                  <w:pPr>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34" w:type="dxa"/>
                  <w:vMerge w:val="restart"/>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车辆噪声</w:t>
                  </w:r>
                </w:p>
              </w:tc>
              <w:tc>
                <w:tcPr>
                  <w:tcW w:w="2256" w:type="dxa"/>
                  <w:vMerge w:val="restart"/>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小型汽车行驶(7.5m处)</w:t>
                  </w:r>
                </w:p>
              </w:tc>
              <w:tc>
                <w:tcPr>
                  <w:tcW w:w="1845"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怠速50～60</w:t>
                  </w:r>
                </w:p>
              </w:tc>
              <w:tc>
                <w:tcPr>
                  <w:tcW w:w="2402" w:type="dxa"/>
                  <w:vMerge w:val="restart"/>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一般集中在早晨和下午上下课时间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34" w:type="dxa"/>
                  <w:vMerge w:val="continue"/>
                  <w:tcBorders>
                    <w:tl2br w:val="nil"/>
                    <w:tr2bl w:val="nil"/>
                  </w:tcBorders>
                  <w:noWrap w:val="0"/>
                  <w:vAlign w:val="center"/>
                </w:tcPr>
                <w:p>
                  <w:pPr>
                    <w:jc w:val="center"/>
                    <w:rPr>
                      <w:rFonts w:hint="default" w:ascii="Times New Roman" w:hAnsi="Times New Roman" w:eastAsia="宋体" w:cs="Times New Roman"/>
                      <w:color w:val="auto"/>
                      <w:szCs w:val="21"/>
                    </w:rPr>
                  </w:pPr>
                </w:p>
              </w:tc>
              <w:tc>
                <w:tcPr>
                  <w:tcW w:w="2256" w:type="dxa"/>
                  <w:vMerge w:val="continue"/>
                  <w:tcBorders>
                    <w:tl2br w:val="nil"/>
                    <w:tr2bl w:val="nil"/>
                  </w:tcBorders>
                  <w:noWrap w:val="0"/>
                  <w:vAlign w:val="center"/>
                </w:tcPr>
                <w:p>
                  <w:pPr>
                    <w:jc w:val="center"/>
                    <w:rPr>
                      <w:rFonts w:hint="default" w:ascii="Times New Roman" w:hAnsi="Times New Roman" w:eastAsia="宋体" w:cs="Times New Roman"/>
                      <w:color w:val="auto"/>
                      <w:szCs w:val="21"/>
                    </w:rPr>
                  </w:pPr>
                </w:p>
              </w:tc>
              <w:tc>
                <w:tcPr>
                  <w:tcW w:w="1845"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正常60～70</w:t>
                  </w:r>
                </w:p>
              </w:tc>
              <w:tc>
                <w:tcPr>
                  <w:tcW w:w="2402" w:type="dxa"/>
                  <w:vMerge w:val="continue"/>
                  <w:tcBorders>
                    <w:tl2br w:val="nil"/>
                    <w:tr2bl w:val="nil"/>
                  </w:tcBorders>
                  <w:noWrap w:val="0"/>
                  <w:vAlign w:val="center"/>
                </w:tcPr>
                <w:p>
                  <w:pPr>
                    <w:jc w:val="center"/>
                    <w:rPr>
                      <w:rFonts w:hint="default" w:ascii="Times New Roman" w:hAnsi="Times New Roman" w:eastAsia="宋体" w:cs="Times New Roman"/>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34" w:type="dxa"/>
                  <w:vMerge w:val="continue"/>
                  <w:tcBorders>
                    <w:tl2br w:val="nil"/>
                    <w:tr2bl w:val="nil"/>
                  </w:tcBorders>
                  <w:noWrap w:val="0"/>
                  <w:vAlign w:val="center"/>
                </w:tcPr>
                <w:p>
                  <w:pPr>
                    <w:jc w:val="center"/>
                    <w:rPr>
                      <w:rFonts w:hint="default" w:ascii="Times New Roman" w:hAnsi="Times New Roman" w:eastAsia="宋体" w:cs="Times New Roman"/>
                      <w:color w:val="auto"/>
                      <w:szCs w:val="21"/>
                    </w:rPr>
                  </w:pPr>
                </w:p>
              </w:tc>
              <w:tc>
                <w:tcPr>
                  <w:tcW w:w="2256" w:type="dxa"/>
                  <w:vMerge w:val="continue"/>
                  <w:tcBorders>
                    <w:tl2br w:val="nil"/>
                    <w:tr2bl w:val="nil"/>
                  </w:tcBorders>
                  <w:noWrap w:val="0"/>
                  <w:vAlign w:val="center"/>
                </w:tcPr>
                <w:p>
                  <w:pPr>
                    <w:jc w:val="center"/>
                    <w:rPr>
                      <w:rFonts w:hint="default" w:ascii="Times New Roman" w:hAnsi="Times New Roman" w:eastAsia="宋体" w:cs="Times New Roman"/>
                      <w:color w:val="auto"/>
                      <w:szCs w:val="21"/>
                    </w:rPr>
                  </w:pPr>
                </w:p>
              </w:tc>
              <w:tc>
                <w:tcPr>
                  <w:tcW w:w="1845"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highlight w:val="none"/>
                    </w:rPr>
                    <w:t>鸣笛</w:t>
                  </w:r>
                  <w:r>
                    <w:rPr>
                      <w:rFonts w:hint="default" w:ascii="Times New Roman" w:hAnsi="Times New Roman" w:eastAsia="宋体" w:cs="Times New Roman"/>
                      <w:color w:val="auto"/>
                      <w:szCs w:val="21"/>
                    </w:rPr>
                    <w:t>70～75</w:t>
                  </w:r>
                </w:p>
              </w:tc>
              <w:tc>
                <w:tcPr>
                  <w:tcW w:w="2402" w:type="dxa"/>
                  <w:vMerge w:val="continue"/>
                  <w:tcBorders>
                    <w:tl2br w:val="nil"/>
                    <w:tr2bl w:val="nil"/>
                  </w:tcBorders>
                  <w:noWrap w:val="0"/>
                  <w:vAlign w:val="center"/>
                </w:tcPr>
                <w:p>
                  <w:pPr>
                    <w:jc w:val="center"/>
                    <w:rPr>
                      <w:rFonts w:hint="default" w:ascii="Times New Roman" w:hAnsi="Times New Roman" w:eastAsia="宋体" w:cs="Times New Roman"/>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34" w:type="dxa"/>
                  <w:vMerge w:val="restart"/>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设备噪声</w:t>
                  </w:r>
                </w:p>
              </w:tc>
              <w:tc>
                <w:tcPr>
                  <w:tcW w:w="2256"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配电房</w:t>
                  </w:r>
                </w:p>
              </w:tc>
              <w:tc>
                <w:tcPr>
                  <w:tcW w:w="1845"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70～80</w:t>
                  </w:r>
                </w:p>
              </w:tc>
              <w:tc>
                <w:tcPr>
                  <w:tcW w:w="2402"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地面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34" w:type="dxa"/>
                  <w:vMerge w:val="continue"/>
                  <w:tcBorders>
                    <w:tl2br w:val="nil"/>
                    <w:tr2bl w:val="nil"/>
                  </w:tcBorders>
                  <w:noWrap w:val="0"/>
                  <w:vAlign w:val="center"/>
                </w:tcPr>
                <w:p>
                  <w:pPr>
                    <w:jc w:val="center"/>
                    <w:rPr>
                      <w:rFonts w:hint="default" w:ascii="Times New Roman" w:hAnsi="Times New Roman" w:eastAsia="宋体" w:cs="Times New Roman"/>
                      <w:color w:val="auto"/>
                      <w:szCs w:val="21"/>
                    </w:rPr>
                  </w:pPr>
                </w:p>
              </w:tc>
              <w:tc>
                <w:tcPr>
                  <w:tcW w:w="2256" w:type="dxa"/>
                  <w:tcBorders>
                    <w:tl2br w:val="nil"/>
                    <w:tr2bl w:val="nil"/>
                  </w:tcBorders>
                  <w:noWrap w:val="0"/>
                  <w:vAlign w:val="center"/>
                </w:tcPr>
                <w:p>
                  <w:pPr>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电梯机组</w:t>
                  </w:r>
                </w:p>
              </w:tc>
              <w:tc>
                <w:tcPr>
                  <w:tcW w:w="1845"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75～80</w:t>
                  </w:r>
                </w:p>
              </w:tc>
              <w:tc>
                <w:tcPr>
                  <w:tcW w:w="2402"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食堂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34"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大型</w:t>
                  </w:r>
                  <w:r>
                    <w:rPr>
                      <w:rFonts w:hint="eastAsia" w:ascii="Times New Roman" w:hAnsi="Times New Roman" w:eastAsia="宋体" w:cs="Times New Roman"/>
                      <w:color w:val="auto"/>
                      <w:szCs w:val="21"/>
                      <w:lang w:val="en-US" w:eastAsia="zh-CN"/>
                    </w:rPr>
                    <w:t>活动</w:t>
                  </w:r>
                  <w:r>
                    <w:rPr>
                      <w:rFonts w:hint="default" w:ascii="Times New Roman" w:hAnsi="Times New Roman" w:eastAsia="宋体" w:cs="Times New Roman"/>
                      <w:color w:val="auto"/>
                      <w:szCs w:val="21"/>
                    </w:rPr>
                    <w:t>（文娱活动）噪声</w:t>
                  </w:r>
                </w:p>
              </w:tc>
              <w:tc>
                <w:tcPr>
                  <w:tcW w:w="2256"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社会噪声</w:t>
                  </w:r>
                </w:p>
              </w:tc>
              <w:tc>
                <w:tcPr>
                  <w:tcW w:w="1845" w:type="dxa"/>
                  <w:tcBorders>
                    <w:tl2br w:val="nil"/>
                    <w:tr2bl w:val="nil"/>
                  </w:tcBorders>
                  <w:noWrap w:val="0"/>
                  <w:vAlign w:val="center"/>
                </w:tcPr>
                <w:p>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rPr>
                    <w:t>85~</w:t>
                  </w:r>
                  <w:r>
                    <w:rPr>
                      <w:rFonts w:hint="eastAsia" w:ascii="Times New Roman" w:hAnsi="Times New Roman" w:eastAsia="宋体" w:cs="Times New Roman"/>
                      <w:color w:val="auto"/>
                      <w:szCs w:val="21"/>
                      <w:lang w:val="en-US" w:eastAsia="zh-CN"/>
                    </w:rPr>
                    <w:t>90</w:t>
                  </w:r>
                </w:p>
              </w:tc>
              <w:tc>
                <w:tcPr>
                  <w:tcW w:w="2402" w:type="dxa"/>
                  <w:tcBorders>
                    <w:tl2br w:val="nil"/>
                    <w:tr2bl w:val="nil"/>
                  </w:tcBorders>
                  <w:noWrap w:val="0"/>
                  <w:vAlign w:val="center"/>
                </w:tcPr>
                <w:p>
                  <w:pPr>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休闲空地</w:t>
                  </w:r>
                </w:p>
              </w:tc>
            </w:tr>
          </w:tbl>
          <w:p>
            <w:pPr>
              <w:adjustRightInd w:val="0"/>
              <w:snapToGrid w:val="0"/>
              <w:spacing w:line="360" w:lineRule="auto"/>
              <w:ind w:firstLine="480" w:firstLineChars="200"/>
              <w:jc w:val="left"/>
              <w:rPr>
                <w:rFonts w:hint="default" w:ascii="Times New Roman" w:hAnsi="Times New Roman" w:eastAsia="宋体" w:cs="宋体"/>
                <w:bCs/>
                <w:i w:val="0"/>
                <w:iCs w:val="0"/>
                <w:color w:val="auto"/>
                <w:sz w:val="24"/>
                <w:szCs w:val="21"/>
                <w:u w:val="none"/>
                <w:lang w:val="en-US" w:eastAsia="zh-CN"/>
              </w:rPr>
            </w:pPr>
            <w:r>
              <w:rPr>
                <w:rFonts w:hint="default" w:ascii="Times New Roman" w:hAnsi="Times New Roman" w:eastAsia="宋体" w:cs="宋体"/>
                <w:bCs/>
                <w:i w:val="0"/>
                <w:iCs w:val="0"/>
                <w:color w:val="auto"/>
                <w:sz w:val="24"/>
                <w:szCs w:val="21"/>
                <w:u w:val="none"/>
                <w:lang w:val="en-US" w:eastAsia="zh-CN"/>
              </w:rPr>
              <w:t>（</w:t>
            </w:r>
            <w:r>
              <w:rPr>
                <w:rFonts w:hint="eastAsia" w:ascii="Times New Roman" w:hAnsi="Times New Roman" w:eastAsia="宋体" w:cs="宋体"/>
                <w:bCs/>
                <w:i w:val="0"/>
                <w:iCs w:val="0"/>
                <w:color w:val="auto"/>
                <w:sz w:val="24"/>
                <w:szCs w:val="21"/>
                <w:u w:val="none"/>
                <w:lang w:val="en-US" w:eastAsia="zh-CN"/>
              </w:rPr>
              <w:t>1</w:t>
            </w:r>
            <w:r>
              <w:rPr>
                <w:rFonts w:hint="default" w:ascii="Times New Roman" w:hAnsi="Times New Roman" w:eastAsia="宋体" w:cs="宋体"/>
                <w:bCs/>
                <w:i w:val="0"/>
                <w:iCs w:val="0"/>
                <w:color w:val="auto"/>
                <w:sz w:val="24"/>
                <w:szCs w:val="21"/>
                <w:u w:val="none"/>
                <w:lang w:val="en-US" w:eastAsia="zh-CN"/>
              </w:rPr>
              <w:t>）地面设备噪声</w:t>
            </w:r>
          </w:p>
          <w:p>
            <w:pPr>
              <w:adjustRightInd w:val="0"/>
              <w:snapToGrid w:val="0"/>
              <w:spacing w:line="360" w:lineRule="auto"/>
              <w:ind w:firstLine="480" w:firstLineChars="200"/>
              <w:jc w:val="left"/>
              <w:rPr>
                <w:rFonts w:hint="default" w:ascii="Times New Roman" w:hAnsi="Times New Roman" w:eastAsia="宋体" w:cs="宋体"/>
                <w:bCs/>
                <w:i w:val="0"/>
                <w:iCs w:val="0"/>
                <w:color w:val="auto"/>
                <w:sz w:val="24"/>
                <w:szCs w:val="21"/>
                <w:u w:val="none"/>
                <w:lang w:val="en-US" w:eastAsia="zh-CN"/>
              </w:rPr>
            </w:pPr>
            <w:r>
              <w:rPr>
                <w:rFonts w:hint="default" w:ascii="Times New Roman" w:hAnsi="Times New Roman" w:eastAsia="宋体" w:cs="宋体"/>
                <w:bCs/>
                <w:i w:val="0"/>
                <w:iCs w:val="0"/>
                <w:color w:val="auto"/>
                <w:sz w:val="24"/>
                <w:szCs w:val="21"/>
                <w:u w:val="none"/>
                <w:lang w:val="en-US" w:eastAsia="zh-CN"/>
              </w:rPr>
              <w:t>地面设备噪声主要为</w:t>
            </w:r>
            <w:r>
              <w:rPr>
                <w:rFonts w:hint="eastAsia" w:ascii="Times New Roman" w:hAnsi="Times New Roman" w:eastAsia="宋体" w:cs="宋体"/>
                <w:bCs/>
                <w:i w:val="0"/>
                <w:iCs w:val="0"/>
                <w:color w:val="auto"/>
                <w:sz w:val="24"/>
                <w:szCs w:val="21"/>
                <w:u w:val="none"/>
                <w:lang w:val="en-US" w:eastAsia="zh-CN"/>
              </w:rPr>
              <w:t>配电房噪声以及电梯机组噪声</w:t>
            </w:r>
            <w:r>
              <w:rPr>
                <w:rFonts w:hint="default" w:ascii="Times New Roman" w:hAnsi="Times New Roman" w:eastAsia="宋体" w:cs="宋体"/>
                <w:bCs/>
                <w:i w:val="0"/>
                <w:iCs w:val="0"/>
                <w:color w:val="auto"/>
                <w:sz w:val="24"/>
                <w:szCs w:val="21"/>
                <w:u w:val="none"/>
                <w:lang w:val="en-US" w:eastAsia="zh-CN"/>
              </w:rPr>
              <w:t>。</w:t>
            </w:r>
          </w:p>
          <w:p>
            <w:pPr>
              <w:adjustRightInd w:val="0"/>
              <w:snapToGrid w:val="0"/>
              <w:spacing w:line="360" w:lineRule="auto"/>
              <w:ind w:firstLine="480" w:firstLineChars="200"/>
              <w:jc w:val="left"/>
              <w:rPr>
                <w:rFonts w:hint="default" w:ascii="Times New Roman" w:hAnsi="Times New Roman" w:eastAsia="宋体" w:cs="宋体"/>
                <w:bCs/>
                <w:i w:val="0"/>
                <w:iCs w:val="0"/>
                <w:color w:val="auto"/>
                <w:sz w:val="24"/>
                <w:szCs w:val="21"/>
                <w:u w:val="none"/>
                <w:lang w:val="en-US" w:eastAsia="zh-CN"/>
              </w:rPr>
            </w:pPr>
            <w:r>
              <w:rPr>
                <w:rFonts w:hint="eastAsia" w:ascii="Times New Roman" w:hAnsi="Times New Roman" w:eastAsia="宋体" w:cs="宋体"/>
                <w:bCs/>
                <w:i w:val="0"/>
                <w:iCs w:val="0"/>
                <w:color w:val="auto"/>
                <w:sz w:val="24"/>
                <w:szCs w:val="21"/>
                <w:u w:val="none"/>
                <w:lang w:val="en-US" w:eastAsia="zh-CN"/>
              </w:rPr>
              <w:t>变配电室变压器声源强约为7</w:t>
            </w:r>
            <w:r>
              <w:rPr>
                <w:rFonts w:hint="default" w:ascii="Times New Roman" w:hAnsi="Times New Roman" w:eastAsia="宋体" w:cs="宋体"/>
                <w:bCs/>
                <w:i w:val="0"/>
                <w:iCs w:val="0"/>
                <w:color w:val="auto"/>
                <w:sz w:val="24"/>
                <w:szCs w:val="21"/>
                <w:u w:val="none"/>
                <w:lang w:val="en-US" w:eastAsia="zh-CN"/>
              </w:rPr>
              <w:t>5dB(A)</w:t>
            </w:r>
            <w:r>
              <w:rPr>
                <w:rFonts w:hint="eastAsia" w:ascii="Times New Roman" w:hAnsi="Times New Roman" w:eastAsia="宋体" w:cs="宋体"/>
                <w:bCs/>
                <w:i w:val="0"/>
                <w:iCs w:val="0"/>
                <w:color w:val="auto"/>
                <w:sz w:val="24"/>
                <w:szCs w:val="21"/>
                <w:u w:val="none"/>
                <w:lang w:val="en-US" w:eastAsia="zh-CN"/>
              </w:rPr>
              <w:t>，变配电室位于场地西南角，采用吸声、基础减震等措施，通过建筑物隔声后，对外界影响较小，不会影响到校区的正常运行。少量</w:t>
            </w:r>
            <w:r>
              <w:rPr>
                <w:rFonts w:hint="default" w:ascii="Times New Roman" w:hAnsi="Times New Roman" w:eastAsia="宋体" w:cs="宋体"/>
                <w:bCs/>
                <w:i w:val="0"/>
                <w:iCs w:val="0"/>
                <w:color w:val="auto"/>
                <w:sz w:val="24"/>
                <w:szCs w:val="21"/>
                <w:u w:val="none"/>
                <w:lang w:val="en-US" w:eastAsia="zh-CN"/>
              </w:rPr>
              <w:t>空调</w:t>
            </w:r>
            <w:r>
              <w:rPr>
                <w:rFonts w:hint="eastAsia" w:ascii="Times New Roman" w:hAnsi="Times New Roman" w:eastAsia="宋体" w:cs="宋体"/>
                <w:bCs/>
                <w:i w:val="0"/>
                <w:iCs w:val="0"/>
                <w:color w:val="auto"/>
                <w:sz w:val="24"/>
                <w:szCs w:val="21"/>
                <w:u w:val="none"/>
                <w:lang w:val="en-US" w:eastAsia="zh-CN"/>
              </w:rPr>
              <w:t>外机</w:t>
            </w:r>
            <w:r>
              <w:rPr>
                <w:rFonts w:hint="default" w:ascii="Times New Roman" w:hAnsi="Times New Roman" w:eastAsia="宋体" w:cs="宋体"/>
                <w:bCs/>
                <w:i w:val="0"/>
                <w:iCs w:val="0"/>
                <w:color w:val="auto"/>
                <w:sz w:val="24"/>
                <w:szCs w:val="21"/>
                <w:u w:val="none"/>
                <w:lang w:val="en-US" w:eastAsia="zh-CN"/>
              </w:rPr>
              <w:t>选用低噪声型号，并按设计位置布置，基础设减振垫；同时加强设备的日常检修和维护。</w:t>
            </w:r>
          </w:p>
          <w:p>
            <w:pPr>
              <w:adjustRightInd w:val="0"/>
              <w:snapToGrid w:val="0"/>
              <w:spacing w:line="360" w:lineRule="auto"/>
              <w:ind w:firstLine="480" w:firstLineChars="200"/>
              <w:jc w:val="left"/>
              <w:rPr>
                <w:rFonts w:hint="default" w:ascii="Times New Roman" w:hAnsi="Times New Roman" w:eastAsia="宋体" w:cs="宋体"/>
                <w:bCs/>
                <w:i w:val="0"/>
                <w:iCs w:val="0"/>
                <w:color w:val="auto"/>
                <w:sz w:val="24"/>
                <w:szCs w:val="21"/>
                <w:u w:val="none"/>
                <w:lang w:val="en-US" w:eastAsia="zh-CN"/>
              </w:rPr>
            </w:pPr>
            <w:r>
              <w:rPr>
                <w:rFonts w:hint="eastAsia" w:ascii="Times New Roman" w:hAnsi="Times New Roman" w:eastAsia="宋体" w:cs="宋体"/>
                <w:bCs/>
                <w:i w:val="0"/>
                <w:iCs w:val="0"/>
                <w:color w:val="auto"/>
                <w:sz w:val="24"/>
                <w:szCs w:val="21"/>
                <w:u w:val="none"/>
                <w:lang w:val="en-US" w:eastAsia="zh-CN"/>
              </w:rPr>
              <w:t>本项目电梯机组安装于每栋楼房顶楼位置，设置于密闭房间内。经墙壁隔声后噪声可大大降低。</w:t>
            </w:r>
          </w:p>
          <w:p>
            <w:pPr>
              <w:adjustRightInd w:val="0"/>
              <w:snapToGrid w:val="0"/>
              <w:spacing w:line="360" w:lineRule="auto"/>
              <w:ind w:firstLine="480" w:firstLineChars="200"/>
              <w:jc w:val="left"/>
              <w:rPr>
                <w:rFonts w:hint="default" w:ascii="Times New Roman" w:hAnsi="Times New Roman" w:eastAsia="宋体" w:cs="宋体"/>
                <w:bCs/>
                <w:i w:val="0"/>
                <w:iCs w:val="0"/>
                <w:color w:val="auto"/>
                <w:sz w:val="24"/>
                <w:szCs w:val="21"/>
                <w:u w:val="none"/>
                <w:lang w:val="en-US" w:eastAsia="zh-CN"/>
              </w:rPr>
            </w:pPr>
            <w:r>
              <w:rPr>
                <w:rFonts w:hint="default" w:ascii="Times New Roman" w:hAnsi="Times New Roman" w:eastAsia="宋体" w:cs="宋体"/>
                <w:bCs/>
                <w:i w:val="0"/>
                <w:iCs w:val="0"/>
                <w:color w:val="auto"/>
                <w:sz w:val="24"/>
                <w:szCs w:val="21"/>
                <w:u w:val="none"/>
                <w:lang w:val="en-US" w:eastAsia="zh-CN"/>
              </w:rPr>
              <w:t>（</w:t>
            </w:r>
            <w:r>
              <w:rPr>
                <w:rFonts w:hint="eastAsia" w:ascii="Times New Roman" w:hAnsi="Times New Roman" w:eastAsia="宋体" w:cs="宋体"/>
                <w:bCs/>
                <w:i w:val="0"/>
                <w:iCs w:val="0"/>
                <w:color w:val="auto"/>
                <w:sz w:val="24"/>
                <w:szCs w:val="21"/>
                <w:u w:val="none"/>
                <w:lang w:val="en-US" w:eastAsia="zh-CN"/>
              </w:rPr>
              <w:t>2</w:t>
            </w:r>
            <w:r>
              <w:rPr>
                <w:rFonts w:hint="default" w:ascii="Times New Roman" w:hAnsi="Times New Roman" w:eastAsia="宋体" w:cs="宋体"/>
                <w:bCs/>
                <w:i w:val="0"/>
                <w:iCs w:val="0"/>
                <w:color w:val="auto"/>
                <w:sz w:val="24"/>
                <w:szCs w:val="21"/>
                <w:u w:val="none"/>
                <w:lang w:val="en-US" w:eastAsia="zh-CN"/>
              </w:rPr>
              <w:t>）人群活动噪声</w:t>
            </w:r>
          </w:p>
          <w:p>
            <w:pPr>
              <w:adjustRightInd w:val="0"/>
              <w:snapToGrid w:val="0"/>
              <w:spacing w:line="360" w:lineRule="auto"/>
              <w:ind w:firstLine="480" w:firstLineChars="200"/>
              <w:jc w:val="left"/>
              <w:rPr>
                <w:rFonts w:hint="default" w:ascii="Times New Roman" w:hAnsi="Times New Roman" w:eastAsia="宋体" w:cs="宋体"/>
                <w:bCs/>
                <w:i w:val="0"/>
                <w:iCs w:val="0"/>
                <w:color w:val="auto"/>
                <w:sz w:val="24"/>
                <w:szCs w:val="21"/>
                <w:u w:val="none"/>
                <w:lang w:val="en-US" w:eastAsia="zh-CN"/>
              </w:rPr>
            </w:pPr>
            <w:r>
              <w:rPr>
                <w:rFonts w:hint="default" w:ascii="Times New Roman" w:hAnsi="Times New Roman" w:eastAsia="宋体" w:cs="宋体"/>
                <w:bCs/>
                <w:i w:val="0"/>
                <w:iCs w:val="0"/>
                <w:color w:val="auto"/>
                <w:sz w:val="24"/>
                <w:szCs w:val="21"/>
                <w:u w:val="none"/>
                <w:lang w:val="en-US" w:eastAsia="zh-CN"/>
              </w:rPr>
              <w:t>营运期噪声源还有来自师生教学、生活的社会生活噪声，源强较小，此类噪声源对声环境的影响较小。主要噪声来源于</w:t>
            </w:r>
            <w:r>
              <w:rPr>
                <w:rFonts w:hint="eastAsia" w:ascii="Times New Roman" w:hAnsi="Times New Roman" w:eastAsia="宋体" w:cs="宋体"/>
                <w:bCs/>
                <w:i w:val="0"/>
                <w:iCs w:val="0"/>
                <w:color w:val="auto"/>
                <w:sz w:val="24"/>
                <w:szCs w:val="21"/>
                <w:u w:val="none"/>
                <w:lang w:val="en-US" w:eastAsia="zh-CN"/>
              </w:rPr>
              <w:t>上学放学交通高峰期、</w:t>
            </w:r>
            <w:r>
              <w:rPr>
                <w:rFonts w:hint="default" w:ascii="Times New Roman" w:hAnsi="Times New Roman" w:eastAsia="宋体" w:cs="宋体"/>
                <w:bCs/>
                <w:i w:val="0"/>
                <w:iCs w:val="0"/>
                <w:color w:val="auto"/>
                <w:sz w:val="24"/>
                <w:szCs w:val="21"/>
                <w:u w:val="none"/>
                <w:lang w:val="en-US" w:eastAsia="zh-CN"/>
              </w:rPr>
              <w:t>课间活动或大型场外活动产生的噪声，一般情况下对周边居民影响有限，不会造成扰民现象，处于其可接受水平内。</w:t>
            </w:r>
          </w:p>
          <w:p>
            <w:pPr>
              <w:pStyle w:val="53"/>
              <w:adjustRightInd w:val="0"/>
              <w:snapToGrid w:val="0"/>
              <w:spacing w:line="360" w:lineRule="auto"/>
              <w:ind w:firstLine="482"/>
              <w:rPr>
                <w:rFonts w:hint="default" w:cs="宋体"/>
                <w:b/>
                <w:color w:val="auto"/>
                <w:spacing w:val="-10"/>
                <w:sz w:val="24"/>
                <w:szCs w:val="21"/>
                <w:lang w:val="en-US" w:eastAsia="zh-CN"/>
              </w:rPr>
            </w:pPr>
            <w:r>
              <w:rPr>
                <w:rFonts w:hint="eastAsia"/>
                <w:color w:val="auto"/>
                <w:sz w:val="24"/>
                <w:lang w:val="en-US" w:eastAsia="zh-CN"/>
              </w:rPr>
              <w:t>在采取了建造措施后</w:t>
            </w:r>
            <w:r>
              <w:rPr>
                <w:rFonts w:hint="eastAsia"/>
                <w:color w:val="auto"/>
                <w:sz w:val="24"/>
              </w:rPr>
              <w:t>，</w:t>
            </w:r>
            <w:r>
              <w:rPr>
                <w:rFonts w:hint="eastAsia"/>
                <w:color w:val="auto"/>
                <w:sz w:val="24"/>
                <w:lang w:eastAsia="zh-CN"/>
              </w:rPr>
              <w:t>经距离衰减后，</w:t>
            </w:r>
            <w:r>
              <w:rPr>
                <w:rFonts w:hint="eastAsia"/>
                <w:color w:val="auto"/>
                <w:sz w:val="24"/>
              </w:rPr>
              <w:t>本项目噪声</w:t>
            </w:r>
            <w:r>
              <w:rPr>
                <w:rFonts w:hint="eastAsia"/>
                <w:color w:val="auto"/>
                <w:sz w:val="24"/>
                <w:lang w:eastAsia="zh-CN"/>
              </w:rPr>
              <w:t>在厂界可达标排放，</w:t>
            </w:r>
            <w:r>
              <w:rPr>
                <w:rFonts w:hint="eastAsia"/>
                <w:color w:val="auto"/>
                <w:sz w:val="24"/>
              </w:rPr>
              <w:t>对周边声环境影响较小。</w:t>
            </w:r>
            <w:r>
              <w:rPr>
                <w:rFonts w:hint="default" w:ascii="Times New Roman" w:hAnsi="Times New Roman" w:eastAsia="宋体" w:cs="Times New Roman"/>
                <w:color w:val="auto"/>
                <w:sz w:val="24"/>
              </w:rPr>
              <w:t xml:space="preserve">     </w:t>
            </w:r>
          </w:p>
          <w:p>
            <w:pPr>
              <w:numPr>
                <w:ilvl w:val="0"/>
                <w:numId w:val="0"/>
              </w:numPr>
              <w:adjustRightInd w:val="0"/>
              <w:snapToGrid w:val="0"/>
              <w:spacing w:line="360" w:lineRule="auto"/>
              <w:rPr>
                <w:rFonts w:cs="宋体"/>
                <w:b/>
                <w:color w:val="auto"/>
                <w:spacing w:val="-10"/>
                <w:sz w:val="24"/>
                <w:szCs w:val="21"/>
              </w:rPr>
            </w:pPr>
            <w:r>
              <w:rPr>
                <w:rFonts w:hint="eastAsia" w:cs="宋体"/>
                <w:b/>
                <w:color w:val="auto"/>
                <w:spacing w:val="-10"/>
                <w:sz w:val="24"/>
                <w:szCs w:val="21"/>
                <w:lang w:val="en-US" w:eastAsia="zh-CN"/>
              </w:rPr>
              <w:t>5、</w:t>
            </w:r>
            <w:r>
              <w:rPr>
                <w:rFonts w:hint="eastAsia" w:cs="宋体"/>
                <w:b/>
                <w:color w:val="auto"/>
                <w:spacing w:val="-10"/>
                <w:sz w:val="24"/>
                <w:szCs w:val="21"/>
              </w:rPr>
              <w:t>固体废弃物环境影响分析</w:t>
            </w:r>
          </w:p>
          <w:p>
            <w:pPr>
              <w:pStyle w:val="53"/>
              <w:adjustRightInd w:val="0"/>
              <w:snapToGrid w:val="0"/>
              <w:spacing w:line="360" w:lineRule="auto"/>
              <w:ind w:firstLine="482"/>
              <w:rPr>
                <w:b/>
                <w:color w:val="auto"/>
                <w:sz w:val="24"/>
                <w:szCs w:val="21"/>
              </w:rPr>
            </w:pPr>
            <w:r>
              <w:rPr>
                <w:rFonts w:hint="eastAsia"/>
                <w:b/>
                <w:color w:val="auto"/>
                <w:sz w:val="24"/>
                <w:szCs w:val="21"/>
                <w:lang w:val="en-US" w:eastAsia="zh-CN"/>
              </w:rPr>
              <w:t>5.1</w:t>
            </w:r>
            <w:r>
              <w:rPr>
                <w:rFonts w:hint="eastAsia" w:cs="宋体"/>
                <w:b/>
                <w:color w:val="auto"/>
                <w:spacing w:val="-10"/>
                <w:sz w:val="24"/>
                <w:szCs w:val="21"/>
              </w:rPr>
              <w:t>污染源</w:t>
            </w:r>
            <w:r>
              <w:rPr>
                <w:rFonts w:hint="eastAsia"/>
                <w:b/>
                <w:color w:val="auto"/>
                <w:sz w:val="24"/>
                <w:szCs w:val="21"/>
              </w:rPr>
              <w:t>分析</w:t>
            </w:r>
          </w:p>
          <w:p>
            <w:pPr>
              <w:adjustRightInd w:val="0"/>
              <w:snapToGrid w:val="0"/>
              <w:spacing w:line="360" w:lineRule="auto"/>
              <w:ind w:firstLine="480" w:firstLineChars="200"/>
              <w:rPr>
                <w:rFonts w:hint="default" w:ascii="Times New Roman" w:hAnsi="Times New Roman" w:cs="Times New Roman"/>
                <w:bCs/>
                <w:color w:val="auto"/>
                <w:sz w:val="24"/>
                <w:szCs w:val="21"/>
              </w:rPr>
            </w:pPr>
            <w:r>
              <w:rPr>
                <w:rFonts w:hint="eastAsia"/>
                <w:bCs/>
                <w:color w:val="auto"/>
                <w:sz w:val="24"/>
                <w:szCs w:val="21"/>
              </w:rPr>
              <w:t>本项目</w:t>
            </w:r>
            <w:r>
              <w:rPr>
                <w:rFonts w:hint="default" w:ascii="Times New Roman" w:hAnsi="Times New Roman" w:cs="Times New Roman"/>
                <w:bCs/>
                <w:color w:val="auto"/>
                <w:sz w:val="24"/>
                <w:szCs w:val="21"/>
              </w:rPr>
              <w:t>运营期产生的固体废物为生活垃圾。</w:t>
            </w:r>
          </w:p>
          <w:p>
            <w:pPr>
              <w:pStyle w:val="18"/>
              <w:widowControl w:val="0"/>
              <w:adjustRightInd w:val="0"/>
              <w:snapToGrid w:val="0"/>
              <w:spacing w:before="0" w:beforeAutospacing="0" w:after="0" w:afterAutospacing="0" w:line="360" w:lineRule="auto"/>
              <w:ind w:firstLine="480" w:firstLineChars="200"/>
              <w:rPr>
                <w:rFonts w:hint="default" w:ascii="Times New Roman" w:hAnsi="Times New Roman" w:eastAsia="宋体" w:cs="Times New Roman"/>
                <w:color w:val="auto"/>
              </w:rPr>
            </w:pPr>
            <w:r>
              <w:rPr>
                <w:rFonts w:hint="default" w:ascii="Times New Roman" w:hAnsi="Times New Roman" w:eastAsia="宋体" w:cs="Times New Roman"/>
                <w:color w:val="auto"/>
                <w:sz w:val="24"/>
              </w:rPr>
              <w:t>生活垃圾主要来源于</w:t>
            </w:r>
            <w:r>
              <w:rPr>
                <w:rFonts w:hint="default" w:ascii="Times New Roman" w:hAnsi="Times New Roman" w:eastAsia="宋体" w:cs="Times New Roman"/>
                <w:color w:val="auto"/>
                <w:sz w:val="24"/>
                <w:lang w:val="en-US" w:eastAsia="zh-CN"/>
              </w:rPr>
              <w:t>安置区内居民居住过程</w:t>
            </w:r>
            <w:r>
              <w:rPr>
                <w:rFonts w:hint="default" w:ascii="Times New Roman" w:hAnsi="Times New Roman" w:eastAsia="宋体" w:cs="Times New Roman"/>
                <w:color w:val="auto"/>
                <w:sz w:val="24"/>
              </w:rPr>
              <w:t>，</w:t>
            </w:r>
            <w:r>
              <w:rPr>
                <w:rFonts w:hint="default" w:ascii="Times New Roman" w:hAnsi="Times New Roman" w:eastAsia="宋体" w:cs="Times New Roman"/>
                <w:color w:val="auto"/>
                <w:sz w:val="24"/>
                <w:lang w:eastAsia="zh-CN"/>
              </w:rPr>
              <w:t>项目内</w:t>
            </w:r>
            <w:r>
              <w:rPr>
                <w:rFonts w:hint="default" w:ascii="Times New Roman" w:hAnsi="Times New Roman" w:eastAsia="宋体" w:cs="Times New Roman"/>
                <w:color w:val="auto"/>
                <w:sz w:val="24"/>
                <w:lang w:val="en-US" w:eastAsia="zh-CN"/>
              </w:rPr>
              <w:t>设计住户</w:t>
            </w:r>
            <w:r>
              <w:rPr>
                <w:rFonts w:hint="default" w:ascii="Times New Roman" w:hAnsi="Times New Roman" w:eastAsia="宋体" w:cs="Times New Roman"/>
                <w:bCs/>
                <w:color w:val="auto"/>
                <w:sz w:val="24"/>
                <w:szCs w:val="21"/>
                <w:lang w:val="en-US" w:eastAsia="zh-CN"/>
              </w:rPr>
              <w:t>数</w:t>
            </w:r>
            <w:r>
              <w:rPr>
                <w:rFonts w:hint="default" w:ascii="Times New Roman" w:hAnsi="Times New Roman" w:cs="Times New Roman"/>
                <w:bCs/>
                <w:color w:val="auto"/>
                <w:sz w:val="24"/>
                <w:szCs w:val="21"/>
                <w:lang w:val="en-US" w:eastAsia="zh-CN"/>
              </w:rPr>
              <w:t>1240</w:t>
            </w:r>
            <w:r>
              <w:rPr>
                <w:rFonts w:hint="default" w:ascii="Times New Roman" w:hAnsi="Times New Roman" w:eastAsia="宋体" w:cs="Times New Roman"/>
                <w:bCs/>
                <w:color w:val="auto"/>
                <w:sz w:val="24"/>
                <w:szCs w:val="21"/>
                <w:lang w:val="en-US" w:eastAsia="zh-CN"/>
              </w:rPr>
              <w:t>户，</w:t>
            </w:r>
            <w:r>
              <w:rPr>
                <w:rFonts w:hint="default" w:ascii="Times New Roman" w:hAnsi="Times New Roman" w:cs="Times New Roman"/>
                <w:bCs/>
                <w:color w:val="auto"/>
                <w:sz w:val="24"/>
                <w:szCs w:val="21"/>
                <w:lang w:val="en-US" w:eastAsia="zh-CN"/>
              </w:rPr>
              <w:t>根据华容县团洲乡实际情况，入住率按50%计，则</w:t>
            </w:r>
            <w:r>
              <w:rPr>
                <w:rFonts w:hint="default" w:ascii="Times New Roman" w:hAnsi="Times New Roman" w:eastAsia="宋体" w:cs="Times New Roman"/>
                <w:bCs/>
                <w:color w:val="auto"/>
                <w:sz w:val="24"/>
                <w:szCs w:val="21"/>
                <w:lang w:val="en-US" w:eastAsia="zh-CN"/>
              </w:rPr>
              <w:t>预计总人口</w:t>
            </w:r>
            <w:r>
              <w:rPr>
                <w:rFonts w:hint="default" w:ascii="Times New Roman" w:hAnsi="Times New Roman" w:cs="Times New Roman"/>
                <w:bCs/>
                <w:color w:val="auto"/>
                <w:sz w:val="24"/>
                <w:szCs w:val="21"/>
                <w:lang w:val="en-US" w:eastAsia="zh-CN"/>
              </w:rPr>
              <w:t>2000</w:t>
            </w:r>
            <w:r>
              <w:rPr>
                <w:rFonts w:hint="default" w:ascii="Times New Roman" w:hAnsi="Times New Roman" w:eastAsia="宋体" w:cs="Times New Roman"/>
                <w:bCs/>
                <w:color w:val="auto"/>
                <w:sz w:val="24"/>
                <w:szCs w:val="21"/>
                <w:lang w:val="en-US" w:eastAsia="zh-CN"/>
              </w:rPr>
              <w:t>人</w:t>
            </w:r>
            <w:r>
              <w:rPr>
                <w:rFonts w:hint="default" w:ascii="Times New Roman" w:hAnsi="Times New Roman" w:cs="Times New Roman"/>
                <w:bCs/>
                <w:color w:val="auto"/>
                <w:sz w:val="24"/>
                <w:szCs w:val="21"/>
                <w:lang w:eastAsia="zh-CN"/>
              </w:rPr>
              <w:t>，</w:t>
            </w:r>
            <w:r>
              <w:rPr>
                <w:rFonts w:hint="default" w:ascii="Times New Roman" w:hAnsi="Times New Roman" w:eastAsia="宋体" w:cs="Times New Roman"/>
                <w:color w:val="auto"/>
                <w:sz w:val="24"/>
              </w:rPr>
              <w:t>人均产垃圾量以</w:t>
            </w:r>
            <w:r>
              <w:rPr>
                <w:rFonts w:hint="default" w:ascii="Times New Roman" w:hAnsi="Times New Roman" w:eastAsia="宋体" w:cs="Times New Roman"/>
                <w:color w:val="auto"/>
                <w:sz w:val="24"/>
                <w:lang w:val="en-US" w:eastAsia="zh-CN"/>
              </w:rPr>
              <w:t>1.0</w:t>
            </w:r>
            <w:r>
              <w:rPr>
                <w:rFonts w:hint="default" w:ascii="Times New Roman" w:hAnsi="Times New Roman" w:eastAsia="宋体" w:cs="Times New Roman"/>
                <w:color w:val="auto"/>
                <w:sz w:val="24"/>
              </w:rPr>
              <w:t>kg/人·d计</w:t>
            </w:r>
            <w:r>
              <w:rPr>
                <w:rFonts w:hint="default" w:ascii="Times New Roman" w:hAnsi="Times New Roman" w:eastAsia="宋体" w:cs="Times New Roman"/>
                <w:color w:val="auto"/>
                <w:sz w:val="24"/>
                <w:lang w:eastAsia="zh-CN"/>
              </w:rPr>
              <w:t>，则</w:t>
            </w:r>
            <w:r>
              <w:rPr>
                <w:rFonts w:hint="default" w:ascii="Times New Roman" w:hAnsi="Times New Roman" w:eastAsia="宋体" w:cs="Times New Roman"/>
                <w:color w:val="auto"/>
                <w:sz w:val="24"/>
              </w:rPr>
              <w:t>生活垃圾产生量约为</w:t>
            </w:r>
            <w:r>
              <w:rPr>
                <w:rFonts w:hint="default" w:ascii="Times New Roman" w:hAnsi="Times New Roman" w:cs="Times New Roman"/>
                <w:color w:val="auto"/>
                <w:sz w:val="24"/>
                <w:lang w:val="en-US" w:eastAsia="zh-CN"/>
              </w:rPr>
              <w:t>2</w:t>
            </w:r>
            <w:r>
              <w:rPr>
                <w:rFonts w:hint="default" w:ascii="Times New Roman" w:hAnsi="Times New Roman" w:eastAsia="宋体" w:cs="Times New Roman"/>
                <w:color w:val="auto"/>
                <w:sz w:val="24"/>
              </w:rPr>
              <w:t>t/d、</w:t>
            </w:r>
            <w:r>
              <w:rPr>
                <w:rFonts w:hint="default" w:ascii="Times New Roman" w:hAnsi="Times New Roman" w:cs="Times New Roman"/>
                <w:color w:val="auto"/>
                <w:sz w:val="24"/>
                <w:lang w:val="en-US" w:eastAsia="zh-CN"/>
              </w:rPr>
              <w:t>730</w:t>
            </w:r>
            <w:r>
              <w:rPr>
                <w:rFonts w:hint="default" w:ascii="Times New Roman" w:hAnsi="Times New Roman" w:eastAsia="宋体" w:cs="Times New Roman"/>
                <w:color w:val="auto"/>
                <w:sz w:val="24"/>
              </w:rPr>
              <w:t>t/a。</w:t>
            </w:r>
            <w:r>
              <w:rPr>
                <w:rFonts w:hint="default" w:ascii="Times New Roman" w:hAnsi="Times New Roman" w:eastAsia="宋体" w:cs="Times New Roman"/>
                <w:color w:val="auto"/>
              </w:rPr>
              <w:t>生活垃圾由校内垃圾桶收集，由校内环卫人员送至垃圾站压缩处理，</w:t>
            </w:r>
            <w:r>
              <w:rPr>
                <w:rFonts w:hint="default" w:ascii="Times New Roman" w:hAnsi="Times New Roman" w:eastAsia="宋体" w:cs="Times New Roman"/>
                <w:color w:val="auto"/>
                <w:lang w:eastAsia="zh-CN"/>
              </w:rPr>
              <w:t>之后</w:t>
            </w:r>
            <w:r>
              <w:rPr>
                <w:rFonts w:hint="default" w:ascii="Times New Roman" w:hAnsi="Times New Roman" w:eastAsia="宋体" w:cs="Times New Roman"/>
                <w:color w:val="auto"/>
              </w:rPr>
              <w:t>由环卫部门统一收集外运处理。</w:t>
            </w:r>
          </w:p>
          <w:p>
            <w:pPr>
              <w:pStyle w:val="53"/>
              <w:adjustRightInd w:val="0"/>
              <w:snapToGrid w:val="0"/>
              <w:spacing w:line="360" w:lineRule="auto"/>
              <w:ind w:firstLine="482"/>
              <w:rPr>
                <w:b/>
                <w:color w:val="auto"/>
                <w:sz w:val="24"/>
                <w:szCs w:val="21"/>
              </w:rPr>
            </w:pPr>
            <w:r>
              <w:rPr>
                <w:rFonts w:hint="eastAsia"/>
                <w:b/>
                <w:color w:val="auto"/>
                <w:sz w:val="24"/>
                <w:szCs w:val="21"/>
                <w:lang w:val="en-US" w:eastAsia="zh-CN"/>
              </w:rPr>
              <w:t>5.2</w:t>
            </w:r>
            <w:r>
              <w:rPr>
                <w:rFonts w:hint="eastAsia"/>
                <w:b/>
                <w:color w:val="auto"/>
                <w:sz w:val="24"/>
                <w:szCs w:val="21"/>
              </w:rPr>
              <w:t>影响分析</w:t>
            </w:r>
          </w:p>
          <w:p>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生活垃圾由</w:t>
            </w:r>
            <w:r>
              <w:rPr>
                <w:rFonts w:hint="eastAsia" w:cs="Times New Roman"/>
                <w:color w:val="auto"/>
                <w:sz w:val="24"/>
                <w:highlight w:val="none"/>
                <w:lang w:val="en-US" w:eastAsia="zh-CN"/>
              </w:rPr>
              <w:t>安置区内分散布置的</w:t>
            </w:r>
            <w:r>
              <w:rPr>
                <w:rFonts w:hint="default" w:ascii="Times New Roman" w:hAnsi="Times New Roman" w:eastAsia="宋体" w:cs="Times New Roman"/>
                <w:color w:val="auto"/>
                <w:sz w:val="24"/>
                <w:highlight w:val="none"/>
              </w:rPr>
              <w:t>垃圾桶收集，</w:t>
            </w:r>
            <w:r>
              <w:rPr>
                <w:rFonts w:hint="eastAsia" w:cs="Times New Roman"/>
                <w:color w:val="auto"/>
                <w:sz w:val="24"/>
                <w:highlight w:val="none"/>
                <w:lang w:val="en-US" w:eastAsia="zh-CN"/>
              </w:rPr>
              <w:t>之后由安置区内</w:t>
            </w:r>
            <w:r>
              <w:rPr>
                <w:rFonts w:hint="default" w:ascii="Times New Roman" w:hAnsi="Times New Roman" w:eastAsia="宋体" w:cs="Times New Roman"/>
                <w:color w:val="auto"/>
                <w:sz w:val="24"/>
                <w:highlight w:val="none"/>
              </w:rPr>
              <w:t>环卫人员送至</w:t>
            </w:r>
            <w:r>
              <w:rPr>
                <w:rFonts w:hint="eastAsia" w:cs="Times New Roman"/>
                <w:color w:val="auto"/>
                <w:sz w:val="24"/>
                <w:highlight w:val="none"/>
                <w:lang w:val="en-US" w:eastAsia="zh-CN"/>
              </w:rPr>
              <w:t>附件</w:t>
            </w:r>
            <w:r>
              <w:rPr>
                <w:rFonts w:hint="default" w:ascii="Times New Roman" w:hAnsi="Times New Roman" w:eastAsia="宋体" w:cs="Times New Roman"/>
                <w:color w:val="auto"/>
                <w:sz w:val="24"/>
                <w:highlight w:val="none"/>
              </w:rPr>
              <w:t>垃圾站压缩处理，</w:t>
            </w:r>
            <w:r>
              <w:rPr>
                <w:rFonts w:hint="eastAsia" w:cs="Times New Roman"/>
                <w:color w:val="auto"/>
                <w:sz w:val="24"/>
                <w:highlight w:val="none"/>
                <w:lang w:val="en-US" w:eastAsia="zh-CN"/>
              </w:rPr>
              <w:t>之后再</w:t>
            </w:r>
            <w:r>
              <w:rPr>
                <w:rFonts w:hint="default" w:ascii="Times New Roman" w:hAnsi="Times New Roman" w:eastAsia="宋体" w:cs="Times New Roman"/>
                <w:color w:val="auto"/>
                <w:sz w:val="24"/>
                <w:highlight w:val="none"/>
              </w:rPr>
              <w:t>由环卫部门统一收集外运处理，对周围环境影响很小。</w:t>
            </w:r>
          </w:p>
          <w:p>
            <w:pPr>
              <w:adjustRightInd w:val="0"/>
              <w:snapToGrid w:val="0"/>
              <w:spacing w:line="360" w:lineRule="auto"/>
              <w:ind w:firstLine="480" w:firstLineChars="200"/>
              <w:jc w:val="left"/>
              <w:rPr>
                <w:bCs/>
                <w:color w:val="auto"/>
                <w:sz w:val="24"/>
                <w:szCs w:val="21"/>
                <w:highlight w:val="none"/>
                <w:u w:val="none"/>
              </w:rPr>
            </w:pPr>
            <w:r>
              <w:rPr>
                <w:bCs/>
                <w:color w:val="auto"/>
                <w:sz w:val="24"/>
                <w:szCs w:val="21"/>
                <w:highlight w:val="none"/>
                <w:u w:val="none"/>
              </w:rPr>
              <w:t>采取上述措施后，本工程固体废物可得到妥善的处理，对周围环境造成的影响小。</w:t>
            </w:r>
          </w:p>
          <w:p>
            <w:pPr>
              <w:numPr>
                <w:ilvl w:val="0"/>
                <w:numId w:val="0"/>
              </w:numPr>
              <w:adjustRightInd w:val="0"/>
              <w:snapToGrid w:val="0"/>
              <w:spacing w:line="360" w:lineRule="auto"/>
              <w:rPr>
                <w:rFonts w:cs="宋体"/>
                <w:b/>
                <w:color w:val="auto"/>
                <w:spacing w:val="-10"/>
                <w:sz w:val="24"/>
                <w:szCs w:val="21"/>
              </w:rPr>
            </w:pPr>
            <w:r>
              <w:rPr>
                <w:rFonts w:hint="eastAsia" w:cs="宋体"/>
                <w:b/>
                <w:color w:val="auto"/>
                <w:spacing w:val="-10"/>
                <w:sz w:val="24"/>
                <w:szCs w:val="21"/>
                <w:lang w:val="en-US" w:eastAsia="zh-CN"/>
              </w:rPr>
              <w:t>6、</w:t>
            </w:r>
            <w:r>
              <w:rPr>
                <w:rFonts w:hint="eastAsia" w:cs="宋体"/>
                <w:b/>
                <w:color w:val="auto"/>
                <w:spacing w:val="-10"/>
                <w:sz w:val="24"/>
                <w:szCs w:val="21"/>
              </w:rPr>
              <w:t>环境风险</w:t>
            </w:r>
          </w:p>
          <w:p>
            <w:pPr>
              <w:adjustRightInd w:val="0"/>
              <w:snapToGrid w:val="0"/>
              <w:spacing w:line="360" w:lineRule="auto"/>
              <w:ind w:firstLine="442" w:firstLineChars="200"/>
              <w:rPr>
                <w:rFonts w:cs="宋体"/>
                <w:b/>
                <w:color w:val="auto"/>
                <w:spacing w:val="-10"/>
                <w:sz w:val="24"/>
                <w:szCs w:val="21"/>
              </w:rPr>
            </w:pPr>
            <w:r>
              <w:rPr>
                <w:rFonts w:hint="eastAsia" w:cs="宋体"/>
                <w:b/>
                <w:color w:val="auto"/>
                <w:spacing w:val="-10"/>
                <w:sz w:val="24"/>
                <w:szCs w:val="21"/>
                <w:lang w:val="en-US" w:eastAsia="zh-CN"/>
              </w:rPr>
              <w:t>6.1</w:t>
            </w:r>
            <w:r>
              <w:rPr>
                <w:rFonts w:cs="宋体"/>
                <w:b/>
                <w:color w:val="auto"/>
                <w:spacing w:val="-10"/>
                <w:sz w:val="24"/>
                <w:szCs w:val="21"/>
              </w:rPr>
              <w:t>评价依据</w:t>
            </w:r>
          </w:p>
          <w:p>
            <w:pPr>
              <w:adjustRightInd w:val="0"/>
              <w:snapToGrid w:val="0"/>
              <w:spacing w:line="360" w:lineRule="auto"/>
              <w:ind w:firstLine="480" w:firstLineChars="200"/>
              <w:jc w:val="left"/>
              <w:rPr>
                <w:bCs/>
                <w:color w:val="auto"/>
                <w:sz w:val="24"/>
                <w:szCs w:val="21"/>
                <w:u w:val="none"/>
              </w:rPr>
            </w:pPr>
            <w:r>
              <w:rPr>
                <w:rFonts w:hint="eastAsia"/>
                <w:bCs/>
                <w:color w:val="auto"/>
                <w:sz w:val="24"/>
                <w:szCs w:val="21"/>
                <w:u w:val="none"/>
                <w:lang w:eastAsia="zh-CN"/>
              </w:rPr>
              <w:t>（</w:t>
            </w:r>
            <w:r>
              <w:rPr>
                <w:rFonts w:hint="eastAsia"/>
                <w:bCs/>
                <w:color w:val="auto"/>
                <w:sz w:val="24"/>
                <w:szCs w:val="21"/>
                <w:u w:val="none"/>
                <w:lang w:val="en-US" w:eastAsia="zh-CN"/>
              </w:rPr>
              <w:t>1</w:t>
            </w:r>
            <w:r>
              <w:rPr>
                <w:rFonts w:hint="eastAsia"/>
                <w:bCs/>
                <w:color w:val="auto"/>
                <w:sz w:val="24"/>
                <w:szCs w:val="21"/>
                <w:u w:val="none"/>
                <w:lang w:eastAsia="zh-CN"/>
              </w:rPr>
              <w:t>）</w:t>
            </w:r>
            <w:r>
              <w:rPr>
                <w:rFonts w:hint="eastAsia"/>
                <w:bCs/>
                <w:color w:val="auto"/>
                <w:sz w:val="24"/>
                <w:szCs w:val="21"/>
                <w:u w:val="none"/>
              </w:rPr>
              <w:t xml:space="preserve"> </w:t>
            </w:r>
            <w:r>
              <w:rPr>
                <w:bCs/>
                <w:color w:val="auto"/>
                <w:sz w:val="24"/>
                <w:szCs w:val="21"/>
                <w:u w:val="none"/>
              </w:rPr>
              <w:t>风险源调查</w:t>
            </w:r>
          </w:p>
          <w:p>
            <w:pPr>
              <w:adjustRightInd w:val="0"/>
              <w:snapToGrid w:val="0"/>
              <w:spacing w:line="360" w:lineRule="auto"/>
              <w:ind w:firstLine="480" w:firstLineChars="200"/>
              <w:jc w:val="left"/>
              <w:rPr>
                <w:bCs/>
                <w:color w:val="auto"/>
                <w:sz w:val="24"/>
                <w:szCs w:val="21"/>
                <w:u w:val="none"/>
              </w:rPr>
            </w:pPr>
            <w:r>
              <w:rPr>
                <w:bCs/>
                <w:color w:val="auto"/>
                <w:sz w:val="24"/>
                <w:szCs w:val="21"/>
                <w:u w:val="none"/>
              </w:rPr>
              <w:t>根据《建设项目环境风险评价技术导则》（HJ169-2018）附录B，本项目</w:t>
            </w:r>
            <w:r>
              <w:rPr>
                <w:rFonts w:hint="eastAsia"/>
                <w:bCs/>
                <w:color w:val="auto"/>
                <w:sz w:val="24"/>
                <w:szCs w:val="21"/>
                <w:u w:val="none"/>
                <w:lang w:val="en-US" w:eastAsia="zh-CN"/>
              </w:rPr>
              <w:t>主要为安置区，主要</w:t>
            </w:r>
            <w:r>
              <w:rPr>
                <w:bCs/>
                <w:color w:val="auto"/>
                <w:sz w:val="24"/>
                <w:szCs w:val="21"/>
                <w:u w:val="none"/>
              </w:rPr>
              <w:t>危险物质</w:t>
            </w:r>
            <w:r>
              <w:rPr>
                <w:rFonts w:hint="eastAsia"/>
                <w:bCs/>
                <w:color w:val="auto"/>
                <w:sz w:val="24"/>
                <w:szCs w:val="21"/>
                <w:u w:val="none"/>
                <w:lang w:val="en-US" w:eastAsia="zh-CN"/>
              </w:rPr>
              <w:t>主要</w:t>
            </w:r>
            <w:r>
              <w:rPr>
                <w:bCs/>
                <w:color w:val="auto"/>
                <w:sz w:val="24"/>
                <w:szCs w:val="21"/>
                <w:u w:val="none"/>
              </w:rPr>
              <w:t>为</w:t>
            </w:r>
            <w:r>
              <w:rPr>
                <w:rFonts w:hint="eastAsia"/>
                <w:bCs/>
                <w:color w:val="auto"/>
                <w:sz w:val="24"/>
                <w:szCs w:val="21"/>
                <w:u w:val="none"/>
                <w:lang w:val="en-US" w:eastAsia="zh-CN"/>
              </w:rPr>
              <w:t>天然气管道中的在线天然气以及居民日常可能使用的废旧电池、废弃药瓶等</w:t>
            </w:r>
            <w:r>
              <w:rPr>
                <w:bCs/>
                <w:color w:val="auto"/>
                <w:sz w:val="24"/>
                <w:szCs w:val="21"/>
                <w:u w:val="none"/>
              </w:rPr>
              <w:t>，</w:t>
            </w:r>
            <w:r>
              <w:rPr>
                <w:rFonts w:hint="eastAsia"/>
                <w:bCs/>
                <w:color w:val="auto"/>
                <w:sz w:val="24"/>
                <w:szCs w:val="21"/>
                <w:u w:val="none"/>
                <w:lang w:val="en-US" w:eastAsia="zh-CN"/>
              </w:rPr>
              <w:t>暂存量较小</w:t>
            </w:r>
            <w:r>
              <w:rPr>
                <w:bCs/>
                <w:color w:val="auto"/>
                <w:sz w:val="24"/>
                <w:szCs w:val="21"/>
                <w:u w:val="none"/>
              </w:rPr>
              <w:t>。</w:t>
            </w:r>
          </w:p>
          <w:p>
            <w:pPr>
              <w:adjustRightInd w:val="0"/>
              <w:snapToGrid w:val="0"/>
              <w:spacing w:line="360" w:lineRule="auto"/>
              <w:ind w:firstLine="480" w:firstLineChars="200"/>
              <w:jc w:val="left"/>
              <w:rPr>
                <w:bCs/>
                <w:color w:val="auto"/>
                <w:sz w:val="24"/>
                <w:szCs w:val="21"/>
                <w:u w:val="none"/>
              </w:rPr>
            </w:pPr>
            <w:r>
              <w:rPr>
                <w:rFonts w:hint="eastAsia"/>
                <w:bCs/>
                <w:color w:val="auto"/>
                <w:sz w:val="24"/>
                <w:szCs w:val="21"/>
                <w:u w:val="none"/>
                <w:lang w:eastAsia="zh-CN"/>
              </w:rPr>
              <w:t>（</w:t>
            </w:r>
            <w:r>
              <w:rPr>
                <w:rFonts w:hint="eastAsia"/>
                <w:bCs/>
                <w:color w:val="auto"/>
                <w:sz w:val="24"/>
                <w:szCs w:val="21"/>
                <w:u w:val="none"/>
                <w:lang w:val="en-US" w:eastAsia="zh-CN"/>
              </w:rPr>
              <w:t>2</w:t>
            </w:r>
            <w:r>
              <w:rPr>
                <w:rFonts w:hint="eastAsia"/>
                <w:bCs/>
                <w:color w:val="auto"/>
                <w:sz w:val="24"/>
                <w:szCs w:val="21"/>
                <w:u w:val="none"/>
                <w:lang w:eastAsia="zh-CN"/>
              </w:rPr>
              <w:t>）</w:t>
            </w:r>
            <w:r>
              <w:rPr>
                <w:bCs/>
                <w:color w:val="auto"/>
                <w:sz w:val="24"/>
                <w:szCs w:val="21"/>
                <w:u w:val="none"/>
              </w:rPr>
              <w:t>风险潜势与评价等级</w:t>
            </w:r>
          </w:p>
          <w:p>
            <w:pPr>
              <w:adjustRightInd w:val="0"/>
              <w:snapToGrid w:val="0"/>
              <w:spacing w:line="360" w:lineRule="auto"/>
              <w:ind w:firstLine="480" w:firstLineChars="200"/>
              <w:jc w:val="left"/>
              <w:rPr>
                <w:bCs/>
                <w:color w:val="auto"/>
                <w:sz w:val="24"/>
                <w:szCs w:val="21"/>
                <w:u w:val="none"/>
              </w:rPr>
            </w:pPr>
            <w:r>
              <w:rPr>
                <w:bCs/>
                <w:color w:val="auto"/>
                <w:sz w:val="24"/>
                <w:szCs w:val="21"/>
                <w:u w:val="none"/>
              </w:rPr>
              <w:t>1）风险潜势初判</w:t>
            </w:r>
          </w:p>
          <w:p>
            <w:pPr>
              <w:adjustRightInd w:val="0"/>
              <w:snapToGrid w:val="0"/>
              <w:spacing w:line="360" w:lineRule="auto"/>
              <w:ind w:firstLine="480" w:firstLineChars="200"/>
              <w:jc w:val="left"/>
              <w:rPr>
                <w:rFonts w:cs="宋体"/>
                <w:bCs/>
                <w:color w:val="auto"/>
                <w:spacing w:val="-10"/>
                <w:sz w:val="24"/>
                <w:szCs w:val="21"/>
              </w:rPr>
            </w:pPr>
            <w:r>
              <w:rPr>
                <w:bCs/>
                <w:color w:val="auto"/>
                <w:sz w:val="24"/>
                <w:szCs w:val="21"/>
                <w:u w:val="none"/>
              </w:rPr>
              <w:t>根据《建设项目环境风险评价技术导则》（HJ169-2018）附录C，危险物质及工艺系统危 险性（P）的分级，计算所涉及的每种危险物质在厂界内的最大存在总量与其在附录B中对应</w:t>
            </w:r>
            <w:r>
              <w:rPr>
                <w:rFonts w:cs="宋体"/>
                <w:bCs/>
                <w:color w:val="auto"/>
                <w:spacing w:val="-10"/>
                <w:sz w:val="24"/>
                <w:szCs w:val="21"/>
              </w:rPr>
              <w:t>临界量的比值Q。当存在的危险物质时，则按下式计算物质总量与其临界量比值Q：</w:t>
            </w:r>
          </w:p>
          <w:p>
            <w:pPr>
              <w:adjustRightInd w:val="0"/>
              <w:snapToGrid w:val="0"/>
              <w:spacing w:line="360" w:lineRule="auto"/>
              <w:ind w:firstLine="440" w:firstLineChars="200"/>
              <w:jc w:val="center"/>
              <w:rPr>
                <w:rFonts w:cs="宋体"/>
                <w:bCs/>
                <w:color w:val="auto"/>
                <w:spacing w:val="-10"/>
                <w:sz w:val="24"/>
                <w:szCs w:val="21"/>
              </w:rPr>
            </w:pPr>
            <w:r>
              <w:rPr>
                <w:rFonts w:cs="宋体"/>
                <w:bCs/>
                <w:color w:val="auto"/>
                <w:spacing w:val="-10"/>
                <w:sz w:val="24"/>
                <w:szCs w:val="21"/>
              </w:rPr>
              <w:t>Q=q1/Q1+q2/Q2+q3/Q3+ …+qn/Qn</w:t>
            </w:r>
          </w:p>
          <w:p>
            <w:pPr>
              <w:adjustRightInd w:val="0"/>
              <w:snapToGrid w:val="0"/>
              <w:spacing w:line="360" w:lineRule="auto"/>
              <w:ind w:firstLine="440" w:firstLineChars="200"/>
              <w:rPr>
                <w:rFonts w:cs="宋体"/>
                <w:bCs/>
                <w:color w:val="auto"/>
                <w:spacing w:val="-10"/>
                <w:sz w:val="24"/>
                <w:szCs w:val="21"/>
              </w:rPr>
            </w:pPr>
            <w:r>
              <w:rPr>
                <w:rFonts w:cs="宋体"/>
                <w:bCs/>
                <w:color w:val="auto"/>
                <w:spacing w:val="-10"/>
                <w:sz w:val="24"/>
                <w:szCs w:val="21"/>
              </w:rPr>
              <w:t>式中：q1,q2, …qn——每种危险物质的最大存在总量，单位为t；Q1,</w:t>
            </w:r>
            <w:r>
              <w:rPr>
                <w:rFonts w:cs="宋体"/>
                <w:bCs/>
                <w:color w:val="auto"/>
                <w:spacing w:val="-10"/>
                <w:sz w:val="24"/>
                <w:szCs w:val="21"/>
              </w:rPr>
              <w:tab/>
            </w:r>
            <w:r>
              <w:rPr>
                <w:rFonts w:cs="宋体"/>
                <w:bCs/>
                <w:color w:val="auto"/>
                <w:spacing w:val="-10"/>
                <w:sz w:val="24"/>
                <w:szCs w:val="21"/>
              </w:rPr>
              <w:t>Q2, …Qn——每种危险物质的临界量，单位为t；</w:t>
            </w:r>
          </w:p>
          <w:p>
            <w:pPr>
              <w:adjustRightInd w:val="0"/>
              <w:snapToGrid w:val="0"/>
              <w:spacing w:line="360" w:lineRule="auto"/>
              <w:ind w:firstLine="440" w:firstLineChars="200"/>
              <w:jc w:val="left"/>
              <w:rPr>
                <w:rFonts w:cs="宋体"/>
                <w:bCs/>
                <w:color w:val="auto"/>
                <w:spacing w:val="-10"/>
                <w:sz w:val="24"/>
                <w:szCs w:val="21"/>
              </w:rPr>
            </w:pPr>
            <w:r>
              <w:rPr>
                <w:rFonts w:hint="eastAsia" w:cs="宋体"/>
                <w:bCs/>
                <w:color w:val="auto"/>
                <w:spacing w:val="-10"/>
                <w:sz w:val="24"/>
                <w:szCs w:val="21"/>
                <w:lang w:val="en-US" w:eastAsia="zh-CN"/>
              </w:rPr>
              <w:t>本项目为安置区建设项目，居民日常暂存的风险物质较少</w:t>
            </w:r>
            <w:r>
              <w:rPr>
                <w:rFonts w:hint="eastAsia" w:cs="宋体"/>
                <w:bCs/>
                <w:color w:val="auto"/>
                <w:spacing w:val="-10"/>
                <w:sz w:val="24"/>
                <w:szCs w:val="21"/>
              </w:rPr>
              <w:t>，本项目风险物质数量与临界量比值</w:t>
            </w:r>
            <w:r>
              <w:rPr>
                <w:rFonts w:hint="eastAsia" w:cs="宋体"/>
                <w:bCs/>
                <w:color w:val="auto"/>
                <w:spacing w:val="-10"/>
                <w:sz w:val="24"/>
                <w:szCs w:val="21"/>
                <w:lang w:val="en-US" w:eastAsia="zh-CN"/>
              </w:rPr>
              <w:t>直接判定为</w:t>
            </w:r>
            <w:r>
              <w:rPr>
                <w:rFonts w:hint="eastAsia" w:cs="宋体"/>
                <w:bCs/>
                <w:color w:val="auto"/>
                <w:spacing w:val="-10"/>
                <w:sz w:val="24"/>
                <w:szCs w:val="21"/>
              </w:rPr>
              <w:t xml:space="preserve"> Q＜1，项目环境风险潜势为Ⅰ级。</w:t>
            </w:r>
          </w:p>
          <w:p>
            <w:pPr>
              <w:adjustRightInd w:val="0"/>
              <w:snapToGrid w:val="0"/>
              <w:spacing w:line="360" w:lineRule="auto"/>
              <w:ind w:firstLine="440" w:firstLineChars="200"/>
              <w:jc w:val="left"/>
              <w:rPr>
                <w:rFonts w:cs="宋体"/>
                <w:bCs/>
                <w:color w:val="auto"/>
                <w:spacing w:val="-10"/>
                <w:sz w:val="24"/>
                <w:szCs w:val="21"/>
              </w:rPr>
            </w:pPr>
            <w:r>
              <w:rPr>
                <w:rFonts w:hint="eastAsia" w:cs="宋体"/>
                <w:bCs/>
                <w:color w:val="auto"/>
                <w:spacing w:val="-10"/>
                <w:sz w:val="24"/>
                <w:szCs w:val="21"/>
              </w:rPr>
              <w:t>2）评价等级</w:t>
            </w:r>
          </w:p>
          <w:p>
            <w:pPr>
              <w:adjustRightInd w:val="0"/>
              <w:snapToGrid w:val="0"/>
              <w:spacing w:line="360" w:lineRule="auto"/>
              <w:ind w:firstLine="440" w:firstLineChars="200"/>
              <w:jc w:val="left"/>
              <w:rPr>
                <w:rFonts w:cs="宋体"/>
                <w:bCs/>
                <w:color w:val="auto"/>
                <w:spacing w:val="-10"/>
                <w:sz w:val="24"/>
                <w:szCs w:val="21"/>
              </w:rPr>
            </w:pPr>
            <w:r>
              <w:rPr>
                <w:rFonts w:hint="eastAsia" w:cs="宋体"/>
                <w:bCs/>
                <w:color w:val="auto"/>
                <w:spacing w:val="-10"/>
                <w:sz w:val="24"/>
                <w:szCs w:val="21"/>
              </w:rPr>
              <w:t>对照《建设项目环境风险评价技术导则》（HJ 169-2018），本项目环境风险潜势为Ⅰ级， 进行简单评价。</w:t>
            </w:r>
          </w:p>
          <w:p>
            <w:pPr>
              <w:adjustRightInd w:val="0"/>
              <w:snapToGrid w:val="0"/>
              <w:spacing w:line="360" w:lineRule="auto"/>
              <w:ind w:firstLine="442" w:firstLineChars="200"/>
              <w:jc w:val="left"/>
              <w:rPr>
                <w:rFonts w:cs="宋体"/>
                <w:b/>
                <w:color w:val="auto"/>
                <w:spacing w:val="-10"/>
                <w:sz w:val="24"/>
                <w:szCs w:val="21"/>
              </w:rPr>
            </w:pPr>
            <w:r>
              <w:rPr>
                <w:rFonts w:hint="eastAsia" w:cs="宋体"/>
                <w:b/>
                <w:color w:val="auto"/>
                <w:spacing w:val="-10"/>
                <w:sz w:val="24"/>
                <w:szCs w:val="21"/>
                <w:lang w:val="en-US" w:eastAsia="zh-CN"/>
              </w:rPr>
              <w:t>6.2</w:t>
            </w:r>
            <w:r>
              <w:rPr>
                <w:rFonts w:hint="eastAsia" w:cs="宋体"/>
                <w:b/>
                <w:color w:val="auto"/>
                <w:spacing w:val="-10"/>
                <w:sz w:val="24"/>
                <w:szCs w:val="21"/>
              </w:rPr>
              <w:t>环境风险识别</w:t>
            </w:r>
          </w:p>
          <w:p>
            <w:pPr>
              <w:adjustRightInd w:val="0"/>
              <w:snapToGrid w:val="0"/>
              <w:spacing w:line="360" w:lineRule="auto"/>
              <w:ind w:firstLine="480" w:firstLineChars="200"/>
              <w:jc w:val="left"/>
              <w:rPr>
                <w:rFonts w:hint="eastAsia"/>
                <w:bCs/>
                <w:color w:val="auto"/>
                <w:sz w:val="24"/>
                <w:szCs w:val="21"/>
                <w:u w:val="none"/>
                <w:lang w:val="en-US" w:eastAsia="zh-CN"/>
              </w:rPr>
            </w:pPr>
            <w:r>
              <w:rPr>
                <w:rFonts w:hint="eastAsia"/>
                <w:bCs/>
                <w:color w:val="auto"/>
                <w:sz w:val="24"/>
                <w:szCs w:val="21"/>
                <w:u w:val="none"/>
                <w:lang w:val="en-US" w:eastAsia="zh-CN"/>
              </w:rPr>
              <w:t>本项目存在的主要风险为小区内燃气泄漏等引起火灾爆炸：</w:t>
            </w:r>
          </w:p>
          <w:p>
            <w:pPr>
              <w:adjustRightInd w:val="0"/>
              <w:snapToGrid w:val="0"/>
              <w:spacing w:line="360" w:lineRule="auto"/>
              <w:ind w:firstLine="480" w:firstLineChars="200"/>
              <w:jc w:val="left"/>
              <w:rPr>
                <w:rFonts w:hint="eastAsia"/>
                <w:bCs/>
                <w:color w:val="auto"/>
                <w:sz w:val="24"/>
                <w:szCs w:val="21"/>
                <w:u w:val="none"/>
                <w:lang w:val="en-US" w:eastAsia="zh-CN"/>
              </w:rPr>
            </w:pPr>
            <w:r>
              <w:rPr>
                <w:rFonts w:hint="eastAsia"/>
                <w:bCs/>
                <w:color w:val="auto"/>
                <w:sz w:val="24"/>
                <w:szCs w:val="21"/>
                <w:u w:val="none"/>
                <w:lang w:val="en-US" w:eastAsia="zh-CN"/>
              </w:rPr>
              <w:t>发生火灾事故时，油类物质燃烧会产生 CO 等物质，并伴有烟雾产生，且灭火过程中会产生事故废水。发生油类物质泄露引起火灾可能造成大气环境及水环境污染。</w:t>
            </w:r>
          </w:p>
          <w:p>
            <w:pPr>
              <w:adjustRightInd w:val="0"/>
              <w:snapToGrid w:val="0"/>
              <w:spacing w:line="360" w:lineRule="auto"/>
              <w:ind w:firstLine="442" w:firstLineChars="200"/>
              <w:jc w:val="left"/>
              <w:rPr>
                <w:rFonts w:cs="宋体"/>
                <w:b/>
                <w:color w:val="auto"/>
                <w:spacing w:val="-10"/>
                <w:sz w:val="24"/>
                <w:szCs w:val="21"/>
              </w:rPr>
            </w:pPr>
            <w:r>
              <w:rPr>
                <w:rFonts w:hint="eastAsia" w:cs="宋体"/>
                <w:b/>
                <w:color w:val="auto"/>
                <w:spacing w:val="-10"/>
                <w:sz w:val="24"/>
                <w:szCs w:val="21"/>
                <w:lang w:val="en-US" w:eastAsia="zh-CN"/>
              </w:rPr>
              <w:t>6.3</w:t>
            </w:r>
            <w:r>
              <w:rPr>
                <w:rFonts w:hint="eastAsia" w:cs="宋体"/>
                <w:b/>
                <w:color w:val="auto"/>
                <w:spacing w:val="-10"/>
                <w:sz w:val="24"/>
                <w:szCs w:val="21"/>
              </w:rPr>
              <w:t>环境风险分析</w:t>
            </w:r>
          </w:p>
          <w:p>
            <w:pPr>
              <w:adjustRightInd w:val="0"/>
              <w:snapToGrid w:val="0"/>
              <w:spacing w:line="360" w:lineRule="auto"/>
              <w:ind w:firstLine="480" w:firstLineChars="200"/>
              <w:jc w:val="left"/>
              <w:rPr>
                <w:bCs/>
                <w:color w:val="auto"/>
                <w:sz w:val="24"/>
                <w:szCs w:val="21"/>
                <w:u w:val="none"/>
              </w:rPr>
            </w:pPr>
            <w:r>
              <w:rPr>
                <w:rFonts w:hint="eastAsia"/>
                <w:bCs/>
                <w:color w:val="auto"/>
                <w:sz w:val="24"/>
                <w:szCs w:val="21"/>
                <w:u w:val="none"/>
                <w:lang w:val="en-US" w:eastAsia="zh-CN"/>
              </w:rPr>
              <w:t>本项目主要为安置房小区内燃气泄漏等引起火灾爆炸风险。</w:t>
            </w:r>
          </w:p>
          <w:p>
            <w:pPr>
              <w:adjustRightInd w:val="0"/>
              <w:snapToGrid w:val="0"/>
              <w:spacing w:line="360" w:lineRule="auto"/>
              <w:ind w:firstLine="480" w:firstLineChars="200"/>
              <w:jc w:val="left"/>
              <w:rPr>
                <w:bCs/>
                <w:color w:val="auto"/>
                <w:sz w:val="24"/>
                <w:szCs w:val="21"/>
                <w:u w:val="none"/>
              </w:rPr>
            </w:pPr>
            <w:r>
              <w:rPr>
                <w:rFonts w:hint="eastAsia"/>
                <w:bCs/>
                <w:color w:val="auto"/>
                <w:sz w:val="24"/>
                <w:szCs w:val="21"/>
                <w:u w:val="none"/>
                <w:lang w:val="en-US" w:eastAsia="zh-CN"/>
              </w:rPr>
              <w:t>由于小区内使用天然气为主要气源，故存在燃气泄露风险，可能会引起火灾爆炸。。</w:t>
            </w:r>
          </w:p>
          <w:p>
            <w:pPr>
              <w:adjustRightInd w:val="0"/>
              <w:snapToGrid w:val="0"/>
              <w:spacing w:line="360" w:lineRule="auto"/>
              <w:ind w:firstLine="442" w:firstLineChars="200"/>
              <w:jc w:val="left"/>
              <w:rPr>
                <w:rFonts w:cs="宋体"/>
                <w:b/>
                <w:color w:val="auto"/>
                <w:spacing w:val="-10"/>
                <w:sz w:val="24"/>
                <w:szCs w:val="21"/>
              </w:rPr>
            </w:pPr>
            <w:r>
              <w:rPr>
                <w:rFonts w:hint="eastAsia" w:cs="宋体"/>
                <w:b/>
                <w:color w:val="auto"/>
                <w:spacing w:val="-10"/>
                <w:sz w:val="24"/>
                <w:szCs w:val="21"/>
                <w:lang w:val="en-US" w:eastAsia="zh-CN"/>
              </w:rPr>
              <w:t>6.4</w:t>
            </w:r>
            <w:r>
              <w:rPr>
                <w:rFonts w:cs="宋体"/>
                <w:b/>
                <w:color w:val="auto"/>
                <w:spacing w:val="-10"/>
                <w:sz w:val="24"/>
                <w:szCs w:val="21"/>
              </w:rPr>
              <w:t>环境风险防范措施及应急要求</w:t>
            </w:r>
          </w:p>
          <w:p>
            <w:pPr>
              <w:numPr>
                <w:ilvl w:val="0"/>
                <w:numId w:val="4"/>
              </w:numPr>
              <w:adjustRightInd w:val="0"/>
              <w:snapToGrid w:val="0"/>
              <w:spacing w:line="360" w:lineRule="auto"/>
              <w:ind w:left="0" w:firstLine="440" w:firstLineChars="200"/>
              <w:jc w:val="left"/>
              <w:rPr>
                <w:rFonts w:cs="宋体"/>
                <w:bCs/>
                <w:color w:val="auto"/>
                <w:spacing w:val="-10"/>
                <w:sz w:val="24"/>
                <w:szCs w:val="21"/>
              </w:rPr>
            </w:pPr>
            <w:r>
              <w:rPr>
                <w:rFonts w:cs="宋体"/>
                <w:bCs/>
                <w:color w:val="auto"/>
                <w:spacing w:val="-10"/>
                <w:sz w:val="24"/>
                <w:szCs w:val="21"/>
              </w:rPr>
              <w:t>环境风险防范措施</w:t>
            </w:r>
          </w:p>
          <w:p>
            <w:pPr>
              <w:adjustRightInd w:val="0"/>
              <w:snapToGrid w:val="0"/>
              <w:spacing w:line="360" w:lineRule="auto"/>
              <w:ind w:firstLine="480" w:firstLineChars="200"/>
              <w:jc w:val="left"/>
              <w:rPr>
                <w:bCs/>
                <w:color w:val="auto"/>
                <w:sz w:val="24"/>
                <w:szCs w:val="21"/>
                <w:u w:val="none"/>
              </w:rPr>
            </w:pPr>
            <w:r>
              <w:rPr>
                <w:rFonts w:hint="eastAsia"/>
                <w:bCs/>
                <w:color w:val="auto"/>
                <w:sz w:val="24"/>
                <w:szCs w:val="21"/>
                <w:u w:val="none"/>
                <w:lang w:val="en-US" w:eastAsia="zh-CN"/>
              </w:rPr>
              <w:t xml:space="preserve">为尽量避免火灾事故对周围环境的影响，需要采取一定的防范措施： </w:t>
            </w:r>
          </w:p>
          <w:p>
            <w:pPr>
              <w:adjustRightInd w:val="0"/>
              <w:snapToGrid w:val="0"/>
              <w:spacing w:line="360" w:lineRule="auto"/>
              <w:ind w:firstLine="480" w:firstLineChars="200"/>
              <w:jc w:val="left"/>
              <w:rPr>
                <w:bCs/>
                <w:color w:val="auto"/>
                <w:sz w:val="24"/>
                <w:szCs w:val="21"/>
                <w:u w:val="none"/>
              </w:rPr>
            </w:pPr>
            <w:r>
              <w:rPr>
                <w:rFonts w:hint="eastAsia"/>
                <w:bCs/>
                <w:color w:val="auto"/>
                <w:sz w:val="24"/>
                <w:szCs w:val="21"/>
                <w:u w:val="none"/>
                <w:lang w:val="en-US" w:eastAsia="zh-CN"/>
              </w:rPr>
              <w:t xml:space="preserve">①严格按照初步设计进行施工，厨房设置燃气泄漏保护装置。 </w:t>
            </w:r>
          </w:p>
          <w:p>
            <w:pPr>
              <w:numPr>
                <w:ilvl w:val="0"/>
                <w:numId w:val="0"/>
              </w:numPr>
              <w:adjustRightInd w:val="0"/>
              <w:snapToGrid w:val="0"/>
              <w:spacing w:line="360" w:lineRule="auto"/>
              <w:ind w:leftChars="200"/>
              <w:jc w:val="left"/>
              <w:rPr>
                <w:rFonts w:cs="宋体"/>
                <w:bCs/>
                <w:color w:val="auto"/>
                <w:spacing w:val="-10"/>
                <w:sz w:val="24"/>
                <w:szCs w:val="21"/>
              </w:rPr>
            </w:pPr>
            <w:r>
              <w:rPr>
                <w:rFonts w:hint="eastAsia"/>
                <w:bCs/>
                <w:color w:val="auto"/>
                <w:sz w:val="24"/>
                <w:szCs w:val="21"/>
                <w:u w:val="none"/>
                <w:lang w:val="en-US" w:eastAsia="zh-CN"/>
              </w:rPr>
              <w:t>②物业公司配合燃气单位定期对小区内天然气管道进行检修</w:t>
            </w:r>
          </w:p>
          <w:p>
            <w:pPr>
              <w:numPr>
                <w:ilvl w:val="0"/>
                <w:numId w:val="4"/>
              </w:numPr>
              <w:adjustRightInd w:val="0"/>
              <w:snapToGrid w:val="0"/>
              <w:spacing w:line="360" w:lineRule="auto"/>
              <w:ind w:left="0" w:firstLine="440" w:firstLineChars="200"/>
              <w:jc w:val="left"/>
              <w:rPr>
                <w:rFonts w:cs="宋体"/>
                <w:bCs/>
                <w:color w:val="auto"/>
                <w:spacing w:val="-10"/>
                <w:sz w:val="24"/>
                <w:szCs w:val="21"/>
              </w:rPr>
            </w:pPr>
            <w:r>
              <w:rPr>
                <w:rFonts w:cs="宋体"/>
                <w:bCs/>
                <w:color w:val="auto"/>
                <w:spacing w:val="-10"/>
                <w:sz w:val="24"/>
                <w:szCs w:val="21"/>
              </w:rPr>
              <w:t>环境风险应急措施</w:t>
            </w:r>
          </w:p>
          <w:p>
            <w:pPr>
              <w:adjustRightInd w:val="0"/>
              <w:snapToGrid w:val="0"/>
              <w:spacing w:line="360" w:lineRule="auto"/>
              <w:ind w:firstLine="440" w:firstLineChars="200"/>
              <w:jc w:val="left"/>
              <w:rPr>
                <w:rFonts w:cs="宋体"/>
                <w:bCs/>
                <w:color w:val="auto"/>
                <w:spacing w:val="-10"/>
                <w:sz w:val="24"/>
                <w:szCs w:val="21"/>
              </w:rPr>
            </w:pPr>
            <w:r>
              <w:rPr>
                <w:rFonts w:cs="宋体"/>
                <w:bCs/>
                <w:color w:val="auto"/>
                <w:spacing w:val="-10"/>
                <w:sz w:val="24"/>
                <w:szCs w:val="21"/>
              </w:rPr>
              <w:t>①若发生火灾，应立即使用干粉灭火器进行灭火，关闭总电源，同时视火势情况进行报警求助。</w:t>
            </w:r>
          </w:p>
          <w:p>
            <w:pPr>
              <w:adjustRightInd w:val="0"/>
              <w:snapToGrid w:val="0"/>
              <w:spacing w:line="360" w:lineRule="auto"/>
              <w:ind w:firstLine="440" w:firstLineChars="200"/>
              <w:jc w:val="left"/>
              <w:rPr>
                <w:rFonts w:cs="宋体"/>
                <w:bCs/>
                <w:color w:val="auto"/>
                <w:spacing w:val="-10"/>
                <w:sz w:val="24"/>
                <w:szCs w:val="21"/>
              </w:rPr>
            </w:pPr>
            <w:r>
              <w:rPr>
                <w:rFonts w:cs="宋体"/>
                <w:bCs/>
                <w:color w:val="auto"/>
                <w:spacing w:val="-10"/>
                <w:sz w:val="24"/>
                <w:szCs w:val="21"/>
              </w:rPr>
              <w:t>②若产生事故废水，需对事故废水进行收集，待事故后经水质检测合格后才可排放；受污染的土壤和废吸附材料及检测不达标的事故废水需交由有资质单位进行处置。</w:t>
            </w:r>
          </w:p>
          <w:p>
            <w:pPr>
              <w:adjustRightInd w:val="0"/>
              <w:snapToGrid w:val="0"/>
              <w:spacing w:line="360" w:lineRule="auto"/>
              <w:ind w:firstLine="442" w:firstLineChars="200"/>
              <w:jc w:val="left"/>
              <w:rPr>
                <w:rFonts w:cs="宋体"/>
                <w:b/>
                <w:color w:val="auto"/>
                <w:spacing w:val="-10"/>
                <w:sz w:val="24"/>
                <w:szCs w:val="21"/>
              </w:rPr>
            </w:pPr>
            <w:r>
              <w:rPr>
                <w:rFonts w:hint="eastAsia" w:cs="宋体"/>
                <w:b/>
                <w:color w:val="auto"/>
                <w:spacing w:val="-10"/>
                <w:sz w:val="24"/>
                <w:szCs w:val="21"/>
                <w:lang w:val="en-US" w:eastAsia="zh-CN"/>
              </w:rPr>
              <w:t>6.5</w:t>
            </w:r>
            <w:r>
              <w:rPr>
                <w:rFonts w:cs="宋体"/>
                <w:b/>
                <w:color w:val="auto"/>
                <w:spacing w:val="-10"/>
                <w:sz w:val="24"/>
                <w:szCs w:val="21"/>
              </w:rPr>
              <w:t xml:space="preserve">分析结论 </w:t>
            </w:r>
          </w:p>
          <w:p>
            <w:pPr>
              <w:adjustRightInd w:val="0"/>
              <w:snapToGrid w:val="0"/>
              <w:spacing w:line="360" w:lineRule="auto"/>
              <w:ind w:firstLine="440" w:firstLineChars="200"/>
              <w:jc w:val="left"/>
              <w:rPr>
                <w:rFonts w:cs="宋体"/>
                <w:bCs/>
                <w:color w:val="auto"/>
                <w:spacing w:val="-10"/>
                <w:sz w:val="24"/>
                <w:szCs w:val="21"/>
              </w:rPr>
            </w:pPr>
            <w:r>
              <w:rPr>
                <w:rFonts w:cs="宋体"/>
                <w:bCs/>
                <w:color w:val="auto"/>
                <w:spacing w:val="-10"/>
                <w:sz w:val="24"/>
                <w:szCs w:val="21"/>
              </w:rPr>
              <w:t>经过风险分析和评价得出结论：本项目事故风险水平较低，在进一步采取安全防范措施和事故应急预案后，基本满足国家有关环境保护和安全法规、标准的要求。项目对</w:t>
            </w:r>
            <w:r>
              <w:rPr>
                <w:rFonts w:hint="eastAsia" w:cs="宋体"/>
                <w:bCs/>
                <w:color w:val="auto"/>
                <w:spacing w:val="-10"/>
                <w:sz w:val="24"/>
                <w:szCs w:val="21"/>
                <w:lang w:val="en-US" w:eastAsia="zh-CN"/>
              </w:rPr>
              <w:t>项目区外</w:t>
            </w:r>
            <w:r>
              <w:rPr>
                <w:rFonts w:cs="宋体"/>
                <w:bCs/>
                <w:color w:val="auto"/>
                <w:spacing w:val="-10"/>
                <w:sz w:val="24"/>
                <w:szCs w:val="21"/>
              </w:rPr>
              <w:t>环境的风险影响处于可以接受的范围内，但企业仍需要提高风险管理水平和强化风险防范措施。 因此，只要严格遵守各项安全操作规程和制度，加强安全管理，本项目完工后，其生产是安全可靠的。</w:t>
            </w:r>
          </w:p>
          <w:p>
            <w:pPr>
              <w:pStyle w:val="21"/>
              <w:ind w:left="0" w:leftChars="0" w:firstLine="0" w:firstLineChars="0"/>
              <w:rPr>
                <w:rFonts w:ascii="宋体" w:hAnsi="宋体" w:cs="宋体"/>
                <w:bCs/>
                <w:color w:val="auto"/>
                <w:spacing w:val="-10"/>
                <w:sz w:val="24"/>
              </w:rPr>
            </w:pPr>
          </w:p>
          <w:p>
            <w:pPr>
              <w:pStyle w:val="21"/>
              <w:rPr>
                <w:rFonts w:ascii="宋体" w:hAnsi="宋体" w:cs="宋体"/>
                <w:bCs/>
                <w:color w:val="auto"/>
                <w:spacing w:val="-10"/>
                <w:sz w:val="24"/>
              </w:rPr>
            </w:pPr>
          </w:p>
        </w:tc>
      </w:tr>
    </w:tbl>
    <w:p>
      <w:pPr>
        <w:adjustRightInd w:val="0"/>
        <w:snapToGrid w:val="0"/>
        <w:spacing w:line="360" w:lineRule="auto"/>
        <w:rPr>
          <w:rFonts w:ascii="宋体" w:cs="宋体"/>
          <w:b/>
          <w:color w:val="auto"/>
          <w:kern w:val="0"/>
          <w:sz w:val="28"/>
          <w:szCs w:val="28"/>
        </w:rPr>
        <w:sectPr>
          <w:pgSz w:w="11907" w:h="16840"/>
          <w:pgMar w:top="1701" w:right="1531" w:bottom="2127" w:left="1531" w:header="851" w:footer="851" w:gutter="0"/>
          <w:pgBorders>
            <w:top w:val="none" w:sz="0" w:space="0"/>
            <w:left w:val="none" w:sz="0" w:space="0"/>
            <w:bottom w:val="none" w:sz="0" w:space="0"/>
            <w:right w:val="none" w:sz="0" w:space="0"/>
          </w:pgBorders>
          <w:cols w:space="720" w:num="1"/>
          <w:docGrid w:linePitch="312" w:charSpace="0"/>
        </w:sectPr>
      </w:pPr>
    </w:p>
    <w:p>
      <w:pPr>
        <w:pStyle w:val="18"/>
        <w:jc w:val="center"/>
        <w:outlineLvl w:val="0"/>
        <w:rPr>
          <w:rFonts w:hint="default" w:ascii="黑体" w:hAnsi="黑体" w:eastAsia="黑体"/>
          <w:snapToGrid w:val="0"/>
          <w:color w:val="auto"/>
          <w:sz w:val="30"/>
          <w:szCs w:val="30"/>
          <w:lang w:val="en-US" w:eastAsia="zh-CN"/>
        </w:rPr>
      </w:pPr>
      <w:bookmarkStart w:id="17" w:name="_Toc17043"/>
      <w:bookmarkStart w:id="18" w:name="_Toc25884"/>
      <w:bookmarkStart w:id="19" w:name="_Toc15561"/>
      <w:r>
        <w:rPr>
          <w:rFonts w:hint="eastAsia" w:ascii="黑体" w:hAnsi="黑体" w:eastAsia="黑体"/>
          <w:snapToGrid w:val="0"/>
          <w:color w:val="auto"/>
          <w:sz w:val="30"/>
          <w:szCs w:val="30"/>
        </w:rPr>
        <w:t>五、</w:t>
      </w:r>
      <w:r>
        <w:rPr>
          <w:rFonts w:hint="eastAsia" w:ascii="黑体" w:hAnsi="黑体" w:eastAsia="黑体"/>
          <w:snapToGrid w:val="0"/>
          <w:color w:val="auto"/>
          <w:sz w:val="30"/>
          <w:szCs w:val="30"/>
          <w:lang w:val="en-US" w:eastAsia="zh-CN"/>
        </w:rPr>
        <w:t>主要生态环境保护措施</w:t>
      </w:r>
      <w:bookmarkEnd w:id="17"/>
      <w:bookmarkEnd w:id="18"/>
    </w:p>
    <w:tbl>
      <w:tblPr>
        <w:tblStyle w:val="22"/>
        <w:tblW w:w="508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42"/>
        <w:gridCol w:w="829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1159" w:hRule="atLeast"/>
          <w:jc w:val="center"/>
        </w:trPr>
        <w:tc>
          <w:tcPr>
            <w:tcW w:w="476" w:type="pct"/>
            <w:noWrap w:val="0"/>
            <w:tcMar>
              <w:left w:w="28" w:type="dxa"/>
              <w:right w:w="28" w:type="dxa"/>
            </w:tcMar>
            <w:vAlign w:val="center"/>
          </w:tcPr>
          <w:p>
            <w:pPr>
              <w:adjustRightInd w:val="0"/>
              <w:snapToGrid w:val="0"/>
              <w:jc w:val="center"/>
              <w:rPr>
                <w:rFonts w:hint="default" w:ascii="Times New Roman" w:hAnsi="Times New Roman" w:cs="Times New Roman"/>
                <w:color w:val="auto"/>
                <w:sz w:val="24"/>
                <w:szCs w:val="24"/>
              </w:rPr>
            </w:pPr>
            <w:r>
              <w:rPr>
                <w:rFonts w:hint="default" w:ascii="宋体" w:hAnsi="宋体" w:eastAsia="宋体" w:cs="宋体"/>
                <w:bCs/>
                <w:color w:val="auto"/>
                <w:sz w:val="24"/>
                <w:szCs w:val="24"/>
              </w:rPr>
              <w:t>施工期生态环境保护措施</w:t>
            </w:r>
          </w:p>
        </w:tc>
        <w:tc>
          <w:tcPr>
            <w:tcW w:w="4523" w:type="pct"/>
            <w:noWrap w:val="0"/>
            <w:vAlign w:val="top"/>
          </w:tcPr>
          <w:p>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cs="Times New Roman"/>
                <w:b w:val="0"/>
                <w:bCs w:val="0"/>
                <w:color w:val="auto"/>
                <w:sz w:val="24"/>
                <w:szCs w:val="24"/>
                <w:lang w:val="en-US" w:eastAsia="zh-CN"/>
              </w:rPr>
              <w:t>项目施工期</w:t>
            </w:r>
            <w:r>
              <w:rPr>
                <w:rFonts w:hint="eastAsia" w:cs="Times New Roman"/>
                <w:b w:val="0"/>
                <w:bCs w:val="0"/>
                <w:color w:val="auto"/>
                <w:sz w:val="24"/>
                <w:szCs w:val="24"/>
                <w:lang w:val="en-US" w:eastAsia="zh-CN"/>
              </w:rPr>
              <w:t>已结束，本次仅对其进行回顾性分析，</w:t>
            </w:r>
            <w:r>
              <w:rPr>
                <w:rFonts w:hint="eastAsia" w:ascii="Times New Roman" w:hAnsi="Times New Roman" w:cs="Times New Roman"/>
                <w:b w:val="0"/>
                <w:bCs w:val="0"/>
                <w:color w:val="auto"/>
                <w:sz w:val="24"/>
                <w:szCs w:val="24"/>
                <w:lang w:val="en-US" w:eastAsia="zh-CN"/>
              </w:rPr>
              <w:t>生态保护措施</w:t>
            </w:r>
            <w:r>
              <w:rPr>
                <w:rFonts w:hint="default" w:ascii="Times New Roman" w:hAnsi="Times New Roman" w:cs="Times New Roman"/>
                <w:b w:val="0"/>
                <w:bCs w:val="0"/>
                <w:color w:val="auto"/>
                <w:sz w:val="24"/>
                <w:szCs w:val="24"/>
                <w:lang w:val="en-US" w:eastAsia="zh-CN"/>
              </w:rPr>
              <w:t>详见</w:t>
            </w:r>
            <w:r>
              <w:rPr>
                <w:rFonts w:hint="eastAsia" w:ascii="Times New Roman" w:hAnsi="Times New Roman" w:cs="Times New Roman"/>
                <w:b w:val="0"/>
                <w:bCs w:val="0"/>
                <w:color w:val="auto"/>
                <w:sz w:val="24"/>
                <w:szCs w:val="24"/>
                <w:lang w:val="en-US" w:eastAsia="zh-CN"/>
              </w:rPr>
              <w:t>生态</w:t>
            </w:r>
            <w:r>
              <w:rPr>
                <w:rFonts w:hint="default" w:ascii="Times New Roman" w:hAnsi="Times New Roman" w:cs="Times New Roman"/>
                <w:b w:val="0"/>
                <w:bCs w:val="0"/>
                <w:color w:val="auto"/>
                <w:sz w:val="24"/>
                <w:szCs w:val="24"/>
                <w:lang w:val="en-US" w:eastAsia="zh-CN"/>
              </w:rPr>
              <w:t>环境影响</w:t>
            </w:r>
            <w:r>
              <w:rPr>
                <w:rFonts w:hint="eastAsia" w:ascii="Times New Roman" w:hAnsi="Times New Roman" w:cs="Times New Roman"/>
                <w:b w:val="0"/>
                <w:bCs w:val="0"/>
                <w:color w:val="auto"/>
                <w:sz w:val="24"/>
                <w:szCs w:val="24"/>
                <w:lang w:val="en-US" w:eastAsia="zh-CN"/>
              </w:rPr>
              <w:t>专项报告</w:t>
            </w:r>
            <w:r>
              <w:rPr>
                <w:rFonts w:hint="default" w:ascii="Times New Roman" w:hAnsi="Times New Roman" w:eastAsia="宋体" w:cs="Times New Roman"/>
                <w:b w:val="0"/>
                <w:bCs w:val="0"/>
                <w:color w:val="auto"/>
                <w:sz w:val="24"/>
                <w:szCs w:val="24"/>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7" w:hRule="atLeast"/>
          <w:jc w:val="center"/>
        </w:trPr>
        <w:tc>
          <w:tcPr>
            <w:tcW w:w="476" w:type="pct"/>
            <w:noWrap w:val="0"/>
            <w:tcMar>
              <w:left w:w="28" w:type="dxa"/>
              <w:right w:w="28" w:type="dxa"/>
            </w:tcMar>
            <w:vAlign w:val="center"/>
          </w:tcPr>
          <w:p>
            <w:pPr>
              <w:pStyle w:val="72"/>
              <w:bidi w:val="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运营期生态环境保护措施</w:t>
            </w:r>
          </w:p>
        </w:tc>
        <w:tc>
          <w:tcPr>
            <w:tcW w:w="4523" w:type="pct"/>
            <w:noWrap w:val="0"/>
            <w:vAlign w:val="top"/>
          </w:tcPr>
          <w:p>
            <w:pPr>
              <w:pageBreakBefore w:val="0"/>
              <w:kinsoku/>
              <w:overflowPunct/>
              <w:bidi w:val="0"/>
              <w:spacing w:line="360" w:lineRule="auto"/>
              <w:jc w:val="left"/>
              <w:textAlignment w:val="auto"/>
              <w:rPr>
                <w:rFonts w:hint="default" w:ascii="Times New Roman" w:hAnsi="Times New Roman" w:cs="Times New Roman"/>
                <w:b/>
                <w:bCs/>
                <w:color w:val="auto"/>
                <w:sz w:val="24"/>
                <w:szCs w:val="24"/>
                <w:lang w:val="en-US" w:eastAsia="zh-CN"/>
              </w:rPr>
            </w:pPr>
            <w:r>
              <w:rPr>
                <w:rFonts w:hint="eastAsia" w:cs="Times New Roman"/>
                <w:b/>
                <w:bCs/>
                <w:color w:val="auto"/>
                <w:sz w:val="24"/>
                <w:szCs w:val="24"/>
                <w:lang w:val="en-US" w:eastAsia="zh-CN"/>
              </w:rPr>
              <w:t>1</w:t>
            </w:r>
            <w:r>
              <w:rPr>
                <w:rFonts w:hint="default" w:ascii="Times New Roman" w:hAnsi="Times New Roman" w:cs="Times New Roman"/>
                <w:b/>
                <w:bCs/>
                <w:color w:val="auto"/>
                <w:sz w:val="24"/>
                <w:szCs w:val="24"/>
                <w:lang w:val="en-US" w:eastAsia="zh-CN"/>
              </w:rPr>
              <w:t>、生态环境保护措施</w:t>
            </w:r>
          </w:p>
          <w:p>
            <w:pPr>
              <w:pageBreakBefore w:val="0"/>
              <w:kinsoku/>
              <w:overflowPunct/>
              <w:bidi w:val="0"/>
              <w:spacing w:line="360" w:lineRule="auto"/>
              <w:ind w:firstLine="480" w:firstLineChars="200"/>
              <w:jc w:val="left"/>
              <w:textAlignment w:val="auto"/>
              <w:rPr>
                <w:rFonts w:hint="default" w:ascii="Times New Roman" w:hAnsi="Times New Roman" w:eastAsia="宋体"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项目运营期生态保护措施</w:t>
            </w:r>
            <w:r>
              <w:rPr>
                <w:rFonts w:hint="default" w:ascii="Times New Roman" w:hAnsi="Times New Roman" w:cs="Times New Roman"/>
                <w:b w:val="0"/>
                <w:bCs w:val="0"/>
                <w:color w:val="auto"/>
                <w:sz w:val="24"/>
                <w:szCs w:val="24"/>
                <w:lang w:val="en-US" w:eastAsia="zh-CN"/>
              </w:rPr>
              <w:t>详见</w:t>
            </w:r>
            <w:r>
              <w:rPr>
                <w:rFonts w:hint="eastAsia" w:ascii="Times New Roman" w:hAnsi="Times New Roman" w:cs="Times New Roman"/>
                <w:b w:val="0"/>
                <w:bCs w:val="0"/>
                <w:color w:val="auto"/>
                <w:sz w:val="24"/>
                <w:szCs w:val="24"/>
                <w:lang w:val="en-US" w:eastAsia="zh-CN"/>
              </w:rPr>
              <w:t>生态</w:t>
            </w:r>
            <w:r>
              <w:rPr>
                <w:rFonts w:hint="default" w:ascii="Times New Roman" w:hAnsi="Times New Roman" w:cs="Times New Roman"/>
                <w:b w:val="0"/>
                <w:bCs w:val="0"/>
                <w:color w:val="auto"/>
                <w:sz w:val="24"/>
                <w:szCs w:val="24"/>
                <w:lang w:val="en-US" w:eastAsia="zh-CN"/>
              </w:rPr>
              <w:t>环境影响</w:t>
            </w:r>
            <w:r>
              <w:rPr>
                <w:rFonts w:hint="eastAsia" w:ascii="Times New Roman" w:hAnsi="Times New Roman" w:cs="Times New Roman"/>
                <w:b w:val="0"/>
                <w:bCs w:val="0"/>
                <w:color w:val="auto"/>
                <w:sz w:val="24"/>
                <w:szCs w:val="24"/>
                <w:lang w:val="en-US" w:eastAsia="zh-CN"/>
              </w:rPr>
              <w:t>专项报告</w:t>
            </w:r>
            <w:r>
              <w:rPr>
                <w:rFonts w:hint="default" w:ascii="Times New Roman" w:hAnsi="Times New Roman" w:eastAsia="宋体" w:cs="Times New Roman"/>
                <w:b w:val="0"/>
                <w:bCs w:val="0"/>
                <w:color w:val="auto"/>
                <w:sz w:val="24"/>
                <w:szCs w:val="24"/>
                <w:lang w:val="en-US" w:eastAsia="zh-CN"/>
              </w:rPr>
              <w:t>。</w:t>
            </w:r>
          </w:p>
          <w:p>
            <w:pPr>
              <w:adjustRightInd w:val="0"/>
              <w:snapToGrid w:val="0"/>
              <w:spacing w:line="360" w:lineRule="auto"/>
              <w:jc w:val="left"/>
              <w:rPr>
                <w:rFonts w:hint="default" w:eastAsia="宋体" w:cs="宋体"/>
                <w:b/>
                <w:bCs w:val="0"/>
                <w:color w:val="auto"/>
                <w:sz w:val="24"/>
                <w:szCs w:val="21"/>
                <w:lang w:val="en-US" w:eastAsia="zh-CN"/>
              </w:rPr>
            </w:pPr>
            <w:r>
              <w:rPr>
                <w:rFonts w:hint="eastAsia" w:eastAsia="宋体" w:cs="宋体"/>
                <w:b/>
                <w:bCs w:val="0"/>
                <w:color w:val="auto"/>
                <w:sz w:val="24"/>
                <w:szCs w:val="21"/>
                <w:lang w:val="en-US" w:eastAsia="zh-CN"/>
              </w:rPr>
              <w:t>2、废气环境保护措施</w:t>
            </w:r>
          </w:p>
          <w:p>
            <w:pPr>
              <w:spacing w:line="360" w:lineRule="auto"/>
              <w:ind w:firstLine="480" w:firstLineChars="200"/>
              <w:jc w:val="left"/>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①油烟</w:t>
            </w:r>
          </w:p>
          <w:p>
            <w:pPr>
              <w:adjustRightInd w:val="0"/>
              <w:snapToGrid w:val="0"/>
              <w:spacing w:line="360" w:lineRule="auto"/>
              <w:ind w:firstLine="440" w:firstLineChars="200"/>
              <w:jc w:val="left"/>
              <w:rPr>
                <w:rFonts w:hint="default" w:ascii="Times New Roman" w:hAnsi="Times New Roman" w:eastAsia="宋体" w:cs="宋体"/>
                <w:bCs/>
                <w:color w:val="auto"/>
                <w:spacing w:val="-10"/>
                <w:sz w:val="24"/>
                <w:szCs w:val="21"/>
                <w:lang w:val="en-US" w:eastAsia="zh-CN"/>
              </w:rPr>
            </w:pPr>
            <w:r>
              <w:rPr>
                <w:rFonts w:hint="eastAsia" w:ascii="Times New Roman" w:hAnsi="Times New Roman" w:eastAsia="宋体" w:cs="宋体"/>
                <w:bCs/>
                <w:color w:val="auto"/>
                <w:spacing w:val="-10"/>
                <w:sz w:val="24"/>
                <w:szCs w:val="21"/>
                <w:lang w:eastAsia="zh-CN"/>
              </w:rPr>
              <w:t>于</w:t>
            </w:r>
            <w:r>
              <w:rPr>
                <w:rFonts w:hint="eastAsia" w:ascii="Times New Roman" w:hAnsi="Times New Roman" w:eastAsia="宋体" w:cs="宋体"/>
                <w:bCs/>
                <w:color w:val="auto"/>
                <w:spacing w:val="-10"/>
                <w:sz w:val="24"/>
                <w:szCs w:val="21"/>
                <w:lang w:val="en-US" w:eastAsia="zh-CN"/>
              </w:rPr>
              <w:t>家庭用房</w:t>
            </w:r>
            <w:r>
              <w:rPr>
                <w:rFonts w:hint="eastAsia" w:ascii="Times New Roman" w:hAnsi="Times New Roman" w:eastAsia="宋体" w:cs="宋体"/>
                <w:bCs/>
                <w:color w:val="auto"/>
                <w:spacing w:val="-10"/>
                <w:sz w:val="24"/>
                <w:szCs w:val="21"/>
                <w:lang w:eastAsia="zh-CN"/>
              </w:rPr>
              <w:t>内厨房油烟产生量较小，</w:t>
            </w:r>
            <w:r>
              <w:rPr>
                <w:rFonts w:hint="eastAsia" w:ascii="Times New Roman" w:hAnsi="Times New Roman" w:eastAsia="宋体" w:cs="宋体"/>
                <w:bCs/>
                <w:color w:val="auto"/>
                <w:spacing w:val="-10"/>
                <w:sz w:val="24"/>
                <w:szCs w:val="21"/>
                <w:lang w:val="en-US" w:eastAsia="zh-CN"/>
              </w:rPr>
              <w:t>且用户均会安装符合要求的油烟净化器，少量油烟经净化器处理后</w:t>
            </w:r>
            <w:r>
              <w:rPr>
                <w:rFonts w:hint="default" w:ascii="Times New Roman" w:hAnsi="Times New Roman" w:eastAsia="宋体" w:cs="宋体"/>
                <w:bCs/>
                <w:color w:val="auto"/>
                <w:spacing w:val="-10"/>
                <w:sz w:val="24"/>
                <w:szCs w:val="21"/>
              </w:rPr>
              <w:t>可以达到《饮食业油烟排放标准</w:t>
            </w:r>
            <w:r>
              <w:rPr>
                <w:rFonts w:hint="default" w:ascii="Times New Roman" w:hAnsi="Times New Roman" w:eastAsia="宋体" w:cs="宋体"/>
                <w:bCs/>
                <w:color w:val="auto"/>
                <w:spacing w:val="-10"/>
                <w:sz w:val="24"/>
                <w:szCs w:val="21"/>
                <w:lang w:val="en-US" w:eastAsia="zh-CN"/>
              </w:rPr>
              <w:t>（试行）》（GB18483-2001）要求</w:t>
            </w:r>
            <w:r>
              <w:rPr>
                <w:rFonts w:hint="eastAsia" w:ascii="Times New Roman" w:hAnsi="Times New Roman" w:eastAsia="宋体" w:cs="宋体"/>
                <w:bCs/>
                <w:color w:val="auto"/>
                <w:spacing w:val="-10"/>
                <w:sz w:val="24"/>
                <w:szCs w:val="21"/>
                <w:lang w:val="en-US" w:eastAsia="zh-CN"/>
              </w:rPr>
              <w:t>。</w:t>
            </w:r>
          </w:p>
          <w:p>
            <w:pPr>
              <w:spacing w:line="360" w:lineRule="auto"/>
              <w:ind w:firstLine="480" w:firstLineChars="200"/>
              <w:jc w:val="left"/>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②汽车尾气</w:t>
            </w:r>
          </w:p>
          <w:p>
            <w:pPr>
              <w:spacing w:line="360" w:lineRule="auto"/>
              <w:ind w:firstLine="480" w:firstLineChars="200"/>
              <w:jc w:val="left"/>
              <w:rPr>
                <w:rFonts w:hint="eastAsia" w:eastAsia="宋体"/>
                <w:color w:val="auto"/>
                <w:sz w:val="24"/>
                <w:lang w:eastAsia="zh-CN"/>
              </w:rPr>
            </w:pPr>
            <w:r>
              <w:rPr>
                <w:rFonts w:hint="eastAsia"/>
                <w:color w:val="auto"/>
                <w:sz w:val="24"/>
                <w:lang w:val="en-US" w:eastAsia="zh-CN"/>
              </w:rPr>
              <w:t>项目周边空气流通性较好，同时项目安置区内</w:t>
            </w:r>
            <w:r>
              <w:rPr>
                <w:rFonts w:hint="eastAsia"/>
                <w:color w:val="auto"/>
                <w:sz w:val="24"/>
              </w:rPr>
              <w:t>加强绿化，种植一些对</w:t>
            </w:r>
            <w:r>
              <w:rPr>
                <w:rFonts w:hAnsi="宋体"/>
                <w:color w:val="auto"/>
                <w:sz w:val="24"/>
              </w:rPr>
              <w:t>有害气体吸收能力较强的树木</w:t>
            </w:r>
            <w:r>
              <w:rPr>
                <w:rFonts w:hint="eastAsia" w:hAnsi="宋体"/>
                <w:color w:val="auto"/>
                <w:sz w:val="24"/>
              </w:rPr>
              <w:t>，可进一步减小尾气产生量</w:t>
            </w:r>
            <w:r>
              <w:rPr>
                <w:rFonts w:hint="eastAsia" w:hAnsi="宋体"/>
                <w:color w:val="auto"/>
                <w:sz w:val="24"/>
                <w:lang w:eastAsia="zh-CN"/>
              </w:rPr>
              <w:t>。</w:t>
            </w:r>
          </w:p>
          <w:p>
            <w:pPr>
              <w:spacing w:line="360" w:lineRule="auto"/>
              <w:ind w:firstLine="480" w:firstLineChars="200"/>
              <w:jc w:val="left"/>
              <w:rPr>
                <w:rFonts w:hint="default" w:ascii="Times New Roman" w:hAnsi="宋体" w:eastAsia="宋体" w:cs="Times New Roman"/>
                <w:color w:val="auto"/>
                <w:sz w:val="24"/>
              </w:rPr>
            </w:pPr>
            <w:r>
              <w:rPr>
                <w:rFonts w:hint="default" w:ascii="Times New Roman" w:hAnsi="宋体" w:eastAsia="宋体" w:cs="Times New Roman"/>
                <w:color w:val="auto"/>
                <w:sz w:val="24"/>
              </w:rPr>
              <w:t>③恶臭</w:t>
            </w:r>
          </w:p>
          <w:p>
            <w:pPr>
              <w:spacing w:line="360" w:lineRule="auto"/>
              <w:ind w:firstLine="480" w:firstLineChars="200"/>
              <w:jc w:val="left"/>
              <w:rPr>
                <w:rFonts w:hint="default" w:ascii="Times New Roman" w:hAnsi="宋体" w:eastAsia="宋体" w:cs="Times New Roman"/>
                <w:color w:val="auto"/>
                <w:sz w:val="24"/>
              </w:rPr>
            </w:pPr>
            <w:r>
              <w:rPr>
                <w:rFonts w:hint="eastAsia" w:ascii="Times New Roman" w:hAnsi="宋体" w:eastAsia="宋体" w:cs="Times New Roman"/>
                <w:color w:val="auto"/>
                <w:sz w:val="24"/>
              </w:rPr>
              <w:t>由于</w:t>
            </w:r>
            <w:r>
              <w:rPr>
                <w:rFonts w:hint="eastAsia" w:ascii="Times New Roman" w:hAnsi="宋体" w:eastAsia="宋体" w:cs="Times New Roman"/>
                <w:color w:val="auto"/>
                <w:sz w:val="24"/>
                <w:lang w:val="en-US" w:eastAsia="zh-CN"/>
              </w:rPr>
              <w:t>安置区内垃圾桶体量较小且分布</w:t>
            </w:r>
            <w:r>
              <w:rPr>
                <w:rFonts w:hint="eastAsia" w:ascii="Times New Roman" w:hAnsi="宋体" w:eastAsia="宋体" w:cs="Times New Roman"/>
                <w:color w:val="auto"/>
                <w:sz w:val="24"/>
                <w:lang w:eastAsia="zh-CN"/>
              </w:rPr>
              <w:t>相对分散，</w:t>
            </w:r>
            <w:r>
              <w:rPr>
                <w:rFonts w:hint="eastAsia" w:ascii="Times New Roman" w:hAnsi="宋体" w:eastAsia="宋体" w:cs="Times New Roman"/>
                <w:color w:val="auto"/>
                <w:sz w:val="24"/>
                <w:lang w:val="en-US" w:eastAsia="zh-CN"/>
              </w:rPr>
              <w:t>安置区内物业人员及时清理清运</w:t>
            </w:r>
            <w:r>
              <w:rPr>
                <w:rFonts w:hint="eastAsia" w:ascii="Times New Roman" w:hAnsi="宋体" w:eastAsia="宋体" w:cs="Times New Roman"/>
                <w:color w:val="auto"/>
                <w:sz w:val="24"/>
              </w:rPr>
              <w:t>，本项目</w:t>
            </w:r>
            <w:r>
              <w:rPr>
                <w:rFonts w:hint="eastAsia" w:ascii="Times New Roman" w:hAnsi="宋体" w:eastAsia="宋体" w:cs="Times New Roman"/>
                <w:color w:val="auto"/>
                <w:sz w:val="24"/>
                <w:lang w:val="en-US" w:eastAsia="zh-CN"/>
              </w:rPr>
              <w:t>恶臭</w:t>
            </w:r>
            <w:r>
              <w:rPr>
                <w:rFonts w:hint="eastAsia" w:ascii="Times New Roman" w:hAnsi="宋体" w:eastAsia="宋体" w:cs="Times New Roman"/>
                <w:color w:val="auto"/>
                <w:sz w:val="24"/>
              </w:rPr>
              <w:t>污染物浓度较低</w:t>
            </w:r>
            <w:r>
              <w:rPr>
                <w:rFonts w:hint="eastAsia" w:ascii="Times New Roman" w:hAnsi="宋体" w:eastAsia="宋体" w:cs="Times New Roman"/>
                <w:color w:val="auto"/>
                <w:sz w:val="24"/>
                <w:lang w:eastAsia="zh-CN"/>
              </w:rPr>
              <w:t>，</w:t>
            </w:r>
            <w:r>
              <w:rPr>
                <w:rFonts w:hint="eastAsia" w:ascii="Times New Roman" w:hAnsi="Times New Roman" w:eastAsia="宋体" w:cs="宋体"/>
                <w:bCs/>
                <w:color w:val="auto"/>
                <w:spacing w:val="-10"/>
                <w:sz w:val="24"/>
                <w:szCs w:val="21"/>
                <w:lang w:val="en-US" w:eastAsia="zh-CN"/>
              </w:rPr>
              <w:t>经周边大气环境稀释后对周边环境影响较小</w:t>
            </w:r>
            <w:r>
              <w:rPr>
                <w:rFonts w:hint="eastAsia" w:ascii="Times New Roman" w:hAnsi="宋体" w:eastAsia="宋体" w:cs="Times New Roman"/>
                <w:color w:val="auto"/>
                <w:sz w:val="24"/>
              </w:rPr>
              <w:t>。</w:t>
            </w:r>
          </w:p>
          <w:p>
            <w:pPr>
              <w:numPr>
                <w:ilvl w:val="0"/>
                <w:numId w:val="0"/>
              </w:numPr>
              <w:adjustRightInd w:val="0"/>
              <w:snapToGrid w:val="0"/>
              <w:spacing w:line="360" w:lineRule="auto"/>
              <w:jc w:val="left"/>
              <w:rPr>
                <w:rFonts w:cs="宋体"/>
                <w:b/>
                <w:color w:val="auto"/>
                <w:spacing w:val="-10"/>
                <w:sz w:val="24"/>
                <w:szCs w:val="21"/>
              </w:rPr>
            </w:pPr>
            <w:r>
              <w:rPr>
                <w:rFonts w:hint="eastAsia" w:cs="宋体"/>
                <w:b/>
                <w:color w:val="auto"/>
                <w:spacing w:val="-10"/>
                <w:sz w:val="24"/>
                <w:szCs w:val="21"/>
                <w:lang w:val="en-US" w:eastAsia="zh-CN"/>
              </w:rPr>
              <w:t>3、</w:t>
            </w:r>
            <w:r>
              <w:rPr>
                <w:rFonts w:hint="eastAsia" w:cs="宋体"/>
                <w:b/>
                <w:color w:val="auto"/>
                <w:spacing w:val="-10"/>
                <w:sz w:val="24"/>
                <w:szCs w:val="21"/>
              </w:rPr>
              <w:t>废水环境影响分析</w:t>
            </w:r>
          </w:p>
          <w:p>
            <w:pPr>
              <w:pStyle w:val="49"/>
              <w:spacing w:line="360" w:lineRule="auto"/>
              <w:ind w:firstLine="482" w:firstLineChars="200"/>
              <w:jc w:val="left"/>
              <w:rPr>
                <w:rFonts w:hint="eastAsia" w:ascii="Times New Roman" w:hAnsi="Times New Roman" w:eastAsia="宋体" w:cs="宋体"/>
                <w:b/>
                <w:bCs/>
                <w:color w:val="auto"/>
                <w:sz w:val="24"/>
                <w:szCs w:val="21"/>
                <w:lang w:val="en-US" w:eastAsia="zh-CN"/>
              </w:rPr>
            </w:pPr>
            <w:r>
              <w:rPr>
                <w:rFonts w:hint="eastAsia" w:ascii="Times New Roman" w:hAnsi="Times New Roman" w:eastAsia="宋体" w:cs="宋体"/>
                <w:b/>
                <w:bCs/>
                <w:color w:val="auto"/>
                <w:sz w:val="24"/>
                <w:szCs w:val="21"/>
                <w:lang w:val="en-US" w:eastAsia="zh-CN"/>
              </w:rPr>
              <w:t>3.1废水污染防治措施</w:t>
            </w:r>
          </w:p>
          <w:p>
            <w:pPr>
              <w:adjustRightInd w:val="0"/>
              <w:snapToGrid w:val="0"/>
              <w:spacing w:line="360" w:lineRule="auto"/>
              <w:ind w:firstLine="468" w:firstLineChars="200"/>
              <w:jc w:val="left"/>
              <w:rPr>
                <w:rFonts w:hint="eastAsia" w:ascii="Times New Roman" w:hAnsi="Times New Roman" w:eastAsia="宋体" w:cs="Times New Roman"/>
                <w:color w:val="auto"/>
              </w:rPr>
            </w:pPr>
            <w:r>
              <w:rPr>
                <w:rFonts w:hint="eastAsia"/>
                <w:color w:val="auto"/>
                <w:spacing w:val="-3"/>
                <w:sz w:val="24"/>
                <w:szCs w:val="24"/>
              </w:rPr>
              <w:t>本项目生活污水经化粪池处理后</w:t>
            </w:r>
            <w:r>
              <w:rPr>
                <w:rFonts w:hint="eastAsia"/>
                <w:color w:val="auto"/>
                <w:spacing w:val="-3"/>
                <w:sz w:val="24"/>
                <w:szCs w:val="24"/>
                <w:lang w:val="en-US" w:eastAsia="zh-CN"/>
              </w:rPr>
              <w:t>达到</w:t>
            </w:r>
            <w:r>
              <w:rPr>
                <w:color w:val="auto"/>
                <w:sz w:val="24"/>
                <w:lang w:val="en-US" w:eastAsia="zh-CN"/>
              </w:rPr>
              <w:t>华容县团洲乡</w:t>
            </w:r>
            <w:r>
              <w:rPr>
                <w:rFonts w:hint="eastAsia"/>
                <w:color w:val="auto"/>
                <w:sz w:val="24"/>
                <w:lang w:val="en-US" w:eastAsia="zh-CN"/>
              </w:rPr>
              <w:t>团洲新村</w:t>
            </w:r>
            <w:r>
              <w:rPr>
                <w:color w:val="auto"/>
                <w:sz w:val="24"/>
                <w:lang w:val="en-US" w:eastAsia="zh-CN"/>
              </w:rPr>
              <w:t>污水处理厂</w:t>
            </w:r>
            <w:r>
              <w:rPr>
                <w:rFonts w:hint="eastAsia"/>
                <w:color w:val="auto"/>
                <w:sz w:val="24"/>
                <w:lang w:val="en-US" w:eastAsia="zh-CN"/>
              </w:rPr>
              <w:t>进水水质标准后</w:t>
            </w:r>
            <w:r>
              <w:rPr>
                <w:rFonts w:hint="eastAsia"/>
                <w:color w:val="auto"/>
                <w:sz w:val="24"/>
              </w:rPr>
              <w:t>经</w:t>
            </w:r>
            <w:r>
              <w:rPr>
                <w:rFonts w:hint="eastAsia"/>
                <w:color w:val="auto"/>
                <w:sz w:val="24"/>
                <w:lang w:val="en-US" w:eastAsia="zh-CN"/>
              </w:rPr>
              <w:t>市政</w:t>
            </w:r>
            <w:r>
              <w:rPr>
                <w:rFonts w:hint="eastAsia"/>
                <w:color w:val="auto"/>
                <w:sz w:val="24"/>
              </w:rPr>
              <w:t>污水管网收集后</w:t>
            </w:r>
            <w:r>
              <w:rPr>
                <w:rFonts w:hint="eastAsia"/>
                <w:color w:val="auto"/>
                <w:sz w:val="24"/>
                <w:lang w:val="en-US" w:eastAsia="zh-CN"/>
              </w:rPr>
              <w:t>排入华</w:t>
            </w:r>
            <w:r>
              <w:rPr>
                <w:color w:val="auto"/>
                <w:sz w:val="24"/>
                <w:lang w:val="en-US" w:eastAsia="zh-CN"/>
              </w:rPr>
              <w:t>容县团洲乡污水处理厂</w:t>
            </w:r>
            <w:r>
              <w:rPr>
                <w:rFonts w:hint="eastAsia"/>
                <w:color w:val="auto"/>
                <w:sz w:val="24"/>
              </w:rPr>
              <w:t>进行深度处理</w:t>
            </w:r>
            <w:r>
              <w:rPr>
                <w:rFonts w:hint="eastAsia"/>
                <w:color w:val="auto"/>
                <w:sz w:val="24"/>
                <w:lang w:eastAsia="zh-CN"/>
              </w:rPr>
              <w:t>，</w:t>
            </w:r>
            <w:r>
              <w:rPr>
                <w:rFonts w:hint="eastAsia"/>
                <w:color w:val="auto"/>
                <w:sz w:val="24"/>
                <w:lang w:val="en-US" w:eastAsia="zh-CN"/>
              </w:rPr>
              <w:t>经处理</w:t>
            </w:r>
            <w:r>
              <w:rPr>
                <w:rFonts w:hint="eastAsia"/>
                <w:color w:val="auto"/>
                <w:sz w:val="24"/>
              </w:rPr>
              <w:t>排水水质达《城镇污水处理厂污染物排放标准》（GB</w:t>
            </w:r>
            <w:r>
              <w:rPr>
                <w:rFonts w:hint="eastAsia"/>
                <w:color w:val="auto"/>
                <w:sz w:val="24"/>
                <w:lang w:val="en-US" w:eastAsia="zh-CN"/>
              </w:rPr>
              <w:t xml:space="preserve"> </w:t>
            </w:r>
            <w:r>
              <w:rPr>
                <w:rFonts w:hint="eastAsia"/>
                <w:color w:val="auto"/>
                <w:sz w:val="24"/>
              </w:rPr>
              <w:t>18918-2002）</w:t>
            </w:r>
            <w:r>
              <w:rPr>
                <w:rFonts w:hint="eastAsia" w:eastAsia="宋体"/>
                <w:color w:val="auto"/>
                <w:sz w:val="24"/>
              </w:rPr>
              <w:t>一级A标准后</w:t>
            </w:r>
            <w:r>
              <w:rPr>
                <w:rFonts w:hint="eastAsia" w:ascii="Times New Roman" w:hAnsi="Times New Roman" w:eastAsia="宋体" w:cs="宋体"/>
                <w:bCs/>
                <w:i w:val="0"/>
                <w:iCs w:val="0"/>
                <w:color w:val="auto"/>
                <w:sz w:val="24"/>
                <w:szCs w:val="21"/>
                <w:u w:val="none"/>
                <w:lang w:val="en-US" w:eastAsia="zh-CN"/>
              </w:rPr>
              <w:t>回用。</w:t>
            </w:r>
          </w:p>
          <w:p>
            <w:pPr>
              <w:pStyle w:val="53"/>
              <w:adjustRightInd w:val="0"/>
              <w:snapToGrid w:val="0"/>
              <w:spacing w:line="360" w:lineRule="auto"/>
              <w:ind w:firstLine="482"/>
              <w:jc w:val="left"/>
              <w:rPr>
                <w:rFonts w:hint="eastAsia"/>
                <w:b/>
                <w:bCs/>
                <w:color w:val="auto"/>
                <w:sz w:val="24"/>
                <w:highlight w:val="none"/>
              </w:rPr>
            </w:pPr>
            <w:r>
              <w:rPr>
                <w:rFonts w:hint="eastAsia"/>
                <w:b/>
                <w:bCs/>
                <w:color w:val="auto"/>
                <w:sz w:val="24"/>
                <w:highlight w:val="none"/>
                <w:lang w:val="en-US" w:eastAsia="zh-CN"/>
              </w:rPr>
              <w:t>3.2</w:t>
            </w:r>
            <w:r>
              <w:rPr>
                <w:rFonts w:hint="eastAsia"/>
                <w:b/>
                <w:bCs/>
                <w:color w:val="auto"/>
                <w:sz w:val="24"/>
                <w:highlight w:val="none"/>
              </w:rPr>
              <w:t>废水处理设施可行性分析</w:t>
            </w:r>
          </w:p>
          <w:p>
            <w:pPr>
              <w:adjustRightInd w:val="0"/>
              <w:snapToGrid w:val="0"/>
              <w:spacing w:line="360" w:lineRule="auto"/>
              <w:ind w:firstLine="480" w:firstLineChars="200"/>
              <w:jc w:val="left"/>
              <w:rPr>
                <w:rFonts w:hint="eastAsia" w:ascii="Times New Roman" w:hAnsi="Times New Roman" w:eastAsia="宋体" w:cs="宋体"/>
                <w:bCs/>
                <w:i w:val="0"/>
                <w:iCs w:val="0"/>
                <w:color w:val="auto"/>
                <w:sz w:val="24"/>
                <w:szCs w:val="21"/>
                <w:u w:val="none"/>
                <w:lang w:val="en-US" w:eastAsia="zh-CN"/>
              </w:rPr>
            </w:pPr>
            <w:r>
              <w:rPr>
                <w:rFonts w:hint="eastAsia" w:ascii="Times New Roman" w:hAnsi="Times New Roman" w:eastAsia="宋体" w:cs="宋体"/>
                <w:bCs/>
                <w:i w:val="0"/>
                <w:iCs w:val="0"/>
                <w:color w:val="auto"/>
                <w:sz w:val="24"/>
                <w:szCs w:val="21"/>
                <w:u w:val="none"/>
                <w:lang w:val="en-US" w:eastAsia="zh-CN"/>
              </w:rPr>
              <w:t>生活污水经化粪池处理后可达华容县团洲乡团洲新村污水处理厂进水水质标准，之后进入市政污水管网，由华容县团洲乡团洲新村污水处理厂处理达标后回用，项目废水污染物对环境影响较小。</w:t>
            </w:r>
          </w:p>
          <w:p>
            <w:pPr>
              <w:adjustRightInd w:val="0"/>
              <w:snapToGrid w:val="0"/>
              <w:spacing w:line="360" w:lineRule="auto"/>
              <w:ind w:firstLine="480" w:firstLineChars="200"/>
              <w:jc w:val="left"/>
              <w:rPr>
                <w:rFonts w:hint="eastAsia" w:ascii="Times New Roman" w:hAnsi="Times New Roman" w:eastAsia="宋体" w:cs="宋体"/>
                <w:bCs/>
                <w:i w:val="0"/>
                <w:iCs w:val="0"/>
                <w:color w:val="auto"/>
                <w:sz w:val="24"/>
                <w:szCs w:val="21"/>
                <w:u w:val="none"/>
                <w:lang w:val="en-US" w:eastAsia="zh-CN"/>
              </w:rPr>
            </w:pPr>
            <w:r>
              <w:rPr>
                <w:rFonts w:hint="eastAsia" w:ascii="Times New Roman" w:hAnsi="Times New Roman" w:eastAsia="宋体" w:cs="宋体"/>
                <w:bCs/>
                <w:i w:val="0"/>
                <w:iCs w:val="0"/>
                <w:color w:val="auto"/>
                <w:sz w:val="24"/>
                <w:szCs w:val="21"/>
                <w:u w:val="none"/>
                <w:lang w:val="en-US" w:eastAsia="zh-CN"/>
              </w:rPr>
              <w:t>团洲乡团洲新村污水处理厂位于团洲乡的东南部，南电排渠的西侧，设计日处理能力为</w:t>
            </w:r>
            <w:r>
              <w:rPr>
                <w:rFonts w:hint="eastAsia" w:cs="宋体"/>
                <w:bCs/>
                <w:i w:val="0"/>
                <w:iCs w:val="0"/>
                <w:color w:val="auto"/>
                <w:sz w:val="24"/>
                <w:szCs w:val="21"/>
                <w:u w:val="none"/>
                <w:lang w:val="en-US" w:eastAsia="zh-CN"/>
              </w:rPr>
              <w:t>3</w:t>
            </w:r>
            <w:r>
              <w:rPr>
                <w:rFonts w:hint="eastAsia" w:ascii="Times New Roman" w:hAnsi="Times New Roman" w:eastAsia="宋体" w:cs="宋体"/>
                <w:bCs/>
                <w:i w:val="0"/>
                <w:iCs w:val="0"/>
                <w:color w:val="auto"/>
                <w:sz w:val="24"/>
                <w:szCs w:val="21"/>
                <w:u w:val="none"/>
                <w:lang w:val="en-US" w:eastAsia="zh-CN"/>
              </w:rPr>
              <w:t>00吨/天，该厂拟采用“预处理+生化处理（A²/O工艺）+深度处理（砂滤、消毒）”的工艺流程，确保出水水质达到《城镇污水处理厂污染物排放标准》中的一级A类排放标准。同时配备污水回用系统，污水经处理后回用于厂区绿化灌溉或道路冲洗，提高了水资源利用率。</w:t>
            </w:r>
          </w:p>
          <w:p>
            <w:pPr>
              <w:adjustRightInd w:val="0"/>
              <w:snapToGrid w:val="0"/>
              <w:spacing w:line="360" w:lineRule="auto"/>
              <w:ind w:firstLine="480" w:firstLineChars="200"/>
              <w:jc w:val="left"/>
              <w:rPr>
                <w:rFonts w:hint="eastAsia" w:ascii="Times New Roman" w:hAnsi="Times New Roman" w:eastAsia="宋体" w:cs="宋体"/>
                <w:bCs/>
                <w:i w:val="0"/>
                <w:iCs w:val="0"/>
                <w:color w:val="auto"/>
                <w:sz w:val="24"/>
                <w:szCs w:val="21"/>
                <w:u w:val="none"/>
                <w:lang w:val="en-US" w:eastAsia="zh-CN"/>
              </w:rPr>
            </w:pPr>
            <w:r>
              <w:rPr>
                <w:rFonts w:hint="eastAsia" w:ascii="Times New Roman" w:hAnsi="Times New Roman" w:eastAsia="宋体" w:cs="宋体"/>
                <w:bCs/>
                <w:i w:val="0"/>
                <w:iCs w:val="0"/>
                <w:color w:val="auto"/>
                <w:sz w:val="24"/>
                <w:szCs w:val="21"/>
                <w:u w:val="none"/>
                <w:lang w:val="en-US" w:eastAsia="zh-CN"/>
              </w:rPr>
              <w:t>该污水处理厂为配套华容县团洲垸灾后重建安置房建设项目</w:t>
            </w:r>
            <w:r>
              <w:rPr>
                <w:rFonts w:hint="eastAsia" w:cs="宋体"/>
                <w:bCs/>
                <w:i w:val="0"/>
                <w:iCs w:val="0"/>
                <w:color w:val="auto"/>
                <w:sz w:val="24"/>
                <w:szCs w:val="21"/>
                <w:u w:val="none"/>
                <w:lang w:val="en-US" w:eastAsia="zh-CN"/>
              </w:rPr>
              <w:t>而建设，</w:t>
            </w:r>
            <w:r>
              <w:rPr>
                <w:rFonts w:hint="eastAsia" w:ascii="Times New Roman" w:hAnsi="Times New Roman" w:eastAsia="宋体" w:cs="宋体"/>
                <w:bCs/>
                <w:i w:val="0"/>
                <w:iCs w:val="0"/>
                <w:color w:val="auto"/>
                <w:sz w:val="24"/>
                <w:szCs w:val="21"/>
                <w:u w:val="none"/>
                <w:lang w:val="en-US" w:eastAsia="zh-CN"/>
              </w:rPr>
              <w:t>本项目所在地属于该污水处理厂的纳污范围，且区域内污水管网已经铺设完成，</w:t>
            </w:r>
            <w:r>
              <w:rPr>
                <w:rFonts w:hint="eastAsia" w:cs="宋体"/>
                <w:bCs/>
                <w:i w:val="0"/>
                <w:iCs w:val="0"/>
                <w:color w:val="auto"/>
                <w:sz w:val="24"/>
                <w:szCs w:val="21"/>
                <w:u w:val="none"/>
                <w:lang w:val="en-US" w:eastAsia="zh-CN"/>
              </w:rPr>
              <w:t>污水处理厂预计可于今年下半年建成运行，要早于本项目交房日期，</w:t>
            </w:r>
            <w:r>
              <w:rPr>
                <w:rFonts w:hint="eastAsia" w:ascii="Times New Roman" w:hAnsi="Times New Roman" w:eastAsia="宋体" w:cs="宋体"/>
                <w:bCs/>
                <w:i w:val="0"/>
                <w:iCs w:val="0"/>
                <w:color w:val="auto"/>
                <w:sz w:val="24"/>
                <w:szCs w:val="21"/>
                <w:u w:val="none"/>
                <w:lang w:val="en-US" w:eastAsia="zh-CN"/>
              </w:rPr>
              <w:t>因此项目废水可接入该污水处理厂</w:t>
            </w:r>
            <w:r>
              <w:rPr>
                <w:rFonts w:hint="eastAsia" w:cs="宋体"/>
                <w:bCs/>
                <w:i w:val="0"/>
                <w:iCs w:val="0"/>
                <w:color w:val="auto"/>
                <w:sz w:val="24"/>
                <w:szCs w:val="21"/>
                <w:u w:val="none"/>
                <w:lang w:val="en-US" w:eastAsia="zh-CN"/>
              </w:rPr>
              <w:t>；污水处理厂日处理3</w:t>
            </w:r>
            <w:r>
              <w:rPr>
                <w:rFonts w:hint="eastAsia" w:ascii="Times New Roman" w:hAnsi="Times New Roman" w:eastAsia="宋体" w:cs="宋体"/>
                <w:bCs/>
                <w:i w:val="0"/>
                <w:iCs w:val="0"/>
                <w:color w:val="auto"/>
                <w:sz w:val="24"/>
                <w:szCs w:val="21"/>
                <w:u w:val="none"/>
                <w:lang w:val="en-US" w:eastAsia="zh-CN"/>
              </w:rPr>
              <w:t>00吨/天</w:t>
            </w:r>
            <w:r>
              <w:rPr>
                <w:rFonts w:hint="eastAsia" w:cs="宋体"/>
                <w:bCs/>
                <w:i w:val="0"/>
                <w:iCs w:val="0"/>
                <w:color w:val="auto"/>
                <w:sz w:val="24"/>
                <w:szCs w:val="21"/>
                <w:u w:val="none"/>
                <w:lang w:val="en-US" w:eastAsia="zh-CN"/>
              </w:rPr>
              <w:t>，本项目日污水量仅为160</w:t>
            </w:r>
            <w:r>
              <w:rPr>
                <w:rFonts w:hint="eastAsia" w:ascii="Times New Roman" w:hAnsi="Times New Roman" w:eastAsia="宋体" w:cs="宋体"/>
                <w:bCs/>
                <w:i w:val="0"/>
                <w:iCs w:val="0"/>
                <w:color w:val="auto"/>
                <w:sz w:val="24"/>
                <w:szCs w:val="21"/>
                <w:u w:val="none"/>
                <w:lang w:val="en-US" w:eastAsia="zh-CN"/>
              </w:rPr>
              <w:t>吨/天</w:t>
            </w:r>
            <w:r>
              <w:rPr>
                <w:rFonts w:hint="eastAsia" w:cs="宋体"/>
                <w:bCs/>
                <w:i w:val="0"/>
                <w:iCs w:val="0"/>
                <w:color w:val="auto"/>
                <w:sz w:val="24"/>
                <w:szCs w:val="21"/>
                <w:u w:val="none"/>
                <w:lang w:val="en-US" w:eastAsia="zh-CN"/>
              </w:rPr>
              <w:t>，该污水处理厂可有效接纳本项目污水</w:t>
            </w:r>
            <w:r>
              <w:rPr>
                <w:rFonts w:hint="eastAsia" w:ascii="Times New Roman" w:hAnsi="Times New Roman" w:eastAsia="宋体" w:cs="宋体"/>
                <w:bCs/>
                <w:i w:val="0"/>
                <w:iCs w:val="0"/>
                <w:color w:val="auto"/>
                <w:sz w:val="24"/>
                <w:szCs w:val="21"/>
                <w:u w:val="none"/>
                <w:lang w:val="en-US" w:eastAsia="zh-CN"/>
              </w:rPr>
              <w:t>。因此，本项目废水纳入该污水处理厂处理是可行的。</w:t>
            </w:r>
          </w:p>
          <w:p>
            <w:pPr>
              <w:adjustRightInd w:val="0"/>
              <w:snapToGrid w:val="0"/>
              <w:spacing w:line="360" w:lineRule="auto"/>
              <w:ind w:firstLine="480" w:firstLineChars="200"/>
              <w:jc w:val="left"/>
              <w:rPr>
                <w:rFonts w:hint="eastAsia" w:ascii="Times New Roman" w:hAnsi="Times New Roman" w:eastAsia="宋体" w:cs="宋体"/>
                <w:bCs/>
                <w:i w:val="0"/>
                <w:iCs w:val="0"/>
                <w:color w:val="auto"/>
                <w:sz w:val="24"/>
                <w:szCs w:val="21"/>
                <w:u w:val="none"/>
                <w:lang w:val="en-US" w:eastAsia="zh-CN"/>
              </w:rPr>
            </w:pPr>
            <w:r>
              <w:rPr>
                <w:rFonts w:hint="eastAsia" w:ascii="Times New Roman" w:hAnsi="Times New Roman" w:eastAsia="宋体" w:cs="宋体"/>
                <w:bCs/>
                <w:i w:val="0"/>
                <w:iCs w:val="0"/>
                <w:color w:val="auto"/>
                <w:sz w:val="24"/>
                <w:szCs w:val="21"/>
                <w:u w:val="none"/>
                <w:lang w:val="en-US" w:eastAsia="zh-CN"/>
              </w:rPr>
              <w:t>综上所述，本项目废水处理措施是可行的。</w:t>
            </w:r>
          </w:p>
          <w:p>
            <w:pPr>
              <w:numPr>
                <w:ilvl w:val="0"/>
                <w:numId w:val="0"/>
              </w:numPr>
              <w:adjustRightInd w:val="0"/>
              <w:snapToGrid w:val="0"/>
              <w:spacing w:line="360" w:lineRule="auto"/>
              <w:jc w:val="left"/>
              <w:rPr>
                <w:rFonts w:hint="default" w:eastAsia="宋体" w:cs="宋体"/>
                <w:b/>
                <w:color w:val="auto"/>
                <w:spacing w:val="-10"/>
                <w:sz w:val="24"/>
                <w:szCs w:val="21"/>
                <w:lang w:val="en-US" w:eastAsia="zh-CN"/>
              </w:rPr>
            </w:pPr>
            <w:r>
              <w:rPr>
                <w:rFonts w:hint="eastAsia" w:cs="宋体"/>
                <w:b/>
                <w:color w:val="auto"/>
                <w:spacing w:val="-10"/>
                <w:sz w:val="24"/>
                <w:szCs w:val="21"/>
                <w:lang w:val="en-US" w:eastAsia="zh-CN"/>
              </w:rPr>
              <w:t>4、</w:t>
            </w:r>
            <w:r>
              <w:rPr>
                <w:rFonts w:hint="eastAsia" w:cs="宋体"/>
                <w:b/>
                <w:color w:val="auto"/>
                <w:spacing w:val="-10"/>
                <w:sz w:val="24"/>
                <w:szCs w:val="21"/>
              </w:rPr>
              <w:t>声环境</w:t>
            </w:r>
            <w:r>
              <w:rPr>
                <w:rFonts w:hint="eastAsia" w:cs="宋体"/>
                <w:b/>
                <w:color w:val="auto"/>
                <w:spacing w:val="-10"/>
                <w:sz w:val="24"/>
                <w:szCs w:val="21"/>
                <w:lang w:val="en-US" w:eastAsia="zh-CN"/>
              </w:rPr>
              <w:t>保护措施</w:t>
            </w:r>
          </w:p>
          <w:p>
            <w:pPr>
              <w:adjustRightInd w:val="0"/>
              <w:snapToGrid w:val="0"/>
              <w:spacing w:line="360" w:lineRule="auto"/>
              <w:ind w:firstLine="480" w:firstLineChars="200"/>
              <w:jc w:val="left"/>
              <w:rPr>
                <w:rFonts w:hint="default" w:ascii="Times New Roman" w:hAnsi="Times New Roman" w:eastAsia="宋体" w:cs="宋体"/>
                <w:bCs/>
                <w:i w:val="0"/>
                <w:iCs w:val="0"/>
                <w:color w:val="auto"/>
                <w:sz w:val="24"/>
                <w:szCs w:val="21"/>
                <w:u w:val="none"/>
                <w:lang w:val="en-US" w:eastAsia="zh-CN"/>
              </w:rPr>
            </w:pPr>
            <w:r>
              <w:rPr>
                <w:rFonts w:hint="default" w:ascii="Times New Roman" w:hAnsi="Times New Roman" w:eastAsia="宋体" w:cs="宋体"/>
                <w:bCs/>
                <w:i w:val="0"/>
                <w:iCs w:val="0"/>
                <w:color w:val="auto"/>
                <w:sz w:val="24"/>
                <w:szCs w:val="21"/>
                <w:u w:val="none"/>
                <w:lang w:val="en-US" w:eastAsia="zh-CN"/>
              </w:rPr>
              <w:t>（</w:t>
            </w:r>
            <w:r>
              <w:rPr>
                <w:rFonts w:hint="eastAsia" w:ascii="Times New Roman" w:hAnsi="Times New Roman" w:eastAsia="宋体" w:cs="宋体"/>
                <w:bCs/>
                <w:i w:val="0"/>
                <w:iCs w:val="0"/>
                <w:color w:val="auto"/>
                <w:sz w:val="24"/>
                <w:szCs w:val="21"/>
                <w:u w:val="none"/>
                <w:lang w:val="en-US" w:eastAsia="zh-CN"/>
              </w:rPr>
              <w:t>1</w:t>
            </w:r>
            <w:r>
              <w:rPr>
                <w:rFonts w:hint="default" w:ascii="Times New Roman" w:hAnsi="Times New Roman" w:eastAsia="宋体" w:cs="宋体"/>
                <w:bCs/>
                <w:i w:val="0"/>
                <w:iCs w:val="0"/>
                <w:color w:val="auto"/>
                <w:sz w:val="24"/>
                <w:szCs w:val="21"/>
                <w:u w:val="none"/>
                <w:lang w:val="en-US" w:eastAsia="zh-CN"/>
              </w:rPr>
              <w:t>）地面设备噪声</w:t>
            </w:r>
          </w:p>
          <w:p>
            <w:pPr>
              <w:adjustRightInd w:val="0"/>
              <w:snapToGrid w:val="0"/>
              <w:spacing w:line="360" w:lineRule="auto"/>
              <w:ind w:firstLine="480" w:firstLineChars="200"/>
              <w:jc w:val="left"/>
              <w:rPr>
                <w:rFonts w:hint="default" w:ascii="Times New Roman" w:hAnsi="Times New Roman" w:eastAsia="宋体" w:cs="宋体"/>
                <w:bCs/>
                <w:i w:val="0"/>
                <w:iCs w:val="0"/>
                <w:color w:val="auto"/>
                <w:sz w:val="24"/>
                <w:szCs w:val="21"/>
                <w:u w:val="none"/>
                <w:lang w:val="en-US" w:eastAsia="zh-CN"/>
              </w:rPr>
            </w:pPr>
            <w:r>
              <w:rPr>
                <w:rFonts w:hint="eastAsia" w:ascii="Times New Roman" w:hAnsi="Times New Roman" w:eastAsia="宋体" w:cs="宋体"/>
                <w:bCs/>
                <w:i w:val="0"/>
                <w:iCs w:val="0"/>
                <w:color w:val="auto"/>
                <w:sz w:val="24"/>
                <w:szCs w:val="21"/>
                <w:u w:val="none"/>
                <w:lang w:val="en-US" w:eastAsia="zh-CN"/>
              </w:rPr>
              <w:t>变配电室位于场地</w:t>
            </w:r>
            <w:r>
              <w:rPr>
                <w:rFonts w:hint="eastAsia" w:cs="宋体"/>
                <w:bCs/>
                <w:i w:val="0"/>
                <w:iCs w:val="0"/>
                <w:color w:val="auto"/>
                <w:sz w:val="24"/>
                <w:szCs w:val="21"/>
                <w:u w:val="none"/>
                <w:lang w:val="en-US" w:eastAsia="zh-CN"/>
              </w:rPr>
              <w:t>东南角</w:t>
            </w:r>
            <w:r>
              <w:rPr>
                <w:rFonts w:hint="eastAsia" w:ascii="Times New Roman" w:hAnsi="Times New Roman" w:eastAsia="宋体" w:cs="宋体"/>
                <w:bCs/>
                <w:i w:val="0"/>
                <w:iCs w:val="0"/>
                <w:color w:val="auto"/>
                <w:sz w:val="24"/>
                <w:szCs w:val="21"/>
                <w:u w:val="none"/>
                <w:lang w:val="en-US" w:eastAsia="zh-CN"/>
              </w:rPr>
              <w:t>，采用吸声、基础减震等措施，通过建筑物隔声后，对外界影响较小，不会影响到校区的正常运行。少量</w:t>
            </w:r>
            <w:r>
              <w:rPr>
                <w:rFonts w:hint="default" w:ascii="Times New Roman" w:hAnsi="Times New Roman" w:eastAsia="宋体" w:cs="宋体"/>
                <w:bCs/>
                <w:i w:val="0"/>
                <w:iCs w:val="0"/>
                <w:color w:val="auto"/>
                <w:sz w:val="24"/>
                <w:szCs w:val="21"/>
                <w:u w:val="none"/>
                <w:lang w:val="en-US" w:eastAsia="zh-CN"/>
              </w:rPr>
              <w:t>空调</w:t>
            </w:r>
            <w:r>
              <w:rPr>
                <w:rFonts w:hint="eastAsia" w:ascii="Times New Roman" w:hAnsi="Times New Roman" w:eastAsia="宋体" w:cs="宋体"/>
                <w:bCs/>
                <w:i w:val="0"/>
                <w:iCs w:val="0"/>
                <w:color w:val="auto"/>
                <w:sz w:val="24"/>
                <w:szCs w:val="21"/>
                <w:u w:val="none"/>
                <w:lang w:val="en-US" w:eastAsia="zh-CN"/>
              </w:rPr>
              <w:t>外机</w:t>
            </w:r>
            <w:r>
              <w:rPr>
                <w:rFonts w:hint="default" w:ascii="Times New Roman" w:hAnsi="Times New Roman" w:eastAsia="宋体" w:cs="宋体"/>
                <w:bCs/>
                <w:i w:val="0"/>
                <w:iCs w:val="0"/>
                <w:color w:val="auto"/>
                <w:sz w:val="24"/>
                <w:szCs w:val="21"/>
                <w:u w:val="none"/>
                <w:lang w:val="en-US" w:eastAsia="zh-CN"/>
              </w:rPr>
              <w:t>选用低噪声型号，并按设计位置布置，基础设减振垫；同时加强设备的日常检修和维护。</w:t>
            </w:r>
          </w:p>
          <w:p>
            <w:pPr>
              <w:adjustRightInd w:val="0"/>
              <w:snapToGrid w:val="0"/>
              <w:spacing w:line="360" w:lineRule="auto"/>
              <w:ind w:firstLine="480" w:firstLineChars="200"/>
              <w:jc w:val="left"/>
              <w:rPr>
                <w:rFonts w:hint="default" w:ascii="Times New Roman" w:hAnsi="Times New Roman" w:eastAsia="宋体" w:cs="宋体"/>
                <w:bCs/>
                <w:i w:val="0"/>
                <w:iCs w:val="0"/>
                <w:color w:val="auto"/>
                <w:sz w:val="24"/>
                <w:szCs w:val="21"/>
                <w:u w:val="none"/>
                <w:lang w:val="en-US" w:eastAsia="zh-CN"/>
              </w:rPr>
            </w:pPr>
            <w:r>
              <w:rPr>
                <w:rFonts w:hint="eastAsia" w:ascii="Times New Roman" w:hAnsi="Times New Roman" w:eastAsia="宋体" w:cs="宋体"/>
                <w:bCs/>
                <w:i w:val="0"/>
                <w:iCs w:val="0"/>
                <w:color w:val="auto"/>
                <w:sz w:val="24"/>
                <w:szCs w:val="21"/>
                <w:u w:val="none"/>
                <w:lang w:val="en-US" w:eastAsia="zh-CN"/>
              </w:rPr>
              <w:t>本项目电梯机组安装于每栋楼房顶楼位置，设置于密闭房间内。经墙壁隔声后噪声可大大降低。</w:t>
            </w:r>
          </w:p>
          <w:p>
            <w:pPr>
              <w:adjustRightInd w:val="0"/>
              <w:snapToGrid w:val="0"/>
              <w:spacing w:line="360" w:lineRule="auto"/>
              <w:ind w:firstLine="480" w:firstLineChars="200"/>
              <w:jc w:val="left"/>
              <w:rPr>
                <w:rFonts w:hint="default" w:ascii="Times New Roman" w:hAnsi="Times New Roman" w:eastAsia="宋体" w:cs="宋体"/>
                <w:bCs/>
                <w:i w:val="0"/>
                <w:iCs w:val="0"/>
                <w:color w:val="auto"/>
                <w:sz w:val="24"/>
                <w:szCs w:val="21"/>
                <w:u w:val="none"/>
                <w:lang w:val="en-US" w:eastAsia="zh-CN"/>
              </w:rPr>
            </w:pPr>
            <w:r>
              <w:rPr>
                <w:rFonts w:hint="default" w:ascii="Times New Roman" w:hAnsi="Times New Roman" w:eastAsia="宋体" w:cs="宋体"/>
                <w:bCs/>
                <w:i w:val="0"/>
                <w:iCs w:val="0"/>
                <w:color w:val="auto"/>
                <w:sz w:val="24"/>
                <w:szCs w:val="21"/>
                <w:u w:val="none"/>
                <w:lang w:val="en-US" w:eastAsia="zh-CN"/>
              </w:rPr>
              <w:t>（</w:t>
            </w:r>
            <w:r>
              <w:rPr>
                <w:rFonts w:hint="eastAsia" w:ascii="Times New Roman" w:hAnsi="Times New Roman" w:eastAsia="宋体" w:cs="宋体"/>
                <w:bCs/>
                <w:i w:val="0"/>
                <w:iCs w:val="0"/>
                <w:color w:val="auto"/>
                <w:sz w:val="24"/>
                <w:szCs w:val="21"/>
                <w:u w:val="none"/>
                <w:lang w:val="en-US" w:eastAsia="zh-CN"/>
              </w:rPr>
              <w:t>2</w:t>
            </w:r>
            <w:r>
              <w:rPr>
                <w:rFonts w:hint="default" w:ascii="Times New Roman" w:hAnsi="Times New Roman" w:eastAsia="宋体" w:cs="宋体"/>
                <w:bCs/>
                <w:i w:val="0"/>
                <w:iCs w:val="0"/>
                <w:color w:val="auto"/>
                <w:sz w:val="24"/>
                <w:szCs w:val="21"/>
                <w:u w:val="none"/>
                <w:lang w:val="en-US" w:eastAsia="zh-CN"/>
              </w:rPr>
              <w:t>）人群活动噪声</w:t>
            </w:r>
          </w:p>
          <w:p>
            <w:pPr>
              <w:adjustRightInd w:val="0"/>
              <w:snapToGrid w:val="0"/>
              <w:spacing w:line="360" w:lineRule="auto"/>
              <w:ind w:firstLine="480" w:firstLineChars="200"/>
              <w:jc w:val="left"/>
              <w:rPr>
                <w:rFonts w:hint="default" w:ascii="Times New Roman" w:hAnsi="Times New Roman" w:eastAsia="宋体" w:cs="宋体"/>
                <w:bCs/>
                <w:i w:val="0"/>
                <w:iCs w:val="0"/>
                <w:color w:val="auto"/>
                <w:sz w:val="24"/>
                <w:szCs w:val="21"/>
                <w:u w:val="none"/>
                <w:lang w:val="en-US" w:eastAsia="zh-CN"/>
              </w:rPr>
            </w:pPr>
            <w:r>
              <w:rPr>
                <w:rFonts w:hint="eastAsia" w:ascii="Times New Roman" w:hAnsi="Times New Roman" w:eastAsia="宋体" w:cs="宋体"/>
                <w:bCs/>
                <w:i w:val="0"/>
                <w:iCs w:val="0"/>
                <w:color w:val="auto"/>
                <w:sz w:val="24"/>
                <w:szCs w:val="21"/>
                <w:u w:val="none"/>
                <w:lang w:val="en-US" w:eastAsia="zh-CN"/>
              </w:rPr>
              <w:t>①车辆</w:t>
            </w:r>
            <w:r>
              <w:rPr>
                <w:rFonts w:hint="default" w:ascii="Times New Roman" w:hAnsi="Times New Roman" w:eastAsia="宋体" w:cs="宋体"/>
                <w:bCs/>
                <w:i w:val="0"/>
                <w:iCs w:val="0"/>
                <w:color w:val="auto"/>
                <w:sz w:val="24"/>
                <w:szCs w:val="21"/>
                <w:u w:val="none"/>
                <w:lang w:val="en-US" w:eastAsia="zh-CN"/>
              </w:rPr>
              <w:t>出入口设置禁鸣和限速标志，严格控制车辆出入时的车速</w:t>
            </w:r>
            <w:r>
              <w:rPr>
                <w:rFonts w:hint="eastAsia" w:ascii="Times New Roman" w:hAnsi="Times New Roman" w:eastAsia="宋体" w:cs="宋体"/>
                <w:bCs/>
                <w:i w:val="0"/>
                <w:iCs w:val="0"/>
                <w:color w:val="auto"/>
                <w:sz w:val="24"/>
                <w:szCs w:val="21"/>
                <w:u w:val="none"/>
                <w:lang w:val="en-US" w:eastAsia="zh-CN"/>
              </w:rPr>
              <w:t>以及数量，合理安排行车路线</w:t>
            </w:r>
            <w:r>
              <w:rPr>
                <w:rFonts w:hint="default" w:ascii="Times New Roman" w:hAnsi="Times New Roman" w:eastAsia="宋体" w:cs="宋体"/>
                <w:bCs/>
                <w:i w:val="0"/>
                <w:iCs w:val="0"/>
                <w:color w:val="auto"/>
                <w:sz w:val="24"/>
                <w:szCs w:val="21"/>
                <w:u w:val="none"/>
                <w:lang w:val="en-US" w:eastAsia="zh-CN"/>
              </w:rPr>
              <w:t>。</w:t>
            </w:r>
          </w:p>
          <w:p>
            <w:pPr>
              <w:adjustRightInd w:val="0"/>
              <w:snapToGrid w:val="0"/>
              <w:spacing w:line="360" w:lineRule="auto"/>
              <w:ind w:firstLine="480" w:firstLineChars="200"/>
              <w:jc w:val="left"/>
              <w:rPr>
                <w:rFonts w:hint="default" w:ascii="Times New Roman" w:hAnsi="Times New Roman" w:eastAsia="宋体" w:cs="宋体"/>
                <w:bCs/>
                <w:i w:val="0"/>
                <w:iCs w:val="0"/>
                <w:color w:val="auto"/>
                <w:sz w:val="24"/>
                <w:szCs w:val="21"/>
                <w:u w:val="none"/>
                <w:lang w:val="en-US" w:eastAsia="zh-CN"/>
              </w:rPr>
            </w:pPr>
            <w:r>
              <w:rPr>
                <w:rFonts w:hint="eastAsia" w:ascii="Times New Roman" w:hAnsi="Times New Roman" w:eastAsia="宋体" w:cs="宋体"/>
                <w:bCs/>
                <w:i w:val="0"/>
                <w:iCs w:val="0"/>
                <w:color w:val="auto"/>
                <w:sz w:val="24"/>
                <w:szCs w:val="21"/>
                <w:u w:val="none"/>
                <w:lang w:val="en-US" w:eastAsia="zh-CN"/>
              </w:rPr>
              <w:t>②</w:t>
            </w:r>
            <w:r>
              <w:rPr>
                <w:rFonts w:hint="default" w:ascii="Times New Roman" w:hAnsi="Times New Roman" w:eastAsia="宋体" w:cs="宋体"/>
                <w:bCs/>
                <w:i w:val="0"/>
                <w:iCs w:val="0"/>
                <w:color w:val="auto"/>
                <w:sz w:val="24"/>
                <w:szCs w:val="21"/>
                <w:u w:val="none"/>
                <w:lang w:val="en-US" w:eastAsia="zh-CN"/>
              </w:rPr>
              <w:t>并应注意合理布局</w:t>
            </w:r>
            <w:r>
              <w:rPr>
                <w:rFonts w:hint="eastAsia" w:ascii="Times New Roman" w:hAnsi="Times New Roman" w:eastAsia="宋体" w:cs="宋体"/>
                <w:bCs/>
                <w:i w:val="0"/>
                <w:iCs w:val="0"/>
                <w:color w:val="auto"/>
                <w:sz w:val="24"/>
                <w:szCs w:val="21"/>
                <w:u w:val="none"/>
                <w:lang w:val="en-US" w:eastAsia="zh-CN"/>
              </w:rPr>
              <w:t>，将主出入口以及大型休闲场地布置在离周边居民较远的南部位置</w:t>
            </w:r>
            <w:r>
              <w:rPr>
                <w:rFonts w:hint="default" w:ascii="Times New Roman" w:hAnsi="Times New Roman" w:eastAsia="宋体" w:cs="宋体"/>
                <w:bCs/>
                <w:i w:val="0"/>
                <w:iCs w:val="0"/>
                <w:color w:val="auto"/>
                <w:sz w:val="24"/>
                <w:szCs w:val="21"/>
                <w:u w:val="none"/>
                <w:lang w:val="en-US" w:eastAsia="zh-CN"/>
              </w:rPr>
              <w:t>。</w:t>
            </w:r>
          </w:p>
          <w:p>
            <w:pPr>
              <w:adjustRightInd w:val="0"/>
              <w:snapToGrid w:val="0"/>
              <w:spacing w:line="360" w:lineRule="auto"/>
              <w:ind w:firstLine="480" w:firstLineChars="200"/>
              <w:jc w:val="left"/>
              <w:rPr>
                <w:rFonts w:hint="default" w:ascii="Times New Roman" w:hAnsi="Times New Roman" w:eastAsia="宋体" w:cs="Times New Roman"/>
                <w:color w:val="auto"/>
                <w:sz w:val="24"/>
              </w:rPr>
            </w:pPr>
            <w:r>
              <w:rPr>
                <w:rFonts w:hint="eastAsia" w:ascii="Times New Roman" w:hAnsi="Times New Roman" w:eastAsia="宋体" w:cs="宋体"/>
                <w:bCs/>
                <w:i w:val="0"/>
                <w:iCs w:val="0"/>
                <w:color w:val="auto"/>
                <w:sz w:val="24"/>
                <w:szCs w:val="21"/>
                <w:u w:val="none"/>
                <w:lang w:val="en-US" w:eastAsia="zh-CN"/>
              </w:rPr>
              <w:t>③</w:t>
            </w:r>
            <w:r>
              <w:rPr>
                <w:rFonts w:hint="default" w:ascii="Times New Roman" w:hAnsi="Times New Roman" w:eastAsia="宋体" w:cs="宋体"/>
                <w:bCs/>
                <w:i w:val="0"/>
                <w:iCs w:val="0"/>
                <w:color w:val="auto"/>
                <w:sz w:val="24"/>
                <w:szCs w:val="21"/>
                <w:u w:val="none"/>
                <w:lang w:val="en-US" w:eastAsia="zh-CN"/>
              </w:rPr>
              <w:t>应少用或不用高音喇叭，</w:t>
            </w:r>
            <w:r>
              <w:rPr>
                <w:rFonts w:hint="eastAsia" w:ascii="Times New Roman" w:hAnsi="Times New Roman" w:eastAsia="宋体" w:cs="宋体"/>
                <w:bCs/>
                <w:i w:val="0"/>
                <w:iCs w:val="0"/>
                <w:color w:val="auto"/>
                <w:sz w:val="24"/>
                <w:szCs w:val="21"/>
                <w:u w:val="none"/>
                <w:lang w:val="en-US" w:eastAsia="zh-CN"/>
              </w:rPr>
              <w:t>娱乐</w:t>
            </w:r>
            <w:r>
              <w:rPr>
                <w:rFonts w:hint="default" w:ascii="Times New Roman" w:hAnsi="Times New Roman" w:eastAsia="宋体" w:cs="宋体"/>
                <w:bCs/>
                <w:i w:val="0"/>
                <w:iCs w:val="0"/>
                <w:color w:val="auto"/>
                <w:sz w:val="24"/>
                <w:szCs w:val="21"/>
                <w:u w:val="none"/>
                <w:lang w:val="en-US" w:eastAsia="zh-CN"/>
              </w:rPr>
              <w:t>必需可采取多个低音喇叭布局</w:t>
            </w:r>
            <w:r>
              <w:rPr>
                <w:rFonts w:hint="default" w:ascii="Times New Roman" w:hAnsi="Times New Roman" w:eastAsia="宋体" w:cs="Times New Roman"/>
                <w:color w:val="auto"/>
                <w:sz w:val="24"/>
              </w:rPr>
              <w:t>。</w:t>
            </w:r>
          </w:p>
          <w:p>
            <w:pPr>
              <w:adjustRightInd w:val="0"/>
              <w:snapToGrid w:val="0"/>
              <w:jc w:val="center"/>
              <w:rPr>
                <w:rFonts w:hint="default" w:ascii="Times New Roman" w:hAnsi="Times New Roman" w:eastAsia="宋体" w:cs="Times New Roman"/>
                <w:b/>
                <w:color w:val="auto"/>
                <w:sz w:val="24"/>
                <w:szCs w:val="21"/>
                <w:lang w:val="en-US" w:eastAsia="zh-CN"/>
              </w:rPr>
            </w:pPr>
            <w:r>
              <w:rPr>
                <w:rFonts w:hint="default" w:ascii="Times New Roman" w:hAnsi="Times New Roman" w:eastAsia="宋体" w:cs="Times New Roman"/>
                <w:b/>
                <w:color w:val="auto"/>
                <w:sz w:val="24"/>
                <w:szCs w:val="21"/>
                <w:lang w:val="en-US" w:eastAsia="zh-CN"/>
              </w:rPr>
              <w:t>表</w:t>
            </w:r>
            <w:r>
              <w:rPr>
                <w:rFonts w:hint="eastAsia" w:ascii="Times New Roman" w:hAnsi="Times New Roman" w:eastAsia="宋体" w:cs="Times New Roman"/>
                <w:b/>
                <w:color w:val="auto"/>
                <w:sz w:val="24"/>
                <w:szCs w:val="21"/>
                <w:lang w:val="en-US" w:eastAsia="zh-CN"/>
              </w:rPr>
              <w:t>5-1</w:t>
            </w:r>
            <w:r>
              <w:rPr>
                <w:rFonts w:hint="default" w:ascii="Times New Roman" w:hAnsi="Times New Roman" w:eastAsia="宋体" w:cs="Times New Roman"/>
                <w:b/>
                <w:color w:val="auto"/>
                <w:sz w:val="24"/>
                <w:szCs w:val="21"/>
                <w:lang w:val="en-US" w:eastAsia="zh-CN"/>
              </w:rPr>
              <w:t xml:space="preserve">  </w:t>
            </w:r>
            <w:r>
              <w:rPr>
                <w:rFonts w:hint="eastAsia" w:ascii="Times New Roman" w:hAnsi="Times New Roman" w:eastAsia="宋体" w:cs="Times New Roman"/>
                <w:b/>
                <w:color w:val="auto"/>
                <w:sz w:val="24"/>
                <w:szCs w:val="21"/>
                <w:lang w:val="en-US" w:eastAsia="zh-CN"/>
              </w:rPr>
              <w:t>噪声防治措施一览表</w:t>
            </w:r>
          </w:p>
          <w:tbl>
            <w:tblPr>
              <w:tblStyle w:val="22"/>
              <w:tblW w:w="793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011"/>
              <w:gridCol w:w="1644"/>
              <w:gridCol w:w="2142"/>
              <w:gridCol w:w="214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011" w:type="dxa"/>
                  <w:tcBorders>
                    <w:tl2br w:val="nil"/>
                    <w:tr2bl w:val="nil"/>
                  </w:tcBorders>
                  <w:noWrap w:val="0"/>
                  <w:vAlign w:val="center"/>
                </w:tcPr>
                <w:p>
                  <w:pPr>
                    <w:jc w:val="center"/>
                    <w:rPr>
                      <w:rFonts w:hint="eastAsia" w:ascii="Times New Roman" w:hAnsi="Times New Roman" w:eastAsia="宋体" w:cs="Times New Roman"/>
                      <w:b/>
                      <w:bCs/>
                      <w:color w:val="auto"/>
                      <w:szCs w:val="21"/>
                      <w:lang w:eastAsia="zh-CN"/>
                    </w:rPr>
                  </w:pPr>
                  <w:r>
                    <w:rPr>
                      <w:rFonts w:hint="eastAsia" w:ascii="Times New Roman" w:hAnsi="Times New Roman" w:eastAsia="宋体" w:cs="Times New Roman"/>
                      <w:b/>
                      <w:bCs/>
                      <w:color w:val="auto"/>
                      <w:szCs w:val="21"/>
                      <w:lang w:eastAsia="zh-CN"/>
                    </w:rPr>
                    <w:t>噪声源名称</w:t>
                  </w:r>
                </w:p>
              </w:tc>
              <w:tc>
                <w:tcPr>
                  <w:tcW w:w="1644" w:type="dxa"/>
                  <w:tcBorders>
                    <w:tl2br w:val="nil"/>
                    <w:tr2bl w:val="nil"/>
                  </w:tcBorders>
                  <w:noWrap w:val="0"/>
                  <w:vAlign w:val="center"/>
                </w:tcPr>
                <w:p>
                  <w:pPr>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源强值</w:t>
                  </w:r>
                </w:p>
              </w:tc>
              <w:tc>
                <w:tcPr>
                  <w:tcW w:w="2142" w:type="dxa"/>
                  <w:tcBorders>
                    <w:tl2br w:val="nil"/>
                    <w:tr2bl w:val="nil"/>
                  </w:tcBorders>
                  <w:noWrap w:val="0"/>
                  <w:vAlign w:val="center"/>
                </w:tcPr>
                <w:p>
                  <w:pPr>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备注</w:t>
                  </w:r>
                </w:p>
              </w:tc>
              <w:tc>
                <w:tcPr>
                  <w:tcW w:w="2140" w:type="dxa"/>
                  <w:tcBorders>
                    <w:tl2br w:val="nil"/>
                    <w:tr2bl w:val="nil"/>
                  </w:tcBorders>
                  <w:noWrap w:val="0"/>
                  <w:vAlign w:val="center"/>
                </w:tcPr>
                <w:p>
                  <w:pPr>
                    <w:jc w:val="center"/>
                    <w:rPr>
                      <w:rFonts w:hint="eastAsia" w:ascii="Times New Roman" w:hAnsi="Times New Roman" w:eastAsia="宋体" w:cs="Times New Roman"/>
                      <w:b/>
                      <w:bCs/>
                      <w:color w:val="auto"/>
                      <w:szCs w:val="21"/>
                      <w:lang w:eastAsia="zh-CN"/>
                    </w:rPr>
                  </w:pPr>
                  <w:r>
                    <w:rPr>
                      <w:rFonts w:hint="eastAsia" w:ascii="Times New Roman" w:hAnsi="Times New Roman" w:eastAsia="宋体" w:cs="Times New Roman"/>
                      <w:b/>
                      <w:bCs/>
                      <w:color w:val="auto"/>
                      <w:szCs w:val="21"/>
                      <w:lang w:eastAsia="zh-CN"/>
                    </w:rPr>
                    <w:t>处理后噪声值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011" w:type="dxa"/>
                  <w:vMerge w:val="restart"/>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小型汽车行驶</w:t>
                  </w:r>
                </w:p>
              </w:tc>
              <w:tc>
                <w:tcPr>
                  <w:tcW w:w="1644"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怠速50～60</w:t>
                  </w:r>
                </w:p>
              </w:tc>
              <w:tc>
                <w:tcPr>
                  <w:tcW w:w="2142" w:type="dxa"/>
                  <w:vMerge w:val="restart"/>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cs="Times New Roman"/>
                      <w:color w:val="auto"/>
                      <w:szCs w:val="21"/>
                    </w:rPr>
                    <w:t>采取禁鸣喇叭、控制进入车辆数量、控制行车路线</w:t>
                  </w:r>
                </w:p>
              </w:tc>
              <w:tc>
                <w:tcPr>
                  <w:tcW w:w="2140" w:type="dxa"/>
                  <w:tcBorders>
                    <w:tl2br w:val="nil"/>
                    <w:tr2bl w:val="nil"/>
                  </w:tcBorders>
                  <w:noWrap w:val="0"/>
                  <w:vAlign w:val="center"/>
                </w:tcPr>
                <w:p>
                  <w:pPr>
                    <w:spacing w:line="240" w:lineRule="atLeast"/>
                    <w:jc w:val="center"/>
                    <w:rPr>
                      <w:rFonts w:hint="eastAsia" w:ascii="Times New Roman" w:hAnsi="Times New Roman" w:eastAsia="等线" w:cs="Times New Roman"/>
                      <w:color w:val="auto"/>
                      <w:szCs w:val="21"/>
                      <w:lang w:val="en-US" w:eastAsia="zh-CN"/>
                    </w:rPr>
                  </w:pPr>
                  <w:r>
                    <w:rPr>
                      <w:rFonts w:hint="default" w:ascii="Times New Roman" w:hAnsi="Times New Roman" w:cs="Times New Roman"/>
                      <w:color w:val="auto"/>
                      <w:szCs w:val="21"/>
                    </w:rPr>
                    <w:t>＜</w:t>
                  </w:r>
                  <w:r>
                    <w:rPr>
                      <w:rFonts w:hint="eastAsia" w:ascii="Times New Roman" w:hAnsi="Times New Roman" w:cs="Times New Roman"/>
                      <w:color w:val="auto"/>
                      <w:szCs w:val="21"/>
                      <w:lang w:val="en-US" w:eastAsia="zh-CN"/>
                    </w:rPr>
                    <w:t>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011" w:type="dxa"/>
                  <w:vMerge w:val="continue"/>
                  <w:tcBorders>
                    <w:tl2br w:val="nil"/>
                    <w:tr2bl w:val="nil"/>
                  </w:tcBorders>
                  <w:noWrap w:val="0"/>
                  <w:vAlign w:val="center"/>
                </w:tcPr>
                <w:p>
                  <w:pPr>
                    <w:jc w:val="center"/>
                    <w:rPr>
                      <w:rFonts w:hint="default" w:ascii="Times New Roman" w:hAnsi="Times New Roman" w:eastAsia="宋体" w:cs="Times New Roman"/>
                      <w:color w:val="auto"/>
                      <w:szCs w:val="21"/>
                    </w:rPr>
                  </w:pPr>
                </w:p>
              </w:tc>
              <w:tc>
                <w:tcPr>
                  <w:tcW w:w="1644"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正常60～70</w:t>
                  </w:r>
                </w:p>
              </w:tc>
              <w:tc>
                <w:tcPr>
                  <w:tcW w:w="2142" w:type="dxa"/>
                  <w:vMerge w:val="continue"/>
                  <w:tcBorders>
                    <w:tl2br w:val="nil"/>
                    <w:tr2bl w:val="nil"/>
                  </w:tcBorders>
                  <w:noWrap w:val="0"/>
                  <w:vAlign w:val="center"/>
                </w:tcPr>
                <w:p>
                  <w:pPr>
                    <w:jc w:val="center"/>
                    <w:rPr>
                      <w:rFonts w:hint="default" w:ascii="Times New Roman" w:hAnsi="Times New Roman" w:eastAsia="宋体" w:cs="Times New Roman"/>
                      <w:color w:val="auto"/>
                      <w:szCs w:val="21"/>
                    </w:rPr>
                  </w:pPr>
                </w:p>
              </w:tc>
              <w:tc>
                <w:tcPr>
                  <w:tcW w:w="2140" w:type="dxa"/>
                  <w:tcBorders>
                    <w:tl2br w:val="nil"/>
                    <w:tr2bl w:val="nil"/>
                  </w:tcBorders>
                  <w:noWrap w:val="0"/>
                  <w:vAlign w:val="center"/>
                </w:tcPr>
                <w:p>
                  <w:pPr>
                    <w:spacing w:line="240" w:lineRule="atLeast"/>
                    <w:jc w:val="center"/>
                    <w:rPr>
                      <w:rFonts w:hint="eastAsia" w:ascii="Times New Roman" w:hAnsi="Times New Roman" w:eastAsia="等线" w:cs="Times New Roman"/>
                      <w:color w:val="auto"/>
                      <w:szCs w:val="21"/>
                      <w:lang w:val="en-US" w:eastAsia="zh-CN"/>
                    </w:rPr>
                  </w:pPr>
                  <w:r>
                    <w:rPr>
                      <w:rFonts w:hint="default" w:ascii="Times New Roman" w:hAnsi="Times New Roman" w:cs="Times New Roman"/>
                      <w:color w:val="auto"/>
                      <w:szCs w:val="21"/>
                    </w:rPr>
                    <w:t>＜</w:t>
                  </w:r>
                  <w:r>
                    <w:rPr>
                      <w:rFonts w:hint="eastAsia" w:ascii="Times New Roman" w:hAnsi="Times New Roman" w:cs="Times New Roman"/>
                      <w:color w:val="auto"/>
                      <w:szCs w:val="21"/>
                      <w:lang w:val="en-US" w:eastAsia="zh-CN"/>
                    </w:rPr>
                    <w:t>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011" w:type="dxa"/>
                  <w:vMerge w:val="continue"/>
                  <w:tcBorders>
                    <w:tl2br w:val="nil"/>
                    <w:tr2bl w:val="nil"/>
                  </w:tcBorders>
                  <w:noWrap w:val="0"/>
                  <w:vAlign w:val="center"/>
                </w:tcPr>
                <w:p>
                  <w:pPr>
                    <w:jc w:val="center"/>
                    <w:rPr>
                      <w:rFonts w:hint="default" w:ascii="Times New Roman" w:hAnsi="Times New Roman" w:eastAsia="宋体" w:cs="Times New Roman"/>
                      <w:color w:val="auto"/>
                      <w:szCs w:val="21"/>
                    </w:rPr>
                  </w:pPr>
                </w:p>
              </w:tc>
              <w:tc>
                <w:tcPr>
                  <w:tcW w:w="1644"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highlight w:val="none"/>
                    </w:rPr>
                    <w:t>鸣笛</w:t>
                  </w:r>
                  <w:r>
                    <w:rPr>
                      <w:rFonts w:hint="default" w:ascii="Times New Roman" w:hAnsi="Times New Roman" w:eastAsia="宋体" w:cs="Times New Roman"/>
                      <w:color w:val="auto"/>
                      <w:szCs w:val="21"/>
                    </w:rPr>
                    <w:t>70～75</w:t>
                  </w:r>
                </w:p>
              </w:tc>
              <w:tc>
                <w:tcPr>
                  <w:tcW w:w="2142" w:type="dxa"/>
                  <w:vMerge w:val="continue"/>
                  <w:tcBorders>
                    <w:tl2br w:val="nil"/>
                    <w:tr2bl w:val="nil"/>
                  </w:tcBorders>
                  <w:noWrap w:val="0"/>
                  <w:vAlign w:val="center"/>
                </w:tcPr>
                <w:p>
                  <w:pPr>
                    <w:jc w:val="center"/>
                    <w:rPr>
                      <w:rFonts w:hint="default" w:ascii="Times New Roman" w:hAnsi="Times New Roman" w:eastAsia="宋体" w:cs="Times New Roman"/>
                      <w:color w:val="auto"/>
                      <w:szCs w:val="21"/>
                    </w:rPr>
                  </w:pPr>
                </w:p>
              </w:tc>
              <w:tc>
                <w:tcPr>
                  <w:tcW w:w="2140" w:type="dxa"/>
                  <w:tcBorders>
                    <w:tl2br w:val="nil"/>
                    <w:tr2bl w:val="nil"/>
                  </w:tcBorders>
                  <w:noWrap w:val="0"/>
                  <w:vAlign w:val="center"/>
                </w:tcPr>
                <w:p>
                  <w:pPr>
                    <w:spacing w:line="240" w:lineRule="atLeast"/>
                    <w:jc w:val="center"/>
                    <w:rPr>
                      <w:rFonts w:hint="eastAsia" w:ascii="Times New Roman" w:hAnsi="Times New Roman" w:eastAsia="等线" w:cs="Times New Roman"/>
                      <w:color w:val="auto"/>
                      <w:szCs w:val="21"/>
                      <w:lang w:val="en-US" w:eastAsia="zh-CN"/>
                    </w:rPr>
                  </w:pPr>
                  <w:r>
                    <w:rPr>
                      <w:rFonts w:hint="default" w:ascii="Times New Roman" w:hAnsi="Times New Roman" w:cs="Times New Roman"/>
                      <w:color w:val="auto"/>
                      <w:szCs w:val="21"/>
                    </w:rPr>
                    <w:t>＜</w:t>
                  </w:r>
                  <w:r>
                    <w:rPr>
                      <w:rFonts w:hint="eastAsia" w:ascii="Times New Roman" w:hAnsi="Times New Roman" w:cs="Times New Roman"/>
                      <w:color w:val="auto"/>
                      <w:szCs w:val="21"/>
                      <w:lang w:val="en-US" w:eastAsia="zh-CN"/>
                    </w:rPr>
                    <w:t>55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011"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配电房</w:t>
                  </w:r>
                </w:p>
              </w:tc>
              <w:tc>
                <w:tcPr>
                  <w:tcW w:w="1644"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70～80</w:t>
                  </w:r>
                </w:p>
              </w:tc>
              <w:tc>
                <w:tcPr>
                  <w:tcW w:w="2142" w:type="dxa"/>
                  <w:vMerge w:val="restart"/>
                  <w:tcBorders>
                    <w:tl2br w:val="nil"/>
                    <w:tr2bl w:val="nil"/>
                  </w:tcBorders>
                  <w:noWrap w:val="0"/>
                  <w:vAlign w:val="center"/>
                </w:tcPr>
                <w:p>
                  <w:pPr>
                    <w:spacing w:line="240" w:lineRule="atLeast"/>
                    <w:jc w:val="center"/>
                    <w:rPr>
                      <w:rFonts w:hint="eastAsia" w:ascii="Times New Roman" w:hAnsi="Times New Roman" w:eastAsia="等线" w:cs="Times New Roman"/>
                      <w:color w:val="auto"/>
                      <w:szCs w:val="21"/>
                      <w:lang w:eastAsia="zh-CN"/>
                    </w:rPr>
                  </w:pPr>
                  <w:r>
                    <w:rPr>
                      <w:rFonts w:hint="default" w:ascii="Times New Roman" w:hAnsi="Times New Roman" w:cs="Times New Roman"/>
                      <w:color w:val="auto"/>
                      <w:szCs w:val="21"/>
                    </w:rPr>
                    <w:t>隔声、减振、消声措施，选用低噪声设备</w:t>
                  </w:r>
                  <w:r>
                    <w:rPr>
                      <w:rFonts w:hint="eastAsia" w:ascii="Times New Roman" w:hAnsi="Times New Roman" w:cs="Times New Roman"/>
                      <w:color w:val="auto"/>
                      <w:szCs w:val="21"/>
                      <w:lang w:eastAsia="zh-CN"/>
                    </w:rPr>
                    <w:t>、尽量室内安放</w:t>
                  </w:r>
                </w:p>
              </w:tc>
              <w:tc>
                <w:tcPr>
                  <w:tcW w:w="2140" w:type="dxa"/>
                  <w:tcBorders>
                    <w:tl2br w:val="nil"/>
                    <w:tr2bl w:val="nil"/>
                  </w:tcBorders>
                  <w:noWrap w:val="0"/>
                  <w:vAlign w:val="center"/>
                </w:tcPr>
                <w:p>
                  <w:pPr>
                    <w:spacing w:line="240" w:lineRule="atLeast"/>
                    <w:jc w:val="center"/>
                    <w:rPr>
                      <w:rFonts w:hint="eastAsia" w:ascii="Times New Roman" w:hAnsi="Times New Roman" w:eastAsia="等线" w:cs="Times New Roman"/>
                      <w:color w:val="auto"/>
                      <w:szCs w:val="21"/>
                      <w:lang w:val="en-US" w:eastAsia="zh-CN"/>
                    </w:rPr>
                  </w:pPr>
                  <w:r>
                    <w:rPr>
                      <w:rFonts w:hint="default" w:ascii="Times New Roman" w:hAnsi="Times New Roman" w:cs="Times New Roman"/>
                      <w:color w:val="auto"/>
                      <w:szCs w:val="21"/>
                    </w:rPr>
                    <w:t>＜</w:t>
                  </w:r>
                  <w:r>
                    <w:rPr>
                      <w:rFonts w:hint="eastAsia" w:ascii="Times New Roman" w:hAnsi="Times New Roman" w:cs="Times New Roman"/>
                      <w:color w:val="auto"/>
                      <w:szCs w:val="21"/>
                      <w:lang w:val="en-US" w:eastAsia="zh-CN"/>
                    </w:rPr>
                    <w:t>55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011" w:type="dxa"/>
                  <w:tcBorders>
                    <w:tl2br w:val="nil"/>
                    <w:tr2bl w:val="nil"/>
                  </w:tcBorders>
                  <w:noWrap w:val="0"/>
                  <w:vAlign w:val="center"/>
                </w:tcPr>
                <w:p>
                  <w:pPr>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电梯机组</w:t>
                  </w:r>
                </w:p>
              </w:tc>
              <w:tc>
                <w:tcPr>
                  <w:tcW w:w="1644"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75～80</w:t>
                  </w:r>
                </w:p>
              </w:tc>
              <w:tc>
                <w:tcPr>
                  <w:tcW w:w="2142" w:type="dxa"/>
                  <w:vMerge w:val="continue"/>
                  <w:tcBorders>
                    <w:tl2br w:val="nil"/>
                    <w:tr2bl w:val="nil"/>
                  </w:tcBorders>
                  <w:noWrap w:val="0"/>
                  <w:vAlign w:val="center"/>
                </w:tcPr>
                <w:p>
                  <w:pPr>
                    <w:jc w:val="center"/>
                    <w:rPr>
                      <w:rFonts w:hint="default" w:ascii="Times New Roman" w:hAnsi="Times New Roman" w:eastAsia="宋体" w:cs="Times New Roman"/>
                      <w:color w:val="auto"/>
                      <w:szCs w:val="21"/>
                    </w:rPr>
                  </w:pPr>
                </w:p>
              </w:tc>
              <w:tc>
                <w:tcPr>
                  <w:tcW w:w="2140"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cs="Times New Roman"/>
                      <w:color w:val="auto"/>
                      <w:szCs w:val="21"/>
                    </w:rPr>
                    <w:t>＜60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011"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社会噪声</w:t>
                  </w:r>
                </w:p>
              </w:tc>
              <w:tc>
                <w:tcPr>
                  <w:tcW w:w="1644"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85~97</w:t>
                  </w:r>
                </w:p>
              </w:tc>
              <w:tc>
                <w:tcPr>
                  <w:tcW w:w="2142" w:type="dxa"/>
                  <w:vMerge w:val="continue"/>
                  <w:tcBorders>
                    <w:tl2br w:val="nil"/>
                    <w:tr2bl w:val="nil"/>
                  </w:tcBorders>
                  <w:noWrap w:val="0"/>
                  <w:vAlign w:val="center"/>
                </w:tcPr>
                <w:p>
                  <w:pPr>
                    <w:jc w:val="center"/>
                    <w:rPr>
                      <w:rFonts w:hint="default" w:ascii="Times New Roman" w:hAnsi="Times New Roman" w:eastAsia="宋体" w:cs="Times New Roman"/>
                      <w:color w:val="auto"/>
                      <w:szCs w:val="21"/>
                    </w:rPr>
                  </w:pPr>
                </w:p>
              </w:tc>
              <w:tc>
                <w:tcPr>
                  <w:tcW w:w="2140" w:type="dxa"/>
                  <w:tcBorders>
                    <w:tl2br w:val="nil"/>
                    <w:tr2bl w:val="nil"/>
                  </w:tcBorders>
                  <w:noWrap w:val="0"/>
                  <w:vAlign w:val="center"/>
                </w:tcPr>
                <w:p>
                  <w:pPr>
                    <w:spacing w:line="240" w:lineRule="atLeast"/>
                    <w:jc w:val="center"/>
                    <w:rPr>
                      <w:rFonts w:hint="default" w:ascii="Times New Roman" w:hAnsi="Times New Roman" w:eastAsia="宋体" w:cs="Times New Roman"/>
                      <w:color w:val="auto"/>
                      <w:szCs w:val="21"/>
                    </w:rPr>
                  </w:pPr>
                  <w:r>
                    <w:rPr>
                      <w:rFonts w:hint="default" w:ascii="Times New Roman" w:hAnsi="Times New Roman" w:cs="Times New Roman"/>
                      <w:color w:val="auto"/>
                      <w:szCs w:val="21"/>
                    </w:rPr>
                    <w:t>＜60</w:t>
                  </w: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line="360" w:lineRule="auto"/>
              <w:jc w:val="left"/>
              <w:textAlignment w:val="auto"/>
              <w:rPr>
                <w:rFonts w:cs="宋体"/>
                <w:b/>
                <w:color w:val="auto"/>
                <w:spacing w:val="-10"/>
                <w:sz w:val="24"/>
                <w:szCs w:val="21"/>
              </w:rPr>
            </w:pPr>
            <w:r>
              <w:rPr>
                <w:rFonts w:hint="eastAsia" w:cs="宋体"/>
                <w:b/>
                <w:color w:val="auto"/>
                <w:spacing w:val="-10"/>
                <w:sz w:val="24"/>
                <w:szCs w:val="21"/>
                <w:lang w:val="en-US" w:eastAsia="zh-CN"/>
              </w:rPr>
              <w:t>5、</w:t>
            </w:r>
            <w:r>
              <w:rPr>
                <w:rFonts w:hint="eastAsia" w:cs="宋体"/>
                <w:b/>
                <w:color w:val="auto"/>
                <w:spacing w:val="-10"/>
                <w:sz w:val="24"/>
                <w:szCs w:val="21"/>
              </w:rPr>
              <w:t>固体废弃物环境影响分析</w:t>
            </w:r>
          </w:p>
          <w:p>
            <w:pPr>
              <w:pStyle w:val="18"/>
              <w:widowControl w:val="0"/>
              <w:adjustRightInd w:val="0"/>
              <w:snapToGrid w:val="0"/>
              <w:spacing w:before="0" w:beforeAutospacing="0" w:after="0" w:afterAutospacing="0" w:line="360" w:lineRule="auto"/>
              <w:ind w:firstLine="480" w:firstLineChars="200"/>
              <w:jc w:val="left"/>
              <w:rPr>
                <w:rFonts w:hint="default" w:ascii="Times New Roman" w:hAnsi="Times New Roman" w:eastAsia="宋体" w:cs="Times New Roman"/>
                <w:color w:val="auto"/>
              </w:rPr>
            </w:pPr>
            <w:r>
              <w:rPr>
                <w:rFonts w:hint="default" w:ascii="Times New Roman" w:hAnsi="Times New Roman" w:eastAsia="宋体" w:cs="Times New Roman"/>
                <w:color w:val="auto"/>
              </w:rPr>
              <w:t>生活垃圾由校内垃圾桶收集，由校内环卫人员送至垃圾站压缩处理，</w:t>
            </w:r>
            <w:r>
              <w:rPr>
                <w:rFonts w:hint="eastAsia" w:ascii="Times New Roman" w:hAnsi="Times New Roman" w:eastAsia="宋体" w:cs="Times New Roman"/>
                <w:color w:val="auto"/>
                <w:lang w:eastAsia="zh-CN"/>
              </w:rPr>
              <w:t>之后</w:t>
            </w:r>
            <w:r>
              <w:rPr>
                <w:rFonts w:hint="default" w:ascii="Times New Roman" w:hAnsi="Times New Roman" w:eastAsia="宋体" w:cs="Times New Roman"/>
                <w:color w:val="auto"/>
              </w:rPr>
              <w:t>由环卫部门统一收集外运处理。</w:t>
            </w:r>
          </w:p>
          <w:p>
            <w:pPr>
              <w:numPr>
                <w:ilvl w:val="0"/>
                <w:numId w:val="0"/>
              </w:numPr>
              <w:adjustRightInd w:val="0"/>
              <w:snapToGrid w:val="0"/>
              <w:spacing w:line="360" w:lineRule="auto"/>
              <w:jc w:val="left"/>
              <w:rPr>
                <w:rFonts w:cs="宋体"/>
                <w:b/>
                <w:color w:val="auto"/>
                <w:spacing w:val="-10"/>
                <w:sz w:val="24"/>
                <w:szCs w:val="21"/>
              </w:rPr>
            </w:pPr>
            <w:r>
              <w:rPr>
                <w:rFonts w:hint="eastAsia" w:cs="宋体"/>
                <w:b/>
                <w:color w:val="auto"/>
                <w:spacing w:val="-10"/>
                <w:sz w:val="24"/>
                <w:szCs w:val="21"/>
                <w:lang w:val="en-US" w:eastAsia="zh-CN"/>
              </w:rPr>
              <w:t>6、</w:t>
            </w:r>
            <w:r>
              <w:rPr>
                <w:rFonts w:hint="eastAsia" w:cs="宋体"/>
                <w:b/>
                <w:color w:val="auto"/>
                <w:spacing w:val="-10"/>
                <w:sz w:val="24"/>
                <w:szCs w:val="21"/>
              </w:rPr>
              <w:t>环境风险</w:t>
            </w:r>
          </w:p>
          <w:p>
            <w:pPr>
              <w:pStyle w:val="53"/>
              <w:adjustRightInd w:val="0"/>
              <w:snapToGrid w:val="0"/>
              <w:spacing w:line="360" w:lineRule="auto"/>
              <w:ind w:firstLine="482"/>
              <w:jc w:val="left"/>
              <w:rPr>
                <w:rFonts w:hint="eastAsia" w:ascii="Times New Roman" w:hAnsi="Times New Roman" w:eastAsia="宋体" w:cs="Times New Roman"/>
                <w:b/>
                <w:bCs/>
                <w:color w:val="auto"/>
                <w:sz w:val="24"/>
                <w:highlight w:val="none"/>
              </w:rPr>
            </w:pPr>
            <w:r>
              <w:rPr>
                <w:rFonts w:hint="eastAsia" w:ascii="Times New Roman" w:hAnsi="Times New Roman" w:eastAsia="宋体" w:cs="Times New Roman"/>
                <w:b/>
                <w:bCs/>
                <w:color w:val="auto"/>
                <w:sz w:val="24"/>
                <w:highlight w:val="none"/>
                <w:lang w:val="en-US" w:eastAsia="zh-CN"/>
              </w:rPr>
              <w:t>6.1</w:t>
            </w:r>
            <w:r>
              <w:rPr>
                <w:rFonts w:hint="eastAsia" w:ascii="Times New Roman" w:hAnsi="Times New Roman" w:eastAsia="宋体" w:cs="Times New Roman"/>
                <w:b/>
                <w:bCs/>
                <w:color w:val="auto"/>
                <w:sz w:val="24"/>
                <w:highlight w:val="none"/>
              </w:rPr>
              <w:t>环境风险防范措施</w:t>
            </w:r>
          </w:p>
          <w:p>
            <w:pPr>
              <w:adjustRightInd w:val="0"/>
              <w:snapToGrid w:val="0"/>
              <w:spacing w:line="360" w:lineRule="auto"/>
              <w:ind w:firstLine="480" w:firstLineChars="200"/>
              <w:jc w:val="left"/>
              <w:rPr>
                <w:bCs/>
                <w:color w:val="auto"/>
                <w:sz w:val="24"/>
                <w:szCs w:val="21"/>
                <w:u w:val="none"/>
              </w:rPr>
            </w:pPr>
            <w:r>
              <w:rPr>
                <w:rFonts w:hint="eastAsia"/>
                <w:bCs/>
                <w:color w:val="auto"/>
                <w:sz w:val="24"/>
                <w:szCs w:val="21"/>
                <w:u w:val="none"/>
                <w:lang w:val="en-US" w:eastAsia="zh-CN"/>
              </w:rPr>
              <w:t>为尽量避免火灾事故对周围环境的影响，需要采取一定的防范措施：</w:t>
            </w:r>
          </w:p>
          <w:p>
            <w:pPr>
              <w:adjustRightInd w:val="0"/>
              <w:snapToGrid w:val="0"/>
              <w:spacing w:line="360" w:lineRule="auto"/>
              <w:ind w:firstLine="480" w:firstLineChars="200"/>
              <w:jc w:val="left"/>
              <w:rPr>
                <w:bCs/>
                <w:color w:val="auto"/>
                <w:sz w:val="24"/>
                <w:szCs w:val="21"/>
                <w:u w:val="none"/>
              </w:rPr>
            </w:pPr>
            <w:r>
              <w:rPr>
                <w:rFonts w:hint="eastAsia"/>
                <w:bCs/>
                <w:color w:val="auto"/>
                <w:sz w:val="24"/>
                <w:szCs w:val="21"/>
                <w:u w:val="none"/>
                <w:lang w:val="en-US" w:eastAsia="zh-CN"/>
              </w:rPr>
              <w:t>①严格按照初步设计进行施工，厨房设置燃气泄漏保护装置。</w:t>
            </w:r>
          </w:p>
          <w:p>
            <w:pPr>
              <w:numPr>
                <w:ilvl w:val="0"/>
                <w:numId w:val="0"/>
              </w:numPr>
              <w:adjustRightInd w:val="0"/>
              <w:snapToGrid w:val="0"/>
              <w:spacing w:line="360" w:lineRule="auto"/>
              <w:ind w:leftChars="200"/>
              <w:jc w:val="left"/>
              <w:rPr>
                <w:rFonts w:cs="宋体"/>
                <w:bCs/>
                <w:color w:val="auto"/>
                <w:spacing w:val="-10"/>
                <w:sz w:val="24"/>
                <w:szCs w:val="21"/>
              </w:rPr>
            </w:pPr>
            <w:r>
              <w:rPr>
                <w:rFonts w:hint="eastAsia"/>
                <w:bCs/>
                <w:color w:val="auto"/>
                <w:sz w:val="24"/>
                <w:szCs w:val="21"/>
                <w:u w:val="none"/>
                <w:lang w:val="en-US" w:eastAsia="zh-CN"/>
              </w:rPr>
              <w:t>②物业公司配合燃气单位定期对小区内天然气管道进行检修</w:t>
            </w:r>
          </w:p>
          <w:p>
            <w:pPr>
              <w:pStyle w:val="53"/>
              <w:adjustRightInd w:val="0"/>
              <w:snapToGrid w:val="0"/>
              <w:spacing w:line="360" w:lineRule="auto"/>
              <w:ind w:firstLine="482"/>
              <w:jc w:val="left"/>
              <w:rPr>
                <w:rFonts w:hint="eastAsia" w:ascii="Times New Roman" w:hAnsi="Times New Roman" w:eastAsia="宋体" w:cs="Times New Roman"/>
                <w:b/>
                <w:bCs/>
                <w:color w:val="auto"/>
                <w:sz w:val="24"/>
                <w:highlight w:val="none"/>
              </w:rPr>
            </w:pPr>
            <w:r>
              <w:rPr>
                <w:rFonts w:hint="eastAsia" w:ascii="Times New Roman" w:hAnsi="Times New Roman" w:eastAsia="宋体" w:cs="Times New Roman"/>
                <w:b/>
                <w:bCs/>
                <w:color w:val="auto"/>
                <w:sz w:val="24"/>
                <w:highlight w:val="none"/>
                <w:lang w:val="en-US" w:eastAsia="zh-CN"/>
              </w:rPr>
              <w:t>6.2</w:t>
            </w:r>
            <w:r>
              <w:rPr>
                <w:rFonts w:hint="eastAsia" w:ascii="Times New Roman" w:hAnsi="Times New Roman" w:eastAsia="宋体" w:cs="Times New Roman"/>
                <w:b/>
                <w:bCs/>
                <w:color w:val="auto"/>
                <w:sz w:val="24"/>
                <w:highlight w:val="none"/>
              </w:rPr>
              <w:t>环境风险应急措施</w:t>
            </w:r>
          </w:p>
          <w:p>
            <w:pPr>
              <w:adjustRightInd w:val="0"/>
              <w:snapToGrid w:val="0"/>
              <w:spacing w:line="360" w:lineRule="auto"/>
              <w:ind w:firstLine="440" w:firstLineChars="200"/>
              <w:jc w:val="left"/>
              <w:rPr>
                <w:rFonts w:cs="宋体"/>
                <w:bCs/>
                <w:color w:val="auto"/>
                <w:spacing w:val="-10"/>
                <w:sz w:val="24"/>
                <w:szCs w:val="21"/>
              </w:rPr>
            </w:pPr>
            <w:r>
              <w:rPr>
                <w:rFonts w:cs="宋体"/>
                <w:bCs/>
                <w:color w:val="auto"/>
                <w:spacing w:val="-10"/>
                <w:sz w:val="24"/>
                <w:szCs w:val="21"/>
              </w:rPr>
              <w:t>①若发生火灾，应立即使用干粉灭火器进行灭火，关闭总电源，同时视火势情况进行报警求助。</w:t>
            </w:r>
          </w:p>
          <w:p>
            <w:pPr>
              <w:adjustRightInd w:val="0"/>
              <w:snapToGrid w:val="0"/>
              <w:spacing w:line="360" w:lineRule="auto"/>
              <w:ind w:firstLine="440" w:firstLineChars="200"/>
              <w:jc w:val="left"/>
              <w:rPr>
                <w:rFonts w:cs="宋体"/>
                <w:bCs/>
                <w:color w:val="auto"/>
                <w:spacing w:val="-10"/>
                <w:sz w:val="24"/>
                <w:szCs w:val="21"/>
              </w:rPr>
            </w:pPr>
            <w:r>
              <w:rPr>
                <w:rFonts w:cs="宋体"/>
                <w:bCs/>
                <w:color w:val="auto"/>
                <w:spacing w:val="-10"/>
                <w:sz w:val="24"/>
                <w:szCs w:val="21"/>
              </w:rPr>
              <w:t>②若产生事故废水，需对事故废水进行收集，待事故后经水质检测合格后才可排放；受污染的土壤和废吸附材料及检测不达标的事故废水需交由有资质单位进行处置。</w:t>
            </w:r>
          </w:p>
          <w:p>
            <w:pPr>
              <w:pageBreakBefore w:val="0"/>
              <w:kinsoku/>
              <w:overflowPunct/>
              <w:bidi w:val="0"/>
              <w:spacing w:line="360" w:lineRule="auto"/>
              <w:jc w:val="both"/>
              <w:textAlignment w:val="auto"/>
              <w:rPr>
                <w:rFonts w:hint="default" w:ascii="Times New Roman" w:hAnsi="Times New Roman" w:cs="Times New Roman"/>
                <w:color w:val="auto"/>
                <w:sz w:val="24"/>
                <w:szCs w:val="24"/>
                <w:lang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6" w:type="pct"/>
            <w:noWrap w:val="0"/>
            <w:vAlign w:val="center"/>
          </w:tcPr>
          <w:p>
            <w:pPr>
              <w:pStyle w:val="72"/>
              <w:bidi w:val="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其他</w:t>
            </w:r>
          </w:p>
        </w:tc>
        <w:tc>
          <w:tcPr>
            <w:tcW w:w="4523" w:type="pct"/>
            <w:noWrap w:val="0"/>
            <w:vAlign w:val="top"/>
          </w:tcPr>
          <w:p>
            <w:pPr>
              <w:pageBreakBefore w:val="0"/>
              <w:kinsoku/>
              <w:overflowPunct/>
              <w:bidi w:val="0"/>
              <w:spacing w:line="360" w:lineRule="auto"/>
              <w:jc w:val="center"/>
              <w:textAlignment w:val="auto"/>
              <w:rPr>
                <w:rFonts w:hint="default" w:ascii="Times New Roman" w:hAnsi="Times New Roman" w:eastAsia="宋体" w:cs="Times New Roman"/>
                <w:bCs/>
                <w:color w:val="auto"/>
                <w:spacing w:val="10"/>
                <w:sz w:val="24"/>
                <w:szCs w:val="24"/>
                <w:lang w:val="en-US" w:eastAsia="zh-CN"/>
              </w:rPr>
            </w:pPr>
            <w:r>
              <w:rPr>
                <w:rFonts w:hint="eastAsia" w:eastAsia="宋体" w:cs="Times New Roman"/>
                <w:bCs/>
                <w:color w:val="auto"/>
                <w:spacing w:val="10"/>
                <w:sz w:val="24"/>
                <w:szCs w:val="24"/>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6" w:type="pct"/>
            <w:noWrap w:val="0"/>
            <w:vAlign w:val="center"/>
          </w:tcPr>
          <w:p>
            <w:pPr>
              <w:pStyle w:val="72"/>
              <w:bidi w:val="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环保投资</w:t>
            </w:r>
          </w:p>
        </w:tc>
        <w:tc>
          <w:tcPr>
            <w:tcW w:w="4523" w:type="pct"/>
            <w:noWrap w:val="0"/>
            <w:vAlign w:val="top"/>
          </w:tcPr>
          <w:p>
            <w:pPr>
              <w:pStyle w:val="49"/>
              <w:spacing w:line="360" w:lineRule="auto"/>
              <w:jc w:val="left"/>
              <w:rPr>
                <w:rFonts w:cs="宋体"/>
                <w:color w:val="auto"/>
                <w:sz w:val="24"/>
                <w:szCs w:val="21"/>
              </w:rPr>
            </w:pPr>
            <w:r>
              <w:rPr>
                <w:rFonts w:hint="eastAsia" w:cs="宋体"/>
                <w:b/>
                <w:bCs/>
                <w:color w:val="auto"/>
                <w:sz w:val="24"/>
                <w:szCs w:val="21"/>
                <w:lang w:val="en-US" w:eastAsia="zh-CN"/>
              </w:rPr>
              <w:t>1、</w:t>
            </w:r>
            <w:r>
              <w:rPr>
                <w:rFonts w:cs="宋体"/>
                <w:b/>
                <w:bCs/>
                <w:color w:val="auto"/>
                <w:sz w:val="24"/>
                <w:szCs w:val="21"/>
              </w:rPr>
              <w:t>环保投资估算</w:t>
            </w:r>
          </w:p>
          <w:p>
            <w:pPr>
              <w:pStyle w:val="49"/>
              <w:spacing w:line="360" w:lineRule="auto"/>
              <w:ind w:firstLine="480" w:firstLineChars="200"/>
              <w:jc w:val="left"/>
              <w:rPr>
                <w:rFonts w:cs="宋体"/>
                <w:color w:val="auto"/>
                <w:sz w:val="24"/>
                <w:szCs w:val="21"/>
              </w:rPr>
            </w:pPr>
            <w:r>
              <w:rPr>
                <w:rFonts w:hint="eastAsia" w:cs="宋体"/>
                <w:color w:val="auto"/>
                <w:sz w:val="24"/>
                <w:szCs w:val="21"/>
              </w:rPr>
              <w:t>项目总投资为</w:t>
            </w:r>
            <w:r>
              <w:rPr>
                <w:rFonts w:hint="eastAsia" w:cs="宋体"/>
                <w:color w:val="auto"/>
                <w:sz w:val="24"/>
                <w:szCs w:val="21"/>
                <w:lang w:val="en-US" w:eastAsia="zh-CN"/>
              </w:rPr>
              <w:t>44879</w:t>
            </w:r>
            <w:r>
              <w:rPr>
                <w:rFonts w:hint="eastAsia" w:cs="宋体"/>
                <w:color w:val="auto"/>
                <w:sz w:val="24"/>
                <w:szCs w:val="21"/>
              </w:rPr>
              <w:t>万元，环保投资为</w:t>
            </w:r>
            <w:r>
              <w:rPr>
                <w:rFonts w:hint="eastAsia" w:cs="宋体"/>
                <w:color w:val="auto"/>
                <w:sz w:val="24"/>
                <w:szCs w:val="21"/>
                <w:lang w:val="en-US" w:eastAsia="zh-CN"/>
              </w:rPr>
              <w:t>250</w:t>
            </w:r>
            <w:r>
              <w:rPr>
                <w:rFonts w:hint="eastAsia" w:cs="宋体"/>
                <w:color w:val="auto"/>
                <w:sz w:val="24"/>
                <w:szCs w:val="21"/>
              </w:rPr>
              <w:t>万元，占投资总额</w:t>
            </w:r>
            <w:r>
              <w:rPr>
                <w:rFonts w:hint="eastAsia" w:cs="宋体"/>
                <w:color w:val="auto"/>
                <w:sz w:val="24"/>
                <w:szCs w:val="21"/>
                <w:lang w:val="en-US" w:eastAsia="zh-CN"/>
              </w:rPr>
              <w:t>0.56</w:t>
            </w:r>
            <w:r>
              <w:rPr>
                <w:rFonts w:hint="eastAsia" w:cs="宋体"/>
                <w:color w:val="auto"/>
                <w:sz w:val="24"/>
                <w:szCs w:val="21"/>
              </w:rPr>
              <w:t>%，项目环保投资详见表</w:t>
            </w:r>
            <w:r>
              <w:rPr>
                <w:rFonts w:hint="eastAsia" w:cs="宋体"/>
                <w:color w:val="auto"/>
                <w:sz w:val="24"/>
                <w:szCs w:val="21"/>
                <w:lang w:val="en-US" w:eastAsia="zh-CN"/>
              </w:rPr>
              <w:t>5-2</w:t>
            </w:r>
            <w:r>
              <w:rPr>
                <w:rFonts w:hint="eastAsia" w:cs="宋体"/>
                <w:color w:val="auto"/>
                <w:sz w:val="24"/>
                <w:szCs w:val="21"/>
              </w:rPr>
              <w:t>。</w:t>
            </w:r>
          </w:p>
          <w:p>
            <w:pPr>
              <w:pStyle w:val="49"/>
              <w:keepNext w:val="0"/>
              <w:keepLines w:val="0"/>
              <w:pageBreakBefore w:val="0"/>
              <w:widowControl w:val="0"/>
              <w:kinsoku/>
              <w:wordWrap/>
              <w:overflowPunct/>
              <w:topLinePunct w:val="0"/>
              <w:autoSpaceDE/>
              <w:autoSpaceDN/>
              <w:bidi w:val="0"/>
              <w:adjustRightInd/>
              <w:snapToGrid/>
              <w:spacing w:line="240" w:lineRule="auto"/>
              <w:ind w:firstLine="482" w:firstLineChars="200"/>
              <w:jc w:val="center"/>
              <w:textAlignment w:val="auto"/>
              <w:rPr>
                <w:rFonts w:cs="宋体"/>
                <w:b/>
                <w:bCs/>
                <w:color w:val="auto"/>
                <w:sz w:val="24"/>
                <w:szCs w:val="21"/>
              </w:rPr>
            </w:pPr>
            <w:r>
              <w:rPr>
                <w:rFonts w:hint="eastAsia" w:cs="宋体"/>
                <w:b/>
                <w:bCs/>
                <w:color w:val="auto"/>
                <w:sz w:val="24"/>
                <w:szCs w:val="21"/>
              </w:rPr>
              <w:t>表</w:t>
            </w:r>
            <w:r>
              <w:rPr>
                <w:rFonts w:hint="eastAsia" w:cs="宋体"/>
                <w:b/>
                <w:bCs/>
                <w:color w:val="auto"/>
                <w:sz w:val="24"/>
                <w:szCs w:val="21"/>
                <w:lang w:val="en-US" w:eastAsia="zh-CN"/>
              </w:rPr>
              <w:t>5-2</w:t>
            </w:r>
            <w:r>
              <w:rPr>
                <w:rFonts w:hint="eastAsia" w:cs="宋体"/>
                <w:b/>
                <w:bCs/>
                <w:color w:val="auto"/>
                <w:sz w:val="24"/>
                <w:szCs w:val="21"/>
              </w:rPr>
              <w:t xml:space="preserve"> 环保投资一览表</w:t>
            </w:r>
          </w:p>
          <w:tbl>
            <w:tblPr>
              <w:tblStyle w:val="22"/>
              <w:tblW w:w="805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014"/>
              <w:gridCol w:w="791"/>
              <w:gridCol w:w="2279"/>
              <w:gridCol w:w="2849"/>
              <w:gridCol w:w="111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14" w:type="dxa"/>
                  <w:tcBorders>
                    <w:tl2br w:val="nil"/>
                    <w:tr2bl w:val="nil"/>
                  </w:tcBorders>
                  <w:noWrap w:val="0"/>
                  <w:vAlign w:val="center"/>
                </w:tcPr>
                <w:p>
                  <w:pPr>
                    <w:snapToGrid w:val="0"/>
                    <w:jc w:val="center"/>
                    <w:rPr>
                      <w:rFonts w:hint="default" w:ascii="Times New Roman" w:hAnsi="Times New Roman" w:eastAsia="宋体" w:cs="Times New Roman"/>
                      <w:b/>
                      <w:bCs w:val="0"/>
                      <w:color w:val="auto"/>
                      <w:szCs w:val="21"/>
                    </w:rPr>
                  </w:pPr>
                  <w:r>
                    <w:rPr>
                      <w:rFonts w:hint="default" w:ascii="Times New Roman" w:hAnsi="Times New Roman" w:eastAsia="宋体" w:cs="Times New Roman"/>
                      <w:b/>
                      <w:bCs w:val="0"/>
                      <w:color w:val="auto"/>
                      <w:szCs w:val="21"/>
                    </w:rPr>
                    <w:t>工程阶段</w:t>
                  </w:r>
                </w:p>
              </w:tc>
              <w:tc>
                <w:tcPr>
                  <w:tcW w:w="791" w:type="dxa"/>
                  <w:tcBorders>
                    <w:tl2br w:val="nil"/>
                    <w:tr2bl w:val="nil"/>
                  </w:tcBorders>
                  <w:noWrap w:val="0"/>
                  <w:vAlign w:val="center"/>
                </w:tcPr>
                <w:p>
                  <w:pPr>
                    <w:snapToGrid w:val="0"/>
                    <w:jc w:val="center"/>
                    <w:rPr>
                      <w:rFonts w:hint="default" w:ascii="Times New Roman" w:hAnsi="Times New Roman" w:eastAsia="宋体" w:cs="Times New Roman"/>
                      <w:b/>
                      <w:bCs w:val="0"/>
                      <w:color w:val="auto"/>
                      <w:szCs w:val="21"/>
                    </w:rPr>
                  </w:pPr>
                  <w:r>
                    <w:rPr>
                      <w:rFonts w:hint="default" w:ascii="Times New Roman" w:hAnsi="Times New Roman" w:eastAsia="宋体" w:cs="Times New Roman"/>
                      <w:b/>
                      <w:bCs w:val="0"/>
                      <w:color w:val="auto"/>
                      <w:szCs w:val="21"/>
                    </w:rPr>
                    <w:t>类型</w:t>
                  </w:r>
                </w:p>
              </w:tc>
              <w:tc>
                <w:tcPr>
                  <w:tcW w:w="2279" w:type="dxa"/>
                  <w:tcBorders>
                    <w:tl2br w:val="nil"/>
                    <w:tr2bl w:val="nil"/>
                  </w:tcBorders>
                  <w:noWrap w:val="0"/>
                  <w:vAlign w:val="center"/>
                </w:tcPr>
                <w:p>
                  <w:pPr>
                    <w:snapToGrid w:val="0"/>
                    <w:jc w:val="center"/>
                    <w:rPr>
                      <w:rFonts w:hint="default" w:ascii="Times New Roman" w:hAnsi="Times New Roman" w:eastAsia="宋体" w:cs="Times New Roman"/>
                      <w:b/>
                      <w:bCs w:val="0"/>
                      <w:color w:val="auto"/>
                      <w:szCs w:val="21"/>
                    </w:rPr>
                  </w:pPr>
                  <w:r>
                    <w:rPr>
                      <w:rFonts w:hint="default" w:ascii="Times New Roman" w:hAnsi="Times New Roman" w:eastAsia="宋体" w:cs="Times New Roman"/>
                      <w:b/>
                      <w:bCs w:val="0"/>
                      <w:color w:val="auto"/>
                      <w:szCs w:val="21"/>
                    </w:rPr>
                    <w:t>污染源</w:t>
                  </w:r>
                </w:p>
              </w:tc>
              <w:tc>
                <w:tcPr>
                  <w:tcW w:w="2849" w:type="dxa"/>
                  <w:tcBorders>
                    <w:tl2br w:val="nil"/>
                    <w:tr2bl w:val="nil"/>
                  </w:tcBorders>
                  <w:noWrap w:val="0"/>
                  <w:vAlign w:val="center"/>
                </w:tcPr>
                <w:p>
                  <w:pPr>
                    <w:snapToGrid w:val="0"/>
                    <w:jc w:val="center"/>
                    <w:rPr>
                      <w:rFonts w:hint="default" w:ascii="Times New Roman" w:hAnsi="Times New Roman" w:eastAsia="宋体" w:cs="Times New Roman"/>
                      <w:b/>
                      <w:bCs w:val="0"/>
                      <w:color w:val="auto"/>
                      <w:szCs w:val="21"/>
                    </w:rPr>
                  </w:pPr>
                  <w:r>
                    <w:rPr>
                      <w:rFonts w:hint="default" w:ascii="Times New Roman" w:hAnsi="Times New Roman" w:eastAsia="宋体" w:cs="Times New Roman"/>
                      <w:b/>
                      <w:bCs w:val="0"/>
                      <w:color w:val="auto"/>
                      <w:szCs w:val="21"/>
                    </w:rPr>
                    <w:t>污染处理设施</w:t>
                  </w:r>
                </w:p>
              </w:tc>
              <w:tc>
                <w:tcPr>
                  <w:tcW w:w="1117" w:type="dxa"/>
                  <w:tcBorders>
                    <w:tl2br w:val="nil"/>
                    <w:tr2bl w:val="nil"/>
                  </w:tcBorders>
                  <w:noWrap w:val="0"/>
                  <w:vAlign w:val="center"/>
                </w:tcPr>
                <w:p>
                  <w:pPr>
                    <w:snapToGrid w:val="0"/>
                    <w:jc w:val="center"/>
                    <w:rPr>
                      <w:rFonts w:hint="default" w:ascii="Times New Roman" w:hAnsi="Times New Roman" w:eastAsia="宋体" w:cs="Times New Roman"/>
                      <w:b/>
                      <w:bCs w:val="0"/>
                      <w:color w:val="auto"/>
                      <w:szCs w:val="21"/>
                    </w:rPr>
                  </w:pPr>
                  <w:r>
                    <w:rPr>
                      <w:rFonts w:hint="default" w:ascii="Times New Roman" w:hAnsi="Times New Roman" w:eastAsia="宋体" w:cs="Times New Roman"/>
                      <w:b/>
                      <w:bCs w:val="0"/>
                      <w:color w:val="auto"/>
                      <w:szCs w:val="21"/>
                    </w:rPr>
                    <w:t>环保投资(万元)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14" w:type="dxa"/>
                  <w:vMerge w:val="restart"/>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运营期</w:t>
                  </w:r>
                </w:p>
              </w:tc>
              <w:tc>
                <w:tcPr>
                  <w:tcW w:w="791" w:type="dxa"/>
                  <w:vMerge w:val="restart"/>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废气</w:t>
                  </w:r>
                </w:p>
              </w:tc>
              <w:tc>
                <w:tcPr>
                  <w:tcW w:w="2279" w:type="dxa"/>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停车场废气</w:t>
                  </w:r>
                </w:p>
              </w:tc>
              <w:tc>
                <w:tcPr>
                  <w:tcW w:w="2849" w:type="dxa"/>
                  <w:tcBorders>
                    <w:tl2br w:val="nil"/>
                    <w:tr2bl w:val="nil"/>
                  </w:tcBorders>
                  <w:noWrap w:val="0"/>
                  <w:vAlign w:val="center"/>
                </w:tcPr>
                <w:p>
                  <w:pPr>
                    <w:pStyle w:val="70"/>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kern w:val="0"/>
                      <w:u w:val="none"/>
                    </w:rPr>
                    <w:t>加强绿化建设</w:t>
                  </w:r>
                </w:p>
              </w:tc>
              <w:tc>
                <w:tcPr>
                  <w:tcW w:w="1117" w:type="dxa"/>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u w:val="none"/>
                    </w:rPr>
                  </w:pPr>
                  <w:r>
                    <w:rPr>
                      <w:rFonts w:hint="eastAsia" w:cs="Times New Roman"/>
                      <w:color w:val="auto"/>
                      <w:szCs w:val="21"/>
                      <w:u w:val="none"/>
                      <w:lang w:val="en-US" w:eastAsia="zh-CN"/>
                    </w:rPr>
                    <w:t>13</w:t>
                  </w:r>
                  <w:r>
                    <w:rPr>
                      <w:rFonts w:hint="default" w:ascii="Times New Roman" w:hAnsi="Times New Roman" w:eastAsia="宋体" w:cs="Times New Roman"/>
                      <w:color w:val="auto"/>
                      <w:szCs w:val="21"/>
                      <w:u w:val="none"/>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14" w:type="dxa"/>
                  <w:vMerge w:val="continue"/>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p>
              </w:tc>
              <w:tc>
                <w:tcPr>
                  <w:tcW w:w="791" w:type="dxa"/>
                  <w:vMerge w:val="continue"/>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p>
              </w:tc>
              <w:tc>
                <w:tcPr>
                  <w:tcW w:w="2279" w:type="dxa"/>
                  <w:tcBorders>
                    <w:tl2br w:val="nil"/>
                    <w:tr2bl w:val="nil"/>
                  </w:tcBorders>
                  <w:shd w:val="clear" w:color="auto" w:fill="auto"/>
                  <w:noWrap w:val="0"/>
                  <w:vAlign w:val="center"/>
                </w:tcPr>
                <w:p>
                  <w:pPr>
                    <w:adjustRightInd w:val="0"/>
                    <w:snapToGrid w:val="0"/>
                    <w:jc w:val="center"/>
                    <w:rPr>
                      <w:rFonts w:hint="default" w:ascii="Times New Roman" w:hAnsi="Times New Roman" w:eastAsia="宋体" w:cs="Times New Roman"/>
                      <w:color w:val="auto"/>
                      <w:kern w:val="2"/>
                      <w:sz w:val="21"/>
                      <w:szCs w:val="21"/>
                      <w:u w:val="none"/>
                      <w:lang w:val="en-US" w:eastAsia="zh-CN" w:bidi="ar-SA"/>
                    </w:rPr>
                  </w:pPr>
                  <w:r>
                    <w:rPr>
                      <w:rFonts w:hint="eastAsia" w:ascii="Times New Roman" w:hAnsi="Times New Roman" w:cs="Times New Roman"/>
                      <w:color w:val="auto"/>
                      <w:kern w:val="2"/>
                      <w:sz w:val="21"/>
                      <w:szCs w:val="21"/>
                      <w:u w:val="none"/>
                      <w:lang w:val="en-US" w:eastAsia="zh-CN" w:bidi="ar-SA"/>
                    </w:rPr>
                    <w:t>油烟废气</w:t>
                  </w:r>
                </w:p>
              </w:tc>
              <w:tc>
                <w:tcPr>
                  <w:tcW w:w="2849" w:type="dxa"/>
                  <w:tcBorders>
                    <w:tl2br w:val="nil"/>
                    <w:tr2bl w:val="nil"/>
                  </w:tcBorders>
                  <w:shd w:val="clear" w:color="auto" w:fill="auto"/>
                  <w:noWrap w:val="0"/>
                  <w:vAlign w:val="center"/>
                </w:tcPr>
                <w:p>
                  <w:pPr>
                    <w:adjustRightInd w:val="0"/>
                    <w:snapToGrid w:val="0"/>
                    <w:jc w:val="center"/>
                    <w:rPr>
                      <w:rFonts w:hint="default" w:ascii="Times New Roman" w:hAnsi="Times New Roman" w:eastAsia="宋体" w:cs="Times New Roman"/>
                      <w:color w:val="auto"/>
                      <w:kern w:val="2"/>
                      <w:sz w:val="21"/>
                      <w:szCs w:val="21"/>
                      <w:u w:val="none"/>
                      <w:lang w:val="en-US" w:eastAsia="zh-CN" w:bidi="ar-SA"/>
                    </w:rPr>
                  </w:pPr>
                  <w:r>
                    <w:rPr>
                      <w:rFonts w:hint="eastAsia" w:ascii="Times New Roman" w:hAnsi="Times New Roman" w:cs="Times New Roman"/>
                      <w:color w:val="auto"/>
                      <w:kern w:val="2"/>
                      <w:sz w:val="21"/>
                      <w:szCs w:val="21"/>
                      <w:u w:val="none"/>
                      <w:lang w:val="en-US" w:eastAsia="zh-CN" w:bidi="ar-SA"/>
                    </w:rPr>
                    <w:t>居民自装油烟净化器</w:t>
                  </w:r>
                </w:p>
              </w:tc>
              <w:tc>
                <w:tcPr>
                  <w:tcW w:w="1117" w:type="dxa"/>
                  <w:tcBorders>
                    <w:tl2br w:val="nil"/>
                    <w:tr2bl w:val="nil"/>
                  </w:tcBorders>
                  <w:noWrap w:val="0"/>
                  <w:vAlign w:val="center"/>
                </w:tcPr>
                <w:p>
                  <w:pPr>
                    <w:adjustRightInd w:val="0"/>
                    <w:snapToGrid w:val="0"/>
                    <w:jc w:val="center"/>
                    <w:rPr>
                      <w:rFonts w:hint="eastAsia" w:ascii="Times New Roman" w:hAnsi="Times New Roman" w:eastAsia="宋体" w:cs="Times New Roman"/>
                      <w:color w:val="auto"/>
                      <w:szCs w:val="21"/>
                      <w:u w:val="none"/>
                      <w:lang w:val="en-US" w:eastAsia="zh-CN"/>
                    </w:rPr>
                  </w:pPr>
                  <w:r>
                    <w:rPr>
                      <w:rFonts w:hint="eastAsia" w:ascii="Times New Roman" w:hAnsi="Times New Roman" w:eastAsia="宋体" w:cs="Times New Roman"/>
                      <w:color w:val="auto"/>
                      <w:szCs w:val="21"/>
                      <w:u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14" w:type="dxa"/>
                  <w:vMerge w:val="continue"/>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p>
              </w:tc>
              <w:tc>
                <w:tcPr>
                  <w:tcW w:w="791" w:type="dxa"/>
                  <w:vMerge w:val="continue"/>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p>
              </w:tc>
              <w:tc>
                <w:tcPr>
                  <w:tcW w:w="2279" w:type="dxa"/>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u w:val="none"/>
                      <w:lang w:val="en-US" w:eastAsia="zh-CN"/>
                    </w:rPr>
                  </w:pPr>
                  <w:r>
                    <w:rPr>
                      <w:rFonts w:hint="eastAsia" w:ascii="Times New Roman" w:hAnsi="Times New Roman" w:eastAsia="宋体" w:cs="Times New Roman"/>
                      <w:color w:val="auto"/>
                      <w:szCs w:val="21"/>
                      <w:u w:val="none"/>
                      <w:lang w:val="en-US" w:eastAsia="zh-CN"/>
                    </w:rPr>
                    <w:t>垃圾桶恶臭</w:t>
                  </w:r>
                </w:p>
              </w:tc>
              <w:tc>
                <w:tcPr>
                  <w:tcW w:w="2849" w:type="dxa"/>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u w:val="none"/>
                      <w:lang w:val="en-US" w:eastAsia="zh-CN"/>
                    </w:rPr>
                  </w:pPr>
                  <w:r>
                    <w:rPr>
                      <w:rFonts w:hint="eastAsia" w:ascii="Times New Roman" w:hAnsi="Times New Roman" w:eastAsia="宋体" w:cs="Times New Roman"/>
                      <w:color w:val="auto"/>
                      <w:szCs w:val="21"/>
                      <w:u w:val="none"/>
                      <w:lang w:val="en-US" w:eastAsia="zh-CN"/>
                    </w:rPr>
                    <w:t>及时清理清运</w:t>
                  </w:r>
                </w:p>
              </w:tc>
              <w:tc>
                <w:tcPr>
                  <w:tcW w:w="1117" w:type="dxa"/>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u w:val="none"/>
                      <w:lang w:val="en-US" w:eastAsia="zh-CN"/>
                    </w:rPr>
                  </w:pPr>
                  <w:r>
                    <w:rPr>
                      <w:rFonts w:hint="eastAsia" w:cs="Times New Roman"/>
                      <w:color w:val="auto"/>
                      <w:szCs w:val="21"/>
                      <w:u w:val="none"/>
                      <w:lang w:val="en-US" w:eastAsia="zh-CN"/>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14" w:type="dxa"/>
                  <w:vMerge w:val="continue"/>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p>
              </w:tc>
              <w:tc>
                <w:tcPr>
                  <w:tcW w:w="791" w:type="dxa"/>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废水</w:t>
                  </w:r>
                </w:p>
              </w:tc>
              <w:tc>
                <w:tcPr>
                  <w:tcW w:w="2279" w:type="dxa"/>
                  <w:tcBorders>
                    <w:tl2br w:val="nil"/>
                    <w:tr2bl w:val="nil"/>
                  </w:tcBorders>
                  <w:noWrap w:val="0"/>
                  <w:vAlign w:val="center"/>
                </w:tcPr>
                <w:p>
                  <w:pPr>
                    <w:adjustRightInd w:val="0"/>
                    <w:snapToGrid w:val="0"/>
                    <w:jc w:val="center"/>
                    <w:rPr>
                      <w:rFonts w:hint="eastAsia" w:ascii="Times New Roman" w:hAnsi="Times New Roman" w:eastAsia="宋体" w:cs="Times New Roman"/>
                      <w:color w:val="auto"/>
                      <w:szCs w:val="21"/>
                      <w:lang w:eastAsia="zh-CN"/>
                    </w:rPr>
                  </w:pPr>
                  <w:r>
                    <w:rPr>
                      <w:rFonts w:hint="eastAsia" w:ascii="Times New Roman" w:hAnsi="Times New Roman" w:eastAsia="宋体" w:cs="Times New Roman"/>
                      <w:color w:val="auto"/>
                      <w:szCs w:val="21"/>
                      <w:lang w:eastAsia="zh-CN"/>
                    </w:rPr>
                    <w:t>生活废水</w:t>
                  </w:r>
                </w:p>
              </w:tc>
              <w:tc>
                <w:tcPr>
                  <w:tcW w:w="2849" w:type="dxa"/>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化粪池</w:t>
                  </w:r>
                </w:p>
              </w:tc>
              <w:tc>
                <w:tcPr>
                  <w:tcW w:w="1117" w:type="dxa"/>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14" w:type="dxa"/>
                  <w:vMerge w:val="continue"/>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p>
              </w:tc>
              <w:tc>
                <w:tcPr>
                  <w:tcW w:w="791" w:type="dxa"/>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噪声</w:t>
                  </w:r>
                </w:p>
              </w:tc>
              <w:tc>
                <w:tcPr>
                  <w:tcW w:w="2279" w:type="dxa"/>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设备噪声</w:t>
                  </w:r>
                </w:p>
              </w:tc>
              <w:tc>
                <w:tcPr>
                  <w:tcW w:w="2849" w:type="dxa"/>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选用低噪声设备、减震、隔声措施、独立</w:t>
                  </w:r>
                  <w:r>
                    <w:rPr>
                      <w:rFonts w:hint="eastAsia" w:ascii="Times New Roman" w:hAnsi="Times New Roman" w:eastAsia="宋体" w:cs="Times New Roman"/>
                      <w:color w:val="auto"/>
                      <w:szCs w:val="21"/>
                      <w:lang w:val="en-US" w:eastAsia="zh-CN"/>
                    </w:rPr>
                    <w:t>密闭房间</w:t>
                  </w:r>
                  <w:r>
                    <w:rPr>
                      <w:rFonts w:hint="default" w:ascii="Times New Roman" w:hAnsi="Times New Roman" w:eastAsia="宋体" w:cs="Times New Roman"/>
                      <w:color w:val="auto"/>
                      <w:szCs w:val="21"/>
                    </w:rPr>
                    <w:t>等，</w:t>
                  </w:r>
                  <w:r>
                    <w:rPr>
                      <w:rFonts w:hint="eastAsia" w:ascii="Times New Roman" w:hAnsi="Times New Roman" w:eastAsia="宋体" w:cs="Times New Roman"/>
                      <w:color w:val="auto"/>
                      <w:szCs w:val="21"/>
                      <w:lang w:eastAsia="zh-CN"/>
                    </w:rPr>
                    <w:t>加强管理</w:t>
                  </w:r>
                  <w:r>
                    <w:rPr>
                      <w:rFonts w:hint="default" w:ascii="Times New Roman" w:hAnsi="Times New Roman" w:eastAsia="宋体" w:cs="Times New Roman"/>
                      <w:color w:val="auto"/>
                      <w:szCs w:val="21"/>
                    </w:rPr>
                    <w:t>等</w:t>
                  </w:r>
                </w:p>
              </w:tc>
              <w:tc>
                <w:tcPr>
                  <w:tcW w:w="1117" w:type="dxa"/>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40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41" w:hRule="atLeast"/>
                <w:jc w:val="center"/>
              </w:trPr>
              <w:tc>
                <w:tcPr>
                  <w:tcW w:w="1014" w:type="dxa"/>
                  <w:vMerge w:val="continue"/>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p>
              </w:tc>
              <w:tc>
                <w:tcPr>
                  <w:tcW w:w="791" w:type="dxa"/>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固废</w:t>
                  </w:r>
                </w:p>
              </w:tc>
              <w:tc>
                <w:tcPr>
                  <w:tcW w:w="2279" w:type="dxa"/>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生活垃圾</w:t>
                  </w:r>
                </w:p>
              </w:tc>
              <w:tc>
                <w:tcPr>
                  <w:tcW w:w="2849" w:type="dxa"/>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r>
                    <w:rPr>
                      <w:rFonts w:hint="eastAsia" w:ascii="Times New Roman" w:hAnsi="Times New Roman" w:eastAsia="宋体" w:cs="Times New Roman"/>
                      <w:color w:val="auto"/>
                      <w:szCs w:val="21"/>
                      <w:lang w:eastAsia="zh-CN"/>
                    </w:rPr>
                    <w:t>垃圾桶</w:t>
                  </w:r>
                  <w:r>
                    <w:rPr>
                      <w:rFonts w:hint="eastAsia" w:ascii="Times New Roman" w:hAnsi="Times New Roman" w:eastAsia="宋体" w:cs="Times New Roman"/>
                      <w:color w:val="auto"/>
                      <w:szCs w:val="21"/>
                      <w:lang w:val="en-US" w:eastAsia="zh-CN"/>
                    </w:rPr>
                    <w:t>+</w:t>
                  </w:r>
                  <w:r>
                    <w:rPr>
                      <w:rFonts w:hint="eastAsia" w:ascii="Times New Roman" w:hAnsi="Times New Roman" w:eastAsia="宋体" w:cs="Times New Roman"/>
                      <w:color w:val="auto"/>
                      <w:szCs w:val="21"/>
                      <w:lang w:eastAsia="zh-CN"/>
                    </w:rPr>
                    <w:t>垃圾站</w:t>
                  </w:r>
                  <w:r>
                    <w:rPr>
                      <w:rFonts w:hint="default" w:ascii="Times New Roman" w:hAnsi="Times New Roman" w:eastAsia="宋体" w:cs="Times New Roman"/>
                      <w:color w:val="auto"/>
                      <w:szCs w:val="21"/>
                    </w:rPr>
                    <w:t>收集</w:t>
                  </w:r>
                  <w:r>
                    <w:rPr>
                      <w:rFonts w:hint="eastAsia"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环卫部门清运</w:t>
                  </w:r>
                </w:p>
              </w:tc>
              <w:tc>
                <w:tcPr>
                  <w:tcW w:w="1117" w:type="dxa"/>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14" w:type="dxa"/>
                  <w:vMerge w:val="continue"/>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p>
              </w:tc>
              <w:tc>
                <w:tcPr>
                  <w:tcW w:w="5919" w:type="dxa"/>
                  <w:gridSpan w:val="3"/>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合计</w:t>
                  </w:r>
                </w:p>
              </w:tc>
              <w:tc>
                <w:tcPr>
                  <w:tcW w:w="1117" w:type="dxa"/>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250</w:t>
                  </w:r>
                </w:p>
              </w:tc>
            </w:tr>
          </w:tbl>
          <w:p>
            <w:pPr>
              <w:pStyle w:val="49"/>
              <w:keepNext w:val="0"/>
              <w:keepLines w:val="0"/>
              <w:pageBreakBefore w:val="0"/>
              <w:widowControl w:val="0"/>
              <w:kinsoku/>
              <w:wordWrap/>
              <w:overflowPunct/>
              <w:topLinePunct w:val="0"/>
              <w:autoSpaceDE/>
              <w:autoSpaceDN/>
              <w:bidi w:val="0"/>
              <w:adjustRightInd/>
              <w:snapToGrid/>
              <w:spacing w:before="157" w:beforeLines="50" w:line="360" w:lineRule="auto"/>
              <w:jc w:val="left"/>
              <w:textAlignment w:val="auto"/>
              <w:rPr>
                <w:rFonts w:cs="宋体"/>
                <w:b/>
                <w:bCs/>
                <w:color w:val="auto"/>
                <w:sz w:val="24"/>
                <w:szCs w:val="21"/>
              </w:rPr>
            </w:pPr>
            <w:r>
              <w:rPr>
                <w:rFonts w:hint="eastAsia" w:cs="宋体"/>
                <w:b/>
                <w:bCs/>
                <w:color w:val="auto"/>
                <w:sz w:val="24"/>
                <w:szCs w:val="21"/>
                <w:lang w:val="en-US" w:eastAsia="zh-CN"/>
              </w:rPr>
              <w:t>2、</w:t>
            </w:r>
            <w:r>
              <w:rPr>
                <w:rFonts w:hint="eastAsia" w:cs="宋体"/>
                <w:b/>
                <w:bCs/>
                <w:color w:val="auto"/>
                <w:sz w:val="24"/>
                <w:szCs w:val="21"/>
              </w:rPr>
              <w:t>竣工环境保护验收</w:t>
            </w:r>
          </w:p>
          <w:p>
            <w:pPr>
              <w:pStyle w:val="49"/>
              <w:spacing w:line="360" w:lineRule="auto"/>
              <w:ind w:firstLine="480" w:firstLineChars="200"/>
              <w:jc w:val="left"/>
              <w:rPr>
                <w:rFonts w:cs="宋体"/>
                <w:color w:val="auto"/>
                <w:sz w:val="24"/>
                <w:szCs w:val="21"/>
              </w:rPr>
            </w:pPr>
            <w:r>
              <w:rPr>
                <w:rFonts w:cs="宋体"/>
                <w:color w:val="auto"/>
                <w:sz w:val="24"/>
                <w:szCs w:val="21"/>
              </w:rPr>
              <w:t>建设项目需要配套建设的环境保护设施，必须与主体工程同时设计、同时施工、同步投产使用。建设单位应按照环境保护行政主管部门规定的标准和程序，对配套建设的环境保护设施进行验收，编制验收报告。除按照国家规定需要保密的情形外，建设单位应当依法向社会公开验收报告。建设项目配套建设的环境保护设施经验收合格，方可投入生产或者使用；未经验收或者验收不合格的，不得投入生产或者使用。</w:t>
            </w:r>
          </w:p>
          <w:p>
            <w:pPr>
              <w:pStyle w:val="49"/>
              <w:spacing w:line="360" w:lineRule="auto"/>
              <w:ind w:firstLine="480" w:firstLineChars="200"/>
              <w:jc w:val="left"/>
              <w:rPr>
                <w:rFonts w:cs="宋体"/>
                <w:color w:val="auto"/>
                <w:sz w:val="24"/>
                <w:szCs w:val="21"/>
              </w:rPr>
            </w:pPr>
            <w:r>
              <w:rPr>
                <w:rFonts w:hint="eastAsia" w:cs="宋体"/>
                <w:color w:val="auto"/>
                <w:sz w:val="24"/>
                <w:szCs w:val="21"/>
              </w:rPr>
              <w:t>项目所涉及的主要环保措施验收项目见下表：</w:t>
            </w:r>
          </w:p>
          <w:p>
            <w:pPr>
              <w:pStyle w:val="49"/>
              <w:keepNext w:val="0"/>
              <w:keepLines w:val="0"/>
              <w:pageBreakBefore w:val="0"/>
              <w:widowControl w:val="0"/>
              <w:kinsoku/>
              <w:wordWrap/>
              <w:overflowPunct/>
              <w:topLinePunct w:val="0"/>
              <w:autoSpaceDE/>
              <w:autoSpaceDN/>
              <w:bidi w:val="0"/>
              <w:adjustRightInd/>
              <w:snapToGrid/>
              <w:spacing w:line="240" w:lineRule="auto"/>
              <w:ind w:firstLine="482" w:firstLineChars="200"/>
              <w:jc w:val="center"/>
              <w:textAlignment w:val="auto"/>
              <w:rPr>
                <w:rFonts w:cs="宋体"/>
                <w:b/>
                <w:bCs/>
                <w:color w:val="auto"/>
                <w:sz w:val="24"/>
                <w:szCs w:val="21"/>
                <w:lang w:val="zh-CN"/>
              </w:rPr>
            </w:pPr>
            <w:r>
              <w:rPr>
                <w:rFonts w:hint="eastAsia" w:cs="宋体"/>
                <w:b/>
                <w:bCs/>
                <w:color w:val="auto"/>
                <w:sz w:val="24"/>
                <w:szCs w:val="21"/>
                <w:lang w:val="zh-CN"/>
              </w:rPr>
              <w:t>表</w:t>
            </w:r>
            <w:r>
              <w:rPr>
                <w:rFonts w:hint="eastAsia" w:cs="宋体"/>
                <w:b/>
                <w:bCs/>
                <w:color w:val="auto"/>
                <w:sz w:val="24"/>
                <w:szCs w:val="21"/>
                <w:lang w:val="en-US" w:eastAsia="zh-CN"/>
              </w:rPr>
              <w:t>5-3</w:t>
            </w:r>
            <w:r>
              <w:rPr>
                <w:rFonts w:hint="eastAsia" w:cs="宋体"/>
                <w:b/>
                <w:bCs/>
                <w:color w:val="auto"/>
                <w:sz w:val="24"/>
                <w:szCs w:val="21"/>
                <w:lang w:val="zh-CN"/>
              </w:rPr>
              <w:t xml:space="preserve"> </w:t>
            </w:r>
            <w:r>
              <w:rPr>
                <w:rFonts w:hint="eastAsia" w:cs="宋体"/>
                <w:b/>
                <w:bCs/>
                <w:color w:val="auto"/>
                <w:sz w:val="24"/>
                <w:szCs w:val="21"/>
              </w:rPr>
              <w:t>项目竣工</w:t>
            </w:r>
            <w:r>
              <w:rPr>
                <w:rFonts w:hint="eastAsia" w:cs="宋体"/>
                <w:b/>
                <w:bCs/>
                <w:color w:val="auto"/>
                <w:sz w:val="24"/>
                <w:szCs w:val="21"/>
                <w:lang w:val="zh-CN"/>
              </w:rPr>
              <w:t>环境保护验收一览表</w:t>
            </w:r>
          </w:p>
          <w:tbl>
            <w:tblPr>
              <w:tblStyle w:val="22"/>
              <w:tblW w:w="7916"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31"/>
              <w:gridCol w:w="1407"/>
              <w:gridCol w:w="1443"/>
              <w:gridCol w:w="2513"/>
              <w:gridCol w:w="212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blHeader/>
              </w:trPr>
              <w:tc>
                <w:tcPr>
                  <w:tcW w:w="431" w:type="dxa"/>
                  <w:tcBorders>
                    <w:tl2br w:val="nil"/>
                    <w:tr2bl w:val="nil"/>
                  </w:tcBorders>
                  <w:shd w:val="clear" w:color="auto" w:fill="auto"/>
                  <w:vAlign w:val="center"/>
                </w:tcPr>
                <w:p>
                  <w:pPr>
                    <w:adjustRightInd w:val="0"/>
                    <w:snapToGrid w:val="0"/>
                    <w:jc w:val="center"/>
                    <w:rPr>
                      <w:b/>
                      <w:bCs/>
                      <w:snapToGrid w:val="0"/>
                      <w:color w:val="auto"/>
                      <w:sz w:val="21"/>
                      <w:szCs w:val="21"/>
                    </w:rPr>
                  </w:pPr>
                  <w:r>
                    <w:rPr>
                      <w:rFonts w:hint="eastAsia"/>
                      <w:b/>
                      <w:bCs/>
                      <w:snapToGrid w:val="0"/>
                      <w:color w:val="auto"/>
                      <w:sz w:val="21"/>
                      <w:szCs w:val="21"/>
                    </w:rPr>
                    <w:t>项目</w:t>
                  </w:r>
                </w:p>
              </w:tc>
              <w:tc>
                <w:tcPr>
                  <w:tcW w:w="1407" w:type="dxa"/>
                  <w:tcBorders>
                    <w:tl2br w:val="nil"/>
                    <w:tr2bl w:val="nil"/>
                  </w:tcBorders>
                  <w:shd w:val="clear" w:color="auto" w:fill="auto"/>
                  <w:vAlign w:val="center"/>
                </w:tcPr>
                <w:p>
                  <w:pPr>
                    <w:jc w:val="center"/>
                    <w:rPr>
                      <w:b/>
                      <w:bCs/>
                      <w:color w:val="auto"/>
                      <w:sz w:val="21"/>
                      <w:szCs w:val="21"/>
                    </w:rPr>
                  </w:pPr>
                  <w:r>
                    <w:rPr>
                      <w:rFonts w:hint="eastAsia"/>
                      <w:b/>
                      <w:color w:val="auto"/>
                      <w:sz w:val="21"/>
                      <w:szCs w:val="21"/>
                    </w:rPr>
                    <w:t>排放源</w:t>
                  </w:r>
                </w:p>
              </w:tc>
              <w:tc>
                <w:tcPr>
                  <w:tcW w:w="1443" w:type="dxa"/>
                  <w:tcBorders>
                    <w:tl2br w:val="nil"/>
                    <w:tr2bl w:val="nil"/>
                  </w:tcBorders>
                  <w:shd w:val="clear" w:color="auto" w:fill="auto"/>
                  <w:vAlign w:val="center"/>
                </w:tcPr>
                <w:p>
                  <w:pPr>
                    <w:jc w:val="center"/>
                    <w:rPr>
                      <w:b/>
                      <w:bCs/>
                      <w:color w:val="auto"/>
                      <w:sz w:val="21"/>
                      <w:szCs w:val="21"/>
                    </w:rPr>
                  </w:pPr>
                  <w:r>
                    <w:rPr>
                      <w:rFonts w:hint="eastAsia"/>
                      <w:b/>
                      <w:color w:val="auto"/>
                      <w:sz w:val="21"/>
                      <w:szCs w:val="21"/>
                    </w:rPr>
                    <w:t>污染物名称</w:t>
                  </w:r>
                </w:p>
              </w:tc>
              <w:tc>
                <w:tcPr>
                  <w:tcW w:w="2513" w:type="dxa"/>
                  <w:tcBorders>
                    <w:tl2br w:val="nil"/>
                    <w:tr2bl w:val="nil"/>
                  </w:tcBorders>
                  <w:shd w:val="clear" w:color="auto" w:fill="auto"/>
                  <w:vAlign w:val="center"/>
                </w:tcPr>
                <w:p>
                  <w:pPr>
                    <w:adjustRightInd w:val="0"/>
                    <w:snapToGrid w:val="0"/>
                    <w:jc w:val="center"/>
                    <w:rPr>
                      <w:b/>
                      <w:bCs/>
                      <w:snapToGrid w:val="0"/>
                      <w:color w:val="auto"/>
                      <w:sz w:val="21"/>
                      <w:szCs w:val="21"/>
                    </w:rPr>
                  </w:pPr>
                  <w:r>
                    <w:rPr>
                      <w:rFonts w:hint="eastAsia"/>
                      <w:b/>
                      <w:bCs/>
                      <w:snapToGrid w:val="0"/>
                      <w:color w:val="auto"/>
                      <w:sz w:val="21"/>
                      <w:szCs w:val="21"/>
                    </w:rPr>
                    <w:t>环保措施</w:t>
                  </w:r>
                </w:p>
              </w:tc>
              <w:tc>
                <w:tcPr>
                  <w:tcW w:w="2122" w:type="dxa"/>
                  <w:tcBorders>
                    <w:tl2br w:val="nil"/>
                    <w:tr2bl w:val="nil"/>
                  </w:tcBorders>
                  <w:shd w:val="clear" w:color="auto" w:fill="auto"/>
                  <w:vAlign w:val="center"/>
                </w:tcPr>
                <w:p>
                  <w:pPr>
                    <w:adjustRightInd w:val="0"/>
                    <w:snapToGrid w:val="0"/>
                    <w:jc w:val="center"/>
                    <w:rPr>
                      <w:b/>
                      <w:bCs/>
                      <w:snapToGrid w:val="0"/>
                      <w:color w:val="auto"/>
                      <w:sz w:val="21"/>
                      <w:szCs w:val="21"/>
                    </w:rPr>
                  </w:pPr>
                  <w:r>
                    <w:rPr>
                      <w:rFonts w:hint="eastAsia"/>
                      <w:b/>
                      <w:bCs/>
                      <w:snapToGrid w:val="0"/>
                      <w:color w:val="auto"/>
                      <w:sz w:val="21"/>
                      <w:szCs w:val="21"/>
                    </w:rPr>
                    <w:t>验收标准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31" w:type="dxa"/>
                  <w:tcBorders>
                    <w:tl2br w:val="nil"/>
                    <w:tr2bl w:val="nil"/>
                  </w:tcBorders>
                  <w:vAlign w:val="center"/>
                </w:tcPr>
                <w:p>
                  <w:pPr>
                    <w:adjustRightInd w:val="0"/>
                    <w:snapToGrid w:val="0"/>
                    <w:jc w:val="center"/>
                    <w:rPr>
                      <w:snapToGrid w:val="0"/>
                      <w:color w:val="auto"/>
                      <w:sz w:val="21"/>
                      <w:szCs w:val="21"/>
                    </w:rPr>
                  </w:pPr>
                  <w:r>
                    <w:rPr>
                      <w:rFonts w:hint="eastAsia"/>
                      <w:snapToGrid w:val="0"/>
                      <w:color w:val="auto"/>
                      <w:sz w:val="21"/>
                      <w:szCs w:val="21"/>
                    </w:rPr>
                    <w:t>废气</w:t>
                  </w:r>
                </w:p>
              </w:tc>
              <w:tc>
                <w:tcPr>
                  <w:tcW w:w="1407" w:type="dxa"/>
                  <w:tcBorders>
                    <w:tl2br w:val="nil"/>
                    <w:tr2bl w:val="nil"/>
                  </w:tcBorders>
                  <w:vAlign w:val="center"/>
                </w:tcPr>
                <w:p>
                  <w:pPr>
                    <w:adjustRightInd w:val="0"/>
                    <w:snapToGrid w:val="0"/>
                    <w:jc w:val="center"/>
                    <w:rPr>
                      <w:color w:val="auto"/>
                      <w:sz w:val="21"/>
                      <w:szCs w:val="21"/>
                      <w:lang w:bidi="ar"/>
                    </w:rPr>
                  </w:pPr>
                  <w:r>
                    <w:rPr>
                      <w:rFonts w:hint="eastAsia"/>
                      <w:color w:val="auto"/>
                      <w:sz w:val="21"/>
                      <w:szCs w:val="21"/>
                    </w:rPr>
                    <w:t>无组织废气</w:t>
                  </w:r>
                </w:p>
              </w:tc>
              <w:tc>
                <w:tcPr>
                  <w:tcW w:w="1443" w:type="dxa"/>
                  <w:tcBorders>
                    <w:tl2br w:val="nil"/>
                    <w:tr2bl w:val="nil"/>
                  </w:tcBorders>
                  <w:vAlign w:val="center"/>
                </w:tcPr>
                <w:p>
                  <w:pPr>
                    <w:adjustRightInd w:val="0"/>
                    <w:snapToGrid w:val="0"/>
                    <w:jc w:val="center"/>
                    <w:rPr>
                      <w:rFonts w:hint="eastAsia" w:eastAsia="宋体"/>
                      <w:color w:val="auto"/>
                      <w:sz w:val="21"/>
                      <w:szCs w:val="21"/>
                      <w:lang w:eastAsia="zh-CN" w:bidi="ar"/>
                    </w:rPr>
                  </w:pPr>
                  <w:r>
                    <w:rPr>
                      <w:rFonts w:hint="eastAsia"/>
                      <w:color w:val="auto"/>
                      <w:sz w:val="21"/>
                      <w:szCs w:val="21"/>
                      <w:lang w:val="en-US" w:eastAsia="zh-CN" w:bidi="ar"/>
                    </w:rPr>
                    <w:t>/</w:t>
                  </w:r>
                </w:p>
              </w:tc>
              <w:tc>
                <w:tcPr>
                  <w:tcW w:w="2513" w:type="dxa"/>
                  <w:tcBorders>
                    <w:tl2br w:val="nil"/>
                    <w:tr2bl w:val="nil"/>
                  </w:tcBorders>
                  <w:vAlign w:val="center"/>
                </w:tcPr>
                <w:p>
                  <w:pPr>
                    <w:pStyle w:val="54"/>
                    <w:spacing w:before="48" w:after="48"/>
                    <w:ind w:firstLine="420" w:firstLineChars="200"/>
                    <w:rPr>
                      <w:rFonts w:hint="default" w:eastAsia="宋体"/>
                      <w:color w:val="auto"/>
                      <w:szCs w:val="21"/>
                      <w:lang w:val="en-US" w:eastAsia="zh-CN"/>
                    </w:rPr>
                  </w:pPr>
                  <w:r>
                    <w:rPr>
                      <w:rFonts w:hint="eastAsia"/>
                      <w:color w:val="auto"/>
                      <w:szCs w:val="21"/>
                      <w:lang w:val="en-US" w:eastAsia="zh-CN"/>
                    </w:rPr>
                    <w:t>/</w:t>
                  </w:r>
                </w:p>
              </w:tc>
              <w:tc>
                <w:tcPr>
                  <w:tcW w:w="2122" w:type="dxa"/>
                  <w:tcBorders>
                    <w:tl2br w:val="nil"/>
                    <w:tr2bl w:val="nil"/>
                  </w:tcBorders>
                  <w:vAlign w:val="center"/>
                </w:tcPr>
                <w:p>
                  <w:pPr>
                    <w:adjustRightInd w:val="0"/>
                    <w:snapToGrid w:val="0"/>
                    <w:jc w:val="center"/>
                    <w:rPr>
                      <w:bCs/>
                      <w:color w:val="auto"/>
                      <w:sz w:val="21"/>
                      <w:szCs w:val="21"/>
                    </w:rPr>
                  </w:pPr>
                  <w:r>
                    <w:rPr>
                      <w:rFonts w:hint="eastAsia"/>
                      <w:color w:val="auto"/>
                      <w:sz w:val="21"/>
                      <w:szCs w:val="21"/>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31" w:type="dxa"/>
                  <w:tcBorders>
                    <w:tl2br w:val="nil"/>
                    <w:tr2bl w:val="nil"/>
                  </w:tcBorders>
                  <w:vAlign w:val="center"/>
                </w:tcPr>
                <w:p>
                  <w:pPr>
                    <w:adjustRightInd w:val="0"/>
                    <w:snapToGrid w:val="0"/>
                    <w:jc w:val="center"/>
                    <w:rPr>
                      <w:snapToGrid w:val="0"/>
                      <w:color w:val="auto"/>
                      <w:sz w:val="21"/>
                      <w:szCs w:val="21"/>
                    </w:rPr>
                  </w:pPr>
                  <w:r>
                    <w:rPr>
                      <w:rFonts w:hint="eastAsia"/>
                      <w:snapToGrid w:val="0"/>
                      <w:color w:val="auto"/>
                      <w:sz w:val="21"/>
                      <w:szCs w:val="21"/>
                    </w:rPr>
                    <w:t>废水</w:t>
                  </w:r>
                </w:p>
              </w:tc>
              <w:tc>
                <w:tcPr>
                  <w:tcW w:w="1407" w:type="dxa"/>
                  <w:tcBorders>
                    <w:tl2br w:val="nil"/>
                    <w:tr2bl w:val="nil"/>
                  </w:tcBorders>
                  <w:vAlign w:val="center"/>
                </w:tcPr>
                <w:p>
                  <w:pPr>
                    <w:jc w:val="center"/>
                    <w:rPr>
                      <w:rFonts w:hint="default" w:eastAsia="宋体"/>
                      <w:color w:val="auto"/>
                      <w:sz w:val="21"/>
                      <w:szCs w:val="21"/>
                      <w:lang w:val="en-US" w:eastAsia="zh-CN"/>
                    </w:rPr>
                  </w:pPr>
                  <w:r>
                    <w:rPr>
                      <w:rFonts w:hint="eastAsia"/>
                      <w:color w:val="auto"/>
                      <w:sz w:val="21"/>
                      <w:szCs w:val="21"/>
                      <w:lang w:val="en-US" w:eastAsia="zh-CN"/>
                    </w:rPr>
                    <w:t>生活污水</w:t>
                  </w:r>
                </w:p>
              </w:tc>
              <w:tc>
                <w:tcPr>
                  <w:tcW w:w="1443" w:type="dxa"/>
                  <w:tcBorders>
                    <w:tl2br w:val="nil"/>
                    <w:tr2bl w:val="nil"/>
                  </w:tcBorders>
                  <w:vAlign w:val="center"/>
                </w:tcPr>
                <w:p>
                  <w:pPr>
                    <w:jc w:val="center"/>
                    <w:rPr>
                      <w:rFonts w:hint="default" w:eastAsia="宋体"/>
                      <w:color w:val="auto"/>
                      <w:sz w:val="21"/>
                      <w:szCs w:val="21"/>
                      <w:lang w:val="en-US" w:eastAsia="zh-CN"/>
                    </w:rPr>
                  </w:pPr>
                  <w:r>
                    <w:rPr>
                      <w:rFonts w:hint="eastAsia"/>
                      <w:color w:val="auto"/>
                      <w:sz w:val="21"/>
                      <w:szCs w:val="21"/>
                    </w:rPr>
                    <w:t>pH、COD、BOD</w:t>
                  </w:r>
                  <w:r>
                    <w:rPr>
                      <w:color w:val="auto"/>
                      <w:sz w:val="21"/>
                      <w:szCs w:val="21"/>
                      <w:vertAlign w:val="subscript"/>
                    </w:rPr>
                    <w:t>5</w:t>
                  </w:r>
                  <w:r>
                    <w:rPr>
                      <w:rFonts w:hint="eastAsia"/>
                      <w:color w:val="auto"/>
                      <w:sz w:val="21"/>
                      <w:szCs w:val="21"/>
                    </w:rPr>
                    <w:t>、SS、NH</w:t>
                  </w:r>
                  <w:r>
                    <w:rPr>
                      <w:color w:val="auto"/>
                      <w:sz w:val="21"/>
                      <w:szCs w:val="21"/>
                      <w:vertAlign w:val="subscript"/>
                    </w:rPr>
                    <w:t>3</w:t>
                  </w:r>
                  <w:r>
                    <w:rPr>
                      <w:color w:val="auto"/>
                      <w:sz w:val="21"/>
                      <w:szCs w:val="21"/>
                    </w:rPr>
                    <w:t>-N</w:t>
                  </w:r>
                  <w:r>
                    <w:rPr>
                      <w:rFonts w:hint="eastAsia"/>
                      <w:color w:val="auto"/>
                      <w:sz w:val="21"/>
                      <w:szCs w:val="21"/>
                      <w:lang w:val="en-US" w:eastAsia="zh-CN"/>
                    </w:rPr>
                    <w:t>、TP</w:t>
                  </w:r>
                </w:p>
              </w:tc>
              <w:tc>
                <w:tcPr>
                  <w:tcW w:w="2513" w:type="dxa"/>
                  <w:tcBorders>
                    <w:tl2br w:val="nil"/>
                    <w:tr2bl w:val="nil"/>
                  </w:tcBorders>
                  <w:vAlign w:val="center"/>
                </w:tcPr>
                <w:p>
                  <w:pPr>
                    <w:adjustRightInd w:val="0"/>
                    <w:snapToGrid w:val="0"/>
                    <w:jc w:val="center"/>
                    <w:rPr>
                      <w:rFonts w:hint="default" w:ascii="Times New Roman" w:hAnsi="Times New Roman" w:cs="Times New Roman"/>
                      <w:snapToGrid w:val="0"/>
                      <w:color w:val="auto"/>
                      <w:sz w:val="21"/>
                      <w:szCs w:val="21"/>
                      <w:lang w:val="en-US"/>
                    </w:rPr>
                  </w:pPr>
                  <w:r>
                    <w:rPr>
                      <w:rFonts w:hint="eastAsia" w:ascii="Times New Roman" w:hAnsi="Times New Roman" w:cs="Times New Roman"/>
                      <w:snapToGrid w:val="0"/>
                      <w:color w:val="auto"/>
                      <w:sz w:val="21"/>
                      <w:szCs w:val="21"/>
                      <w:lang w:val="en-US" w:eastAsia="zh-CN"/>
                    </w:rPr>
                    <w:t>化粪池+市政污水管网</w:t>
                  </w:r>
                </w:p>
              </w:tc>
              <w:tc>
                <w:tcPr>
                  <w:tcW w:w="2122" w:type="dxa"/>
                  <w:tcBorders>
                    <w:tl2br w:val="nil"/>
                    <w:tr2bl w:val="nil"/>
                  </w:tcBorders>
                  <w:vAlign w:val="center"/>
                </w:tcPr>
                <w:p>
                  <w:pPr>
                    <w:adjustRightInd w:val="0"/>
                    <w:snapToGrid w:val="0"/>
                    <w:jc w:val="center"/>
                    <w:rPr>
                      <w:rFonts w:hint="default" w:ascii="Times New Roman" w:hAnsi="Times New Roman" w:cs="Times New Roman"/>
                      <w:snapToGrid w:val="0"/>
                      <w:color w:val="auto"/>
                      <w:sz w:val="21"/>
                      <w:szCs w:val="21"/>
                      <w:lang w:val="en-US"/>
                    </w:rPr>
                  </w:pPr>
                  <w:r>
                    <w:rPr>
                      <w:rFonts w:hint="eastAsia" w:ascii="Times New Roman" w:hAnsi="Times New Roman" w:cs="Times New Roman"/>
                      <w:snapToGrid w:val="0"/>
                      <w:color w:val="auto"/>
                      <w:sz w:val="21"/>
                      <w:szCs w:val="21"/>
                      <w:lang w:val="en-US" w:eastAsia="zh-CN"/>
                    </w:rPr>
                    <w:t>华容县团洲乡团洲新村污水处理厂进水水质标准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31" w:type="dxa"/>
                  <w:tcBorders>
                    <w:tl2br w:val="nil"/>
                    <w:tr2bl w:val="nil"/>
                  </w:tcBorders>
                  <w:vAlign w:val="center"/>
                </w:tcPr>
                <w:p>
                  <w:pPr>
                    <w:adjustRightInd w:val="0"/>
                    <w:snapToGrid w:val="0"/>
                    <w:jc w:val="center"/>
                    <w:rPr>
                      <w:snapToGrid w:val="0"/>
                      <w:color w:val="auto"/>
                      <w:sz w:val="21"/>
                      <w:szCs w:val="21"/>
                    </w:rPr>
                  </w:pPr>
                  <w:r>
                    <w:rPr>
                      <w:rFonts w:hint="eastAsia"/>
                      <w:snapToGrid w:val="0"/>
                      <w:color w:val="auto"/>
                      <w:sz w:val="21"/>
                      <w:szCs w:val="21"/>
                    </w:rPr>
                    <w:t>噪声</w:t>
                  </w:r>
                </w:p>
              </w:tc>
              <w:tc>
                <w:tcPr>
                  <w:tcW w:w="1407" w:type="dxa"/>
                  <w:tcBorders>
                    <w:tl2br w:val="nil"/>
                    <w:tr2bl w:val="nil"/>
                  </w:tcBorders>
                  <w:vAlign w:val="center"/>
                </w:tcPr>
                <w:p>
                  <w:pPr>
                    <w:adjustRightInd w:val="0"/>
                    <w:snapToGrid w:val="0"/>
                    <w:jc w:val="center"/>
                    <w:rPr>
                      <w:snapToGrid w:val="0"/>
                      <w:color w:val="auto"/>
                      <w:sz w:val="21"/>
                      <w:szCs w:val="21"/>
                    </w:rPr>
                  </w:pPr>
                  <w:r>
                    <w:rPr>
                      <w:rFonts w:hint="eastAsia"/>
                      <w:snapToGrid w:val="0"/>
                      <w:color w:val="auto"/>
                      <w:sz w:val="21"/>
                      <w:szCs w:val="21"/>
                    </w:rPr>
                    <w:t>机械设备</w:t>
                  </w:r>
                </w:p>
              </w:tc>
              <w:tc>
                <w:tcPr>
                  <w:tcW w:w="1443" w:type="dxa"/>
                  <w:tcBorders>
                    <w:tl2br w:val="nil"/>
                    <w:tr2bl w:val="nil"/>
                  </w:tcBorders>
                  <w:vAlign w:val="center"/>
                </w:tcPr>
                <w:p>
                  <w:pPr>
                    <w:adjustRightInd w:val="0"/>
                    <w:snapToGrid w:val="0"/>
                    <w:jc w:val="center"/>
                    <w:rPr>
                      <w:snapToGrid w:val="0"/>
                      <w:color w:val="auto"/>
                      <w:sz w:val="21"/>
                      <w:szCs w:val="21"/>
                    </w:rPr>
                  </w:pPr>
                  <w:r>
                    <w:rPr>
                      <w:rFonts w:hint="eastAsia"/>
                      <w:snapToGrid w:val="0"/>
                      <w:color w:val="auto"/>
                      <w:sz w:val="21"/>
                      <w:szCs w:val="21"/>
                    </w:rPr>
                    <w:t>设备噪声</w:t>
                  </w:r>
                </w:p>
              </w:tc>
              <w:tc>
                <w:tcPr>
                  <w:tcW w:w="2513" w:type="dxa"/>
                  <w:tcBorders>
                    <w:tl2br w:val="nil"/>
                    <w:tr2bl w:val="nil"/>
                  </w:tcBorders>
                  <w:vAlign w:val="center"/>
                </w:tcPr>
                <w:p>
                  <w:pPr>
                    <w:adjustRightInd w:val="0"/>
                    <w:snapToGrid w:val="0"/>
                    <w:jc w:val="center"/>
                    <w:rPr>
                      <w:snapToGrid w:val="0"/>
                      <w:color w:val="auto"/>
                      <w:sz w:val="21"/>
                      <w:szCs w:val="21"/>
                    </w:rPr>
                  </w:pPr>
                  <w:r>
                    <w:rPr>
                      <w:rFonts w:hint="eastAsia"/>
                      <w:snapToGrid w:val="0"/>
                      <w:color w:val="auto"/>
                      <w:sz w:val="21"/>
                      <w:szCs w:val="21"/>
                    </w:rPr>
                    <w:t>低噪声设备、基础减振、厂房隔声</w:t>
                  </w:r>
                </w:p>
              </w:tc>
              <w:tc>
                <w:tcPr>
                  <w:tcW w:w="2122" w:type="dxa"/>
                  <w:tcBorders>
                    <w:tl2br w:val="nil"/>
                    <w:tr2bl w:val="nil"/>
                  </w:tcBorders>
                  <w:vAlign w:val="center"/>
                </w:tcPr>
                <w:p>
                  <w:pPr>
                    <w:adjustRightInd w:val="0"/>
                    <w:snapToGrid w:val="0"/>
                    <w:jc w:val="center"/>
                    <w:rPr>
                      <w:snapToGrid w:val="0"/>
                      <w:color w:val="auto"/>
                      <w:sz w:val="21"/>
                      <w:szCs w:val="21"/>
                    </w:rPr>
                  </w:pPr>
                  <w:r>
                    <w:rPr>
                      <w:rFonts w:hint="eastAsia"/>
                      <w:snapToGrid w:val="0"/>
                      <w:color w:val="auto"/>
                      <w:sz w:val="21"/>
                      <w:szCs w:val="21"/>
                    </w:rPr>
                    <w:t>厂界噪声执行《工业企业厂界环境噪声排放标准》</w:t>
                  </w:r>
                  <w:r>
                    <w:rPr>
                      <w:snapToGrid w:val="0"/>
                      <w:color w:val="auto"/>
                      <w:sz w:val="21"/>
                      <w:szCs w:val="21"/>
                    </w:rPr>
                    <w:t xml:space="preserve"> </w:t>
                  </w:r>
                  <w:r>
                    <w:rPr>
                      <w:rFonts w:hint="eastAsia"/>
                      <w:snapToGrid w:val="0"/>
                      <w:color w:val="auto"/>
                      <w:sz w:val="21"/>
                      <w:szCs w:val="21"/>
                    </w:rPr>
                    <w:t>（GB12348</w:t>
                  </w:r>
                  <w:r>
                    <w:rPr>
                      <w:rFonts w:hint="eastAsia"/>
                      <w:snapToGrid w:val="0"/>
                      <w:color w:val="auto"/>
                      <w:sz w:val="21"/>
                      <w:szCs w:val="21"/>
                      <w:lang w:val="en-US" w:eastAsia="zh-CN"/>
                    </w:rPr>
                    <w:t xml:space="preserve"> </w:t>
                  </w:r>
                  <w:r>
                    <w:rPr>
                      <w:rFonts w:hint="eastAsia"/>
                      <w:snapToGrid w:val="0"/>
                      <w:color w:val="auto"/>
                      <w:sz w:val="21"/>
                      <w:szCs w:val="21"/>
                    </w:rPr>
                    <w:t>-2008）中</w:t>
                  </w:r>
                  <w:r>
                    <w:rPr>
                      <w:snapToGrid w:val="0"/>
                      <w:color w:val="auto"/>
                      <w:sz w:val="21"/>
                      <w:szCs w:val="21"/>
                    </w:rPr>
                    <w:t xml:space="preserve"> 2</w:t>
                  </w:r>
                  <w:r>
                    <w:rPr>
                      <w:rFonts w:hint="eastAsia"/>
                      <w:snapToGrid w:val="0"/>
                      <w:color w:val="auto"/>
                      <w:sz w:val="21"/>
                      <w:szCs w:val="21"/>
                    </w:rPr>
                    <w:t>类标准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31" w:type="dxa"/>
                  <w:tcBorders>
                    <w:tl2br w:val="nil"/>
                    <w:tr2bl w:val="nil"/>
                  </w:tcBorders>
                  <w:vAlign w:val="center"/>
                </w:tcPr>
                <w:p>
                  <w:pPr>
                    <w:autoSpaceDE w:val="0"/>
                    <w:autoSpaceDN w:val="0"/>
                    <w:adjustRightInd w:val="0"/>
                    <w:snapToGrid w:val="0"/>
                    <w:jc w:val="center"/>
                    <w:rPr>
                      <w:bCs/>
                      <w:color w:val="auto"/>
                      <w:kern w:val="0"/>
                      <w:sz w:val="21"/>
                      <w:szCs w:val="21"/>
                    </w:rPr>
                  </w:pPr>
                  <w:r>
                    <w:rPr>
                      <w:rFonts w:hint="eastAsia"/>
                      <w:bCs/>
                      <w:color w:val="auto"/>
                      <w:kern w:val="0"/>
                      <w:sz w:val="21"/>
                      <w:szCs w:val="21"/>
                    </w:rPr>
                    <w:t>固废</w:t>
                  </w:r>
                </w:p>
              </w:tc>
              <w:tc>
                <w:tcPr>
                  <w:tcW w:w="1407" w:type="dxa"/>
                  <w:tcBorders>
                    <w:tl2br w:val="nil"/>
                    <w:tr2bl w:val="nil"/>
                  </w:tcBorders>
                  <w:vAlign w:val="center"/>
                </w:tcPr>
                <w:p>
                  <w:pPr>
                    <w:autoSpaceDE w:val="0"/>
                    <w:autoSpaceDN w:val="0"/>
                    <w:adjustRightInd w:val="0"/>
                    <w:snapToGrid w:val="0"/>
                    <w:jc w:val="center"/>
                    <w:rPr>
                      <w:rFonts w:hint="default" w:eastAsia="宋体"/>
                      <w:bCs/>
                      <w:color w:val="auto"/>
                      <w:kern w:val="0"/>
                      <w:sz w:val="21"/>
                      <w:szCs w:val="21"/>
                      <w:lang w:val="en-US" w:eastAsia="zh-CN"/>
                    </w:rPr>
                  </w:pPr>
                  <w:r>
                    <w:rPr>
                      <w:rFonts w:hint="eastAsia"/>
                      <w:bCs/>
                      <w:color w:val="auto"/>
                      <w:kern w:val="0"/>
                      <w:sz w:val="21"/>
                      <w:szCs w:val="21"/>
                      <w:lang w:val="en-US" w:eastAsia="zh-CN"/>
                    </w:rPr>
                    <w:t>生活垃圾</w:t>
                  </w:r>
                </w:p>
              </w:tc>
              <w:tc>
                <w:tcPr>
                  <w:tcW w:w="1443" w:type="dxa"/>
                  <w:tcBorders>
                    <w:tl2br w:val="nil"/>
                    <w:tr2bl w:val="nil"/>
                  </w:tcBorders>
                  <w:vAlign w:val="center"/>
                </w:tcPr>
                <w:p>
                  <w:pPr>
                    <w:adjustRightInd w:val="0"/>
                    <w:snapToGrid w:val="0"/>
                    <w:jc w:val="center"/>
                    <w:rPr>
                      <w:rFonts w:hint="default" w:eastAsia="宋体"/>
                      <w:snapToGrid w:val="0"/>
                      <w:color w:val="auto"/>
                      <w:sz w:val="21"/>
                      <w:szCs w:val="21"/>
                      <w:lang w:val="en-US" w:eastAsia="zh-CN"/>
                    </w:rPr>
                  </w:pPr>
                  <w:r>
                    <w:rPr>
                      <w:rFonts w:hint="eastAsia"/>
                      <w:snapToGrid w:val="0"/>
                      <w:color w:val="auto"/>
                      <w:sz w:val="21"/>
                      <w:szCs w:val="21"/>
                      <w:lang w:val="en-US" w:eastAsia="zh-CN"/>
                    </w:rPr>
                    <w:t>果皮、纸张等</w:t>
                  </w:r>
                </w:p>
              </w:tc>
              <w:tc>
                <w:tcPr>
                  <w:tcW w:w="2513" w:type="dxa"/>
                  <w:tcBorders>
                    <w:tl2br w:val="nil"/>
                    <w:tr2bl w:val="nil"/>
                  </w:tcBorders>
                  <w:vAlign w:val="center"/>
                </w:tcPr>
                <w:p>
                  <w:pPr>
                    <w:adjustRightInd w:val="0"/>
                    <w:snapToGrid w:val="0"/>
                    <w:jc w:val="center"/>
                    <w:rPr>
                      <w:snapToGrid w:val="0"/>
                      <w:color w:val="auto"/>
                      <w:sz w:val="21"/>
                      <w:szCs w:val="21"/>
                    </w:rPr>
                  </w:pPr>
                </w:p>
                <w:p>
                  <w:pPr>
                    <w:adjustRightInd w:val="0"/>
                    <w:snapToGrid w:val="0"/>
                    <w:jc w:val="center"/>
                    <w:rPr>
                      <w:rFonts w:hint="default"/>
                      <w:snapToGrid w:val="0"/>
                      <w:color w:val="auto"/>
                      <w:sz w:val="21"/>
                      <w:szCs w:val="21"/>
                      <w:lang w:val="en-US"/>
                    </w:rPr>
                  </w:pPr>
                  <w:r>
                    <w:rPr>
                      <w:rFonts w:hint="eastAsia"/>
                      <w:snapToGrid w:val="0"/>
                      <w:color w:val="auto"/>
                      <w:sz w:val="21"/>
                      <w:szCs w:val="21"/>
                      <w:lang w:val="en-US" w:eastAsia="zh-CN"/>
                    </w:rPr>
                    <w:t>分类收集垃圾桶+环卫及时清运</w:t>
                  </w:r>
                </w:p>
              </w:tc>
              <w:tc>
                <w:tcPr>
                  <w:tcW w:w="2122" w:type="dxa"/>
                  <w:tcBorders>
                    <w:tl2br w:val="nil"/>
                    <w:tr2bl w:val="nil"/>
                  </w:tcBorders>
                  <w:vAlign w:val="center"/>
                </w:tcPr>
                <w:p>
                  <w:pPr>
                    <w:adjustRightInd w:val="0"/>
                    <w:snapToGrid w:val="0"/>
                    <w:jc w:val="center"/>
                    <w:rPr>
                      <w:rFonts w:hint="eastAsia" w:eastAsia="宋体"/>
                      <w:snapToGrid w:val="0"/>
                      <w:color w:val="auto"/>
                      <w:sz w:val="21"/>
                      <w:szCs w:val="21"/>
                      <w:lang w:val="en-US" w:eastAsia="zh-CN"/>
                    </w:rPr>
                  </w:pPr>
                  <w:r>
                    <w:rPr>
                      <w:rFonts w:hint="eastAsia"/>
                      <w:snapToGrid w:val="0"/>
                      <w:color w:val="auto"/>
                      <w:sz w:val="21"/>
                      <w:szCs w:val="21"/>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31" w:type="dxa"/>
                  <w:tcBorders>
                    <w:tl2br w:val="nil"/>
                    <w:tr2bl w:val="nil"/>
                  </w:tcBorders>
                  <w:vAlign w:val="center"/>
                </w:tcPr>
                <w:p>
                  <w:pPr>
                    <w:autoSpaceDE w:val="0"/>
                    <w:autoSpaceDN w:val="0"/>
                    <w:adjustRightInd w:val="0"/>
                    <w:snapToGrid w:val="0"/>
                    <w:jc w:val="center"/>
                    <w:rPr>
                      <w:rFonts w:hint="eastAsia" w:eastAsia="宋体"/>
                      <w:bCs/>
                      <w:color w:val="auto"/>
                      <w:kern w:val="0"/>
                      <w:sz w:val="21"/>
                      <w:szCs w:val="21"/>
                      <w:lang w:val="en-US" w:eastAsia="zh-CN"/>
                    </w:rPr>
                  </w:pPr>
                  <w:r>
                    <w:rPr>
                      <w:rFonts w:hint="eastAsia"/>
                      <w:bCs/>
                      <w:color w:val="auto"/>
                      <w:kern w:val="0"/>
                      <w:sz w:val="21"/>
                      <w:szCs w:val="21"/>
                      <w:lang w:val="en-US" w:eastAsia="zh-CN"/>
                    </w:rPr>
                    <w:t>其他</w:t>
                  </w:r>
                </w:p>
              </w:tc>
              <w:tc>
                <w:tcPr>
                  <w:tcW w:w="1407" w:type="dxa"/>
                  <w:tcBorders>
                    <w:tl2br w:val="nil"/>
                    <w:tr2bl w:val="nil"/>
                  </w:tcBorders>
                  <w:vAlign w:val="center"/>
                </w:tcPr>
                <w:p>
                  <w:pPr>
                    <w:autoSpaceDE w:val="0"/>
                    <w:autoSpaceDN w:val="0"/>
                    <w:adjustRightInd w:val="0"/>
                    <w:snapToGrid w:val="0"/>
                    <w:jc w:val="center"/>
                    <w:rPr>
                      <w:rFonts w:hint="default"/>
                      <w:bCs/>
                      <w:color w:val="auto"/>
                      <w:kern w:val="0"/>
                      <w:sz w:val="21"/>
                      <w:szCs w:val="21"/>
                      <w:lang w:val="en-US" w:eastAsia="zh-CN"/>
                    </w:rPr>
                  </w:pPr>
                  <w:r>
                    <w:rPr>
                      <w:rFonts w:hint="eastAsia"/>
                      <w:bCs/>
                      <w:color w:val="auto"/>
                      <w:kern w:val="0"/>
                      <w:sz w:val="21"/>
                      <w:szCs w:val="21"/>
                      <w:lang w:val="en-US" w:eastAsia="zh-CN"/>
                    </w:rPr>
                    <w:t>/</w:t>
                  </w:r>
                </w:p>
              </w:tc>
              <w:tc>
                <w:tcPr>
                  <w:tcW w:w="1443" w:type="dxa"/>
                  <w:tcBorders>
                    <w:tl2br w:val="nil"/>
                    <w:tr2bl w:val="nil"/>
                  </w:tcBorders>
                  <w:vAlign w:val="center"/>
                </w:tcPr>
                <w:p>
                  <w:pPr>
                    <w:adjustRightInd w:val="0"/>
                    <w:snapToGrid w:val="0"/>
                    <w:jc w:val="center"/>
                    <w:rPr>
                      <w:rFonts w:hint="default"/>
                      <w:snapToGrid w:val="0"/>
                      <w:color w:val="auto"/>
                      <w:sz w:val="21"/>
                      <w:szCs w:val="21"/>
                      <w:lang w:val="en-US" w:eastAsia="zh-CN"/>
                    </w:rPr>
                  </w:pPr>
                  <w:r>
                    <w:rPr>
                      <w:rFonts w:hint="eastAsia"/>
                      <w:snapToGrid w:val="0"/>
                      <w:color w:val="auto"/>
                      <w:sz w:val="21"/>
                      <w:szCs w:val="21"/>
                      <w:lang w:val="en-US" w:eastAsia="zh-CN"/>
                    </w:rPr>
                    <w:t>项目建设占地</w:t>
                  </w:r>
                </w:p>
              </w:tc>
              <w:tc>
                <w:tcPr>
                  <w:tcW w:w="2513" w:type="dxa"/>
                  <w:tcBorders>
                    <w:tl2br w:val="nil"/>
                    <w:tr2bl w:val="nil"/>
                  </w:tcBorders>
                  <w:vAlign w:val="center"/>
                </w:tcPr>
                <w:p>
                  <w:pPr>
                    <w:adjustRightInd w:val="0"/>
                    <w:snapToGrid w:val="0"/>
                    <w:jc w:val="center"/>
                    <w:rPr>
                      <w:rFonts w:hint="default"/>
                      <w:snapToGrid w:val="0"/>
                      <w:color w:val="auto"/>
                      <w:sz w:val="21"/>
                      <w:szCs w:val="21"/>
                      <w:lang w:val="en-US" w:eastAsia="zh-CN"/>
                    </w:rPr>
                  </w:pPr>
                  <w:r>
                    <w:rPr>
                      <w:rFonts w:hint="eastAsia"/>
                      <w:snapToGrid w:val="0"/>
                      <w:color w:val="auto"/>
                      <w:sz w:val="21"/>
                      <w:szCs w:val="21"/>
                      <w:lang w:val="en-US" w:eastAsia="zh-CN"/>
                    </w:rPr>
                    <w:t>加强绿化、加强管理</w:t>
                  </w:r>
                </w:p>
              </w:tc>
              <w:tc>
                <w:tcPr>
                  <w:tcW w:w="2122" w:type="dxa"/>
                  <w:tcBorders>
                    <w:tl2br w:val="nil"/>
                    <w:tr2bl w:val="nil"/>
                  </w:tcBorders>
                  <w:vAlign w:val="center"/>
                </w:tcPr>
                <w:p>
                  <w:pPr>
                    <w:adjustRightInd w:val="0"/>
                    <w:snapToGrid w:val="0"/>
                    <w:jc w:val="center"/>
                    <w:rPr>
                      <w:rFonts w:hint="default"/>
                      <w:snapToGrid w:val="0"/>
                      <w:color w:val="auto"/>
                      <w:sz w:val="21"/>
                      <w:szCs w:val="21"/>
                      <w:lang w:val="en-US" w:eastAsia="zh-CN"/>
                    </w:rPr>
                  </w:pPr>
                  <w:r>
                    <w:rPr>
                      <w:rFonts w:hint="eastAsia"/>
                      <w:snapToGrid w:val="0"/>
                      <w:color w:val="auto"/>
                      <w:sz w:val="21"/>
                      <w:szCs w:val="21"/>
                      <w:lang w:val="en-US" w:eastAsia="zh-CN"/>
                    </w:rPr>
                    <w:t>绿化率达到20.10%以上</w:t>
                  </w:r>
                </w:p>
              </w:tc>
            </w:tr>
          </w:tbl>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20" w:firstLineChars="200"/>
              <w:textAlignment w:val="auto"/>
              <w:rPr>
                <w:rFonts w:hint="default" w:ascii="Times New Roman" w:hAnsi="Times New Roman" w:eastAsia="宋体" w:cs="Times New Roman"/>
                <w:bCs/>
                <w:color w:val="auto"/>
                <w:spacing w:val="1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20" w:firstLineChars="200"/>
              <w:textAlignment w:val="auto"/>
              <w:rPr>
                <w:rFonts w:hint="default" w:ascii="Times New Roman" w:hAnsi="Times New Roman" w:eastAsia="宋体" w:cs="Times New Roman"/>
                <w:bCs/>
                <w:color w:val="auto"/>
                <w:spacing w:val="1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20" w:firstLineChars="200"/>
              <w:textAlignment w:val="auto"/>
              <w:rPr>
                <w:rFonts w:hint="default" w:ascii="Times New Roman" w:hAnsi="Times New Roman" w:eastAsia="宋体" w:cs="Times New Roman"/>
                <w:bCs/>
                <w:color w:val="auto"/>
                <w:spacing w:val="1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20" w:firstLineChars="200"/>
              <w:textAlignment w:val="auto"/>
              <w:rPr>
                <w:rFonts w:hint="default" w:ascii="Times New Roman" w:hAnsi="Times New Roman" w:eastAsia="宋体" w:cs="Times New Roman"/>
                <w:bCs/>
                <w:color w:val="auto"/>
                <w:spacing w:val="10"/>
                <w:sz w:val="24"/>
                <w:szCs w:val="24"/>
                <w:lang w:val="en-US" w:eastAsia="zh-CN"/>
              </w:rPr>
            </w:pPr>
          </w:p>
        </w:tc>
      </w:tr>
    </w:tbl>
    <w:p>
      <w:pPr>
        <w:rPr>
          <w:rFonts w:hint="eastAsia" w:ascii="黑体" w:hAnsi="黑体" w:eastAsia="黑体"/>
          <w:snapToGrid w:val="0"/>
          <w:color w:val="auto"/>
          <w:sz w:val="30"/>
          <w:szCs w:val="30"/>
        </w:rPr>
      </w:pPr>
    </w:p>
    <w:p>
      <w:pPr>
        <w:rPr>
          <w:rFonts w:hint="eastAsia" w:ascii="黑体" w:hAnsi="黑体" w:eastAsia="黑体"/>
          <w:snapToGrid w:val="0"/>
          <w:color w:val="auto"/>
          <w:sz w:val="30"/>
          <w:szCs w:val="30"/>
        </w:rPr>
      </w:pPr>
      <w:r>
        <w:rPr>
          <w:rFonts w:hint="eastAsia" w:ascii="黑体" w:hAnsi="黑体" w:eastAsia="黑体"/>
          <w:snapToGrid w:val="0"/>
          <w:color w:val="auto"/>
          <w:sz w:val="30"/>
          <w:szCs w:val="30"/>
        </w:rPr>
        <w:br w:type="page"/>
      </w:r>
    </w:p>
    <w:bookmarkEnd w:id="19"/>
    <w:p>
      <w:pPr>
        <w:keepNext w:val="0"/>
        <w:keepLines w:val="0"/>
        <w:pageBreakBefore w:val="0"/>
        <w:widowControl w:val="0"/>
        <w:numPr>
          <w:ilvl w:val="0"/>
          <w:numId w:val="5"/>
        </w:numPr>
        <w:kinsoku/>
        <w:wordWrap/>
        <w:overflowPunct/>
        <w:topLinePunct w:val="0"/>
        <w:autoSpaceDE/>
        <w:autoSpaceDN/>
        <w:bidi w:val="0"/>
        <w:adjustRightInd w:val="0"/>
        <w:snapToGrid w:val="0"/>
        <w:ind w:firstLine="0" w:firstLineChars="0"/>
        <w:jc w:val="center"/>
        <w:textAlignment w:val="auto"/>
        <w:outlineLvl w:val="0"/>
        <w:rPr>
          <w:rFonts w:hint="default" w:ascii="Times New Roman" w:hAnsi="Times New Roman" w:eastAsia="黑体" w:cs="Times New Roman"/>
          <w:snapToGrid w:val="0"/>
          <w:color w:val="auto"/>
          <w:sz w:val="30"/>
          <w:szCs w:val="30"/>
        </w:rPr>
      </w:pPr>
      <w:bookmarkStart w:id="20" w:name="_Toc16874"/>
      <w:bookmarkStart w:id="21" w:name="_Toc19557"/>
      <w:bookmarkStart w:id="22" w:name="_Toc2708"/>
      <w:bookmarkStart w:id="23" w:name="_Toc21961"/>
      <w:bookmarkStart w:id="24" w:name="_Toc20635"/>
      <w:bookmarkStart w:id="25" w:name="_Toc16573"/>
      <w:bookmarkStart w:id="26" w:name="_Toc11421"/>
      <w:bookmarkStart w:id="27" w:name="_Toc32340"/>
      <w:bookmarkStart w:id="28" w:name="_Toc10235"/>
      <w:bookmarkStart w:id="29" w:name="_Toc12760"/>
      <w:r>
        <w:rPr>
          <w:rFonts w:hint="default" w:ascii="Times New Roman" w:hAnsi="Times New Roman" w:eastAsia="黑体" w:cs="Times New Roman"/>
          <w:snapToGrid w:val="0"/>
          <w:color w:val="auto"/>
          <w:sz w:val="30"/>
          <w:szCs w:val="30"/>
        </w:rPr>
        <w:t>生态环境保护措施监督检查清单</w:t>
      </w:r>
      <w:bookmarkEnd w:id="20"/>
      <w:bookmarkEnd w:id="21"/>
      <w:bookmarkEnd w:id="22"/>
      <w:bookmarkEnd w:id="23"/>
      <w:bookmarkEnd w:id="24"/>
      <w:bookmarkEnd w:id="25"/>
      <w:bookmarkEnd w:id="26"/>
      <w:bookmarkEnd w:id="27"/>
      <w:bookmarkEnd w:id="28"/>
      <w:bookmarkEnd w:id="29"/>
    </w:p>
    <w:p>
      <w:pPr>
        <w:keepNext w:val="0"/>
        <w:keepLines w:val="0"/>
        <w:pageBreakBefore w:val="0"/>
        <w:widowControl w:val="0"/>
        <w:numPr>
          <w:ilvl w:val="0"/>
          <w:numId w:val="0"/>
        </w:numPr>
        <w:kinsoku/>
        <w:wordWrap/>
        <w:overflowPunct/>
        <w:topLinePunct w:val="0"/>
        <w:autoSpaceDE/>
        <w:autoSpaceDN/>
        <w:bidi w:val="0"/>
        <w:adjustRightInd w:val="0"/>
        <w:snapToGrid w:val="0"/>
        <w:jc w:val="center"/>
        <w:textAlignment w:val="auto"/>
        <w:outlineLvl w:val="0"/>
        <w:rPr>
          <w:rFonts w:hint="default" w:ascii="Times New Roman" w:hAnsi="Times New Roman" w:eastAsia="黑体" w:cs="Times New Roman"/>
          <w:snapToGrid w:val="0"/>
          <w:color w:val="auto"/>
          <w:sz w:val="30"/>
          <w:szCs w:val="30"/>
        </w:rPr>
      </w:pPr>
    </w:p>
    <w:tbl>
      <w:tblPr>
        <w:tblStyle w:val="2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59"/>
        <w:gridCol w:w="2705"/>
        <w:gridCol w:w="1180"/>
        <w:gridCol w:w="2388"/>
        <w:gridCol w:w="119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059" w:type="dxa"/>
            <w:vMerge w:val="restart"/>
            <w:tcBorders>
              <w:tl2br w:val="single" w:color="auto" w:sz="4" w:space="0"/>
            </w:tcBorders>
            <w:noWrap w:val="0"/>
            <w:vAlign w:val="top"/>
          </w:tcPr>
          <w:p>
            <w:pPr>
              <w:pStyle w:val="73"/>
              <w:bidi w:val="0"/>
              <w:jc w:val="right"/>
              <w:rPr>
                <w:rFonts w:hint="default" w:ascii="Times New Roman" w:hAnsi="Times New Roman" w:cs="Times New Roman"/>
                <w:color w:val="auto"/>
                <w:sz w:val="21"/>
                <w:szCs w:val="21"/>
              </w:rPr>
            </w:pPr>
            <w:bookmarkStart w:id="30" w:name="_Toc10050"/>
            <w:bookmarkStart w:id="31" w:name="_Toc3720"/>
            <w:bookmarkStart w:id="32" w:name="_Toc23512"/>
            <w:bookmarkStart w:id="33" w:name="_Toc8513"/>
            <w:r>
              <w:rPr>
                <w:rFonts w:hint="default" w:ascii="Times New Roman" w:hAnsi="Times New Roman" w:cs="Times New Roman"/>
                <w:color w:val="auto"/>
                <w:sz w:val="21"/>
                <w:szCs w:val="21"/>
              </w:rPr>
              <w:t>内容</w:t>
            </w:r>
            <w:bookmarkEnd w:id="30"/>
            <w:bookmarkEnd w:id="31"/>
            <w:bookmarkEnd w:id="32"/>
            <w:bookmarkEnd w:id="33"/>
          </w:p>
          <w:p>
            <w:pPr>
              <w:pStyle w:val="73"/>
              <w:bidi w:val="0"/>
              <w:rPr>
                <w:rFonts w:hint="default" w:ascii="Times New Roman" w:hAnsi="Times New Roman" w:cs="Times New Roman"/>
                <w:color w:val="auto"/>
                <w:sz w:val="21"/>
                <w:szCs w:val="21"/>
                <w:lang w:eastAsia="zh-CN"/>
              </w:rPr>
            </w:pPr>
          </w:p>
          <w:p>
            <w:pPr>
              <w:pStyle w:val="73"/>
              <w:bidi w:val="0"/>
              <w:jc w:val="left"/>
              <w:rPr>
                <w:rFonts w:hint="default" w:ascii="Times New Roman" w:hAnsi="Times New Roman" w:cs="Times New Roman"/>
                <w:color w:val="auto"/>
                <w:sz w:val="21"/>
                <w:szCs w:val="21"/>
              </w:rPr>
            </w:pPr>
            <w:bookmarkStart w:id="34" w:name="_Toc8231"/>
            <w:bookmarkStart w:id="35" w:name="_Toc19374"/>
            <w:bookmarkStart w:id="36" w:name="_Toc30363"/>
            <w:bookmarkStart w:id="37" w:name="_Toc13521"/>
            <w:r>
              <w:rPr>
                <w:rFonts w:hint="default" w:ascii="Times New Roman" w:hAnsi="Times New Roman" w:cs="Times New Roman"/>
                <w:color w:val="auto"/>
                <w:sz w:val="21"/>
                <w:szCs w:val="21"/>
              </w:rPr>
              <w:t>要素</w:t>
            </w:r>
            <w:bookmarkEnd w:id="34"/>
            <w:bookmarkEnd w:id="35"/>
            <w:bookmarkEnd w:id="36"/>
            <w:bookmarkEnd w:id="37"/>
          </w:p>
        </w:tc>
        <w:tc>
          <w:tcPr>
            <w:tcW w:w="3885" w:type="dxa"/>
            <w:gridSpan w:val="2"/>
            <w:noWrap w:val="0"/>
            <w:vAlign w:val="center"/>
          </w:tcPr>
          <w:p>
            <w:pPr>
              <w:pStyle w:val="73"/>
              <w:bidi w:val="0"/>
              <w:rPr>
                <w:rFonts w:hint="default" w:ascii="Times New Roman" w:hAnsi="Times New Roman" w:cs="Times New Roman"/>
                <w:color w:val="auto"/>
                <w:sz w:val="21"/>
                <w:szCs w:val="21"/>
              </w:rPr>
            </w:pPr>
            <w:bookmarkStart w:id="38" w:name="_Toc1849"/>
            <w:bookmarkStart w:id="39" w:name="_Toc28752"/>
            <w:bookmarkStart w:id="40" w:name="_Toc1129"/>
            <w:bookmarkStart w:id="41" w:name="_Toc11388"/>
            <w:r>
              <w:rPr>
                <w:rFonts w:hint="default" w:ascii="Times New Roman" w:hAnsi="Times New Roman" w:cs="Times New Roman"/>
                <w:color w:val="auto"/>
                <w:sz w:val="21"/>
                <w:szCs w:val="21"/>
              </w:rPr>
              <w:t>施工期</w:t>
            </w:r>
            <w:bookmarkEnd w:id="38"/>
            <w:bookmarkEnd w:id="39"/>
            <w:bookmarkEnd w:id="40"/>
            <w:bookmarkEnd w:id="41"/>
          </w:p>
        </w:tc>
        <w:tc>
          <w:tcPr>
            <w:tcW w:w="3578" w:type="dxa"/>
            <w:gridSpan w:val="2"/>
            <w:noWrap w:val="0"/>
            <w:vAlign w:val="center"/>
          </w:tcPr>
          <w:p>
            <w:pPr>
              <w:pStyle w:val="73"/>
              <w:bidi w:val="0"/>
              <w:rPr>
                <w:rFonts w:hint="default" w:ascii="Times New Roman" w:hAnsi="Times New Roman" w:cs="Times New Roman"/>
                <w:color w:val="auto"/>
                <w:sz w:val="21"/>
                <w:szCs w:val="21"/>
              </w:rPr>
            </w:pPr>
            <w:bookmarkStart w:id="42" w:name="_Toc4675"/>
            <w:bookmarkStart w:id="43" w:name="_Toc9079"/>
            <w:bookmarkStart w:id="44" w:name="_Toc27513"/>
            <w:bookmarkStart w:id="45" w:name="_Toc31319"/>
            <w:r>
              <w:rPr>
                <w:rFonts w:hint="default" w:ascii="Times New Roman" w:hAnsi="Times New Roman" w:cs="Times New Roman"/>
                <w:color w:val="auto"/>
                <w:sz w:val="21"/>
                <w:szCs w:val="21"/>
              </w:rPr>
              <w:t>运营期</w:t>
            </w:r>
            <w:bookmarkEnd w:id="42"/>
            <w:bookmarkEnd w:id="43"/>
            <w:bookmarkEnd w:id="44"/>
            <w:bookmarkEnd w:id="45"/>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059" w:type="dxa"/>
            <w:vMerge w:val="continue"/>
            <w:noWrap w:val="0"/>
            <w:vAlign w:val="top"/>
          </w:tcPr>
          <w:p>
            <w:pPr>
              <w:pStyle w:val="73"/>
              <w:bidi w:val="0"/>
              <w:rPr>
                <w:rFonts w:hint="default" w:ascii="Times New Roman" w:hAnsi="Times New Roman" w:cs="Times New Roman"/>
                <w:color w:val="auto"/>
                <w:sz w:val="21"/>
                <w:szCs w:val="21"/>
              </w:rPr>
            </w:pPr>
          </w:p>
        </w:tc>
        <w:tc>
          <w:tcPr>
            <w:tcW w:w="2705" w:type="dxa"/>
            <w:noWrap w:val="0"/>
            <w:vAlign w:val="center"/>
          </w:tcPr>
          <w:p>
            <w:pPr>
              <w:pStyle w:val="73"/>
              <w:bidi w:val="0"/>
              <w:rPr>
                <w:rFonts w:hint="default" w:ascii="Times New Roman" w:hAnsi="Times New Roman" w:cs="Times New Roman"/>
                <w:color w:val="auto"/>
                <w:sz w:val="21"/>
                <w:szCs w:val="21"/>
              </w:rPr>
            </w:pPr>
            <w:bookmarkStart w:id="46" w:name="_Toc5515"/>
            <w:bookmarkStart w:id="47" w:name="_Toc21009"/>
            <w:bookmarkStart w:id="48" w:name="_Toc8120"/>
            <w:bookmarkStart w:id="49" w:name="_Toc8833"/>
            <w:r>
              <w:rPr>
                <w:rFonts w:hint="default" w:ascii="Times New Roman" w:hAnsi="Times New Roman" w:cs="Times New Roman"/>
                <w:color w:val="auto"/>
                <w:sz w:val="21"/>
                <w:szCs w:val="21"/>
              </w:rPr>
              <w:t>环境保护措施</w:t>
            </w:r>
            <w:bookmarkEnd w:id="46"/>
            <w:bookmarkEnd w:id="47"/>
            <w:bookmarkEnd w:id="48"/>
            <w:bookmarkEnd w:id="49"/>
          </w:p>
        </w:tc>
        <w:tc>
          <w:tcPr>
            <w:tcW w:w="1180" w:type="dxa"/>
            <w:noWrap w:val="0"/>
            <w:vAlign w:val="center"/>
          </w:tcPr>
          <w:p>
            <w:pPr>
              <w:pStyle w:val="73"/>
              <w:bidi w:val="0"/>
              <w:rPr>
                <w:rFonts w:hint="default" w:ascii="Times New Roman" w:hAnsi="Times New Roman" w:cs="Times New Roman"/>
                <w:color w:val="auto"/>
                <w:sz w:val="21"/>
                <w:szCs w:val="21"/>
              </w:rPr>
            </w:pPr>
            <w:bookmarkStart w:id="50" w:name="_Toc17205"/>
            <w:bookmarkStart w:id="51" w:name="_Toc10890"/>
            <w:bookmarkStart w:id="52" w:name="_Toc18000"/>
            <w:bookmarkStart w:id="53" w:name="_Toc7915"/>
            <w:r>
              <w:rPr>
                <w:rFonts w:hint="default" w:ascii="Times New Roman" w:hAnsi="Times New Roman" w:cs="Times New Roman"/>
                <w:color w:val="auto"/>
                <w:sz w:val="21"/>
                <w:szCs w:val="21"/>
              </w:rPr>
              <w:t>验收要求</w:t>
            </w:r>
            <w:bookmarkEnd w:id="50"/>
            <w:bookmarkEnd w:id="51"/>
            <w:bookmarkEnd w:id="52"/>
            <w:bookmarkEnd w:id="53"/>
          </w:p>
        </w:tc>
        <w:tc>
          <w:tcPr>
            <w:tcW w:w="2388" w:type="dxa"/>
            <w:noWrap w:val="0"/>
            <w:vAlign w:val="center"/>
          </w:tcPr>
          <w:p>
            <w:pPr>
              <w:pStyle w:val="73"/>
              <w:bidi w:val="0"/>
              <w:rPr>
                <w:rFonts w:hint="default" w:ascii="Times New Roman" w:hAnsi="Times New Roman" w:cs="Times New Roman"/>
                <w:color w:val="auto"/>
                <w:sz w:val="21"/>
                <w:szCs w:val="21"/>
              </w:rPr>
            </w:pPr>
            <w:bookmarkStart w:id="54" w:name="_Toc9253"/>
            <w:bookmarkStart w:id="55" w:name="_Toc15063"/>
            <w:bookmarkStart w:id="56" w:name="_Toc10215"/>
            <w:bookmarkStart w:id="57" w:name="_Toc638"/>
            <w:r>
              <w:rPr>
                <w:rFonts w:hint="default" w:ascii="Times New Roman" w:hAnsi="Times New Roman" w:cs="Times New Roman"/>
                <w:color w:val="auto"/>
                <w:sz w:val="21"/>
                <w:szCs w:val="21"/>
              </w:rPr>
              <w:t>环境保护措施</w:t>
            </w:r>
            <w:bookmarkEnd w:id="54"/>
            <w:bookmarkEnd w:id="55"/>
            <w:bookmarkEnd w:id="56"/>
            <w:bookmarkEnd w:id="57"/>
          </w:p>
        </w:tc>
        <w:tc>
          <w:tcPr>
            <w:tcW w:w="1190" w:type="dxa"/>
            <w:noWrap w:val="0"/>
            <w:vAlign w:val="center"/>
          </w:tcPr>
          <w:p>
            <w:pPr>
              <w:pStyle w:val="73"/>
              <w:bidi w:val="0"/>
              <w:rPr>
                <w:rFonts w:hint="default" w:ascii="Times New Roman" w:hAnsi="Times New Roman" w:cs="Times New Roman"/>
                <w:color w:val="auto"/>
                <w:sz w:val="21"/>
                <w:szCs w:val="21"/>
              </w:rPr>
            </w:pPr>
            <w:bookmarkStart w:id="58" w:name="_Toc8879"/>
            <w:bookmarkStart w:id="59" w:name="_Toc25774"/>
            <w:bookmarkStart w:id="60" w:name="_Toc27204"/>
            <w:bookmarkStart w:id="61" w:name="_Toc9006"/>
            <w:r>
              <w:rPr>
                <w:rFonts w:hint="default" w:ascii="Times New Roman" w:hAnsi="Times New Roman" w:cs="Times New Roman"/>
                <w:color w:val="auto"/>
                <w:sz w:val="21"/>
                <w:szCs w:val="21"/>
              </w:rPr>
              <w:t>验收要求</w:t>
            </w:r>
            <w:bookmarkEnd w:id="58"/>
            <w:bookmarkEnd w:id="59"/>
            <w:bookmarkEnd w:id="60"/>
            <w:bookmarkEnd w:id="61"/>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9"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rPr>
              <w:t>陆生生态</w:t>
            </w:r>
          </w:p>
        </w:tc>
        <w:tc>
          <w:tcPr>
            <w:tcW w:w="2705"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lang w:val="en-US" w:eastAsia="zh-CN"/>
              </w:rPr>
              <w:t>①合理组织施工、加强施工管理，严格控制施工活动在征地红线范围内进行，减少土地占用；②绿化补偿工作，临时占地生态复垦；③加强对林地、植物保护及恢复；④加强动物保护，严禁捕杀动物；⑤水土保持措施</w:t>
            </w:r>
          </w:p>
        </w:tc>
        <w:tc>
          <w:tcPr>
            <w:tcW w:w="1180"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lang w:eastAsia="zh-CN"/>
              </w:rPr>
              <w:t>影响降低到最小</w:t>
            </w:r>
          </w:p>
        </w:tc>
        <w:tc>
          <w:tcPr>
            <w:tcW w:w="2388" w:type="dxa"/>
            <w:vMerge w:val="restart"/>
            <w:noWrap w:val="0"/>
            <w:vAlign w:val="center"/>
          </w:tcPr>
          <w:p>
            <w:pPr>
              <w:pStyle w:val="74"/>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建设单位必须担负生态保护、恢复、补偿、建设和管理责任</w:t>
            </w:r>
          </w:p>
        </w:tc>
        <w:tc>
          <w:tcPr>
            <w:tcW w:w="1190"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lang w:eastAsia="zh-CN"/>
              </w:rPr>
              <w:t>影响降低到最小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9"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rPr>
              <w:t>水生生态</w:t>
            </w:r>
          </w:p>
        </w:tc>
        <w:tc>
          <w:tcPr>
            <w:tcW w:w="2705" w:type="dxa"/>
            <w:noWrap w:val="0"/>
            <w:vAlign w:val="center"/>
          </w:tcPr>
          <w:p>
            <w:pPr>
              <w:pStyle w:val="74"/>
              <w:bidi w:val="0"/>
              <w:rPr>
                <w:rFonts w:hint="default" w:ascii="Times New Roman" w:hAnsi="Times New Roman" w:cs="Times New Roman"/>
                <w:color w:val="auto"/>
                <w:lang w:eastAsia="zh-CN"/>
              </w:rPr>
            </w:pPr>
            <w:r>
              <w:rPr>
                <w:rFonts w:hint="default" w:ascii="Times New Roman" w:hAnsi="Times New Roman" w:cs="Times New Roman"/>
                <w:color w:val="auto"/>
                <w:lang w:val="en-US" w:eastAsia="zh-CN"/>
              </w:rPr>
              <w:t>--</w:t>
            </w:r>
          </w:p>
        </w:tc>
        <w:tc>
          <w:tcPr>
            <w:tcW w:w="1180" w:type="dxa"/>
            <w:noWrap w:val="0"/>
            <w:vAlign w:val="center"/>
          </w:tcPr>
          <w:p>
            <w:pPr>
              <w:pStyle w:val="74"/>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影响降低到最小</w:t>
            </w:r>
          </w:p>
        </w:tc>
        <w:tc>
          <w:tcPr>
            <w:tcW w:w="2388" w:type="dxa"/>
            <w:vMerge w:val="continue"/>
            <w:noWrap w:val="0"/>
            <w:vAlign w:val="center"/>
          </w:tcPr>
          <w:p>
            <w:pPr>
              <w:pStyle w:val="74"/>
              <w:bidi w:val="0"/>
              <w:rPr>
                <w:rFonts w:hint="default" w:ascii="Times New Roman" w:hAnsi="Times New Roman" w:cs="Times New Roman"/>
                <w:color w:val="auto"/>
              </w:rPr>
            </w:pPr>
          </w:p>
        </w:tc>
        <w:tc>
          <w:tcPr>
            <w:tcW w:w="1190" w:type="dxa"/>
            <w:noWrap w:val="0"/>
            <w:vAlign w:val="center"/>
          </w:tcPr>
          <w:p>
            <w:pPr>
              <w:pStyle w:val="74"/>
              <w:bidi w:val="0"/>
              <w:rPr>
                <w:rFonts w:hint="default" w:ascii="Times New Roman" w:hAnsi="Times New Roman" w:cs="Times New Roman"/>
                <w:color w:val="auto"/>
                <w:lang w:val="en-US" w:eastAsia="zh-CN"/>
              </w:rPr>
            </w:pPr>
            <w:r>
              <w:rPr>
                <w:rFonts w:hint="default" w:ascii="Times New Roman" w:hAnsi="Times New Roman" w:cs="Times New Roman"/>
                <w:color w:val="auto"/>
                <w:lang w:eastAsia="zh-CN"/>
              </w:rPr>
              <w:t>影响降低到最小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9"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rPr>
              <w:t>地表水</w:t>
            </w:r>
          </w:p>
          <w:p>
            <w:pPr>
              <w:pStyle w:val="74"/>
              <w:bidi w:val="0"/>
              <w:rPr>
                <w:rFonts w:hint="default" w:ascii="Times New Roman" w:hAnsi="Times New Roman" w:cs="Times New Roman"/>
                <w:color w:val="auto"/>
              </w:rPr>
            </w:pPr>
            <w:r>
              <w:rPr>
                <w:rFonts w:hint="default" w:ascii="Times New Roman" w:hAnsi="Times New Roman" w:cs="Times New Roman"/>
                <w:color w:val="auto"/>
              </w:rPr>
              <w:t>环境</w:t>
            </w:r>
          </w:p>
        </w:tc>
        <w:tc>
          <w:tcPr>
            <w:tcW w:w="2705"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lang w:val="en-US" w:eastAsia="zh-CN"/>
              </w:rPr>
              <w:t>--</w:t>
            </w:r>
          </w:p>
        </w:tc>
        <w:tc>
          <w:tcPr>
            <w:tcW w:w="1180"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lang w:eastAsia="zh-CN"/>
              </w:rPr>
              <w:t>《污水综合排放标准》（GB8978-1996）中表4一级标准</w:t>
            </w:r>
          </w:p>
        </w:tc>
        <w:tc>
          <w:tcPr>
            <w:tcW w:w="2388" w:type="dxa"/>
            <w:noWrap w:val="0"/>
            <w:vAlign w:val="center"/>
          </w:tcPr>
          <w:p>
            <w:pPr>
              <w:pStyle w:val="74"/>
              <w:bidi w:val="0"/>
              <w:rPr>
                <w:rFonts w:hint="default" w:ascii="Times New Roman" w:hAnsi="Times New Roman" w:cs="Times New Roman"/>
                <w:color w:val="auto"/>
                <w:lang w:eastAsia="zh-CN"/>
              </w:rPr>
            </w:pPr>
            <w:r>
              <w:rPr>
                <w:rFonts w:hint="default" w:ascii="Times New Roman" w:hAnsi="Times New Roman" w:cs="Times New Roman"/>
                <w:color w:val="auto"/>
                <w:lang w:val="en-US" w:eastAsia="zh-CN"/>
              </w:rPr>
              <w:t>①加强</w:t>
            </w:r>
            <w:r>
              <w:rPr>
                <w:rFonts w:hint="eastAsia" w:cs="Times New Roman"/>
                <w:color w:val="auto"/>
                <w:lang w:val="en-US" w:eastAsia="zh-CN"/>
              </w:rPr>
              <w:t>对安置区内各项设备的</w:t>
            </w:r>
            <w:r>
              <w:rPr>
                <w:rFonts w:hint="default" w:ascii="Times New Roman" w:hAnsi="Times New Roman" w:cs="Times New Roman"/>
                <w:color w:val="auto"/>
                <w:lang w:val="en-US" w:eastAsia="zh-CN"/>
              </w:rPr>
              <w:t>日常维护与管理；②完善</w:t>
            </w:r>
            <w:r>
              <w:rPr>
                <w:rFonts w:hint="eastAsia" w:cs="Times New Roman"/>
                <w:color w:val="auto"/>
                <w:lang w:val="en-US" w:eastAsia="zh-CN"/>
              </w:rPr>
              <w:t>区内</w:t>
            </w:r>
            <w:r>
              <w:rPr>
                <w:rFonts w:hint="default" w:ascii="Times New Roman" w:hAnsi="Times New Roman" w:cs="Times New Roman"/>
                <w:color w:val="auto"/>
                <w:lang w:val="en-US" w:eastAsia="zh-CN"/>
              </w:rPr>
              <w:t>排水设施</w:t>
            </w:r>
          </w:p>
        </w:tc>
        <w:tc>
          <w:tcPr>
            <w:tcW w:w="1190"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lang w:eastAsia="zh-CN"/>
              </w:rPr>
              <w:t>影响降低到最小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9"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rPr>
              <w:t>地下水及土壤环境</w:t>
            </w:r>
          </w:p>
        </w:tc>
        <w:tc>
          <w:tcPr>
            <w:tcW w:w="2705" w:type="dxa"/>
            <w:noWrap w:val="0"/>
            <w:vAlign w:val="center"/>
          </w:tcPr>
          <w:p>
            <w:pPr>
              <w:pStyle w:val="7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w:t>
            </w:r>
          </w:p>
        </w:tc>
        <w:tc>
          <w:tcPr>
            <w:tcW w:w="1180"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lang w:val="en-US" w:eastAsia="zh-CN"/>
              </w:rPr>
              <w:t>--</w:t>
            </w:r>
          </w:p>
        </w:tc>
        <w:tc>
          <w:tcPr>
            <w:tcW w:w="2388"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lang w:val="en-US" w:eastAsia="zh-CN"/>
              </w:rPr>
              <w:t>--</w:t>
            </w:r>
          </w:p>
        </w:tc>
        <w:tc>
          <w:tcPr>
            <w:tcW w:w="1190"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9"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rPr>
              <w:t>声环境</w:t>
            </w:r>
          </w:p>
        </w:tc>
        <w:tc>
          <w:tcPr>
            <w:tcW w:w="2705" w:type="dxa"/>
            <w:noWrap w:val="0"/>
            <w:vAlign w:val="center"/>
          </w:tcPr>
          <w:p>
            <w:pPr>
              <w:pStyle w:val="74"/>
              <w:bidi w:val="0"/>
              <w:rPr>
                <w:rFonts w:hint="default" w:ascii="Times New Roman" w:hAnsi="Times New Roman" w:cs="Times New Roman"/>
                <w:color w:val="auto"/>
                <w:lang w:eastAsia="zh-CN"/>
              </w:rPr>
            </w:pPr>
            <w:r>
              <w:rPr>
                <w:rFonts w:hint="default" w:ascii="Times New Roman" w:hAnsi="Times New Roman" w:cs="Times New Roman"/>
                <w:color w:val="auto"/>
                <w:lang w:val="en-US" w:eastAsia="zh-CN"/>
              </w:rPr>
              <w:t>--</w:t>
            </w:r>
          </w:p>
        </w:tc>
        <w:tc>
          <w:tcPr>
            <w:tcW w:w="1180"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rPr>
              <w:t>《建筑施工场界环境噪声排放标准》（</w:t>
            </w:r>
            <w:r>
              <w:rPr>
                <w:rFonts w:hint="default" w:ascii="Times New Roman" w:hAnsi="Times New Roman" w:cs="Times New Roman"/>
                <w:color w:val="auto"/>
                <w:lang w:val="en-US" w:eastAsia="zh-CN"/>
              </w:rPr>
              <w:t>GB</w:t>
            </w:r>
            <w:r>
              <w:rPr>
                <w:rFonts w:hint="default" w:ascii="Times New Roman" w:hAnsi="Times New Roman" w:cs="Times New Roman"/>
                <w:color w:val="auto"/>
              </w:rPr>
              <w:t>12523-2011）</w:t>
            </w:r>
          </w:p>
        </w:tc>
        <w:tc>
          <w:tcPr>
            <w:tcW w:w="2388" w:type="dxa"/>
            <w:noWrap w:val="0"/>
            <w:vAlign w:val="center"/>
          </w:tcPr>
          <w:p>
            <w:pPr>
              <w:pStyle w:val="74"/>
              <w:bidi w:val="0"/>
              <w:rPr>
                <w:rFonts w:hint="default" w:ascii="Times New Roman" w:hAnsi="Times New Roman" w:cs="Times New Roman"/>
                <w:color w:val="auto"/>
              </w:rPr>
            </w:pPr>
            <w:r>
              <w:rPr>
                <w:rFonts w:hint="eastAsia" w:cs="宋体"/>
                <w:color w:val="auto"/>
                <w:sz w:val="21"/>
                <w:szCs w:val="21"/>
              </w:rPr>
              <w:t>减震、隔声</w:t>
            </w:r>
          </w:p>
        </w:tc>
        <w:tc>
          <w:tcPr>
            <w:tcW w:w="1190"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rPr>
              <w:t>《声环境质量标准》（GB3096-2008）2类、4a类标准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59"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rPr>
              <w:t>振动</w:t>
            </w:r>
          </w:p>
        </w:tc>
        <w:tc>
          <w:tcPr>
            <w:tcW w:w="2705" w:type="dxa"/>
            <w:shd w:val="clear" w:color="auto" w:fill="auto"/>
            <w:noWrap w:val="0"/>
            <w:vAlign w:val="center"/>
          </w:tcPr>
          <w:p>
            <w:pPr>
              <w:pStyle w:val="74"/>
              <w:bidi w:val="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lang w:val="en-US" w:eastAsia="zh-CN"/>
              </w:rPr>
              <w:t>--</w:t>
            </w:r>
          </w:p>
        </w:tc>
        <w:tc>
          <w:tcPr>
            <w:tcW w:w="1180" w:type="dxa"/>
            <w:shd w:val="clear" w:color="auto" w:fill="auto"/>
            <w:noWrap w:val="0"/>
            <w:vAlign w:val="center"/>
          </w:tcPr>
          <w:p>
            <w:pPr>
              <w:pStyle w:val="74"/>
              <w:bidi w:val="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lang w:val="en-US" w:eastAsia="zh-CN"/>
              </w:rPr>
              <w:t>--</w:t>
            </w:r>
          </w:p>
        </w:tc>
        <w:tc>
          <w:tcPr>
            <w:tcW w:w="2388"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lang w:val="en-US" w:eastAsia="zh-CN"/>
              </w:rPr>
              <w:t>--</w:t>
            </w:r>
          </w:p>
        </w:tc>
        <w:tc>
          <w:tcPr>
            <w:tcW w:w="1190"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9"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rPr>
              <w:t>大气环境</w:t>
            </w:r>
          </w:p>
        </w:tc>
        <w:tc>
          <w:tcPr>
            <w:tcW w:w="2705" w:type="dxa"/>
            <w:noWrap w:val="0"/>
            <w:vAlign w:val="center"/>
          </w:tcPr>
          <w:p>
            <w:pPr>
              <w:pStyle w:val="7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w:t>
            </w:r>
          </w:p>
        </w:tc>
        <w:tc>
          <w:tcPr>
            <w:tcW w:w="1180" w:type="dxa"/>
            <w:noWrap w:val="0"/>
            <w:vAlign w:val="center"/>
          </w:tcPr>
          <w:p>
            <w:pPr>
              <w:pStyle w:val="7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w:t>
            </w:r>
          </w:p>
        </w:tc>
        <w:tc>
          <w:tcPr>
            <w:tcW w:w="2388" w:type="dxa"/>
            <w:noWrap w:val="0"/>
            <w:vAlign w:val="center"/>
          </w:tcPr>
          <w:p>
            <w:pPr>
              <w:pStyle w:val="74"/>
              <w:bidi w:val="0"/>
              <w:rPr>
                <w:rFonts w:hint="default" w:ascii="Times New Roman" w:hAnsi="Times New Roman" w:cs="Times New Roman"/>
                <w:color w:val="auto"/>
                <w:lang w:eastAsia="zh-CN"/>
              </w:rPr>
            </w:pPr>
            <w:r>
              <w:rPr>
                <w:rFonts w:hint="default" w:ascii="Times New Roman" w:hAnsi="Times New Roman" w:cs="Times New Roman"/>
                <w:color w:val="auto"/>
                <w:lang w:val="en-US" w:eastAsia="zh-CN"/>
              </w:rPr>
              <w:t>--</w:t>
            </w:r>
          </w:p>
        </w:tc>
        <w:tc>
          <w:tcPr>
            <w:tcW w:w="1190"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9" w:type="dxa"/>
            <w:noWrap w:val="0"/>
            <w:vAlign w:val="center"/>
          </w:tcPr>
          <w:p>
            <w:pPr>
              <w:pStyle w:val="74"/>
              <w:bidi w:val="0"/>
              <w:rPr>
                <w:rFonts w:hint="default" w:ascii="Times New Roman" w:hAnsi="Times New Roman" w:eastAsia="宋体" w:cs="Times New Roman"/>
                <w:color w:val="auto"/>
                <w:lang w:val="en-US" w:eastAsia="zh-CN"/>
              </w:rPr>
            </w:pPr>
            <w:r>
              <w:rPr>
                <w:rFonts w:hint="eastAsia" w:cs="Times New Roman"/>
                <w:color w:val="auto"/>
                <w:lang w:val="en-US" w:eastAsia="zh-CN"/>
              </w:rPr>
              <w:t>地表水环境</w:t>
            </w:r>
          </w:p>
        </w:tc>
        <w:tc>
          <w:tcPr>
            <w:tcW w:w="2705" w:type="dxa"/>
            <w:shd w:val="clear" w:color="auto" w:fill="auto"/>
            <w:noWrap w:val="0"/>
            <w:vAlign w:val="center"/>
          </w:tcPr>
          <w:p>
            <w:pPr>
              <w:pStyle w:val="74"/>
              <w:bidi w:val="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lang w:val="en-US" w:eastAsia="zh-CN"/>
              </w:rPr>
              <w:t>--</w:t>
            </w:r>
          </w:p>
        </w:tc>
        <w:tc>
          <w:tcPr>
            <w:tcW w:w="1180" w:type="dxa"/>
            <w:shd w:val="clear" w:color="auto" w:fill="auto"/>
            <w:noWrap w:val="0"/>
            <w:vAlign w:val="center"/>
          </w:tcPr>
          <w:p>
            <w:pPr>
              <w:pStyle w:val="74"/>
              <w:bidi w:val="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lang w:val="en-US" w:eastAsia="zh-CN"/>
              </w:rPr>
              <w:t>--</w:t>
            </w:r>
          </w:p>
        </w:tc>
        <w:tc>
          <w:tcPr>
            <w:tcW w:w="2388" w:type="dxa"/>
            <w:noWrap w:val="0"/>
            <w:vAlign w:val="center"/>
          </w:tcPr>
          <w:p>
            <w:pPr>
              <w:pStyle w:val="74"/>
              <w:bidi w:val="0"/>
              <w:rPr>
                <w:rFonts w:hint="default" w:ascii="Times New Roman" w:hAnsi="Times New Roman" w:eastAsia="宋体" w:cs="Times New Roman"/>
                <w:color w:val="auto"/>
                <w:lang w:val="en-US" w:eastAsia="zh-CN"/>
              </w:rPr>
            </w:pPr>
            <w:r>
              <w:rPr>
                <w:rFonts w:hint="eastAsia" w:cs="宋体"/>
                <w:color w:val="auto"/>
                <w:sz w:val="21"/>
                <w:szCs w:val="21"/>
              </w:rPr>
              <w:t>化粪池</w:t>
            </w:r>
            <w:r>
              <w:rPr>
                <w:rFonts w:hint="eastAsia" w:cs="宋体"/>
                <w:color w:val="auto"/>
                <w:sz w:val="21"/>
                <w:szCs w:val="21"/>
                <w:lang w:val="en-US" w:eastAsia="zh-CN"/>
              </w:rPr>
              <w:t>+市政污水处理厂</w:t>
            </w:r>
          </w:p>
        </w:tc>
        <w:tc>
          <w:tcPr>
            <w:tcW w:w="1190" w:type="dxa"/>
            <w:noWrap w:val="0"/>
            <w:vAlign w:val="center"/>
          </w:tcPr>
          <w:p>
            <w:pPr>
              <w:pStyle w:val="74"/>
              <w:bidi w:val="0"/>
              <w:rPr>
                <w:rFonts w:hint="default" w:ascii="Times New Roman" w:hAnsi="Times New Roman" w:cs="Times New Roman"/>
                <w:color w:val="auto"/>
                <w:lang w:val="en-US" w:eastAsia="zh-CN"/>
              </w:rPr>
            </w:pPr>
            <w:r>
              <w:rPr>
                <w:rFonts w:hint="eastAsia" w:cs="宋体"/>
                <w:color w:val="auto"/>
                <w:sz w:val="21"/>
                <w:szCs w:val="21"/>
                <w:lang w:val="en-US" w:eastAsia="zh-CN"/>
              </w:rPr>
              <w:t>市政污水处理厂进水水质标准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9"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rPr>
              <w:t>固体废物</w:t>
            </w:r>
          </w:p>
        </w:tc>
        <w:tc>
          <w:tcPr>
            <w:tcW w:w="2705" w:type="dxa"/>
            <w:noWrap w:val="0"/>
            <w:vAlign w:val="center"/>
          </w:tcPr>
          <w:p>
            <w:pPr>
              <w:pStyle w:val="7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w:t>
            </w:r>
          </w:p>
        </w:tc>
        <w:tc>
          <w:tcPr>
            <w:tcW w:w="1180" w:type="dxa"/>
            <w:noWrap w:val="0"/>
            <w:vAlign w:val="center"/>
          </w:tcPr>
          <w:p>
            <w:pPr>
              <w:pStyle w:val="74"/>
              <w:bidi w:val="0"/>
              <w:rPr>
                <w:rFonts w:hint="default" w:ascii="Times New Roman" w:hAnsi="Times New Roman" w:cs="Times New Roman"/>
                <w:color w:val="auto"/>
                <w:lang w:eastAsia="zh-CN"/>
              </w:rPr>
            </w:pPr>
            <w:r>
              <w:rPr>
                <w:rFonts w:hint="default" w:ascii="Times New Roman" w:hAnsi="Times New Roman" w:cs="Times New Roman"/>
                <w:color w:val="auto"/>
                <w:lang w:val="en-US" w:eastAsia="zh-CN"/>
              </w:rPr>
              <w:t>--</w:t>
            </w:r>
          </w:p>
        </w:tc>
        <w:tc>
          <w:tcPr>
            <w:tcW w:w="2388" w:type="dxa"/>
            <w:noWrap w:val="0"/>
            <w:vAlign w:val="center"/>
          </w:tcPr>
          <w:p>
            <w:pPr>
              <w:pStyle w:val="74"/>
              <w:bidi w:val="0"/>
              <w:rPr>
                <w:rFonts w:hint="default" w:ascii="Times New Roman" w:hAnsi="Times New Roman" w:cs="Times New Roman"/>
                <w:color w:val="auto"/>
              </w:rPr>
            </w:pPr>
            <w:r>
              <w:rPr>
                <w:rFonts w:hint="eastAsia" w:cs="宋体"/>
                <w:color w:val="auto"/>
                <w:sz w:val="21"/>
                <w:szCs w:val="21"/>
              </w:rPr>
              <w:t>生活垃圾：分离垃圾桶收集，交由环卫部门统一处置</w:t>
            </w:r>
          </w:p>
        </w:tc>
        <w:tc>
          <w:tcPr>
            <w:tcW w:w="1190"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9"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rPr>
              <w:t>电磁环境</w:t>
            </w:r>
          </w:p>
        </w:tc>
        <w:tc>
          <w:tcPr>
            <w:tcW w:w="2705"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lang w:val="en-US" w:eastAsia="zh-CN"/>
              </w:rPr>
              <w:t>--</w:t>
            </w:r>
          </w:p>
        </w:tc>
        <w:tc>
          <w:tcPr>
            <w:tcW w:w="1180"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lang w:val="en-US" w:eastAsia="zh-CN"/>
              </w:rPr>
              <w:t>--</w:t>
            </w:r>
          </w:p>
        </w:tc>
        <w:tc>
          <w:tcPr>
            <w:tcW w:w="2388"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lang w:val="en-US" w:eastAsia="zh-CN"/>
              </w:rPr>
              <w:t>--</w:t>
            </w:r>
          </w:p>
        </w:tc>
        <w:tc>
          <w:tcPr>
            <w:tcW w:w="1190"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9"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rPr>
              <w:t>环境风险</w:t>
            </w:r>
          </w:p>
        </w:tc>
        <w:tc>
          <w:tcPr>
            <w:tcW w:w="2705"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lang w:val="en-US" w:eastAsia="zh-CN"/>
              </w:rPr>
              <w:t>--</w:t>
            </w:r>
          </w:p>
        </w:tc>
        <w:tc>
          <w:tcPr>
            <w:tcW w:w="1180"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lang w:val="en-US" w:eastAsia="zh-CN"/>
              </w:rPr>
              <w:t>--</w:t>
            </w:r>
          </w:p>
        </w:tc>
        <w:tc>
          <w:tcPr>
            <w:tcW w:w="2388" w:type="dxa"/>
            <w:noWrap w:val="0"/>
            <w:vAlign w:val="center"/>
          </w:tcPr>
          <w:p>
            <w:pPr>
              <w:pStyle w:val="74"/>
              <w:bidi w:val="0"/>
              <w:rPr>
                <w:rFonts w:hint="default" w:cs="宋体"/>
                <w:color w:val="auto"/>
                <w:sz w:val="21"/>
                <w:szCs w:val="21"/>
                <w:lang w:val="en-US" w:eastAsia="zh-CN"/>
              </w:rPr>
            </w:pPr>
            <w:r>
              <w:rPr>
                <w:rFonts w:hint="eastAsia" w:cs="宋体"/>
                <w:color w:val="auto"/>
                <w:sz w:val="21"/>
                <w:szCs w:val="21"/>
                <w:lang w:val="en-US" w:eastAsia="zh-CN"/>
              </w:rPr>
              <w:t>加强对天然气管道进行检修维护；合理设置灭火器</w:t>
            </w:r>
          </w:p>
          <w:p>
            <w:pPr>
              <w:pStyle w:val="74"/>
              <w:bidi w:val="0"/>
              <w:rPr>
                <w:rFonts w:hint="default" w:cs="宋体"/>
                <w:color w:val="auto"/>
                <w:sz w:val="21"/>
                <w:szCs w:val="21"/>
              </w:rPr>
            </w:pPr>
          </w:p>
        </w:tc>
        <w:tc>
          <w:tcPr>
            <w:tcW w:w="1190" w:type="dxa"/>
            <w:noWrap w:val="0"/>
            <w:vAlign w:val="center"/>
          </w:tcPr>
          <w:p>
            <w:pPr>
              <w:pStyle w:val="74"/>
              <w:bidi w:val="0"/>
              <w:rPr>
                <w:rFonts w:hint="default" w:cs="宋体"/>
                <w:color w:val="auto"/>
                <w:sz w:val="21"/>
                <w:szCs w:val="21"/>
              </w:rPr>
            </w:pPr>
            <w:r>
              <w:rPr>
                <w:rFonts w:hint="default" w:cs="宋体"/>
                <w:color w:val="auto"/>
                <w:sz w:val="21"/>
                <w:szCs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9"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rPr>
              <w:t>环境监测</w:t>
            </w:r>
          </w:p>
        </w:tc>
        <w:tc>
          <w:tcPr>
            <w:tcW w:w="2705" w:type="dxa"/>
            <w:noWrap w:val="0"/>
            <w:vAlign w:val="center"/>
          </w:tcPr>
          <w:p>
            <w:pPr>
              <w:pStyle w:val="74"/>
              <w:bidi w:val="0"/>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w:t>
            </w:r>
          </w:p>
        </w:tc>
        <w:tc>
          <w:tcPr>
            <w:tcW w:w="1180" w:type="dxa"/>
            <w:noWrap w:val="0"/>
            <w:vAlign w:val="center"/>
          </w:tcPr>
          <w:p>
            <w:pPr>
              <w:pStyle w:val="74"/>
              <w:bidi w:val="0"/>
              <w:rPr>
                <w:rFonts w:hint="default" w:ascii="Times New Roman" w:hAnsi="Times New Roman" w:cs="Times New Roman"/>
                <w:color w:val="auto"/>
                <w:lang w:eastAsia="zh-CN"/>
              </w:rPr>
            </w:pPr>
            <w:r>
              <w:rPr>
                <w:rFonts w:hint="default" w:ascii="Times New Roman" w:hAnsi="Times New Roman" w:cs="Times New Roman"/>
                <w:color w:val="auto"/>
                <w:lang w:val="en-US" w:eastAsia="zh-CN"/>
              </w:rPr>
              <w:t>--</w:t>
            </w:r>
          </w:p>
        </w:tc>
        <w:tc>
          <w:tcPr>
            <w:tcW w:w="2388" w:type="dxa"/>
            <w:noWrap w:val="0"/>
            <w:vAlign w:val="center"/>
          </w:tcPr>
          <w:p>
            <w:pPr>
              <w:pStyle w:val="7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w:t>
            </w:r>
          </w:p>
        </w:tc>
        <w:tc>
          <w:tcPr>
            <w:tcW w:w="1190"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9"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rPr>
              <w:t>其他</w:t>
            </w:r>
          </w:p>
        </w:tc>
        <w:tc>
          <w:tcPr>
            <w:tcW w:w="2705"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lang w:val="en-US" w:eastAsia="zh-CN"/>
              </w:rPr>
              <w:t>--</w:t>
            </w:r>
          </w:p>
        </w:tc>
        <w:tc>
          <w:tcPr>
            <w:tcW w:w="1180"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lang w:val="en-US" w:eastAsia="zh-CN"/>
              </w:rPr>
              <w:t>--</w:t>
            </w:r>
          </w:p>
        </w:tc>
        <w:tc>
          <w:tcPr>
            <w:tcW w:w="2388"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lang w:val="en-US" w:eastAsia="zh-CN"/>
              </w:rPr>
              <w:t>--</w:t>
            </w:r>
          </w:p>
        </w:tc>
        <w:tc>
          <w:tcPr>
            <w:tcW w:w="1190"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lang w:val="en-US" w:eastAsia="zh-CN"/>
              </w:rPr>
              <w:t>--</w:t>
            </w:r>
          </w:p>
        </w:tc>
      </w:tr>
    </w:tbl>
    <w:p>
      <w:pPr>
        <w:pStyle w:val="18"/>
        <w:jc w:val="center"/>
        <w:outlineLvl w:val="0"/>
        <w:rPr>
          <w:rFonts w:ascii="黑体" w:hAnsi="黑体" w:eastAsia="黑体"/>
          <w:snapToGrid w:val="0"/>
          <w:color w:val="auto"/>
          <w:sz w:val="30"/>
          <w:szCs w:val="30"/>
        </w:rPr>
      </w:pPr>
      <w:r>
        <w:rPr>
          <w:snapToGrid w:val="0"/>
          <w:color w:val="auto"/>
        </w:rPr>
        <w:br w:type="page"/>
      </w:r>
      <w:bookmarkStart w:id="62" w:name="_Toc17058"/>
      <w:bookmarkStart w:id="63" w:name="_Toc28334"/>
      <w:r>
        <w:rPr>
          <w:rFonts w:hint="eastAsia" w:ascii="黑体" w:hAnsi="黑体" w:eastAsia="黑体"/>
          <w:snapToGrid w:val="0"/>
          <w:color w:val="auto"/>
          <w:sz w:val="30"/>
          <w:szCs w:val="30"/>
        </w:rPr>
        <w:t>六、结论</w:t>
      </w:r>
      <w:bookmarkEnd w:id="62"/>
      <w:bookmarkEnd w:id="63"/>
    </w:p>
    <w:tbl>
      <w:tblPr>
        <w:tblStyle w:val="22"/>
        <w:tblW w:w="886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tcPr>
          <w:p>
            <w:pPr>
              <w:adjustRightInd w:val="0"/>
              <w:snapToGrid w:val="0"/>
              <w:spacing w:line="360" w:lineRule="auto"/>
              <w:ind w:firstLine="482" w:firstLineChars="200"/>
              <w:rPr>
                <w:b/>
                <w:bCs/>
                <w:color w:val="auto"/>
                <w:sz w:val="24"/>
              </w:rPr>
            </w:pPr>
            <w:r>
              <w:rPr>
                <w:rFonts w:hint="eastAsia"/>
                <w:b/>
                <w:bCs/>
                <w:color w:val="auto"/>
                <w:sz w:val="24"/>
              </w:rPr>
              <w:t>1、结论</w:t>
            </w:r>
          </w:p>
          <w:p>
            <w:pPr>
              <w:adjustRightInd w:val="0"/>
              <w:snapToGrid w:val="0"/>
              <w:spacing w:line="360" w:lineRule="auto"/>
              <w:ind w:firstLine="480" w:firstLineChars="200"/>
              <w:rPr>
                <w:color w:val="auto"/>
                <w:sz w:val="24"/>
              </w:rPr>
            </w:pPr>
            <w:r>
              <w:rPr>
                <w:rFonts w:hint="eastAsia"/>
                <w:color w:val="auto"/>
                <w:sz w:val="24"/>
              </w:rPr>
              <w:t>本项目符合国家产业政策，与相关规划相符，选址较合理，通过该项目的工程分析、影响分析，在采取环评提出的污染控制措施的基础上，项目产生的废气、噪声可达到相关排放标准， 固体废物也将得到妥善、安全处置，项目对周边环境空气、声环境、地表水环境</w:t>
            </w:r>
            <w:r>
              <w:rPr>
                <w:rFonts w:hint="eastAsia"/>
                <w:color w:val="auto"/>
                <w:sz w:val="24"/>
                <w:lang w:eastAsia="zh-CN"/>
              </w:rPr>
              <w:t>、</w:t>
            </w:r>
            <w:r>
              <w:rPr>
                <w:rFonts w:hint="eastAsia"/>
                <w:color w:val="auto"/>
                <w:sz w:val="24"/>
                <w:lang w:val="en-US" w:eastAsia="zh-CN"/>
              </w:rPr>
              <w:t>生态环境</w:t>
            </w:r>
            <w:r>
              <w:rPr>
                <w:rFonts w:hint="eastAsia"/>
                <w:color w:val="auto"/>
                <w:sz w:val="24"/>
              </w:rPr>
              <w:t>的影响较小。本项目在该建设地点按照该项目建设内容、建设规模进行建设从环境保护的角度分析是可行的。</w:t>
            </w:r>
          </w:p>
          <w:p>
            <w:pPr>
              <w:numPr>
                <w:ilvl w:val="0"/>
                <w:numId w:val="6"/>
              </w:numPr>
              <w:adjustRightInd w:val="0"/>
              <w:snapToGrid w:val="0"/>
              <w:spacing w:line="360" w:lineRule="auto"/>
              <w:ind w:firstLine="482" w:firstLineChars="200"/>
              <w:rPr>
                <w:b/>
                <w:bCs/>
                <w:color w:val="auto"/>
                <w:sz w:val="24"/>
              </w:rPr>
            </w:pPr>
            <w:r>
              <w:rPr>
                <w:rFonts w:hint="eastAsia"/>
                <w:b/>
                <w:bCs/>
                <w:color w:val="auto"/>
                <w:sz w:val="24"/>
              </w:rPr>
              <w:t>建议</w:t>
            </w:r>
          </w:p>
          <w:p>
            <w:pPr>
              <w:adjustRightInd w:val="0"/>
              <w:snapToGrid w:val="0"/>
              <w:spacing w:line="360" w:lineRule="auto"/>
              <w:ind w:firstLine="480" w:firstLineChars="200"/>
              <w:rPr>
                <w:color w:val="auto"/>
                <w:sz w:val="24"/>
              </w:rPr>
            </w:pPr>
            <w:r>
              <w:rPr>
                <w:color w:val="auto"/>
                <w:sz w:val="24"/>
              </w:rPr>
              <w:t>为确保本项目对环境的影响控制在环境允许的范围内，建设单位要做好下列工作：</w:t>
            </w:r>
          </w:p>
          <w:p>
            <w:pPr>
              <w:adjustRightInd w:val="0"/>
              <w:snapToGrid w:val="0"/>
              <w:spacing w:line="360" w:lineRule="auto"/>
              <w:ind w:firstLine="480" w:firstLineChars="200"/>
              <w:rPr>
                <w:rFonts w:ascii="Times New Roman" w:hAnsi="Times New Roman" w:cs="Times New Roman"/>
                <w:color w:val="auto"/>
                <w:sz w:val="24"/>
              </w:rPr>
            </w:pPr>
            <w:r>
              <w:rPr>
                <w:color w:val="auto"/>
                <w:sz w:val="24"/>
              </w:rPr>
              <w:t>（1</w:t>
            </w:r>
            <w:r>
              <w:rPr>
                <w:rFonts w:ascii="Times New Roman" w:hAnsi="Times New Roman" w:cs="Times New Roman"/>
                <w:color w:val="auto"/>
                <w:sz w:val="24"/>
              </w:rPr>
              <w:t>）</w:t>
            </w:r>
            <w:r>
              <w:rPr>
                <w:rFonts w:hint="eastAsia" w:ascii="Times New Roman" w:hAnsi="Times New Roman" w:cs="Times New Roman"/>
                <w:color w:val="auto"/>
                <w:sz w:val="24"/>
                <w:lang w:val="en-US" w:eastAsia="zh-CN"/>
              </w:rPr>
              <w:t>加强、日常环境管理，有效保证居民生活环境</w:t>
            </w:r>
            <w:r>
              <w:rPr>
                <w:rFonts w:ascii="Times New Roman" w:hAnsi="Times New Roman" w:cs="Times New Roman"/>
                <w:color w:val="auto"/>
                <w:sz w:val="24"/>
              </w:rPr>
              <w:t>。</w:t>
            </w:r>
          </w:p>
          <w:p>
            <w:pPr>
              <w:adjustRightInd w:val="0"/>
              <w:snapToGrid w:val="0"/>
              <w:spacing w:line="360" w:lineRule="auto"/>
              <w:ind w:firstLine="480" w:firstLineChars="200"/>
              <w:rPr>
                <w:rFonts w:ascii="Times New Roman" w:hAnsi="Times New Roman" w:cs="Times New Roman"/>
                <w:color w:val="auto"/>
                <w:sz w:val="24"/>
              </w:rPr>
            </w:pPr>
            <w:r>
              <w:rPr>
                <w:rFonts w:ascii="Times New Roman" w:hAnsi="Times New Roman" w:cs="Times New Roman"/>
                <w:color w:val="auto"/>
                <w:sz w:val="24"/>
              </w:rPr>
              <w:t>（2）如产</w:t>
            </w:r>
            <w:r>
              <w:rPr>
                <w:rFonts w:hint="eastAsia" w:ascii="Times New Roman" w:hAnsi="Times New Roman" w:cs="Times New Roman"/>
                <w:color w:val="auto"/>
                <w:sz w:val="24"/>
                <w:lang w:val="en-US" w:eastAsia="zh-CN"/>
              </w:rPr>
              <w:t>项目规模</w:t>
            </w:r>
            <w:r>
              <w:rPr>
                <w:rFonts w:ascii="Times New Roman" w:hAnsi="Times New Roman" w:cs="Times New Roman"/>
                <w:color w:val="auto"/>
                <w:sz w:val="24"/>
              </w:rPr>
              <w:t>、</w:t>
            </w:r>
            <w:r>
              <w:rPr>
                <w:rFonts w:hint="eastAsia" w:ascii="Times New Roman" w:hAnsi="Times New Roman" w:cs="Times New Roman"/>
                <w:color w:val="auto"/>
                <w:sz w:val="24"/>
                <w:lang w:val="en-US" w:eastAsia="zh-CN"/>
              </w:rPr>
              <w:t>位置等</w:t>
            </w:r>
            <w:r>
              <w:rPr>
                <w:rFonts w:ascii="Times New Roman" w:hAnsi="Times New Roman" w:cs="Times New Roman"/>
                <w:color w:val="auto"/>
                <w:sz w:val="24"/>
              </w:rPr>
              <w:t>情况有大的变动，应及时向有关部门申报。</w:t>
            </w:r>
          </w:p>
          <w:p>
            <w:pPr>
              <w:adjustRightInd w:val="0"/>
              <w:snapToGrid w:val="0"/>
              <w:spacing w:line="360" w:lineRule="auto"/>
              <w:ind w:firstLine="480" w:firstLineChars="200"/>
              <w:rPr>
                <w:rFonts w:hint="eastAsia" w:ascii="Times New Roman" w:hAnsi="Times New Roman" w:cs="Times New Roman"/>
                <w:color w:val="auto"/>
                <w:sz w:val="24"/>
                <w:lang w:val="en-US" w:eastAsia="zh-CN"/>
              </w:rPr>
            </w:pPr>
            <w:r>
              <w:rPr>
                <w:rFonts w:ascii="Times New Roman" w:hAnsi="Times New Roman" w:cs="Times New Roman"/>
                <w:color w:val="auto"/>
                <w:sz w:val="24"/>
              </w:rPr>
              <w:t>（3）</w:t>
            </w:r>
            <w:r>
              <w:rPr>
                <w:rFonts w:hint="eastAsia" w:ascii="Times New Roman" w:hAnsi="Times New Roman" w:cs="Times New Roman"/>
                <w:color w:val="auto"/>
                <w:sz w:val="24"/>
                <w:lang w:val="en-US" w:eastAsia="zh-CN"/>
              </w:rPr>
              <w:t>积极推广生活垃圾分类收集、处理。</w:t>
            </w:r>
          </w:p>
          <w:p>
            <w:pPr>
              <w:adjustRightInd w:val="0"/>
              <w:snapToGrid w:val="0"/>
              <w:spacing w:line="360" w:lineRule="auto"/>
              <w:ind w:firstLine="480" w:firstLineChars="200"/>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4）必须严格执行建设项目竣工环保验收制度，对项目废水、噪声、固废采取相应的治理措施，并将环保治理措施上报环保管理部门备案。项目建成后根据《建设项目竣工环境保护验收暂行办法》经自主验收后方可投入运营。</w:t>
            </w:r>
          </w:p>
          <w:p>
            <w:pPr>
              <w:spacing w:line="360" w:lineRule="auto"/>
              <w:rPr>
                <w:rFonts w:ascii="宋体" w:cs="宋体"/>
                <w:color w:val="auto"/>
                <w:sz w:val="24"/>
              </w:rPr>
            </w:pPr>
          </w:p>
        </w:tc>
      </w:tr>
    </w:tbl>
    <w:p>
      <w:pPr>
        <w:rPr>
          <w:rFonts w:ascii="宋体"/>
          <w:color w:val="auto"/>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pPr>
        <w:jc w:val="center"/>
        <w:outlineLvl w:val="0"/>
        <w:rPr>
          <w:rFonts w:ascii="方正小标宋_GBK" w:hAnsi="黑体" w:eastAsia="方正小标宋_GBK"/>
          <w:snapToGrid w:val="0"/>
          <w:color w:val="auto"/>
          <w:kern w:val="0"/>
          <w:sz w:val="38"/>
          <w:szCs w:val="38"/>
        </w:rPr>
      </w:pPr>
      <w:bookmarkStart w:id="64" w:name="_Toc19926"/>
      <w:bookmarkStart w:id="65" w:name="_Toc14988"/>
      <w:r>
        <w:rPr>
          <w:rFonts w:hint="eastAsia" w:ascii="方正小标宋_GBK" w:hAnsi="黑体" w:eastAsia="方正小标宋_GBK"/>
          <w:snapToGrid w:val="0"/>
          <w:color w:val="auto"/>
          <w:kern w:val="0"/>
          <w:sz w:val="38"/>
          <w:szCs w:val="38"/>
        </w:rPr>
        <w:t>附图</w:t>
      </w:r>
      <w:bookmarkEnd w:id="64"/>
      <w:bookmarkEnd w:id="65"/>
    </w:p>
    <w:p>
      <w:pPr>
        <w:widowControl/>
        <w:spacing w:line="360" w:lineRule="auto"/>
        <w:outlineLvl w:val="1"/>
        <w:rPr>
          <w:color w:val="auto"/>
        </w:rPr>
      </w:pPr>
      <w:bookmarkStart w:id="66" w:name="_Toc19809"/>
      <w:bookmarkStart w:id="67" w:name="_Toc5793"/>
      <w:bookmarkStart w:id="68" w:name="_Toc14548"/>
      <w:bookmarkStart w:id="69" w:name="_Toc2754"/>
      <w:bookmarkStart w:id="70" w:name="_Toc8779"/>
      <w:r>
        <w:rPr>
          <w:b/>
          <w:bCs/>
          <w:color w:val="auto"/>
          <w:sz w:val="28"/>
          <w:szCs w:val="28"/>
        </w:rPr>
        <w:t>附图1 项目地理位置图</w:t>
      </w:r>
      <w:bookmarkEnd w:id="66"/>
      <w:bookmarkEnd w:id="67"/>
      <w:bookmarkEnd w:id="68"/>
      <w:bookmarkEnd w:id="69"/>
      <w:bookmarkEnd w:id="70"/>
    </w:p>
    <w:p>
      <w:pPr>
        <w:jc w:val="center"/>
        <w:rPr>
          <w:color w:val="auto"/>
        </w:rPr>
        <w:sectPr>
          <w:footerReference r:id="rId7" w:type="default"/>
          <w:pgSz w:w="16838" w:h="11906" w:orient="landscape"/>
          <w:pgMar w:top="1417" w:right="1417" w:bottom="1417" w:left="1417" w:header="851" w:footer="992" w:gutter="0"/>
          <w:pgBorders>
            <w:top w:val="none" w:sz="0" w:space="0"/>
            <w:left w:val="none" w:sz="0" w:space="0"/>
            <w:bottom w:val="none" w:sz="0" w:space="0"/>
            <w:right w:val="none" w:sz="0" w:space="0"/>
          </w:pgBorders>
          <w:cols w:space="0" w:num="1"/>
          <w:docGrid w:type="lines" w:linePitch="312" w:charSpace="0"/>
        </w:sectPr>
      </w:pPr>
      <w:r>
        <w:rPr>
          <w:rFonts w:ascii="Times New Roman" w:hAnsi="Times New Roman" w:eastAsia="仿宋_GB2312" w:cs="Times New Roman"/>
          <w:snapToGrid w:val="0"/>
          <w:color w:val="auto"/>
          <w:spacing w:val="0"/>
          <w:kern w:val="0"/>
          <w:position w:val="0"/>
          <w:sz w:val="28"/>
          <w:szCs w:val="28"/>
          <w:lang w:val="en-US" w:eastAsia="en-US" w:bidi="ar-SA"/>
        </w:rPr>
        <w:drawing>
          <wp:inline distT="0" distB="0" distL="114300" distR="114300">
            <wp:extent cx="6126480" cy="4584700"/>
            <wp:effectExtent l="19050" t="19050" r="26670" b="2540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22"/>
                    <a:stretch>
                      <a:fillRect/>
                    </a:stretch>
                  </pic:blipFill>
                  <pic:spPr>
                    <a:xfrm>
                      <a:off x="0" y="0"/>
                      <a:ext cx="6126480" cy="4584700"/>
                    </a:xfrm>
                    <a:prstGeom prst="rect">
                      <a:avLst/>
                    </a:prstGeom>
                    <a:noFill/>
                    <a:ln w="19050" cmpd="sng">
                      <a:solidFill>
                        <a:schemeClr val="tx1"/>
                      </a:solidFill>
                      <a:prstDash val="solid"/>
                    </a:ln>
                  </pic:spPr>
                </pic:pic>
              </a:graphicData>
            </a:graphic>
          </wp:inline>
        </w:drawing>
      </w:r>
    </w:p>
    <w:p>
      <w:pPr>
        <w:widowControl/>
        <w:spacing w:line="360" w:lineRule="auto"/>
        <w:outlineLvl w:val="1"/>
        <w:rPr>
          <w:b/>
          <w:bCs/>
          <w:color w:val="auto"/>
          <w:sz w:val="28"/>
          <w:szCs w:val="28"/>
        </w:rPr>
      </w:pPr>
      <w:bookmarkStart w:id="71" w:name="_Toc29913"/>
      <w:bookmarkStart w:id="72" w:name="_Toc32167"/>
      <w:bookmarkStart w:id="73" w:name="_Toc21700"/>
      <w:bookmarkStart w:id="74" w:name="_Toc25904"/>
      <w:bookmarkStart w:id="75" w:name="_Toc23410"/>
      <w:r>
        <w:rPr>
          <w:b/>
          <w:bCs/>
          <w:color w:val="auto"/>
          <w:sz w:val="28"/>
          <w:szCs w:val="28"/>
        </w:rPr>
        <w:t>附图2 厂区平面布置图</w:t>
      </w:r>
      <w:bookmarkEnd w:id="71"/>
      <w:bookmarkEnd w:id="72"/>
      <w:bookmarkEnd w:id="73"/>
      <w:bookmarkEnd w:id="74"/>
      <w:bookmarkEnd w:id="75"/>
    </w:p>
    <w:p>
      <w:pPr>
        <w:rPr>
          <w:rFonts w:hint="eastAsia"/>
          <w:color w:val="auto"/>
          <w:lang w:val="en-US" w:eastAsia="zh-CN"/>
        </w:rPr>
      </w:pPr>
      <w:r>
        <w:drawing>
          <wp:inline distT="0" distB="0" distL="114300" distR="114300">
            <wp:extent cx="8057515" cy="5134610"/>
            <wp:effectExtent l="19050" t="19050" r="19685" b="27940"/>
            <wp:docPr id="9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3"/>
                    <pic:cNvPicPr>
                      <a:picLocks noChangeAspect="1"/>
                    </pic:cNvPicPr>
                  </pic:nvPicPr>
                  <pic:blipFill>
                    <a:blip r:embed="rId24"/>
                    <a:srcRect b="9265"/>
                    <a:stretch>
                      <a:fillRect/>
                    </a:stretch>
                  </pic:blipFill>
                  <pic:spPr>
                    <a:xfrm>
                      <a:off x="0" y="0"/>
                      <a:ext cx="8057515" cy="5134610"/>
                    </a:xfrm>
                    <a:prstGeom prst="rect">
                      <a:avLst/>
                    </a:prstGeom>
                    <a:noFill/>
                    <a:ln w="19050">
                      <a:solidFill>
                        <a:schemeClr val="tx1"/>
                      </a:solidFill>
                    </a:ln>
                  </pic:spPr>
                </pic:pic>
              </a:graphicData>
            </a:graphic>
          </wp:inline>
        </w:drawing>
      </w:r>
      <w:r>
        <w:rPr>
          <w:rFonts w:hint="eastAsia"/>
          <w:color w:val="auto"/>
          <w:lang w:val="en-US" w:eastAsia="zh-CN"/>
        </w:rPr>
        <w:br w:type="page"/>
      </w:r>
    </w:p>
    <w:p>
      <w:pPr>
        <w:widowControl/>
        <w:spacing w:line="360" w:lineRule="auto"/>
        <w:outlineLvl w:val="1"/>
        <w:rPr>
          <w:b/>
          <w:bCs/>
          <w:color w:val="auto"/>
          <w:sz w:val="28"/>
          <w:szCs w:val="28"/>
        </w:rPr>
      </w:pPr>
      <w:bookmarkStart w:id="76" w:name="_Toc21860"/>
      <w:bookmarkStart w:id="77" w:name="_Toc14316"/>
      <w:bookmarkStart w:id="78" w:name="_Toc32110"/>
      <w:bookmarkStart w:id="79" w:name="_Toc22328"/>
      <w:bookmarkStart w:id="80" w:name="_Toc4653"/>
      <w:r>
        <w:rPr>
          <w:b/>
          <w:bCs/>
          <w:color w:val="auto"/>
          <w:sz w:val="28"/>
          <w:szCs w:val="28"/>
        </w:rPr>
        <w:t>附图</w:t>
      </w:r>
      <w:r>
        <w:rPr>
          <w:rFonts w:hint="eastAsia"/>
          <w:b/>
          <w:bCs/>
          <w:color w:val="auto"/>
          <w:sz w:val="28"/>
          <w:szCs w:val="28"/>
        </w:rPr>
        <w:t>3</w:t>
      </w:r>
      <w:r>
        <w:rPr>
          <w:b/>
          <w:bCs/>
          <w:color w:val="auto"/>
          <w:sz w:val="28"/>
          <w:szCs w:val="28"/>
        </w:rPr>
        <w:t xml:space="preserve"> </w:t>
      </w:r>
      <w:r>
        <w:rPr>
          <w:rFonts w:hint="eastAsia"/>
          <w:b/>
          <w:bCs/>
          <w:color w:val="auto"/>
          <w:sz w:val="28"/>
          <w:szCs w:val="28"/>
        </w:rPr>
        <w:t>项目周边环境及敏感目标</w:t>
      </w:r>
      <w:r>
        <w:rPr>
          <w:b/>
          <w:bCs/>
          <w:color w:val="auto"/>
          <w:sz w:val="28"/>
          <w:szCs w:val="28"/>
        </w:rPr>
        <w:t>图</w:t>
      </w:r>
      <w:bookmarkEnd w:id="76"/>
      <w:bookmarkEnd w:id="77"/>
      <w:bookmarkEnd w:id="78"/>
      <w:bookmarkEnd w:id="79"/>
      <w:bookmarkEnd w:id="80"/>
    </w:p>
    <w:p>
      <w:pPr>
        <w:pStyle w:val="9"/>
        <w:rPr>
          <w:color w:val="auto"/>
        </w:rPr>
      </w:pPr>
      <w:r>
        <w:rPr>
          <w:color w:val="auto"/>
          <w:sz w:val="18"/>
        </w:rPr>
        <mc:AlternateContent>
          <mc:Choice Requires="wps">
            <w:drawing>
              <wp:anchor distT="0" distB="0" distL="114300" distR="114300" simplePos="0" relativeHeight="251665408" behindDoc="0" locked="0" layoutInCell="1" allowOverlap="1">
                <wp:simplePos x="0" y="0"/>
                <wp:positionH relativeFrom="column">
                  <wp:posOffset>2292350</wp:posOffset>
                </wp:positionH>
                <wp:positionV relativeFrom="paragraph">
                  <wp:posOffset>3138805</wp:posOffset>
                </wp:positionV>
                <wp:extent cx="1268095" cy="530225"/>
                <wp:effectExtent l="0" t="0" r="0" b="0"/>
                <wp:wrapNone/>
                <wp:docPr id="33" name="矩形 33"/>
                <wp:cNvGraphicFramePr/>
                <a:graphic xmlns:a="http://schemas.openxmlformats.org/drawingml/2006/main">
                  <a:graphicData uri="http://schemas.microsoft.com/office/word/2010/wordprocessingShape">
                    <wps:wsp>
                      <wps:cNvSpPr/>
                      <wps:spPr>
                        <a:xfrm>
                          <a:off x="0" y="0"/>
                          <a:ext cx="1268095" cy="53022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default" w:eastAsia="宋体"/>
                                <w:lang w:val="en-US" w:eastAsia="zh-CN"/>
                              </w:rPr>
                            </w:pPr>
                            <w:r>
                              <w:rPr>
                                <w:rFonts w:hint="eastAsia"/>
                                <w:lang w:val="en-US" w:eastAsia="zh-CN"/>
                              </w:rPr>
                              <w:t>团洲乡居民散户</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0.5pt;margin-top:247.15pt;height:41.75pt;width:99.85pt;z-index:251665408;v-text-anchor:middle;mso-width-relative:page;mso-height-relative:page;" filled="f" stroked="f" coordsize="21600,21600" o:gfxdata="UEsDBAoAAAAAAIdO4kAAAAAAAAAAAAAAAAAEAAAAZHJzL1BLAwQUAAAACACHTuJAwdiZcdsAAAAL&#10;AQAADwAAAGRycy9kb3ducmV2LnhtbE2PQU+DQBCF7yb+h82YeLMLlkJFlqYxatKjxcR4W9gRUHaW&#10;sFva/nvHU729yXt5871ic7KDmHHyvSMF8SICgdQ401Or4L16uVuD8EGT0YMjVHBGD5vy+qrQuXFH&#10;esN5H1rBJeRzraALYcyl9E2HVvuFG5HY+3KT1YHPqZVm0kcut4O8j6JUWt0Tf+j0iE8dNj/7g1Xg&#10;63lXncftx/enb+rtM9kq2b0qdXsTR48gAp7CJQx/+IwOJTPV7kDGi0HBMo15S1CQPCRLEJxYpVEG&#10;omaRZWuQZSH/byh/AVBLAwQUAAAACACHTuJAo419D1UCAACYBAAADgAAAGRycy9lMm9Eb2MueG1s&#10;rVTNbhMxEL4j8Q6W73Q326S0UTdV1KgIqaKVCuLseO3sSv7DdrIpL4PEjYfgcRCvwWfvto0Khx64&#10;ODOe2c/zfTOT84u9VmQnfOisqenkqKREGG6bzmxq+unj1ZtTSkJkpmHKGlHTexHoxeL1q/PezUVl&#10;W6sa4QlATJj3rqZtjG5eFIG3QrNwZJ0wCErrNYtw/aZoPOuBrlVRleVJ0VvfOG+5CAG3qyFIR0T/&#10;EkArZcfFyvKtFiYOqF4oFkEptJ0LdJGrlVLweCNlEJGomoJpzCcegb1OZ7E4Z/ONZ67t+FgCe0kJ&#10;zzhp1hk8+gi1YpGRre/+gtId9zZYGY+41cVAJCsCFpPymTZ3LXMic4HUwT2KHv4fLP+wu/Wka2p6&#10;fEyJYRod//3tx6+f3wkuoE7vwhxJd+7Wj16AmajupdfpFyTIPit6/6io2EfCcTmpTk7LsxklHLHZ&#10;cVlVswRaPH3tfIjvhNUkGTX16FgWku2uQxxSH1LSY8ZedUrhns2VIX1Nq9m0RDM5wyhKjABM7UAn&#10;mA0lTG0w4zz6DHnwbYJcsdCSHcNgBKu6ZqxLGZSXSA80kxX36/3IfW2be+jl7TBIwfGrDlDXLMRb&#10;5jE5KAW7FW9wSGVRnx0tSlrrv/7rPuWjoYhS0mMSUc+XLfOCEvXeoNVnk+k0jW52prO3FRx/GFkf&#10;RsxWX1pwmmCLHc9myo/qwZTe6s9YwWV6FSFmON4eVBqdyzhsCJaYi+Uyp2FcHYvX5s7xBD70YrmN&#10;Vna5TUmoQZ1RPwxsbvS4XGkjDv2c9fSHsvg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wdiZcdsA&#10;AAALAQAADwAAAAAAAAABACAAAAAiAAAAZHJzL2Rvd25yZXYueG1sUEsBAhQAFAAAAAgAh07iQKON&#10;fQ9VAgAAmAQAAA4AAAAAAAAAAQAgAAAAKgEAAGRycy9lMm9Eb2MueG1sUEsFBgAAAAAGAAYAWQEA&#10;APEFAAAAAA==&#10;">
                <v:fill on="f" focussize="0,0"/>
                <v:stroke on="f" weight="2pt"/>
                <v:imagedata o:title=""/>
                <o:lock v:ext="edit" aspectratio="f"/>
                <v:textbox>
                  <w:txbxContent>
                    <w:p>
                      <w:pPr>
                        <w:jc w:val="center"/>
                        <w:rPr>
                          <w:rFonts w:hint="default" w:eastAsia="宋体"/>
                          <w:lang w:val="en-US" w:eastAsia="zh-CN"/>
                        </w:rPr>
                      </w:pPr>
                      <w:r>
                        <w:rPr>
                          <w:rFonts w:hint="eastAsia"/>
                          <w:lang w:val="en-US" w:eastAsia="zh-CN"/>
                        </w:rPr>
                        <w:t>团洲乡居民散户</w:t>
                      </w:r>
                    </w:p>
                  </w:txbxContent>
                </v:textbox>
              </v:rect>
            </w:pict>
          </mc:Fallback>
        </mc:AlternateContent>
      </w:r>
      <w:r>
        <w:rPr>
          <w:color w:val="auto"/>
          <w:sz w:val="18"/>
        </w:rPr>
        <mc:AlternateContent>
          <mc:Choice Requires="wps">
            <w:drawing>
              <wp:anchor distT="0" distB="0" distL="114300" distR="114300" simplePos="0" relativeHeight="251669504" behindDoc="0" locked="0" layoutInCell="1" allowOverlap="1">
                <wp:simplePos x="0" y="0"/>
                <wp:positionH relativeFrom="column">
                  <wp:posOffset>4610735</wp:posOffset>
                </wp:positionH>
                <wp:positionV relativeFrom="paragraph">
                  <wp:posOffset>2231390</wp:posOffset>
                </wp:positionV>
                <wp:extent cx="1196340" cy="530225"/>
                <wp:effectExtent l="0" t="0" r="0" b="0"/>
                <wp:wrapNone/>
                <wp:docPr id="13" name="矩形 13"/>
                <wp:cNvGraphicFramePr/>
                <a:graphic xmlns:a="http://schemas.openxmlformats.org/drawingml/2006/main">
                  <a:graphicData uri="http://schemas.microsoft.com/office/word/2010/wordprocessingShape">
                    <wps:wsp>
                      <wps:cNvSpPr/>
                      <wps:spPr>
                        <a:xfrm>
                          <a:off x="0" y="0"/>
                          <a:ext cx="1196340" cy="53022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default" w:eastAsia="宋体"/>
                                <w:lang w:val="en-US" w:eastAsia="zh-CN"/>
                              </w:rPr>
                            </w:pPr>
                            <w:r>
                              <w:rPr>
                                <w:rFonts w:hint="eastAsia"/>
                                <w:lang w:val="en-US" w:eastAsia="zh-CN"/>
                              </w:rPr>
                              <w:t>团洲乡居民散户</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63.05pt;margin-top:175.7pt;height:41.75pt;width:94.2pt;z-index:251669504;v-text-anchor:middle;mso-width-relative:page;mso-height-relative:page;" filled="f" stroked="f" coordsize="21600,21600" o:gfxdata="UEsDBAoAAAAAAIdO4kAAAAAAAAAAAAAAAAAEAAAAZHJzL1BLAwQUAAAACACHTuJAbuzeXdoAAAAL&#10;AQAADwAAAGRycy9kb3ducmV2LnhtbE2PwU7DMBBE70j8g7VI3KiT1i00ZFNVCJB6bIOEuDnxkgTi&#10;dRS7afv3mBMcV/M08zbfnG0vJhp95xghnSUgiGtnOm4Q3sqXuwcQPmg2undMCBfysCmur3KdGXfi&#10;PU2H0IhYwj7TCG0IQyalr1uy2s/cQByzTzdaHeI5NtKM+hTLbS/nSbKSVnccF1o90FNL9ffhaBF8&#10;Ne3Ky7B9//rwdbV9Zluq3Svi7U2aPIIIdA5/MPzqR3UoolPljmy86BHu56s0ogiLZapARGKdqiWI&#10;CkEt1Bpkkcv/PxQ/UEsDBBQAAAAIAIdO4kAiueryUgIAAJgEAAAOAAAAZHJzL2Uyb0RvYy54bWyt&#10;VM1uEzEQviPxDpbvdJM0KTTqpooaFSFVtFJBnB2vnbXkP2wnm/IySNx4iD4O4jX47N22UeHQAxdn&#10;xjP7eb5vZnJ2vjea7ESIytmajo9GlAjLXaPspqafP12+eUdJTMw2TDsranonIj1fvH511vm5mLjW&#10;6UYEAhAb552vaZuSn1dV5K0wLB45LyyC0gXDEtywqZrAOqAbXU1Go5Oqc6HxwXERI25XfZAOiOEl&#10;gE5KxcXK8a0RNvWoQWiWQCm2yke6KNVKKXi6ljKKRHRNwTSVE4/AXuezWpyx+SYw3yo+lMBeUsIz&#10;ToYpi0cfoVYsMbIN6i8oo3hw0cl0xJ2peiJFEbAYj55pc9syLwoXSB39o+jx/8Hyj7ubQFSDSTim&#10;xDKDjv/+/vPX/Q+CC6jT+ThH0q2/CYMXYWaqexlM/gUJsi+K3j0qKvaJcFyOx6cnx1OIzRGbHY8m&#10;k1kGrZ6+9iGm98IZko2aBnSsCMl2VzH1qQ8p+THrLpXWuGdzbUlX08lsOsr4DKMoMQIwjQedaDeU&#10;ML3BjPMUCuTBtxlyxWJLdgyDEZ1WzVCXtigvk+5pZivt1/uB+9o1d9AruH6QoueXClBXLKYbFjA5&#10;KAW7la5xSO1QnxssSloXvv3rPuejoYhS0mESUc/XLQuCEv3BotWn42lWMBVnOns7gRMOI+vDiN2a&#10;CwdOY2yx58XM+Uk/mDI48wUruMyvIsQsx9u9SoNzkfoNwRJzsVyWNIyrZ+nK3nqewfteLLfJSVXa&#10;lIXq1Rn0w8CWRg/LlTfi0C9ZT38o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u7N5d2gAAAAsB&#10;AAAPAAAAAAAAAAEAIAAAACIAAABkcnMvZG93bnJldi54bWxQSwECFAAUAAAACACHTuJAIrnq8lIC&#10;AACYBAAADgAAAAAAAAABACAAAAApAQAAZHJzL2Uyb0RvYy54bWxQSwUGAAAAAAYABgBZAQAA7QUA&#10;AAAA&#10;">
                <v:fill on="f" focussize="0,0"/>
                <v:stroke on="f" weight="2pt"/>
                <v:imagedata o:title=""/>
                <o:lock v:ext="edit" aspectratio="f"/>
                <v:textbox>
                  <w:txbxContent>
                    <w:p>
                      <w:pPr>
                        <w:jc w:val="center"/>
                        <w:rPr>
                          <w:rFonts w:hint="default" w:eastAsia="宋体"/>
                          <w:lang w:val="en-US" w:eastAsia="zh-CN"/>
                        </w:rPr>
                      </w:pPr>
                      <w:r>
                        <w:rPr>
                          <w:rFonts w:hint="eastAsia"/>
                          <w:lang w:val="en-US" w:eastAsia="zh-CN"/>
                        </w:rPr>
                        <w:t>团洲乡居民散户</w:t>
                      </w:r>
                    </w:p>
                  </w:txbxContent>
                </v:textbox>
              </v:rect>
            </w:pict>
          </mc:Fallback>
        </mc:AlternateContent>
      </w:r>
      <w:r>
        <w:rPr>
          <w:color w:val="auto"/>
          <w:sz w:val="18"/>
        </w:rPr>
        <mc:AlternateContent>
          <mc:Choice Requires="wps">
            <w:drawing>
              <wp:anchor distT="0" distB="0" distL="114300" distR="114300" simplePos="0" relativeHeight="251664384" behindDoc="0" locked="0" layoutInCell="1" allowOverlap="1">
                <wp:simplePos x="0" y="0"/>
                <wp:positionH relativeFrom="column">
                  <wp:posOffset>2323465</wp:posOffset>
                </wp:positionH>
                <wp:positionV relativeFrom="paragraph">
                  <wp:posOffset>1163955</wp:posOffset>
                </wp:positionV>
                <wp:extent cx="1101725" cy="448945"/>
                <wp:effectExtent l="0" t="0" r="0" b="0"/>
                <wp:wrapNone/>
                <wp:docPr id="29" name="矩形 29"/>
                <wp:cNvGraphicFramePr/>
                <a:graphic xmlns:a="http://schemas.openxmlformats.org/drawingml/2006/main">
                  <a:graphicData uri="http://schemas.microsoft.com/office/word/2010/wordprocessingShape">
                    <wps:wsp>
                      <wps:cNvSpPr/>
                      <wps:spPr>
                        <a:xfrm>
                          <a:off x="0" y="0"/>
                          <a:ext cx="1101725" cy="44894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default" w:eastAsia="宋体"/>
                                <w:lang w:val="en-US" w:eastAsia="zh-CN"/>
                              </w:rPr>
                            </w:pPr>
                            <w:r>
                              <w:rPr>
                                <w:rFonts w:hint="eastAsia"/>
                                <w:lang w:val="en-US" w:eastAsia="zh-CN"/>
                              </w:rPr>
                              <w:t>花园小区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95pt;margin-top:91.65pt;height:35.35pt;width:86.75pt;z-index:251664384;v-text-anchor:middle;mso-width-relative:page;mso-height-relative:page;" filled="f" stroked="f" coordsize="21600,21600" o:gfxdata="UEsDBAoAAAAAAIdO4kAAAAAAAAAAAAAAAAAEAAAAZHJzL1BLAwQUAAAACACHTuJAe4SMOtoAAAAL&#10;AQAADwAAAGRycy9kb3ducmV2LnhtbE2PQU+DQBCF7yb+h82YeLNLCzQtZWkaoyY9WkyMt4WdAsrO&#10;EnZL23/veKrHyfvy3jf59mJ7MeHoO0cK5rMIBFLtTEeNgo/y9WkFwgdNRveOUMEVPWyL+7tcZ8ad&#10;6R2nQ2gEl5DPtII2hCGT0tctWu1nbkDi7OhGqwOfYyPNqM9cbnu5iKKltLojXmj1gM8t1j+Hk1Xg&#10;q2lfXofd5/eXr6vdC9ky2b8p9fgwjzYgAl7CDYY/fVaHgp0qdyLjRa8gXqZrRjlYxTEIJtJ4nYCo&#10;FCzSJAJZ5PL/D8UvUEsDBBQAAAAIAIdO4kBnV0nOVAIAAJgEAAAOAAAAZHJzL2Uyb0RvYy54bWyt&#10;VM1uEzEQviPxDpbvdLPRhrZRN1XUqAipopUK4ux47awl/2E72ZSXQeLGQ/A4iNfg8+42jQqHHrg4&#10;M57Zz/N9M5OLy73RZCdCVM7WtDyZUCIsd42ym5p++nj95oySmJhtmHZW1PRBRHq5eP3qovNzMXWt&#10;040IBCA2zjtf0zYlPy+KyFthWDxxXlgEpQuGJbhhUzSBdUA3uphOJm+LzoXGB8dFjLhdDUE6IoaX&#10;ADopFRcrx7dG2DSgBqFZAqXYKh/poq9WSsHTrZRRJKJrCqapP/EI7HU+i8UFm28C863iYwnsJSU8&#10;42SYsnj0ALViiZFtUH9BGcWDi06mE+5MMRDpFQGLcvJMm/uWedFzgdTRH0SP/w+Wf9jdBaKamk7P&#10;KbHMoOO/v/349fM7wQXU6XycI+ne34XRizAz1b0MJv+CBNn3ij4cFBX7RDguy3JSnk5nlHDEqurs&#10;vJpl0OLpax9ieiecIdmoaUDHeiHZ7iamIfUxJT9m3bXSGvdsri3pUPasmqCZnGEUJUYApvGgE+2G&#10;EqY3mHGeQg959G2GXLHYkh3DYESnVTPWpS3Ky6QHmtlK+/V+5L52zQP0Cm4YpOj5tQLUDYvpjgVM&#10;DkrBbqVbHFI71OdGi5LWha//us/5aCiilHSYRNTzZcuCoES/t2j1eVlVeXR7p5qdTuGE48j6OGK3&#10;5sqBU4kt9rw3c37Sj6YMznzGCi7zqwgxy/H2oNLoXKVhQ7DEXCyXfRrG1bN0Y+89z+BDL5bb5KTq&#10;25SFGtQZ9cPA9o0elytvxLHfZz39oSz+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HuEjDraAAAA&#10;CwEAAA8AAAAAAAAAAQAgAAAAIgAAAGRycy9kb3ducmV2LnhtbFBLAQIUABQAAAAIAIdO4kBnV0nO&#10;VAIAAJgEAAAOAAAAAAAAAAEAIAAAACkBAABkcnMvZTJvRG9jLnhtbFBLBQYAAAAABgAGAFkBAADv&#10;BQAAAAA=&#10;">
                <v:fill on="f" focussize="0,0"/>
                <v:stroke on="f" weight="2pt"/>
                <v:imagedata o:title=""/>
                <o:lock v:ext="edit" aspectratio="f"/>
                <v:textbox>
                  <w:txbxContent>
                    <w:p>
                      <w:pPr>
                        <w:jc w:val="center"/>
                        <w:rPr>
                          <w:rFonts w:hint="default" w:eastAsia="宋体"/>
                          <w:lang w:val="en-US" w:eastAsia="zh-CN"/>
                        </w:rPr>
                      </w:pPr>
                      <w:r>
                        <w:rPr>
                          <w:rFonts w:hint="eastAsia"/>
                          <w:lang w:val="en-US" w:eastAsia="zh-CN"/>
                        </w:rPr>
                        <w:t>花园小区</w:t>
                      </w:r>
                    </w:p>
                  </w:txbxContent>
                </v:textbox>
              </v:rect>
            </w:pict>
          </mc:Fallback>
        </mc:AlternateContent>
      </w:r>
      <w:r>
        <w:rPr>
          <w:color w:val="auto"/>
          <w:sz w:val="18"/>
        </w:rPr>
        <mc:AlternateContent>
          <mc:Choice Requires="wps">
            <w:drawing>
              <wp:anchor distT="0" distB="0" distL="114300" distR="114300" simplePos="0" relativeHeight="251666432" behindDoc="0" locked="0" layoutInCell="1" allowOverlap="1">
                <wp:simplePos x="0" y="0"/>
                <wp:positionH relativeFrom="column">
                  <wp:posOffset>1294765</wp:posOffset>
                </wp:positionH>
                <wp:positionV relativeFrom="paragraph">
                  <wp:posOffset>790575</wp:posOffset>
                </wp:positionV>
                <wp:extent cx="911860" cy="530225"/>
                <wp:effectExtent l="0" t="0" r="0" b="0"/>
                <wp:wrapNone/>
                <wp:docPr id="34" name="矩形 34"/>
                <wp:cNvGraphicFramePr/>
                <a:graphic xmlns:a="http://schemas.openxmlformats.org/drawingml/2006/main">
                  <a:graphicData uri="http://schemas.microsoft.com/office/word/2010/wordprocessingShape">
                    <wps:wsp>
                      <wps:cNvSpPr/>
                      <wps:spPr>
                        <a:xfrm>
                          <a:off x="0" y="0"/>
                          <a:ext cx="911860" cy="53022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default" w:eastAsia="宋体"/>
                                <w:lang w:val="en-US" w:eastAsia="zh-CN"/>
                              </w:rPr>
                            </w:pPr>
                            <w:r>
                              <w:rPr>
                                <w:rFonts w:hint="eastAsia"/>
                                <w:lang w:val="en-US" w:eastAsia="zh-CN"/>
                              </w:rPr>
                              <w:t>团洲乡中心小学</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01.95pt;margin-top:62.25pt;height:41.75pt;width:71.8pt;z-index:251666432;v-text-anchor:middle;mso-width-relative:page;mso-height-relative:page;" filled="f" stroked="f" coordsize="21600,21600" o:gfxdata="UEsDBAoAAAAAAIdO4kAAAAAAAAAAAAAAAAAEAAAAZHJzL1BLAwQUAAAACACHTuJAvLYrQdgAAAAL&#10;AQAADwAAAGRycy9kb3ducmV2LnhtbE2PwU7DMAyG70i8Q2QkbixZ18EoTacJAdKOrEiIW9qYttA4&#10;VZN129vjncbN1vfr9+d8fXS9mHAMnScN85kCgVR721Gj4aN8vVuBCNGQNb0n1HDCAOvi+io3mfUH&#10;esdpFxvBJRQyo6GNccikDHWLzoSZH5CYffvRmcjr2Eg7mgOXu14mSt1LZzriC60Z8LnF+ne3dxpC&#10;NW3L07D5/PkKdbV5IVem2zetb2/m6glExGO8hOGsz+pQsFPl92SD6DUkavHIUQZJugTBiUX6wEN1&#10;RisFssjl/x+KP1BLAwQUAAAACACHTuJALt1ubFICAACXBAAADgAAAGRycy9lMm9Eb2MueG1srVTN&#10;bhMxEL4j8Q6W73STNClt1E0VNSpCqmilgjg7XjtryX/YTjblZZC48RA8DuI1+OzdtlHh0AMXZ8Yz&#10;+3m+b2ZyfrE3muxEiMrZmo6PRpQIy12j7Kamnz5evTmlJCZmG6adFTW9F5FeLF6/Ou/8XExc63Qj&#10;AgGIjfPO17RNyc+rKvJWGBaPnBcWQemCYQlu2FRNYB3Qja4mo9FJ1bnQ+OC4iBG3qz5IB8TwEkAn&#10;peJi5fjWCJt61CA0S6AUW+UjXZRqpRQ83UgZRSK6pmCayolHYK/zWS3O2XwTmG8VH0pgLynhGSfD&#10;lMWjj1ArlhjZBvUXlFE8uOhkOuLOVD2RoghYjEfPtLlrmReFC6SO/lH0+P9g+YfdbSCqqenxlBLL&#10;DDr++9uPXz+/E1xAnc7HOZLu/G0YvAgzU93LYPIvSJB9UfT+UVGxT4Tj8mw8Pj2B1hyh2fFoMpll&#10;zOrpYx9ieiecIdmoaUDDio5sdx1Tn/qQkt+y7kppjXs215Z0NZ3MpqOMzzCJEhMA03iwiXZDCdMb&#10;jDhPoUAefJshVyy2ZMcwF9Fp1Qx1aYvyMueeZbbSfr0fqK9dcw+5guvnKHp+pQB1zWK6ZQGDg1Kw&#10;WukGh9QO9bnBoqR14eu/7nM++okoJR0GEfV82bIgKNHvLTp9Np5OAZuKM529ncAJh5H1YcRuzaUD&#10;pzGW2PNi5vykH0wZnPmMDVzmVxFiluPtXqXBuUz9gmCHuVguSxqm1bN0be88z+B9L5bb5KQqbcpC&#10;9eoM+mFeS6OH3coLceiXrKf/k8U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vLYrQdgAAAALAQAA&#10;DwAAAAAAAAABACAAAAAiAAAAZHJzL2Rvd25yZXYueG1sUEsBAhQAFAAAAAgAh07iQC7dbmxSAgAA&#10;lwQAAA4AAAAAAAAAAQAgAAAAJwEAAGRycy9lMm9Eb2MueG1sUEsFBgAAAAAGAAYAWQEAAOsFAAAA&#10;AA==&#10;">
                <v:fill on="f" focussize="0,0"/>
                <v:stroke on="f" weight="2pt"/>
                <v:imagedata o:title=""/>
                <o:lock v:ext="edit" aspectratio="f"/>
                <v:textbox>
                  <w:txbxContent>
                    <w:p>
                      <w:pPr>
                        <w:jc w:val="center"/>
                        <w:rPr>
                          <w:rFonts w:hint="default" w:eastAsia="宋体"/>
                          <w:lang w:val="en-US" w:eastAsia="zh-CN"/>
                        </w:rPr>
                      </w:pPr>
                      <w:r>
                        <w:rPr>
                          <w:rFonts w:hint="eastAsia"/>
                          <w:lang w:val="en-US" w:eastAsia="zh-CN"/>
                        </w:rPr>
                        <w:t>团洲乡中心小学</w:t>
                      </w:r>
                    </w:p>
                  </w:txbxContent>
                </v:textbox>
              </v:rect>
            </w:pict>
          </mc:Fallback>
        </mc:AlternateContent>
      </w:r>
      <w:r>
        <w:rPr>
          <w:color w:val="auto"/>
          <w:sz w:val="18"/>
        </w:rPr>
        <mc:AlternateContent>
          <mc:Choice Requires="wps">
            <w:drawing>
              <wp:anchor distT="0" distB="0" distL="114300" distR="114300" simplePos="0" relativeHeight="251663360" behindDoc="0" locked="0" layoutInCell="1" allowOverlap="1">
                <wp:simplePos x="0" y="0"/>
                <wp:positionH relativeFrom="column">
                  <wp:posOffset>3365500</wp:posOffset>
                </wp:positionH>
                <wp:positionV relativeFrom="paragraph">
                  <wp:posOffset>2155825</wp:posOffset>
                </wp:positionV>
                <wp:extent cx="1101725" cy="448945"/>
                <wp:effectExtent l="0" t="0" r="0" b="0"/>
                <wp:wrapNone/>
                <wp:docPr id="28" name="矩形 28"/>
                <wp:cNvGraphicFramePr/>
                <a:graphic xmlns:a="http://schemas.openxmlformats.org/drawingml/2006/main">
                  <a:graphicData uri="http://schemas.microsoft.com/office/word/2010/wordprocessingShape">
                    <wps:wsp>
                      <wps:cNvSpPr/>
                      <wps:spPr>
                        <a:xfrm>
                          <a:off x="5728335" y="2042160"/>
                          <a:ext cx="1101725" cy="44894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default" w:eastAsia="宋体"/>
                                <w:lang w:val="en-US" w:eastAsia="zh-CN"/>
                              </w:rPr>
                            </w:pPr>
                            <w:r>
                              <w:rPr>
                                <w:rFonts w:hint="eastAsia"/>
                                <w:lang w:val="en-US" w:eastAsia="zh-CN"/>
                              </w:rPr>
                              <w:t>安置区三期</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65pt;margin-top:169.75pt;height:35.35pt;width:86.75pt;z-index:251663360;v-text-anchor:middle;mso-width-relative:page;mso-height-relative:page;" filled="f" stroked="f" coordsize="21600,21600" o:gfxdata="UEsDBAoAAAAAAIdO4kAAAAAAAAAAAAAAAAAEAAAAZHJzL1BLAwQUAAAACACHTuJAtINhotsAAAAL&#10;AQAADwAAAGRycy9kb3ducmV2LnhtbE2PzU7DMBCE70i8g7VI3KidpuUnZFNVCJB6bINU9ebEJgnE&#10;6yh20/btWU5wm9WMZr/JV2fXi8mOofOEkMwUCEu1Nx01CB/l290jiBA1Gd17sggXG2BVXF/lOjP+&#10;RFs77WIjuIRCphHaGIdMylC31ukw84Ml9j796HTkc2ykGfWJy10v50rdS6c74g+tHuxLa+vv3dEh&#10;hGralJdhvf86hLpav5IrF5t3xNubRD2DiPYc/8Lwi8/oUDBT5Y9kgugRlqniLREhTZ+WIDjxoFIW&#10;FcIiUXOQRS7/byh+AFBLAwQUAAAACACHTuJAJ4PusF8CAACkBAAADgAAAGRycy9lMm9Eb2MueG1s&#10;rVRLbtswEN0X6B0I7htJjpyPETkwYqQoEDQB3KJrmqIsAvyVpC2nlynQXQ+R4xS9Rh8lJTHSLrLo&#10;hp4hx2/mvZnRxeVeK7ITPkhrKloc5ZQIw20tzaainz9dvzujJERmaqasERW9F4Fezt++uejcTExs&#10;a1UtPAGICbPOVbSN0c2yLPBWaBaOrBMGj431mkW4fpPVnnVA1yqb5PlJ1llfO2+5CAG3y+GRjoj+&#10;NYC2aSQXS8u3Wpg4oHqhWASl0EoX6LyvtmkEj7dNE0QkqqJgGvsTSWCv05nNL9hs45lrJR9LYK8p&#10;4QUnzaRB0ieoJYuMbL38C0pL7m2wTTziVmcDkV4RsCjyF9qsWuZEzwVSB/ckevh/sPzj7s4TWVd0&#10;gr4bptHx399//nr4QXABdToXZghauTs/egFmorpvvE6/IEH2FZ2eTs6Oj6eU3AMrLyfFyaiu2EfC&#10;EVAUeXE6QQBHRFmenZfTlCB7RnI+xPfCapKMinp0rxeV7W5CHEIfQ1JiY6+lUrhnM2VIh7TTMkdj&#10;OcNYNhgHmNqBWjAbSpjaYN559D3kwX8T5JKFluwYhiRYJeuxLmVQXhJgoJysuF/vRx3Wtr6Hdt4O&#10;QxUcv5aAumEh3jGPKUIp2LN4i6NRFvXZ0aKktf7bv+5TPJqLV0o6TCXq+bplXlCiPhi0/bwoyzTG&#10;vVNCcjj+8GV9+GK2+sqCU4GNdrw3U3xUj2bjrf6CdVykrHhihiP3oNLoXMVhW7DQXCwWfRhG17F4&#10;Y1aOJ/ChF4tttI3s25SEGtQZ9cPw9o0eFy1tx6HfRz1/XOZ/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LSDYaLbAAAACwEAAA8AAAAAAAAAAQAgAAAAIgAAAGRycy9kb3ducmV2LnhtbFBLAQIUABQA&#10;AAAIAIdO4kAng+6wXwIAAKQEAAAOAAAAAAAAAAEAIAAAACoBAABkcnMvZTJvRG9jLnhtbFBLBQYA&#10;AAAABgAGAFkBAAD7BQAAAAA=&#10;">
                <v:fill on="f" focussize="0,0"/>
                <v:stroke on="f" weight="2pt"/>
                <v:imagedata o:title=""/>
                <o:lock v:ext="edit" aspectratio="f"/>
                <v:textbox>
                  <w:txbxContent>
                    <w:p>
                      <w:pPr>
                        <w:jc w:val="center"/>
                        <w:rPr>
                          <w:rFonts w:hint="default" w:eastAsia="宋体"/>
                          <w:lang w:val="en-US" w:eastAsia="zh-CN"/>
                        </w:rPr>
                      </w:pPr>
                      <w:r>
                        <w:rPr>
                          <w:rFonts w:hint="eastAsia"/>
                          <w:lang w:val="en-US" w:eastAsia="zh-CN"/>
                        </w:rPr>
                        <w:t>安置区三期</w:t>
                      </w:r>
                    </w:p>
                  </w:txbxContent>
                </v:textbox>
              </v:rect>
            </w:pict>
          </mc:Fallback>
        </mc:AlternateContent>
      </w:r>
      <w:r>
        <w:rPr>
          <w:rFonts w:hint="default" w:ascii="Times New Roman" w:hAnsi="Times New Roman" w:cs="Times New Roman"/>
          <w:color w:val="auto"/>
        </w:rPr>
        <w:drawing>
          <wp:anchor distT="0" distB="0" distL="114300" distR="114300" simplePos="0" relativeHeight="251667456" behindDoc="0" locked="0" layoutInCell="1" allowOverlap="1">
            <wp:simplePos x="0" y="0"/>
            <wp:positionH relativeFrom="column">
              <wp:posOffset>7813675</wp:posOffset>
            </wp:positionH>
            <wp:positionV relativeFrom="paragraph">
              <wp:posOffset>78105</wp:posOffset>
            </wp:positionV>
            <wp:extent cx="529590" cy="689610"/>
            <wp:effectExtent l="0" t="0" r="3810" b="15240"/>
            <wp:wrapNone/>
            <wp:docPr id="36" name="图片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11"/>
                    <pic:cNvPicPr>
                      <a:picLocks noChangeAspect="1"/>
                    </pic:cNvPicPr>
                  </pic:nvPicPr>
                  <pic:blipFill>
                    <a:blip r:embed="rId25"/>
                    <a:stretch>
                      <a:fillRect/>
                    </a:stretch>
                  </pic:blipFill>
                  <pic:spPr>
                    <a:xfrm>
                      <a:off x="0" y="0"/>
                      <a:ext cx="529590" cy="689610"/>
                    </a:xfrm>
                    <a:prstGeom prst="rect">
                      <a:avLst/>
                    </a:prstGeom>
                    <a:noFill/>
                    <a:ln>
                      <a:noFill/>
                    </a:ln>
                  </pic:spPr>
                </pic:pic>
              </a:graphicData>
            </a:graphic>
          </wp:anchor>
        </w:drawing>
      </w:r>
      <w:r>
        <w:rPr>
          <w:color w:val="auto"/>
        </w:rPr>
        <w:drawing>
          <wp:inline distT="0" distB="0" distL="114300" distR="114300">
            <wp:extent cx="8058785" cy="5189855"/>
            <wp:effectExtent l="19050" t="19050" r="37465" b="29845"/>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r:embed="rId26"/>
                    <a:stretch>
                      <a:fillRect/>
                    </a:stretch>
                  </pic:blipFill>
                  <pic:spPr>
                    <a:xfrm>
                      <a:off x="0" y="0"/>
                      <a:ext cx="8058785" cy="5189855"/>
                    </a:xfrm>
                    <a:prstGeom prst="rect">
                      <a:avLst/>
                    </a:prstGeom>
                    <a:noFill/>
                    <a:ln w="19050">
                      <a:solidFill>
                        <a:schemeClr val="tx1"/>
                      </a:solidFill>
                    </a:ln>
                  </pic:spPr>
                </pic:pic>
              </a:graphicData>
            </a:graphic>
          </wp:inline>
        </w:drawing>
      </w:r>
    </w:p>
    <w:p>
      <w:pPr>
        <w:rPr>
          <w:color w:val="auto"/>
        </w:rPr>
      </w:pPr>
      <w:r>
        <w:rPr>
          <w:color w:val="auto"/>
        </w:rPr>
        <w:br w:type="page"/>
      </w:r>
    </w:p>
    <w:p>
      <w:pPr>
        <w:widowControl/>
        <w:spacing w:line="360" w:lineRule="auto"/>
        <w:outlineLvl w:val="1"/>
        <w:rPr>
          <w:b/>
          <w:bCs/>
          <w:color w:val="auto"/>
          <w:sz w:val="28"/>
          <w:szCs w:val="28"/>
        </w:rPr>
      </w:pPr>
      <w:bookmarkStart w:id="81" w:name="_Toc19421"/>
      <w:r>
        <w:rPr>
          <w:b/>
          <w:bCs/>
          <w:color w:val="auto"/>
          <w:sz w:val="28"/>
          <w:szCs w:val="28"/>
        </w:rPr>
        <w:t>附图</w:t>
      </w:r>
      <w:r>
        <w:rPr>
          <w:rFonts w:hint="eastAsia"/>
          <w:b/>
          <w:bCs/>
          <w:color w:val="auto"/>
          <w:sz w:val="28"/>
          <w:szCs w:val="28"/>
          <w:lang w:val="en-US" w:eastAsia="zh-CN"/>
        </w:rPr>
        <w:t>4</w:t>
      </w:r>
      <w:r>
        <w:rPr>
          <w:b/>
          <w:bCs/>
          <w:color w:val="auto"/>
          <w:sz w:val="28"/>
          <w:szCs w:val="28"/>
        </w:rPr>
        <w:t xml:space="preserve"> </w:t>
      </w:r>
      <w:r>
        <w:rPr>
          <w:rFonts w:hint="eastAsia"/>
          <w:b/>
          <w:bCs/>
          <w:color w:val="auto"/>
          <w:sz w:val="28"/>
          <w:szCs w:val="28"/>
          <w:lang w:val="en-US" w:eastAsia="zh-CN"/>
        </w:rPr>
        <w:t>噪声监测布点</w:t>
      </w:r>
      <w:r>
        <w:rPr>
          <w:b/>
          <w:bCs/>
          <w:color w:val="auto"/>
          <w:sz w:val="28"/>
          <w:szCs w:val="28"/>
        </w:rPr>
        <w:t>图</w:t>
      </w:r>
      <w:bookmarkEnd w:id="81"/>
    </w:p>
    <w:p>
      <w:pPr>
        <w:rPr>
          <w:color w:val="auto"/>
        </w:rPr>
      </w:pPr>
      <w:r>
        <w:rPr>
          <w:rFonts w:hint="default" w:ascii="Times New Roman" w:hAnsi="Times New Roman" w:cs="Times New Roman"/>
          <w:color w:val="auto"/>
        </w:rPr>
        <w:drawing>
          <wp:anchor distT="0" distB="0" distL="114300" distR="114300" simplePos="0" relativeHeight="251668480" behindDoc="0" locked="0" layoutInCell="1" allowOverlap="1">
            <wp:simplePos x="0" y="0"/>
            <wp:positionH relativeFrom="column">
              <wp:posOffset>7840980</wp:posOffset>
            </wp:positionH>
            <wp:positionV relativeFrom="paragraph">
              <wp:posOffset>125095</wp:posOffset>
            </wp:positionV>
            <wp:extent cx="529590" cy="689610"/>
            <wp:effectExtent l="0" t="0" r="3810" b="15240"/>
            <wp:wrapNone/>
            <wp:docPr id="38" name="图片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11"/>
                    <pic:cNvPicPr>
                      <a:picLocks noChangeAspect="1"/>
                    </pic:cNvPicPr>
                  </pic:nvPicPr>
                  <pic:blipFill>
                    <a:blip r:embed="rId25"/>
                    <a:stretch>
                      <a:fillRect/>
                    </a:stretch>
                  </pic:blipFill>
                  <pic:spPr>
                    <a:xfrm>
                      <a:off x="0" y="0"/>
                      <a:ext cx="529590" cy="689610"/>
                    </a:xfrm>
                    <a:prstGeom prst="rect">
                      <a:avLst/>
                    </a:prstGeom>
                    <a:noFill/>
                    <a:ln>
                      <a:noFill/>
                    </a:ln>
                  </pic:spPr>
                </pic:pic>
              </a:graphicData>
            </a:graphic>
          </wp:anchor>
        </w:drawing>
      </w:r>
      <w:r>
        <w:rPr>
          <w:color w:val="auto"/>
        </w:rPr>
        <w:drawing>
          <wp:inline distT="0" distB="0" distL="114300" distR="114300">
            <wp:extent cx="8434705" cy="4849495"/>
            <wp:effectExtent l="19050" t="19050" r="23495" b="27305"/>
            <wp:docPr id="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pic:cNvPicPr>
                      <a:picLocks noChangeAspect="1"/>
                    </pic:cNvPicPr>
                  </pic:nvPicPr>
                  <pic:blipFill>
                    <a:blip r:embed="rId27"/>
                    <a:stretch>
                      <a:fillRect/>
                    </a:stretch>
                  </pic:blipFill>
                  <pic:spPr>
                    <a:xfrm>
                      <a:off x="0" y="0"/>
                      <a:ext cx="8434705" cy="4849495"/>
                    </a:xfrm>
                    <a:prstGeom prst="rect">
                      <a:avLst/>
                    </a:prstGeom>
                    <a:noFill/>
                    <a:ln w="19050" cmpd="sng">
                      <a:solidFill>
                        <a:schemeClr val="tx1"/>
                      </a:solidFill>
                      <a:prstDash val="solid"/>
                    </a:ln>
                  </pic:spPr>
                </pic:pic>
              </a:graphicData>
            </a:graphic>
          </wp:inline>
        </w:drawing>
      </w:r>
    </w:p>
    <w:p>
      <w:pPr>
        <w:rPr>
          <w:color w:val="auto"/>
        </w:rPr>
      </w:pPr>
      <w:r>
        <w:rPr>
          <w:color w:val="auto"/>
        </w:rPr>
        <w:br w:type="page"/>
      </w:r>
    </w:p>
    <w:p>
      <w:pPr>
        <w:widowControl/>
        <w:spacing w:line="360" w:lineRule="auto"/>
        <w:outlineLvl w:val="1"/>
        <w:rPr>
          <w:rFonts w:hint="default"/>
          <w:b/>
          <w:bCs/>
          <w:color w:val="auto"/>
          <w:sz w:val="28"/>
          <w:szCs w:val="28"/>
          <w:lang w:val="en-US"/>
        </w:rPr>
      </w:pPr>
      <w:bookmarkStart w:id="82" w:name="_Toc19812"/>
      <w:bookmarkStart w:id="83" w:name="_Toc2390"/>
      <w:r>
        <w:rPr>
          <w:b/>
          <w:bCs/>
          <w:color w:val="auto"/>
          <w:sz w:val="28"/>
          <w:szCs w:val="28"/>
        </w:rPr>
        <w:t>附图</w:t>
      </w:r>
      <w:r>
        <w:rPr>
          <w:rFonts w:hint="eastAsia"/>
          <w:b/>
          <w:bCs/>
          <w:color w:val="auto"/>
          <w:sz w:val="28"/>
          <w:szCs w:val="28"/>
          <w:lang w:val="en-US" w:eastAsia="zh-CN"/>
        </w:rPr>
        <w:t>5</w:t>
      </w:r>
      <w:r>
        <w:rPr>
          <w:b/>
          <w:bCs/>
          <w:color w:val="auto"/>
          <w:sz w:val="28"/>
          <w:szCs w:val="28"/>
        </w:rPr>
        <w:t xml:space="preserve"> </w:t>
      </w:r>
      <w:r>
        <w:rPr>
          <w:rFonts w:hint="eastAsia"/>
          <w:b/>
          <w:bCs/>
          <w:color w:val="auto"/>
          <w:sz w:val="28"/>
          <w:szCs w:val="28"/>
          <w:lang w:val="en-US" w:eastAsia="zh-CN"/>
        </w:rPr>
        <w:t>本项目与湖南东洞庭湖国家级自然保护区位置示意图</w:t>
      </w:r>
      <w:bookmarkEnd w:id="82"/>
      <w:r>
        <w:rPr>
          <w:rFonts w:hint="eastAsia"/>
          <w:b/>
          <w:bCs/>
          <w:color w:val="auto"/>
          <w:sz w:val="28"/>
          <w:szCs w:val="28"/>
          <w:lang w:val="en-US" w:eastAsia="zh-CN"/>
        </w:rPr>
        <w:t>（调整前及调整后）</w:t>
      </w:r>
      <w:bookmarkEnd w:id="83"/>
    </w:p>
    <w:p>
      <w:pPr>
        <w:rPr>
          <w:color w:val="auto"/>
        </w:rPr>
      </w:pPr>
      <w:r>
        <w:rPr>
          <w:color w:val="auto"/>
          <w:sz w:val="21"/>
        </w:rPr>
        <mc:AlternateContent>
          <mc:Choice Requires="wps">
            <w:drawing>
              <wp:anchor distT="0" distB="0" distL="114300" distR="114300" simplePos="0" relativeHeight="251679744" behindDoc="0" locked="0" layoutInCell="1" allowOverlap="1">
                <wp:simplePos x="0" y="0"/>
                <wp:positionH relativeFrom="column">
                  <wp:posOffset>2600960</wp:posOffset>
                </wp:positionH>
                <wp:positionV relativeFrom="paragraph">
                  <wp:posOffset>1749425</wp:posOffset>
                </wp:positionV>
                <wp:extent cx="976630" cy="424815"/>
                <wp:effectExtent l="0" t="0" r="0" b="0"/>
                <wp:wrapNone/>
                <wp:docPr id="58" name="矩形 58"/>
                <wp:cNvGraphicFramePr/>
                <a:graphic xmlns:a="http://schemas.openxmlformats.org/drawingml/2006/main">
                  <a:graphicData uri="http://schemas.microsoft.com/office/word/2010/wordprocessingShape">
                    <wps:wsp>
                      <wps:cNvSpPr/>
                      <wps:spPr>
                        <a:xfrm>
                          <a:off x="3971925" y="3169920"/>
                          <a:ext cx="976630" cy="424815"/>
                        </a:xfrm>
                        <a:prstGeom prst="rect">
                          <a:avLst/>
                        </a:prstGeom>
                        <a:noFill/>
                        <a:ln w="15875">
                          <a:noFill/>
                        </a:ln>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default" w:eastAsia="宋体"/>
                                <w:color w:val="FF0000"/>
                                <w:lang w:val="en-US" w:eastAsia="zh-CN"/>
                              </w:rPr>
                            </w:pPr>
                            <w:r>
                              <w:rPr>
                                <w:rFonts w:hint="eastAsia"/>
                                <w:color w:val="FF0000"/>
                                <w:lang w:val="en-US" w:eastAsia="zh-CN"/>
                              </w:rPr>
                              <w:t>项目所在地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4.8pt;margin-top:137.75pt;height:33.45pt;width:76.9pt;z-index:251679744;v-text-anchor:middle;mso-width-relative:page;mso-height-relative:page;" filled="f" stroked="f" coordsize="21600,21600" o:gfxdata="UEsDBAoAAAAAAIdO4kAAAAAAAAAAAAAAAAAEAAAAZHJzL1BLAwQUAAAACACHTuJA0oXyFtsAAAAL&#10;AQAADwAAAGRycy9kb3ducmV2LnhtbE2Py07DMBBF90j8gzVIbBC1mzgphDgVD3VdtVQq2bnxkETE&#10;4yh2H/w9ZgXL0T2690y5vNiBnXDyvSMF85kAhtQ401OrYPe+un8A5oMmowdHqOAbPSyr66tSF8ad&#10;aYOnbWhZLCFfaAVdCGPBuW86tNrP3IgUs083WR3iObXcTPocy+3AEyFybnVPcaHTI7522Hxtj1ZB&#10;7uS63uFHWj/fTTWJdLN/W70odXszF0/AAl7CHwy/+lEdquh0cEcyng0KpHjMI6ogWWQZsEhkeSqB&#10;HRSkMpHAq5L//6H6AVBLAwQUAAAACACHTuJAXLGpHl8CAACjBAAADgAAAGRycy9lMm9Eb2MueG1s&#10;rVRLbtswEN0X6B0I7mtZjj+xETkwYrgoEDQB0qJrmqIsAvyVpC2nlynQXQ+R4xS9Rh8lJTHSLrLo&#10;hh5yxm/mvZnRxeVRK3IQPkhrCpoPhpQIw20pza6gnz9t3p1TEiIzJVPWiILei0Avl2/fXDRuIUa2&#10;tqoUngDEhEXjClrH6BZZFngtNAsD64SBs7Jes4ir32WlZw3QtcpGw+E0a6wvnbdchIDXdeekPaJ/&#10;DaCtKsnF2vK9FiZ2qF4oFkEp1NIFumyrrSrB401VBRGJKiiYxvZEEtjbdGbLC7bYeeZqyfsS2GtK&#10;eMFJM2mQ9AlqzSIjey//gtKSextsFQfc6qwj0ioCFvnwhTZ3NXOi5QKpg3sSPfw/WP7xcOuJLAs6&#10;Qd8N0+j47+8/fz38IHiAOo0LCwTduVvf3wLMRPVYeZ1+QYIcC3o2n+Xz0YSSe9j5dD4f9eqKYyQc&#10;AfPZdHoG3TkCxqPxeT5J+NkzkPMhvhdWk2QU1KN5rabscB1iF/oYkvIau5FK4Z0tlCENZnlyPkN+&#10;zjCVFaYBpnZgFsyOEqZ2GHcefQt58t8EuWahJgeGGQlWybKvSxmUl/h3jJMVj9tjL8PWlveQzttu&#10;poLjGwmoaxbiLfMYIlDFmsUbHJWyqM/2FiW19d/+9Z7i0Vt4KWkwlKjn6555QYn6YND1eT4epylu&#10;L+PJDBITf+rZnnrMXl9ZcMqx0I63ZoqP6tGsvNVfsI2rlBUuZjhydyr1l6vYLQv2mYvVqg3D5DoW&#10;r82d4wm868VqH20l2zYloTp1ev0wu22j+z1Ly3F6b6Oevy3L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KF8hbbAAAACwEAAA8AAAAAAAAAAQAgAAAAIgAAAGRycy9kb3ducmV2LnhtbFBLAQIUABQA&#10;AAAIAIdO4kBcsakeXwIAAKMEAAAOAAAAAAAAAAEAIAAAACoBAABkcnMvZTJvRG9jLnhtbFBLBQYA&#10;AAAABgAGAFkBAAD7BQAAAAA=&#10;">
                <v:fill on="f" focussize="0,0"/>
                <v:stroke on="f" weight="1.25pt"/>
                <v:imagedata o:title=""/>
                <o:lock v:ext="edit" aspectratio="f"/>
                <v:textbox>
                  <w:txbxContent>
                    <w:p>
                      <w:pPr>
                        <w:jc w:val="center"/>
                        <w:rPr>
                          <w:rFonts w:hint="default" w:eastAsia="宋体"/>
                          <w:color w:val="FF0000"/>
                          <w:lang w:val="en-US" w:eastAsia="zh-CN"/>
                        </w:rPr>
                      </w:pPr>
                      <w:r>
                        <w:rPr>
                          <w:rFonts w:hint="eastAsia"/>
                          <w:color w:val="FF0000"/>
                          <w:lang w:val="en-US" w:eastAsia="zh-CN"/>
                        </w:rPr>
                        <w:t>项目所在地</w:t>
                      </w:r>
                    </w:p>
                  </w:txbxContent>
                </v:textbox>
              </v:rect>
            </w:pict>
          </mc:Fallback>
        </mc:AlternateContent>
      </w:r>
      <w:r>
        <w:rPr>
          <w:color w:val="auto"/>
          <w:sz w:val="21"/>
        </w:rPr>
        <mc:AlternateContent>
          <mc:Choice Requires="wps">
            <w:drawing>
              <wp:anchor distT="0" distB="0" distL="114300" distR="114300" simplePos="0" relativeHeight="251678720" behindDoc="0" locked="0" layoutInCell="1" allowOverlap="1">
                <wp:simplePos x="0" y="0"/>
                <wp:positionH relativeFrom="column">
                  <wp:posOffset>3041650</wp:posOffset>
                </wp:positionH>
                <wp:positionV relativeFrom="paragraph">
                  <wp:posOffset>2122170</wp:posOffset>
                </wp:positionV>
                <wp:extent cx="97790" cy="102235"/>
                <wp:effectExtent l="4445" t="4445" r="12065" b="7620"/>
                <wp:wrapNone/>
                <wp:docPr id="59" name="五角星 59"/>
                <wp:cNvGraphicFramePr/>
                <a:graphic xmlns:a="http://schemas.openxmlformats.org/drawingml/2006/main">
                  <a:graphicData uri="http://schemas.microsoft.com/office/word/2010/wordprocessingShape">
                    <wps:wsp>
                      <wps:cNvSpPr/>
                      <wps:spPr>
                        <a:xfrm>
                          <a:off x="4241165" y="3517265"/>
                          <a:ext cx="97790" cy="102235"/>
                        </a:xfrm>
                        <a:prstGeom prst="star5">
                          <a:avLst/>
                        </a:prstGeom>
                        <a:solidFill>
                          <a:schemeClr val="accent2"/>
                        </a:solid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239.5pt;margin-top:167.1pt;height:8.05pt;width:7.7pt;z-index:251678720;v-text-anchor:middle;mso-width-relative:page;mso-height-relative:page;" fillcolor="#C0504D [3205]" filled="t" stroked="t" coordsize="97790,102235" o:gfxdata="UEsDBAoAAAAAAIdO4kAAAAAAAAAAAAAAAAAEAAAAZHJzL1BLAwQUAAAACACHTuJApOVyC9cAAAAL&#10;AQAADwAAAGRycy9kb3ducmV2LnhtbE2PyU7EMBBE70j8g9VI3Bh7ErNMiDPSIM0VaZYPcOLOAnE7&#10;ij0LfD3NCY5dXap6Va6vfhRnnOMQyMByoUAgNcEN1Bk4HrYPLyBisuTsGAgNfGGEdXV7U9rChQvt&#10;8LxPneAQioU10Kc0FVLGpkdv4yJMSPxrw+xt4nPupJvthcP9KDOlnqS3A3FDbyd867H53J+8gbbe&#10;HWizybaD+lDfddN6+866ub9bqlcQCa/pzwy/+IwOFTPV4UQuitGAfl7xlmQgz3UGgh16pTWImpVH&#10;lYOsSvl/Q/UDUEsDBBQAAAAIAIdO4kC07eYvewIAAOwEAAAOAAAAZHJzL2Uyb0RvYy54bWytVM1u&#10;EzEQviPxDpbvdH+abUjUTRUlKkKqaKWCODteb3Ylr21s56c8BuLAjSPvwPMgxGPw2btt09JDD+Tg&#10;zOyMv5n5ZsanZ/tOkq2wrtWqpNlRSolQXFetWpf0w/vzV68pcZ6pikmtRElvhKNns5cvTndmKnLd&#10;aFkJSwCi3HRnStp4b6ZJ4ngjOuaOtBEKxlrbjnmodp1Ulu2A3skkT9OTZKdtZazmwjl8XfZGOiDa&#10;5wDqum65WGq+6YTyPaoVknmU5JrWODqL2da14P6yrp3wRJYUlfp4IgjkVTiT2Smbri0zTcuHFNhz&#10;UnhUU8dahaB3UEvmGdnY9h+oruVWO137I667pC8kMoIqsvQRN9cNMyLWAqqduSPd/T9Y/m57ZUlb&#10;lbSYUKJYh47/+vn1z48vv799J/gGgnbGTeF3ba7soDmIodp9bbvwjzrIvqSjfJRlJwUlNyU9LrJx&#10;DjkSLPaecDhMxuMJmOewZ2meH0dzco9jrPNvhO5IEEqKMbRFpJVtL5wHFHxvfUJcp2VbnbdSRsWu&#10;VwtpyZah14u0SEfLEB1XHrhJRXbIpMiRJ2cY4BqDA7EzIMGpNSVMrrEZ3NsY+sFldxgjjb+nYoQc&#10;l8w1fS4RYXCTChkFQnsKg7TS1Q16YHU/nM7w8xb3L5jzV8xiGsEY9tVf4qilRvJ6kChptP381Pfg&#10;jyGBlZIdphuVfdowKyiRbxXGZ5KNRmEdojIqxjkUe2hZHVrUpltokJrhZTA8isHfy1uxtrr7iLWe&#10;h6gwMcURu+dwUBa+3zo8DFzM59ENK2CYv1DXhgfw0ESl5xuv6zY2+56dgTQsQWzosLBhyw716HX/&#10;SM3+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KTlcgvXAAAACwEAAA8AAAAAAAAAAQAgAAAAIgAA&#10;AGRycy9kb3ducmV2LnhtbFBLAQIUABQAAAAIAIdO4kC07eYvewIAAOwEAAAOAAAAAAAAAAEAIAAA&#10;ACYBAABkcnMvZTJvRG9jLnhtbFBLBQYAAAAABgAGAFkBAAATBgAAAAA=&#10;" path="m0,39050l37352,39050,48895,0,60437,39050,97789,39050,67570,63184,79113,102234,48895,78100,18676,102234,30219,63184xe">
                <v:path o:connectlocs="48895,0;0,39050;18676,102234;79113,102234;97789,39050" o:connectangles="247,164,82,82,0"/>
                <v:fill on="t" focussize="0,0"/>
                <v:stroke color="#000000 [3213]" joinstyle="round"/>
                <v:imagedata o:title=""/>
                <o:lock v:ext="edit" aspectratio="f"/>
              </v:shape>
            </w:pict>
          </mc:Fallback>
        </mc:AlternateContent>
      </w:r>
      <w:r>
        <w:rPr>
          <w:color w:val="auto"/>
        </w:rPr>
        <w:drawing>
          <wp:inline distT="0" distB="0" distL="114300" distR="114300">
            <wp:extent cx="8048625" cy="5265420"/>
            <wp:effectExtent l="0" t="0" r="9525" b="11430"/>
            <wp:docPr id="6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2"/>
                    <pic:cNvPicPr>
                      <a:picLocks noChangeAspect="1"/>
                    </pic:cNvPicPr>
                  </pic:nvPicPr>
                  <pic:blipFill>
                    <a:blip r:embed="rId28"/>
                    <a:stretch>
                      <a:fillRect/>
                    </a:stretch>
                  </pic:blipFill>
                  <pic:spPr>
                    <a:xfrm>
                      <a:off x="0" y="0"/>
                      <a:ext cx="8048625" cy="5265420"/>
                    </a:xfrm>
                    <a:prstGeom prst="rect">
                      <a:avLst/>
                    </a:prstGeom>
                    <a:noFill/>
                    <a:ln>
                      <a:noFill/>
                    </a:ln>
                  </pic:spPr>
                </pic:pic>
              </a:graphicData>
            </a:graphic>
          </wp:inline>
        </w:drawing>
      </w:r>
    </w:p>
    <w:p>
      <w:pPr>
        <w:rPr>
          <w:rFonts w:hint="eastAsia" w:eastAsia="宋体"/>
          <w:color w:val="auto"/>
          <w:lang w:eastAsia="zh-CN"/>
        </w:rPr>
      </w:pPr>
      <w:r>
        <w:rPr>
          <w:color w:val="auto"/>
          <w:sz w:val="21"/>
        </w:rPr>
        <mc:AlternateContent>
          <mc:Choice Requires="wps">
            <w:drawing>
              <wp:anchor distT="0" distB="0" distL="114300" distR="114300" simplePos="0" relativeHeight="251681792" behindDoc="0" locked="0" layoutInCell="1" allowOverlap="1">
                <wp:simplePos x="0" y="0"/>
                <wp:positionH relativeFrom="column">
                  <wp:posOffset>2261870</wp:posOffset>
                </wp:positionH>
                <wp:positionV relativeFrom="paragraph">
                  <wp:posOffset>2283460</wp:posOffset>
                </wp:positionV>
                <wp:extent cx="976630" cy="424815"/>
                <wp:effectExtent l="0" t="0" r="0" b="0"/>
                <wp:wrapNone/>
                <wp:docPr id="21" name="矩形 21"/>
                <wp:cNvGraphicFramePr/>
                <a:graphic xmlns:a="http://schemas.openxmlformats.org/drawingml/2006/main">
                  <a:graphicData uri="http://schemas.microsoft.com/office/word/2010/wordprocessingShape">
                    <wps:wsp>
                      <wps:cNvSpPr/>
                      <wps:spPr>
                        <a:xfrm>
                          <a:off x="0" y="0"/>
                          <a:ext cx="976630" cy="424815"/>
                        </a:xfrm>
                        <a:prstGeom prst="rect">
                          <a:avLst/>
                        </a:prstGeom>
                        <a:noFill/>
                        <a:ln w="15875">
                          <a:noFill/>
                        </a:ln>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default" w:eastAsia="宋体"/>
                                <w:color w:val="FF0000"/>
                                <w:lang w:val="en-US" w:eastAsia="zh-CN"/>
                              </w:rPr>
                            </w:pPr>
                            <w:r>
                              <w:rPr>
                                <w:rFonts w:hint="eastAsia"/>
                                <w:color w:val="FF0000"/>
                                <w:lang w:val="en-US" w:eastAsia="zh-CN"/>
                              </w:rPr>
                              <w:t>项目所在地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8.1pt;margin-top:179.8pt;height:33.45pt;width:76.9pt;z-index:251681792;v-text-anchor:middle;mso-width-relative:page;mso-height-relative:page;" filled="f" stroked="f" coordsize="21600,21600" o:gfxdata="UEsDBAoAAAAAAIdO4kAAAAAAAAAAAAAAAAAEAAAAZHJzL1BLAwQUAAAACACHTuJAV8l9Q9oAAAAL&#10;AQAADwAAAGRycy9kb3ducmV2LnhtbE2Py07DMBBF90j8gzVIbBC1kzRWCXEqHuoatVSi2bnxkETE&#10;4yh2H/w97qrsZjRHd84tl2c7sCNOvnekIJkJYEiNMz21Crafq8cFMB80GT04QgW/6GFZ3d6UujDu&#10;RGs8bkLLYgj5QivoQhgLzn3TodV+5kakePt2k9UhrlPLzaRPMdwOPBVCcqt7ih86PeJbh83P5mAV&#10;SDf/qLe4y+qXh6kmka2/3levSt3fJeIZWMBzuMJw0Y/qUEWnvTuQ8WxQkOUyjehleJLAIpEnIrbb&#10;K5inMgdelfx/h+oPUEsDBBQAAAAIAIdO4kBz8urlUgIAAJcEAAAOAAAAZHJzL2Uyb0RvYy54bWyt&#10;VM1uEzEQviPxDpbvdJOQ9CfqpooaFSFVtFJBnB2vnbXkP2wnm/IySNx4CB4H8Rp89m7bqHDogYsz&#10;45n9PN83Mzm/2BtNdiJE5WxNx0cjSoTlrlF2U9NPH6/enFISE7MN086Kmt6LSC8Wr1+dd34uJq51&#10;uhGBAMTGeedr2qbk51UVeSsMi0fOC4ugdMGwBDdsqiawDuhGV5PR6LjqXGh8cFzEiNtVH6QDYngJ&#10;oJNScbFyfGuETT1qEJolUIqt8pEuSrVSCp5upIwiEV1TME3lxCOw1/msFudsvgnMt4oPJbCXlPCM&#10;k2HK4tFHqBVLjGyD+gvKKB5cdDIdcWeqnkhRBCzGo2fa3LXMi8IFUkf/KHr8f7D8w+42ENXUdDKm&#10;xDKDjv/+9uPXz+8EF1Cn83GOpDt/GwYvwsxU9zKY/AsSZF8UvX9UVOwT4bg8Ozk+fgutOULTyfR0&#10;PMuY1dPHPsT0TjhDslHTgIYVHdnuOqY+9SElv2XdldIa92yuLekwv7PTkxnwGSZRYgJgGg820W4o&#10;YXqDEecpFMiDbzPkisWW7BjmIjqtmqEubVFe5tyzzFbar/cD9bVr7iFXcP0cRc+vFKCuWUy3LGBw&#10;QBWrlW5wSO1QnxssSloXvv7rPuejn4hS0mEQUc+XLQuCEv3eotNn4+k0T25xprOTCZxwGFkfRuzW&#10;XDpwQjNRXTFzftIPpgzOfMYGLvOrCDHL8Xav0uBcpn5BsMNcLJclDdPqWbq2d55n8L4Xy21yUpU2&#10;ZaF6dQb9MK+l0cNu5YU49EvW0//J4g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XyX1D2gAAAAsB&#10;AAAPAAAAAAAAAAEAIAAAACIAAABkcnMvZG93bnJldi54bWxQSwECFAAUAAAACACHTuJAc/Lq5VIC&#10;AACXBAAADgAAAAAAAAABACAAAAApAQAAZHJzL2Uyb0RvYy54bWxQSwUGAAAAAAYABgBZAQAA7QUA&#10;AAAA&#10;">
                <v:fill on="f" focussize="0,0"/>
                <v:stroke on="f" weight="1.25pt"/>
                <v:imagedata o:title=""/>
                <o:lock v:ext="edit" aspectratio="f"/>
                <v:textbox>
                  <w:txbxContent>
                    <w:p>
                      <w:pPr>
                        <w:jc w:val="center"/>
                        <w:rPr>
                          <w:rFonts w:hint="default" w:eastAsia="宋体"/>
                          <w:color w:val="FF0000"/>
                          <w:lang w:val="en-US" w:eastAsia="zh-CN"/>
                        </w:rPr>
                      </w:pPr>
                      <w:r>
                        <w:rPr>
                          <w:rFonts w:hint="eastAsia"/>
                          <w:color w:val="FF0000"/>
                          <w:lang w:val="en-US" w:eastAsia="zh-CN"/>
                        </w:rPr>
                        <w:t>项目所在地</w:t>
                      </w:r>
                    </w:p>
                  </w:txbxContent>
                </v:textbox>
              </v:rect>
            </w:pict>
          </mc:Fallback>
        </mc:AlternateContent>
      </w:r>
      <w:r>
        <w:rPr>
          <w:color w:val="auto"/>
          <w:sz w:val="21"/>
        </w:rPr>
        <mc:AlternateContent>
          <mc:Choice Requires="wps">
            <w:drawing>
              <wp:anchor distT="0" distB="0" distL="114300" distR="114300" simplePos="0" relativeHeight="251683840" behindDoc="0" locked="0" layoutInCell="1" allowOverlap="1">
                <wp:simplePos x="0" y="0"/>
                <wp:positionH relativeFrom="column">
                  <wp:posOffset>2728595</wp:posOffset>
                </wp:positionH>
                <wp:positionV relativeFrom="paragraph">
                  <wp:posOffset>2698750</wp:posOffset>
                </wp:positionV>
                <wp:extent cx="97790" cy="102235"/>
                <wp:effectExtent l="4445" t="4445" r="12065" b="7620"/>
                <wp:wrapNone/>
                <wp:docPr id="61" name="五角星 61"/>
                <wp:cNvGraphicFramePr/>
                <a:graphic xmlns:a="http://schemas.openxmlformats.org/drawingml/2006/main">
                  <a:graphicData uri="http://schemas.microsoft.com/office/word/2010/wordprocessingShape">
                    <wps:wsp>
                      <wps:cNvSpPr/>
                      <wps:spPr>
                        <a:xfrm>
                          <a:off x="0" y="0"/>
                          <a:ext cx="97790" cy="102235"/>
                        </a:xfrm>
                        <a:prstGeom prst="star5">
                          <a:avLst/>
                        </a:prstGeom>
                        <a:solidFill>
                          <a:schemeClr val="accent2"/>
                        </a:solid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214.85pt;margin-top:212.5pt;height:8.05pt;width:7.7pt;z-index:251683840;v-text-anchor:middle;mso-width-relative:page;mso-height-relative:page;" fillcolor="#C0504D [3205]" filled="t" stroked="t" coordsize="97790,102235" o:gfxdata="UEsDBAoAAAAAAIdO4kAAAAAAAAAAAAAAAAAEAAAAZHJzL1BLAwQUAAAACACHTuJA3nKE/dUAAAAL&#10;AQAADwAAAGRycy9kb3ducmV2LnhtbE2Py07DMBBF90j8gzVI7KjtKOUR4lQqUrdIbfkAJ548IB5H&#10;sfuAr2eygt2dmas755abqx/FGec4BDKgVwoEUhPcQJ2Bj+Pu4RlETJacHQOhgW+MsKlub0pbuHCh&#10;PZ4PqRMcQrGwBvqUpkLK2PTobVyFCYlvbZi9TTzOnXSzvXC4H2Wm1KP0diD+0NsJ33psvg4nb6Ct&#10;90fabrPdoD7VT9203r7z3tzfafUKIuE1/ZlhwWd0qJipDidyUYwG8uzlia2LWHMpduT5WoOoF6E1&#10;yKqU/ztUv1BLAwQUAAAACACHTuJAYJoUXGsCAADgBAAADgAAAGRycy9lMm9Eb2MueG1srVTNbhMx&#10;EL4j8Q6W73Q3IWlplE0VJSpCqmilgjg7Xm92Jf9hO9mUx0AcuPXIO/A8CPEYfPZum7T00AM5bGY8&#10;s9/MfP5mp2c7JclWON8YXdDBUU6J0NyUjV4X9OOH81dvKPGB6ZJJo0VBb4SnZ7OXL6atnYihqY0s&#10;hSMA0X7S2oLWIdhJlnleC8X8kbFCI1gZp1iA69ZZ6VgLdCWzYZ4fZ61xpXWGC+9xuuyCtEd0zwE0&#10;VdVwsTR8o4QOHaoTkgWM5OvGejpL3VaV4OGyqrwIRBYUk4b0RBHYq/jMZlM2WTtm64b3LbDntPBo&#10;JsUajaL3UEsWGNm45h8o1XBnvKnCETcq6wZJjGCKQf6Im+uaWZFmAdXe3pPu/x8sf7+9cqQpC3o8&#10;oEQzhRv/9fPbnx9ff3+/JTgDQa31E+Rd2yvXex5mnHZXORX/MQfZJVJv7kkVu0A4Dk9PTk7BNkdk&#10;kA+Hr8cRMtu/a50Pb4VRJBoFhfTcOFHJthc+dLl3ObGWN7Ipzxspk+PWq4V0ZMtwv4t8nI+WPfyD&#10;NKlJi07GwzEaYRBtBbHAVBaDe72mhMk1toEHl0o/eNkf1sjT76kasccl83XXS0Lo06TGwJHEjrZo&#10;rUx5A96d6QTpLT9v8P4F8+GKOSgQjGFHwyUelTRo3vQWJbVxX546j/kQBqKUtFA0Jvu8YU5QIt9p&#10;SOZ0MBrFFUjOaHwyhOMOI6vDiN6ohQGpUAW6S2bMD/LOrJxRn7DK81gVIaY5ancc9s4idJuGjwEX&#10;83lKg+wtCxf62vIIHi9Rm/kmmKpJl71npycNwk966Zc0btahn7L2H6bZ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N5yhP3VAAAACwEAAA8AAAAAAAAAAQAgAAAAIgAAAGRycy9kb3ducmV2LnhtbFBL&#10;AQIUABQAAAAIAIdO4kBgmhRcawIAAOAEAAAOAAAAAAAAAAEAIAAAACQBAABkcnMvZTJvRG9jLnht&#10;bFBLBQYAAAAABgAGAFkBAAABBgAAAAA=&#10;" path="m0,39050l37352,39050,48895,0,60437,39050,97789,39050,67570,63184,79113,102234,48895,78100,18676,102234,30219,63184xe">
                <v:path o:connectlocs="48895,0;0,39050;18676,102234;79113,102234;97789,39050" o:connectangles="247,164,82,82,0"/>
                <v:fill on="t" focussize="0,0"/>
                <v:stroke color="#000000 [3213]" joinstyle="round"/>
                <v:imagedata o:title=""/>
                <o:lock v:ext="edit" aspectratio="f"/>
              </v:shape>
            </w:pict>
          </mc:Fallback>
        </mc:AlternateContent>
      </w:r>
      <w:r>
        <w:rPr>
          <w:rFonts w:hint="eastAsia" w:eastAsia="宋体"/>
          <w:color w:val="auto"/>
          <w:lang w:eastAsia="zh-CN"/>
        </w:rPr>
        <w:drawing>
          <wp:inline distT="0" distB="0" distL="114300" distR="114300">
            <wp:extent cx="8190230" cy="5725795"/>
            <wp:effectExtent l="0" t="0" r="1270" b="8255"/>
            <wp:docPr id="20" name="图片 20" descr="0e0ff5dcd1ae8b1b665183315c58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0e0ff5dcd1ae8b1b665183315c58220"/>
                    <pic:cNvPicPr>
                      <a:picLocks noChangeAspect="1"/>
                    </pic:cNvPicPr>
                  </pic:nvPicPr>
                  <pic:blipFill>
                    <a:blip r:embed="rId29"/>
                    <a:stretch>
                      <a:fillRect/>
                    </a:stretch>
                  </pic:blipFill>
                  <pic:spPr>
                    <a:xfrm>
                      <a:off x="0" y="0"/>
                      <a:ext cx="8190230" cy="5725795"/>
                    </a:xfrm>
                    <a:prstGeom prst="rect">
                      <a:avLst/>
                    </a:prstGeom>
                  </pic:spPr>
                </pic:pic>
              </a:graphicData>
            </a:graphic>
          </wp:inline>
        </w:drawing>
      </w:r>
      <w:r>
        <w:rPr>
          <w:color w:val="auto"/>
          <w:sz w:val="21"/>
        </w:rPr>
        <mc:AlternateContent>
          <mc:Choice Requires="wps">
            <w:drawing>
              <wp:anchor distT="0" distB="0" distL="114300" distR="114300" simplePos="0" relativeHeight="251682816" behindDoc="0" locked="0" layoutInCell="1" allowOverlap="1">
                <wp:simplePos x="0" y="0"/>
                <wp:positionH relativeFrom="column">
                  <wp:posOffset>2611120</wp:posOffset>
                </wp:positionH>
                <wp:positionV relativeFrom="paragraph">
                  <wp:posOffset>2320925</wp:posOffset>
                </wp:positionV>
                <wp:extent cx="976630" cy="424815"/>
                <wp:effectExtent l="0" t="0" r="0" b="0"/>
                <wp:wrapNone/>
                <wp:docPr id="22" name="矩形 22"/>
                <wp:cNvGraphicFramePr/>
                <a:graphic xmlns:a="http://schemas.openxmlformats.org/drawingml/2006/main">
                  <a:graphicData uri="http://schemas.microsoft.com/office/word/2010/wordprocessingShape">
                    <wps:wsp>
                      <wps:cNvSpPr/>
                      <wps:spPr>
                        <a:xfrm>
                          <a:off x="0" y="0"/>
                          <a:ext cx="976630" cy="424815"/>
                        </a:xfrm>
                        <a:prstGeom prst="rect">
                          <a:avLst/>
                        </a:prstGeom>
                        <a:noFill/>
                        <a:ln w="15875">
                          <a:noFill/>
                        </a:ln>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default" w:eastAsia="宋体"/>
                                <w:color w:val="FF0000"/>
                                <w:lang w:val="en-US" w:eastAsia="zh-CN"/>
                              </w:rPr>
                            </w:pPr>
                            <w:r>
                              <w:rPr>
                                <w:rFonts w:hint="eastAsia"/>
                                <w:color w:val="FF0000"/>
                                <w:lang w:val="en-US" w:eastAsia="zh-CN"/>
                              </w:rPr>
                              <w:t>项目所在地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5.6pt;margin-top:182.75pt;height:33.45pt;width:76.9pt;z-index:251682816;v-text-anchor:middle;mso-width-relative:page;mso-height-relative:page;" filled="f" stroked="f" coordsize="21600,21600" o:gfxdata="UEsDBAoAAAAAAIdO4kAAAAAAAAAAAAAAAAAEAAAAZHJzL1BLAwQUAAAACACHTuJAslN7iNgAAAAL&#10;AQAADwAAAGRycy9kb3ducmV2LnhtbE2Py07DMBBF90j8gzVIbBB13qrSOBUPdY1aKkF2bjwkEfE4&#10;it0Hf8+wosvRPbpzbrW+2FGccPaDIwXxIgKB1DozUKdg/755XILwQZPRoyNU8IMe1vXtTaVL4860&#10;xdMudIJLyJdaQR/CVErp2x6t9gs3IXH25WarA59zJ82sz1xuR5lEUSGtHog/9HrClx7b793RKihc&#10;9tbs8TNtnh7mhqJ0+/G6eVbq/i6OViACXsI/DH/6rA41Ox3ckYwXo4IsjhNGFaRFnoNgIi9yXnfg&#10;KE0ykHUlrzfUv1BLAwQUAAAACACHTuJA1x6z01MCAACXBAAADgAAAGRycy9lMm9Eb2MueG1srVTN&#10;bhMxEL4j8Q6W73STkPQn6qaKGhUhVbRSQZwdr5215D9sJ5vyMkjceAgeB/EafPZu26hw6IGLM+OZ&#10;/TzfNzM5v9gbTXYiROVsTcdHI0qE5a5RdlPTTx+v3pxSEhOzDdPOiprei0gvFq9fnXd+LiaudboR&#10;gQDExnnna9qm5OdVFXkrDItHzguLoHTBsAQ3bKomsA7oRleT0ei46lxofHBcxIjbVR+kA2J4CaCT&#10;UnGxcnxrhE09ahCaJVCKrfKRLkq1UgqebqSMIhFdUzBN5cQjsNf5rBbnbL4JzLeKDyWwl5TwjJNh&#10;yuLRR6gVS4xsg/oLyigeXHQyHXFnqp5IUQQsxqNn2ty1zIvCBVJH/yh6/H+w/MPuNhDV1HQyocQy&#10;g47//vbj18/vBBdQp/NxjqQ7fxsGL8LMVPcymPwLEmRfFL1/VFTsE+G4PDs5Pn4LrTlC08n0dDzL&#10;mNXTxz7E9E44Q7JR04CGFR3Z7jqmPvUhJb9l3ZXSGvdsri3pML+z05MZ8BkmUWICYBoPNtFuKGF6&#10;gxHnKRTIg28z5IrFluwY5iI6rZqhLm1RXubcs8xW2q/3A/W1a+4hV3D9HEXPrxSgrllMtyxgcEAV&#10;q5VucEjtUJ8bLEpaF77+6z7no5+IUtJhEFHPly0LghL93qLTZ+PpNE9ucaazkwmccBhZH0bs1lw6&#10;cBpjiT0vZs5P+sGUwZnP2MBlfhUhZjne7lUanMvULwh2mIvlsqRhWj1L1/bO8wze92K5TU6q0qYs&#10;VK/OoB/mtTR62K28EId+yXr6P1n8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LJTe4jYAAAACwEA&#10;AA8AAAAAAAAAAQAgAAAAIgAAAGRycy9kb3ducmV2LnhtbFBLAQIUABQAAAAIAIdO4kDXHrPTUwIA&#10;AJcEAAAOAAAAAAAAAAEAIAAAACcBAABkcnMvZTJvRG9jLnhtbFBLBQYAAAAABgAGAFkBAADsBQAA&#10;AAA=&#10;">
                <v:fill on="f" focussize="0,0"/>
                <v:stroke on="f" weight="1.25pt"/>
                <v:imagedata o:title=""/>
                <o:lock v:ext="edit" aspectratio="f"/>
                <v:textbox>
                  <w:txbxContent>
                    <w:p>
                      <w:pPr>
                        <w:jc w:val="center"/>
                        <w:rPr>
                          <w:rFonts w:hint="default" w:eastAsia="宋体"/>
                          <w:color w:val="FF0000"/>
                          <w:lang w:val="en-US" w:eastAsia="zh-CN"/>
                        </w:rPr>
                      </w:pPr>
                      <w:r>
                        <w:rPr>
                          <w:rFonts w:hint="eastAsia"/>
                          <w:color w:val="FF0000"/>
                          <w:lang w:val="en-US" w:eastAsia="zh-CN"/>
                        </w:rPr>
                        <w:t>项目所在地</w:t>
                      </w:r>
                    </w:p>
                  </w:txbxContent>
                </v:textbox>
              </v:rect>
            </w:pict>
          </mc:Fallback>
        </mc:AlternateContent>
      </w:r>
      <w:r>
        <w:rPr>
          <w:color w:val="auto"/>
          <w:sz w:val="21"/>
        </w:rPr>
        <mc:AlternateContent>
          <mc:Choice Requires="wps">
            <w:drawing>
              <wp:anchor distT="0" distB="0" distL="114300" distR="114300" simplePos="0" relativeHeight="251684864" behindDoc="0" locked="0" layoutInCell="1" allowOverlap="1">
                <wp:simplePos x="0" y="0"/>
                <wp:positionH relativeFrom="column">
                  <wp:posOffset>3126105</wp:posOffset>
                </wp:positionH>
                <wp:positionV relativeFrom="paragraph">
                  <wp:posOffset>2698115</wp:posOffset>
                </wp:positionV>
                <wp:extent cx="97790" cy="102235"/>
                <wp:effectExtent l="4445" t="4445" r="12065" b="7620"/>
                <wp:wrapNone/>
                <wp:docPr id="62" name="五角星 62"/>
                <wp:cNvGraphicFramePr/>
                <a:graphic xmlns:a="http://schemas.openxmlformats.org/drawingml/2006/main">
                  <a:graphicData uri="http://schemas.microsoft.com/office/word/2010/wordprocessingShape">
                    <wps:wsp>
                      <wps:cNvSpPr/>
                      <wps:spPr>
                        <a:xfrm>
                          <a:off x="0" y="0"/>
                          <a:ext cx="97790" cy="102235"/>
                        </a:xfrm>
                        <a:prstGeom prst="star5">
                          <a:avLst/>
                        </a:prstGeom>
                        <a:solidFill>
                          <a:schemeClr val="accent2"/>
                        </a:solid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246.15pt;margin-top:212.45pt;height:8.05pt;width:7.7pt;z-index:251684864;v-text-anchor:middle;mso-width-relative:page;mso-height-relative:page;" fillcolor="#C0504D [3205]" filled="t" stroked="t" coordsize="97790,102235" o:gfxdata="UEsDBAoAAAAAAIdO4kAAAAAAAAAAAAAAAAAEAAAAZHJzL1BLAwQUAAAACACHTuJAPxq11dcAAAAL&#10;AQAADwAAAGRycy9kb3ducmV2LnhtbE2Py07EMAxF90j8Q2QkdkzSUhimNB1pkGaLNI8PcFv3AY1T&#10;NZkHfD1mBTv73qvr42J9daM60xwGzxaShQFFXPtm4M7C8bB9eAEVInKDo2ey8EUB1uXtTYF54y+8&#10;o/M+dkpKOORooY9xyrUOdU8Ow8JPxOK1fnYYZZ073cx4kXI36tSYZ+1wYLnQ40RvPdWf+5Oz0Fa7&#10;A2826XYwH+a7qluH76Lb+7vEvIKKdI1/YfjFF3QohanyJ26CGi1kq/RRojKk2QqUJJ7McgmqEiVL&#10;DOiy0P9/KH8AUEsDBBQAAAAIAIdO4kBhTGj3bAIAAOAEAAAOAAAAZHJzL2Uyb0RvYy54bWytVM1u&#10;EzEQviPxDpbvdDdL0tKomypKVIRU0UoFcXa8dtaS/xg72ZTHQBy49cg78DwI8RiMvds2LT30wB68&#10;M57xNzOfZ3xyujOabAUE5WxNRwclJcJy1yi7runHD2ev3lASIrMN086Kml6LQE9nL1+cdH4qKtc6&#10;3QggCGLDtPM1bWP006IIvBWGhQPnhUWjdGBYRBXWRQOsQ3Sji6osD4vOQePBcREC7i57Ix0Q4TmA&#10;TkrFxdLxjRE29qggNItYUmiVD3SWs5VS8HghZRCR6JpipTGvGATlVVqL2QmbroH5VvEhBfacFB7V&#10;ZJiyGPQOaskiIxtQ/0AZxcEFJ+MBd6boC8mMYBWj8hE3Vy3zIteCVAd/R3r4f7D8/fYSiGpqelhR&#10;YpnBG//189ufH19/f78huIcEdT5M0e/KX8KgBRRTtTsJJv2xDrLLpF7fkSp2kXDcPD46Oka2OVpG&#10;ZVW9niTI4v6shxDfCmdIEmqKrQeTTCXbnofY+976pFjBadWcKa2zAuvVQgPZMrzfRTkpx8sB/oGb&#10;tqTDTCbVBBNh2LQSmwVF47HwYNeUML3GaeARcugHh8N+jDJ/T8VIOS5ZaPtcMsLgpi0WnEjsaUvS&#10;yjXXyDu4viGD52cKz5+zEC8ZYAciYzij8QIXqR0m7waJktbBl6f2kz82Blop6bCjsbLPGwaCEv3O&#10;Ysscj8bjNAJZGU+OKlRg37Lat9iNWTgkdYSvgedZTP5R34oSnPmEozxPUdHELMfYPYeDsoj9pOFj&#10;wMV8nt2w7T2L5/bK8wSeLtG6+SY6qfJl37MzkIaNn/tlGNI0Wft69rp/mGZ/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D8atdXXAAAACwEAAA8AAAAAAAAAAQAgAAAAIgAAAGRycy9kb3ducmV2Lnht&#10;bFBLAQIUABQAAAAIAIdO4kBhTGj3bAIAAOAEAAAOAAAAAAAAAAEAIAAAACYBAABkcnMvZTJvRG9j&#10;LnhtbFBLBQYAAAAABgAGAFkBAAAEBgAAAAA=&#10;" path="m0,39050l37352,39050,48895,0,60437,39050,97789,39050,67570,63184,79113,102234,48895,78100,18676,102234,30219,63184xe">
                <v:path o:connectlocs="48895,0;0,39050;18676,102234;79113,102234;97789,39050" o:connectangles="247,164,82,82,0"/>
                <v:fill on="t" focussize="0,0"/>
                <v:stroke color="#000000 [3213]" joinstyle="round"/>
                <v:imagedata o:title=""/>
                <o:lock v:ext="edit" aspectratio="f"/>
              </v:shape>
            </w:pict>
          </mc:Fallback>
        </mc:AlternateContent>
      </w:r>
      <w:r>
        <w:rPr>
          <w:rFonts w:hint="eastAsia" w:eastAsia="宋体"/>
          <w:color w:val="auto"/>
          <w:lang w:eastAsia="zh-CN"/>
        </w:rPr>
        <w:drawing>
          <wp:inline distT="0" distB="0" distL="114300" distR="114300">
            <wp:extent cx="8072120" cy="5419725"/>
            <wp:effectExtent l="0" t="0" r="5080" b="9525"/>
            <wp:docPr id="18" name="图片 18" descr="d94741a5bbb773df5d1adb930f9a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d94741a5bbb773df5d1adb930f9a125"/>
                    <pic:cNvPicPr>
                      <a:picLocks noChangeAspect="1"/>
                    </pic:cNvPicPr>
                  </pic:nvPicPr>
                  <pic:blipFill>
                    <a:blip r:embed="rId30"/>
                    <a:stretch>
                      <a:fillRect/>
                    </a:stretch>
                  </pic:blipFill>
                  <pic:spPr>
                    <a:xfrm>
                      <a:off x="0" y="0"/>
                      <a:ext cx="8072120" cy="5419725"/>
                    </a:xfrm>
                    <a:prstGeom prst="rect">
                      <a:avLst/>
                    </a:prstGeom>
                  </pic:spPr>
                </pic:pic>
              </a:graphicData>
            </a:graphic>
          </wp:inline>
        </w:drawing>
      </w:r>
    </w:p>
    <w:p>
      <w:pPr>
        <w:rPr>
          <w:rFonts w:hint="eastAsia" w:eastAsia="宋体"/>
          <w:color w:val="auto"/>
          <w:lang w:eastAsia="zh-CN"/>
        </w:rPr>
      </w:pPr>
      <w:r>
        <w:rPr>
          <w:rFonts w:hint="eastAsia" w:eastAsia="宋体"/>
          <w:color w:val="auto"/>
          <w:lang w:eastAsia="zh-CN"/>
        </w:rPr>
        <w:br w:type="page"/>
      </w:r>
    </w:p>
    <w:p>
      <w:pPr>
        <w:widowControl/>
        <w:spacing w:line="360" w:lineRule="auto"/>
        <w:outlineLvl w:val="1"/>
        <w:rPr>
          <w:rFonts w:hint="default" w:eastAsia="宋体"/>
          <w:color w:val="auto"/>
          <w:lang w:val="en-US" w:eastAsia="zh-CN"/>
        </w:rPr>
      </w:pPr>
      <w:bookmarkStart w:id="84" w:name="_Toc4209"/>
      <w:bookmarkStart w:id="85" w:name="_Toc13715"/>
      <w:r>
        <w:rPr>
          <w:b/>
          <w:bCs/>
          <w:color w:val="auto"/>
          <w:sz w:val="28"/>
          <w:szCs w:val="28"/>
        </w:rPr>
        <w:t>附图</w:t>
      </w:r>
      <w:r>
        <w:rPr>
          <w:rFonts w:hint="eastAsia"/>
          <w:b/>
          <w:bCs/>
          <w:color w:val="auto"/>
          <w:sz w:val="28"/>
          <w:szCs w:val="28"/>
          <w:lang w:val="en-US" w:eastAsia="zh-CN"/>
        </w:rPr>
        <w:t>6</w:t>
      </w:r>
      <w:r>
        <w:rPr>
          <w:b/>
          <w:bCs/>
          <w:color w:val="auto"/>
          <w:sz w:val="28"/>
          <w:szCs w:val="28"/>
        </w:rPr>
        <w:t xml:space="preserve"> </w:t>
      </w:r>
      <w:r>
        <w:rPr>
          <w:rFonts w:hint="eastAsia"/>
          <w:b/>
          <w:bCs/>
          <w:color w:val="auto"/>
          <w:sz w:val="28"/>
          <w:szCs w:val="28"/>
          <w:lang w:val="en-US" w:eastAsia="zh-CN"/>
        </w:rPr>
        <w:t>项目及周边土地利用现状图</w:t>
      </w:r>
      <w:bookmarkEnd w:id="84"/>
      <w:bookmarkEnd w:id="85"/>
    </w:p>
    <w:p>
      <w:pPr>
        <w:jc w:val="center"/>
        <w:rPr>
          <w:color w:val="auto"/>
        </w:rPr>
      </w:pPr>
      <w:r>
        <w:rPr>
          <w:color w:val="auto"/>
        </w:rPr>
        <w:drawing>
          <wp:inline distT="0" distB="0" distL="114300" distR="114300">
            <wp:extent cx="8065135" cy="5120005"/>
            <wp:effectExtent l="0" t="0" r="12065" b="4445"/>
            <wp:docPr id="3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
                    <pic:cNvPicPr>
                      <a:picLocks noChangeAspect="1"/>
                    </pic:cNvPicPr>
                  </pic:nvPicPr>
                  <pic:blipFill>
                    <a:blip r:embed="rId31"/>
                    <a:srcRect t="3252" r="58"/>
                    <a:stretch>
                      <a:fillRect/>
                    </a:stretch>
                  </pic:blipFill>
                  <pic:spPr>
                    <a:xfrm>
                      <a:off x="0" y="0"/>
                      <a:ext cx="8065135" cy="5120005"/>
                    </a:xfrm>
                    <a:prstGeom prst="rect">
                      <a:avLst/>
                    </a:prstGeom>
                    <a:noFill/>
                    <a:ln>
                      <a:noFill/>
                    </a:ln>
                  </pic:spPr>
                </pic:pic>
              </a:graphicData>
            </a:graphic>
          </wp:inline>
        </w:drawing>
      </w:r>
    </w:p>
    <w:p>
      <w:pPr>
        <w:widowControl/>
        <w:spacing w:line="360" w:lineRule="auto"/>
        <w:outlineLvl w:val="1"/>
        <w:rPr>
          <w:rFonts w:hint="default" w:eastAsia="宋体"/>
          <w:color w:val="auto"/>
          <w:lang w:val="en-US" w:eastAsia="zh-CN"/>
        </w:rPr>
      </w:pPr>
      <w:bookmarkStart w:id="86" w:name="_Toc5626"/>
      <w:bookmarkStart w:id="87" w:name="_Toc3491"/>
      <w:r>
        <w:rPr>
          <w:b/>
          <w:bCs/>
          <w:color w:val="auto"/>
          <w:sz w:val="28"/>
          <w:szCs w:val="28"/>
        </w:rPr>
        <w:t>附图</w:t>
      </w:r>
      <w:r>
        <w:rPr>
          <w:rFonts w:hint="eastAsia"/>
          <w:b/>
          <w:bCs/>
          <w:color w:val="auto"/>
          <w:sz w:val="28"/>
          <w:szCs w:val="28"/>
          <w:lang w:val="en-US" w:eastAsia="zh-CN"/>
        </w:rPr>
        <w:t>7</w:t>
      </w:r>
      <w:r>
        <w:rPr>
          <w:b/>
          <w:bCs/>
          <w:color w:val="auto"/>
          <w:sz w:val="28"/>
          <w:szCs w:val="28"/>
        </w:rPr>
        <w:t xml:space="preserve"> </w:t>
      </w:r>
      <w:r>
        <w:rPr>
          <w:rFonts w:hint="eastAsia"/>
          <w:b/>
          <w:bCs/>
          <w:color w:val="auto"/>
          <w:sz w:val="28"/>
          <w:szCs w:val="28"/>
          <w:lang w:val="en-US" w:eastAsia="zh-CN"/>
        </w:rPr>
        <w:t>项目及周边区域植被分布图</w:t>
      </w:r>
      <w:bookmarkEnd w:id="86"/>
      <w:bookmarkEnd w:id="87"/>
    </w:p>
    <w:p>
      <w:pPr>
        <w:pStyle w:val="21"/>
        <w:ind w:left="0" w:leftChars="0" w:firstLine="0" w:firstLineChars="0"/>
        <w:jc w:val="center"/>
        <w:rPr>
          <w:color w:val="auto"/>
        </w:rPr>
      </w:pPr>
      <w:r>
        <w:rPr>
          <w:color w:val="auto"/>
        </w:rPr>
        <w:drawing>
          <wp:inline distT="0" distB="0" distL="114300" distR="114300">
            <wp:extent cx="8261985" cy="5045075"/>
            <wp:effectExtent l="0" t="0" r="5715" b="3175"/>
            <wp:docPr id="3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
                    <pic:cNvPicPr>
                      <a:picLocks noChangeAspect="1"/>
                    </pic:cNvPicPr>
                  </pic:nvPicPr>
                  <pic:blipFill>
                    <a:blip r:embed="rId32"/>
                    <a:srcRect t="5776" r="216"/>
                    <a:stretch>
                      <a:fillRect/>
                    </a:stretch>
                  </pic:blipFill>
                  <pic:spPr>
                    <a:xfrm>
                      <a:off x="0" y="0"/>
                      <a:ext cx="8261985" cy="5045075"/>
                    </a:xfrm>
                    <a:prstGeom prst="rect">
                      <a:avLst/>
                    </a:prstGeom>
                    <a:noFill/>
                    <a:ln>
                      <a:noFill/>
                    </a:ln>
                  </pic:spPr>
                </pic:pic>
              </a:graphicData>
            </a:graphic>
          </wp:inline>
        </w:drawing>
      </w:r>
    </w:p>
    <w:p>
      <w:pPr>
        <w:rPr>
          <w:color w:val="auto"/>
        </w:rPr>
      </w:pPr>
      <w:r>
        <w:rPr>
          <w:color w:val="auto"/>
        </w:rPr>
        <w:br w:type="page"/>
      </w:r>
    </w:p>
    <w:p>
      <w:pPr>
        <w:widowControl/>
        <w:spacing w:line="360" w:lineRule="auto"/>
        <w:outlineLvl w:val="1"/>
        <w:rPr>
          <w:rFonts w:hint="default" w:eastAsia="宋体"/>
          <w:color w:val="auto"/>
          <w:lang w:val="en-US" w:eastAsia="zh-CN"/>
        </w:rPr>
      </w:pPr>
      <w:bookmarkStart w:id="88" w:name="_Toc5804"/>
      <w:bookmarkStart w:id="89" w:name="_Toc26755"/>
      <w:r>
        <w:rPr>
          <w:b/>
          <w:bCs/>
          <w:color w:val="auto"/>
          <w:sz w:val="28"/>
          <w:szCs w:val="28"/>
        </w:rPr>
        <w:t>附图</w:t>
      </w:r>
      <w:r>
        <w:rPr>
          <w:rFonts w:hint="eastAsia"/>
          <w:b/>
          <w:bCs/>
          <w:color w:val="auto"/>
          <w:sz w:val="28"/>
          <w:szCs w:val="28"/>
          <w:lang w:val="en-US" w:eastAsia="zh-CN"/>
        </w:rPr>
        <w:t>8</w:t>
      </w:r>
      <w:r>
        <w:rPr>
          <w:b/>
          <w:bCs/>
          <w:color w:val="auto"/>
          <w:sz w:val="28"/>
          <w:szCs w:val="28"/>
        </w:rPr>
        <w:t xml:space="preserve"> </w:t>
      </w:r>
      <w:r>
        <w:rPr>
          <w:rFonts w:hint="eastAsia"/>
          <w:b/>
          <w:bCs/>
          <w:color w:val="auto"/>
          <w:sz w:val="28"/>
          <w:szCs w:val="28"/>
          <w:lang w:val="en-US" w:eastAsia="zh-CN"/>
        </w:rPr>
        <w:t>项目三区三线套合图</w:t>
      </w:r>
      <w:bookmarkEnd w:id="88"/>
      <w:bookmarkEnd w:id="89"/>
    </w:p>
    <w:p>
      <w:pPr>
        <w:pStyle w:val="21"/>
        <w:rPr>
          <w:color w:val="auto"/>
        </w:rPr>
      </w:pPr>
      <w:r>
        <w:rPr>
          <w:color w:val="auto"/>
        </w:rPr>
        <w:drawing>
          <wp:inline distT="0" distB="0" distL="114300" distR="114300">
            <wp:extent cx="7486650" cy="5302250"/>
            <wp:effectExtent l="0" t="0" r="0" b="12700"/>
            <wp:docPr id="3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4"/>
                    <pic:cNvPicPr>
                      <a:picLocks noChangeAspect="1"/>
                    </pic:cNvPicPr>
                  </pic:nvPicPr>
                  <pic:blipFill>
                    <a:blip r:embed="rId33"/>
                    <a:stretch>
                      <a:fillRect/>
                    </a:stretch>
                  </pic:blipFill>
                  <pic:spPr>
                    <a:xfrm>
                      <a:off x="0" y="0"/>
                      <a:ext cx="7486650" cy="5302250"/>
                    </a:xfrm>
                    <a:prstGeom prst="rect">
                      <a:avLst/>
                    </a:prstGeom>
                    <a:noFill/>
                    <a:ln>
                      <a:noFill/>
                    </a:ln>
                  </pic:spPr>
                </pic:pic>
              </a:graphicData>
            </a:graphic>
          </wp:inline>
        </w:drawing>
      </w:r>
    </w:p>
    <w:p>
      <w:pPr>
        <w:widowControl/>
        <w:spacing w:line="360" w:lineRule="auto"/>
        <w:outlineLvl w:val="1"/>
        <w:rPr>
          <w:rFonts w:hint="default" w:eastAsia="宋体"/>
          <w:color w:val="auto"/>
          <w:lang w:val="en-US" w:eastAsia="zh-CN"/>
        </w:rPr>
      </w:pPr>
      <w:bookmarkStart w:id="90" w:name="_Toc27755"/>
      <w:bookmarkStart w:id="91" w:name="_Toc913"/>
      <w:r>
        <w:rPr>
          <w:b/>
          <w:bCs/>
          <w:color w:val="auto"/>
          <w:sz w:val="28"/>
          <w:szCs w:val="28"/>
        </w:rPr>
        <w:t>附图</w:t>
      </w:r>
      <w:r>
        <w:rPr>
          <w:rFonts w:hint="eastAsia"/>
          <w:b/>
          <w:bCs/>
          <w:color w:val="auto"/>
          <w:sz w:val="28"/>
          <w:szCs w:val="28"/>
          <w:lang w:val="en-US" w:eastAsia="zh-CN"/>
        </w:rPr>
        <w:t>9</w:t>
      </w:r>
      <w:r>
        <w:rPr>
          <w:b/>
          <w:bCs/>
          <w:color w:val="auto"/>
          <w:sz w:val="28"/>
          <w:szCs w:val="28"/>
        </w:rPr>
        <w:t xml:space="preserve"> </w:t>
      </w:r>
      <w:r>
        <w:rPr>
          <w:rFonts w:hint="eastAsia"/>
          <w:b/>
          <w:bCs/>
          <w:color w:val="auto"/>
          <w:sz w:val="28"/>
          <w:szCs w:val="28"/>
          <w:lang w:val="en-US" w:eastAsia="zh-CN"/>
        </w:rPr>
        <w:t>项目调查样方调查分布图</w:t>
      </w:r>
      <w:bookmarkEnd w:id="90"/>
      <w:bookmarkEnd w:id="91"/>
    </w:p>
    <w:p>
      <w:pPr>
        <w:pStyle w:val="21"/>
        <w:rPr>
          <w:color w:val="auto"/>
        </w:rPr>
        <w:sectPr>
          <w:pgSz w:w="16838" w:h="11906" w:orient="landscape"/>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color w:val="auto"/>
        </w:rPr>
        <w:drawing>
          <wp:inline distT="0" distB="0" distL="114300" distR="114300">
            <wp:extent cx="7664450" cy="4906010"/>
            <wp:effectExtent l="0" t="0" r="12700" b="8890"/>
            <wp:docPr id="3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5"/>
                    <pic:cNvPicPr>
                      <a:picLocks noChangeAspect="1"/>
                    </pic:cNvPicPr>
                  </pic:nvPicPr>
                  <pic:blipFill>
                    <a:blip r:embed="rId34"/>
                    <a:srcRect t="4144" r="609"/>
                    <a:stretch>
                      <a:fillRect/>
                    </a:stretch>
                  </pic:blipFill>
                  <pic:spPr>
                    <a:xfrm>
                      <a:off x="0" y="0"/>
                      <a:ext cx="7664450" cy="4906010"/>
                    </a:xfrm>
                    <a:prstGeom prst="rect">
                      <a:avLst/>
                    </a:prstGeom>
                    <a:noFill/>
                    <a:ln>
                      <a:noFill/>
                    </a:ln>
                  </pic:spPr>
                </pic:pic>
              </a:graphicData>
            </a:graphic>
          </wp:inline>
        </w:drawing>
      </w:r>
    </w:p>
    <w:p>
      <w:pPr>
        <w:jc w:val="center"/>
        <w:outlineLvl w:val="0"/>
        <w:rPr>
          <w:rFonts w:ascii="方正小标宋_GBK" w:hAnsi="黑体" w:eastAsia="方正小标宋_GBK"/>
          <w:snapToGrid w:val="0"/>
          <w:color w:val="auto"/>
          <w:kern w:val="0"/>
          <w:sz w:val="38"/>
          <w:szCs w:val="38"/>
        </w:rPr>
      </w:pPr>
      <w:bookmarkStart w:id="92" w:name="_Toc18817"/>
      <w:bookmarkStart w:id="93" w:name="_Toc16221"/>
      <w:r>
        <w:rPr>
          <w:rFonts w:hint="eastAsia" w:ascii="方正小标宋_GBK" w:hAnsi="黑体" w:eastAsia="方正小标宋_GBK"/>
          <w:snapToGrid w:val="0"/>
          <w:color w:val="auto"/>
          <w:kern w:val="0"/>
          <w:sz w:val="38"/>
          <w:szCs w:val="38"/>
        </w:rPr>
        <w:t>附件</w:t>
      </w:r>
      <w:bookmarkEnd w:id="92"/>
      <w:bookmarkEnd w:id="93"/>
    </w:p>
    <w:p>
      <w:pPr>
        <w:outlineLvl w:val="1"/>
        <w:rPr>
          <w:b/>
          <w:bCs/>
          <w:color w:val="auto"/>
          <w:sz w:val="28"/>
          <w:szCs w:val="28"/>
        </w:rPr>
      </w:pPr>
      <w:bookmarkStart w:id="94" w:name="_Toc17014"/>
      <w:bookmarkStart w:id="95" w:name="_Toc31062"/>
      <w:bookmarkStart w:id="96" w:name="_Toc8590"/>
      <w:bookmarkStart w:id="97" w:name="_Toc30462"/>
      <w:r>
        <w:rPr>
          <w:b/>
          <w:bCs/>
          <w:color w:val="auto"/>
          <w:sz w:val="28"/>
          <w:szCs w:val="28"/>
        </w:rPr>
        <w:t>附</w:t>
      </w:r>
      <w:r>
        <w:rPr>
          <w:rFonts w:hint="eastAsia"/>
          <w:b/>
          <w:bCs/>
          <w:color w:val="auto"/>
          <w:sz w:val="28"/>
          <w:szCs w:val="28"/>
        </w:rPr>
        <w:t>件</w:t>
      </w:r>
      <w:r>
        <w:rPr>
          <w:b/>
          <w:bCs/>
          <w:color w:val="auto"/>
          <w:sz w:val="28"/>
          <w:szCs w:val="28"/>
        </w:rPr>
        <w:t xml:space="preserve">1 </w:t>
      </w:r>
      <w:r>
        <w:rPr>
          <w:rFonts w:hint="eastAsia"/>
          <w:b/>
          <w:bCs/>
          <w:color w:val="auto"/>
          <w:sz w:val="28"/>
          <w:szCs w:val="28"/>
        </w:rPr>
        <w:t>环评委托书</w:t>
      </w:r>
      <w:bookmarkEnd w:id="94"/>
      <w:bookmarkEnd w:id="95"/>
      <w:bookmarkEnd w:id="96"/>
      <w:bookmarkEnd w:id="97"/>
    </w:p>
    <w:p>
      <w:pPr>
        <w:tabs>
          <w:tab w:val="left" w:pos="5284"/>
        </w:tabs>
        <w:ind w:firstLine="562" w:firstLineChars="200"/>
        <w:jc w:val="center"/>
        <w:rPr>
          <w:rFonts w:hint="eastAsia" w:ascii="Times New Roman" w:hAnsi="Times New Roman" w:eastAsia="宋体" w:cs="Times New Roman"/>
          <w:b/>
          <w:bCs/>
          <w:color w:val="auto"/>
          <w:sz w:val="28"/>
          <w:szCs w:val="36"/>
          <w:lang w:eastAsia="zh-CN"/>
        </w:rPr>
      </w:pPr>
      <w:r>
        <w:rPr>
          <w:rFonts w:hint="eastAsia" w:ascii="Times New Roman" w:hAnsi="Times New Roman" w:eastAsia="宋体" w:cs="Times New Roman"/>
          <w:b/>
          <w:bCs/>
          <w:color w:val="auto"/>
          <w:sz w:val="28"/>
          <w:szCs w:val="36"/>
          <w:lang w:eastAsia="zh-CN"/>
        </w:rPr>
        <w:drawing>
          <wp:inline distT="0" distB="0" distL="114300" distR="114300">
            <wp:extent cx="5177155" cy="7048500"/>
            <wp:effectExtent l="0" t="0" r="4445" b="0"/>
            <wp:docPr id="83" name="图片 83" descr="委托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descr="委托书"/>
                    <pic:cNvPicPr>
                      <a:picLocks noChangeAspect="1"/>
                    </pic:cNvPicPr>
                  </pic:nvPicPr>
                  <pic:blipFill>
                    <a:blip r:embed="rId35"/>
                    <a:srcRect t="6694" r="932" b="18282"/>
                    <a:stretch>
                      <a:fillRect/>
                    </a:stretch>
                  </pic:blipFill>
                  <pic:spPr>
                    <a:xfrm>
                      <a:off x="0" y="0"/>
                      <a:ext cx="5177155" cy="7048500"/>
                    </a:xfrm>
                    <a:prstGeom prst="rect">
                      <a:avLst/>
                    </a:prstGeom>
                  </pic:spPr>
                </pic:pic>
              </a:graphicData>
            </a:graphic>
          </wp:inline>
        </w:drawing>
      </w:r>
    </w:p>
    <w:p>
      <w:pPr>
        <w:pStyle w:val="65"/>
        <w:ind w:firstLine="480"/>
        <w:rPr>
          <w:rFonts w:hint="default" w:ascii="Times New Roman" w:hAnsi="Times New Roman" w:cs="Times New Roman"/>
          <w:color w:val="auto"/>
        </w:rPr>
      </w:pPr>
    </w:p>
    <w:p>
      <w:pPr>
        <w:pStyle w:val="9"/>
        <w:rPr>
          <w:color w:val="auto"/>
        </w:rPr>
        <w:sectPr>
          <w:pgSz w:w="11906" w:h="16838"/>
          <w:pgMar w:top="1417" w:right="1417" w:bottom="1417" w:left="1417" w:header="851" w:footer="992" w:gutter="0"/>
          <w:pgBorders>
            <w:top w:val="none" w:sz="0" w:space="0"/>
            <w:left w:val="none" w:sz="0" w:space="0"/>
            <w:bottom w:val="none" w:sz="0" w:space="0"/>
            <w:right w:val="none" w:sz="0" w:space="0"/>
          </w:pgBorders>
          <w:cols w:space="0" w:num="1"/>
          <w:docGrid w:type="lines" w:linePitch="312" w:charSpace="0"/>
        </w:sectPr>
      </w:pPr>
    </w:p>
    <w:p>
      <w:pPr>
        <w:outlineLvl w:val="1"/>
        <w:rPr>
          <w:b/>
          <w:bCs/>
          <w:color w:val="auto"/>
          <w:sz w:val="28"/>
          <w:szCs w:val="28"/>
          <w:highlight w:val="none"/>
        </w:rPr>
      </w:pPr>
      <w:bookmarkStart w:id="98" w:name="_Toc8645"/>
      <w:bookmarkStart w:id="99" w:name="_Toc11325"/>
      <w:bookmarkStart w:id="100" w:name="_Toc6502"/>
      <w:bookmarkStart w:id="101" w:name="_Toc8393"/>
      <w:r>
        <w:rPr>
          <w:b/>
          <w:bCs/>
          <w:color w:val="auto"/>
          <w:sz w:val="28"/>
          <w:szCs w:val="28"/>
          <w:highlight w:val="none"/>
        </w:rPr>
        <w:t>附</w:t>
      </w:r>
      <w:r>
        <w:rPr>
          <w:rFonts w:hint="eastAsia"/>
          <w:b/>
          <w:bCs/>
          <w:color w:val="auto"/>
          <w:sz w:val="28"/>
          <w:szCs w:val="28"/>
          <w:highlight w:val="none"/>
        </w:rPr>
        <w:t>件2</w:t>
      </w:r>
      <w:r>
        <w:rPr>
          <w:b/>
          <w:bCs/>
          <w:color w:val="auto"/>
          <w:sz w:val="28"/>
          <w:szCs w:val="28"/>
          <w:highlight w:val="none"/>
        </w:rPr>
        <w:t xml:space="preserve"> </w:t>
      </w:r>
      <w:r>
        <w:rPr>
          <w:rFonts w:hint="eastAsia"/>
          <w:b/>
          <w:bCs/>
          <w:color w:val="auto"/>
          <w:sz w:val="28"/>
          <w:szCs w:val="28"/>
          <w:highlight w:val="none"/>
        </w:rPr>
        <w:t>营业执照</w:t>
      </w:r>
      <w:bookmarkEnd w:id="98"/>
      <w:bookmarkEnd w:id="99"/>
      <w:bookmarkEnd w:id="100"/>
      <w:bookmarkEnd w:id="101"/>
    </w:p>
    <w:p>
      <w:pPr>
        <w:jc w:val="center"/>
        <w:rPr>
          <w:color w:val="auto"/>
        </w:rPr>
      </w:pPr>
      <w:r>
        <w:rPr>
          <w:color w:val="auto"/>
        </w:rPr>
        <w:drawing>
          <wp:inline distT="0" distB="0" distL="114300" distR="114300">
            <wp:extent cx="8181340" cy="5248910"/>
            <wp:effectExtent l="0" t="0" r="10160" b="889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36"/>
                    <a:stretch>
                      <a:fillRect/>
                    </a:stretch>
                  </pic:blipFill>
                  <pic:spPr>
                    <a:xfrm>
                      <a:off x="0" y="0"/>
                      <a:ext cx="8181340" cy="5248910"/>
                    </a:xfrm>
                    <a:prstGeom prst="rect">
                      <a:avLst/>
                    </a:prstGeom>
                    <a:noFill/>
                    <a:ln>
                      <a:noFill/>
                    </a:ln>
                  </pic:spPr>
                </pic:pic>
              </a:graphicData>
            </a:graphic>
          </wp:inline>
        </w:drawing>
      </w:r>
      <w:r>
        <w:rPr>
          <w:color w:val="auto"/>
        </w:rPr>
        <w:br w:type="page"/>
      </w:r>
    </w:p>
    <w:p>
      <w:pPr>
        <w:outlineLvl w:val="1"/>
        <w:rPr>
          <w:rFonts w:hint="default"/>
          <w:b/>
          <w:bCs/>
          <w:color w:val="auto"/>
          <w:sz w:val="28"/>
          <w:szCs w:val="28"/>
          <w:highlight w:val="none"/>
          <w:lang w:val="en-US" w:eastAsia="zh-CN"/>
        </w:rPr>
      </w:pPr>
      <w:bookmarkStart w:id="102" w:name="_Toc17010"/>
      <w:bookmarkStart w:id="103" w:name="_Toc27929"/>
      <w:bookmarkStart w:id="104" w:name="_Toc19870"/>
      <w:bookmarkStart w:id="105" w:name="_Toc1595"/>
      <w:r>
        <w:rPr>
          <w:b/>
          <w:bCs/>
          <w:color w:val="auto"/>
          <w:sz w:val="28"/>
          <w:szCs w:val="28"/>
          <w:highlight w:val="none"/>
        </w:rPr>
        <w:t>附</w:t>
      </w:r>
      <w:r>
        <w:rPr>
          <w:rFonts w:hint="eastAsia"/>
          <w:b/>
          <w:bCs/>
          <w:color w:val="auto"/>
          <w:sz w:val="28"/>
          <w:szCs w:val="28"/>
          <w:highlight w:val="none"/>
        </w:rPr>
        <w:t>件3</w:t>
      </w:r>
      <w:r>
        <w:rPr>
          <w:b/>
          <w:bCs/>
          <w:color w:val="auto"/>
          <w:sz w:val="28"/>
          <w:szCs w:val="28"/>
          <w:highlight w:val="none"/>
        </w:rPr>
        <w:t xml:space="preserve"> </w:t>
      </w:r>
      <w:bookmarkEnd w:id="102"/>
      <w:bookmarkEnd w:id="103"/>
      <w:bookmarkEnd w:id="104"/>
      <w:r>
        <w:rPr>
          <w:rFonts w:hint="eastAsia"/>
          <w:b/>
          <w:bCs/>
          <w:color w:val="auto"/>
          <w:sz w:val="28"/>
          <w:szCs w:val="28"/>
          <w:highlight w:val="none"/>
          <w:lang w:val="en-US" w:eastAsia="zh-CN"/>
        </w:rPr>
        <w:t>用地预审意见书</w:t>
      </w:r>
      <w:bookmarkEnd w:id="105"/>
    </w:p>
    <w:p>
      <w:pPr>
        <w:rPr>
          <w:color w:val="auto"/>
        </w:rPr>
      </w:pPr>
    </w:p>
    <w:p>
      <w:pPr>
        <w:rPr>
          <w:color w:val="auto"/>
        </w:rPr>
      </w:pPr>
      <w:r>
        <w:rPr>
          <w:color w:val="auto"/>
        </w:rPr>
        <w:drawing>
          <wp:inline distT="0" distB="0" distL="114300" distR="114300">
            <wp:extent cx="8134985" cy="5132070"/>
            <wp:effectExtent l="0" t="0" r="18415" b="11430"/>
            <wp:docPr id="1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
                    <pic:cNvPicPr>
                      <a:picLocks noChangeAspect="1"/>
                    </pic:cNvPicPr>
                  </pic:nvPicPr>
                  <pic:blipFill>
                    <a:blip r:embed="rId37"/>
                    <a:stretch>
                      <a:fillRect/>
                    </a:stretch>
                  </pic:blipFill>
                  <pic:spPr>
                    <a:xfrm>
                      <a:off x="0" y="0"/>
                      <a:ext cx="8134985" cy="5132070"/>
                    </a:xfrm>
                    <a:prstGeom prst="rect">
                      <a:avLst/>
                    </a:prstGeom>
                    <a:noFill/>
                    <a:ln>
                      <a:noFill/>
                    </a:ln>
                  </pic:spPr>
                </pic:pic>
              </a:graphicData>
            </a:graphic>
          </wp:inline>
        </w:drawing>
      </w:r>
    </w:p>
    <w:p>
      <w:pPr>
        <w:pStyle w:val="21"/>
        <w:rPr>
          <w:color w:val="auto"/>
        </w:rPr>
        <w:sectPr>
          <w:pgSz w:w="16838" w:h="11906" w:orient="landscape"/>
          <w:pgMar w:top="1417" w:right="1417" w:bottom="1417" w:left="1417" w:header="851" w:footer="992" w:gutter="0"/>
          <w:pgBorders>
            <w:top w:val="none" w:sz="0" w:space="0"/>
            <w:left w:val="none" w:sz="0" w:space="0"/>
            <w:bottom w:val="none" w:sz="0" w:space="0"/>
            <w:right w:val="none" w:sz="0" w:space="0"/>
          </w:pgBorders>
          <w:cols w:space="425" w:num="1"/>
          <w:docGrid w:type="lines" w:linePitch="312" w:charSpace="0"/>
        </w:sectPr>
      </w:pPr>
    </w:p>
    <w:p>
      <w:pPr>
        <w:rPr>
          <w:color w:val="auto"/>
        </w:rPr>
      </w:pPr>
    </w:p>
    <w:p>
      <w:pPr>
        <w:outlineLvl w:val="1"/>
        <w:rPr>
          <w:rFonts w:hint="eastAsia" w:ascii="Times New Roman" w:hAnsi="Times New Roman" w:eastAsia="宋体" w:cs="Times New Roman"/>
          <w:b/>
          <w:bCs/>
          <w:color w:val="auto"/>
          <w:sz w:val="28"/>
          <w:szCs w:val="28"/>
          <w:lang w:val="en-US" w:eastAsia="zh-CN"/>
        </w:rPr>
      </w:pPr>
      <w:bookmarkStart w:id="106" w:name="_Toc20762"/>
      <w:bookmarkStart w:id="107" w:name="_Toc29632"/>
      <w:r>
        <w:rPr>
          <w:rFonts w:hint="eastAsia" w:ascii="Times New Roman" w:hAnsi="Times New Roman" w:eastAsia="宋体" w:cs="Times New Roman"/>
          <w:b/>
          <w:bCs/>
          <w:color w:val="auto"/>
          <w:sz w:val="28"/>
          <w:szCs w:val="28"/>
          <w:lang w:val="en-US" w:eastAsia="zh-CN"/>
        </w:rPr>
        <w:t>附件4、华容县住房和城乡建设局关于华容县团洲垸灾后重建安置房建设项目</w:t>
      </w:r>
      <w:r>
        <w:rPr>
          <w:rFonts w:hint="eastAsia" w:cs="Times New Roman"/>
          <w:b/>
          <w:bCs/>
          <w:color w:val="auto"/>
          <w:sz w:val="28"/>
          <w:szCs w:val="28"/>
          <w:lang w:val="en-US" w:eastAsia="zh-CN"/>
        </w:rPr>
        <w:t>（三期）</w:t>
      </w:r>
      <w:r>
        <w:rPr>
          <w:rFonts w:hint="eastAsia" w:ascii="Times New Roman" w:hAnsi="Times New Roman" w:eastAsia="宋体" w:cs="Times New Roman"/>
          <w:b/>
          <w:bCs/>
          <w:color w:val="auto"/>
          <w:sz w:val="28"/>
          <w:szCs w:val="28"/>
          <w:lang w:val="en-US" w:eastAsia="zh-CN"/>
        </w:rPr>
        <w:t>的审查意见</w:t>
      </w:r>
      <w:bookmarkEnd w:id="106"/>
      <w:bookmarkEnd w:id="107"/>
    </w:p>
    <w:p>
      <w:pPr>
        <w:rPr>
          <w:rFonts w:hint="eastAsia" w:ascii="仿宋" w:hAnsi="仿宋" w:eastAsia="仿宋" w:cs="仿宋"/>
          <w:b w:val="0"/>
          <w:bCs w:val="0"/>
          <w:color w:val="auto"/>
          <w:spacing w:val="0"/>
          <w:kern w:val="0"/>
          <w:sz w:val="28"/>
          <w:szCs w:val="28"/>
          <w:lang w:val="en-US" w:eastAsia="zh-CN" w:bidi="ar"/>
        </w:rPr>
      </w:pPr>
      <w:r>
        <w:rPr>
          <w:color w:val="auto"/>
        </w:rPr>
        <w:drawing>
          <wp:inline distT="0" distB="0" distL="114300" distR="114300">
            <wp:extent cx="5264150" cy="6945630"/>
            <wp:effectExtent l="0" t="0" r="12700" b="7620"/>
            <wp:docPr id="1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7"/>
                    <pic:cNvPicPr>
                      <a:picLocks noChangeAspect="1"/>
                    </pic:cNvPicPr>
                  </pic:nvPicPr>
                  <pic:blipFill>
                    <a:blip r:embed="rId38"/>
                    <a:stretch>
                      <a:fillRect/>
                    </a:stretch>
                  </pic:blipFill>
                  <pic:spPr>
                    <a:xfrm>
                      <a:off x="0" y="0"/>
                      <a:ext cx="5264150" cy="6945630"/>
                    </a:xfrm>
                    <a:prstGeom prst="rect">
                      <a:avLst/>
                    </a:prstGeom>
                    <a:noFill/>
                    <a:ln>
                      <a:noFill/>
                    </a:ln>
                  </pic:spPr>
                </pic:pic>
              </a:graphicData>
            </a:graphic>
          </wp:inline>
        </w:drawing>
      </w:r>
    </w:p>
    <w:p>
      <w:pPr>
        <w:rPr>
          <w:rFonts w:hint="eastAsia" w:ascii="仿宋" w:hAnsi="仿宋" w:eastAsia="仿宋" w:cs="仿宋"/>
          <w:b w:val="0"/>
          <w:bCs w:val="0"/>
          <w:color w:val="auto"/>
          <w:spacing w:val="0"/>
          <w:kern w:val="0"/>
          <w:sz w:val="28"/>
          <w:szCs w:val="28"/>
          <w:lang w:val="en-US" w:eastAsia="zh-CN" w:bidi="ar"/>
        </w:rPr>
      </w:pPr>
      <w:r>
        <w:rPr>
          <w:rFonts w:hint="eastAsia" w:ascii="仿宋" w:hAnsi="仿宋" w:eastAsia="仿宋" w:cs="仿宋"/>
          <w:b w:val="0"/>
          <w:bCs w:val="0"/>
          <w:color w:val="auto"/>
          <w:spacing w:val="0"/>
          <w:kern w:val="0"/>
          <w:sz w:val="28"/>
          <w:szCs w:val="28"/>
          <w:lang w:val="en-US" w:eastAsia="zh-CN" w:bidi="ar"/>
        </w:rPr>
        <w:br w:type="page"/>
      </w:r>
    </w:p>
    <w:p>
      <w:pPr>
        <w:rPr>
          <w:color w:val="auto"/>
        </w:rPr>
        <w:sectPr>
          <w:pgSz w:w="11906" w:h="16838"/>
          <w:pgMar w:top="1417" w:right="1417" w:bottom="1417" w:left="1417" w:header="851" w:footer="992" w:gutter="0"/>
          <w:pgBorders>
            <w:top w:val="none" w:sz="0" w:space="0"/>
            <w:left w:val="none" w:sz="0" w:space="0"/>
            <w:bottom w:val="none" w:sz="0" w:space="0"/>
            <w:right w:val="none" w:sz="0" w:space="0"/>
          </w:pgBorders>
          <w:cols w:space="425" w:num="1"/>
          <w:docGrid w:type="lines" w:linePitch="312" w:charSpace="0"/>
        </w:sect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59" w:beforeLines="50" w:after="159" w:afterLines="50" w:afterAutospacing="0" w:line="360" w:lineRule="auto"/>
        <w:ind w:left="17" w:leftChars="0" w:firstLine="0" w:firstLineChars="0"/>
        <w:jc w:val="left"/>
        <w:textAlignment w:val="baseline"/>
        <w:outlineLvl w:val="1"/>
        <w:rPr>
          <w:rFonts w:hint="default" w:ascii="Times New Roman" w:hAnsi="Times New Roman" w:eastAsia="宋体" w:cs="Times New Roman"/>
          <w:b/>
          <w:bCs/>
          <w:color w:val="auto"/>
          <w:sz w:val="28"/>
          <w:szCs w:val="28"/>
          <w:lang w:val="en-US" w:eastAsia="zh-CN"/>
        </w:rPr>
      </w:pPr>
      <w:bookmarkStart w:id="108" w:name="_Toc16020"/>
      <w:bookmarkStart w:id="109" w:name="_Toc15892"/>
      <w:bookmarkStart w:id="110" w:name="_Toc6630"/>
      <w:bookmarkStart w:id="111" w:name="_Toc3875"/>
      <w:r>
        <w:rPr>
          <w:rFonts w:hint="eastAsia" w:ascii="Times New Roman" w:hAnsi="Times New Roman" w:eastAsia="宋体" w:cs="Times New Roman"/>
          <w:b/>
          <w:bCs/>
          <w:color w:val="auto"/>
          <w:sz w:val="28"/>
          <w:szCs w:val="28"/>
        </w:rPr>
        <w:t xml:space="preserve">附件5 </w:t>
      </w:r>
      <w:r>
        <w:rPr>
          <w:rFonts w:hint="eastAsia" w:cs="Times New Roman"/>
          <w:b/>
          <w:bCs/>
          <w:color w:val="auto"/>
          <w:sz w:val="28"/>
          <w:szCs w:val="28"/>
          <w:lang w:val="en-US" w:eastAsia="zh-CN"/>
        </w:rPr>
        <w:t>生物多样性影响评价报告</w:t>
      </w:r>
      <w:bookmarkEnd w:id="108"/>
    </w:p>
    <w:p>
      <w:pPr>
        <w:rPr>
          <w:color w:val="auto"/>
        </w:rPr>
      </w:pPr>
      <w:r>
        <w:rPr>
          <w:color w:val="auto"/>
        </w:rPr>
        <w:drawing>
          <wp:inline distT="0" distB="0" distL="114300" distR="114300">
            <wp:extent cx="5601335" cy="7063740"/>
            <wp:effectExtent l="0" t="0" r="18415" b="3810"/>
            <wp:docPr id="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
                    <pic:cNvPicPr>
                      <a:picLocks noChangeAspect="1"/>
                    </pic:cNvPicPr>
                  </pic:nvPicPr>
                  <pic:blipFill>
                    <a:blip r:embed="rId39"/>
                    <a:srcRect r="4286"/>
                    <a:stretch>
                      <a:fillRect/>
                    </a:stretch>
                  </pic:blipFill>
                  <pic:spPr>
                    <a:xfrm>
                      <a:off x="0" y="0"/>
                      <a:ext cx="5601335" cy="7063740"/>
                    </a:xfrm>
                    <a:prstGeom prst="rect">
                      <a:avLst/>
                    </a:prstGeom>
                    <a:noFill/>
                    <a:ln>
                      <a:noFill/>
                    </a:ln>
                  </pic:spPr>
                </pic:pic>
              </a:graphicData>
            </a:graphic>
          </wp:inline>
        </w:drawing>
      </w:r>
    </w:p>
    <w:p>
      <w:pPr>
        <w:rPr>
          <w:color w:val="auto"/>
        </w:rPr>
      </w:pPr>
      <w:r>
        <w:rPr>
          <w:color w:val="auto"/>
        </w:rPr>
        <w:br w:type="page"/>
      </w:r>
      <w:r>
        <w:rPr>
          <w:color w:val="auto"/>
        </w:rPr>
        <w:drawing>
          <wp:inline distT="0" distB="0" distL="114300" distR="114300">
            <wp:extent cx="5561965" cy="6501130"/>
            <wp:effectExtent l="0" t="0" r="635" b="13970"/>
            <wp:docPr id="7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2"/>
                    <pic:cNvPicPr>
                      <a:picLocks noChangeAspect="1"/>
                    </pic:cNvPicPr>
                  </pic:nvPicPr>
                  <pic:blipFill>
                    <a:blip r:embed="rId40"/>
                    <a:stretch>
                      <a:fillRect/>
                    </a:stretch>
                  </pic:blipFill>
                  <pic:spPr>
                    <a:xfrm>
                      <a:off x="0" y="0"/>
                      <a:ext cx="5561965" cy="6501130"/>
                    </a:xfrm>
                    <a:prstGeom prst="rect">
                      <a:avLst/>
                    </a:prstGeom>
                    <a:noFill/>
                    <a:ln>
                      <a:noFill/>
                    </a:ln>
                  </pic:spPr>
                </pic:pic>
              </a:graphicData>
            </a:graphic>
          </wp:inline>
        </w:drawing>
      </w:r>
      <w:r>
        <w:rPr>
          <w:color w:val="auto"/>
        </w:rPr>
        <w:drawing>
          <wp:inline distT="0" distB="0" distL="114300" distR="114300">
            <wp:extent cx="5516245" cy="7983220"/>
            <wp:effectExtent l="0" t="0" r="8255" b="17780"/>
            <wp:docPr id="7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3"/>
                    <pic:cNvPicPr>
                      <a:picLocks noChangeAspect="1"/>
                    </pic:cNvPicPr>
                  </pic:nvPicPr>
                  <pic:blipFill>
                    <a:blip r:embed="rId41"/>
                    <a:stretch>
                      <a:fillRect/>
                    </a:stretch>
                  </pic:blipFill>
                  <pic:spPr>
                    <a:xfrm>
                      <a:off x="0" y="0"/>
                      <a:ext cx="5516245" cy="7983220"/>
                    </a:xfrm>
                    <a:prstGeom prst="rect">
                      <a:avLst/>
                    </a:prstGeom>
                    <a:noFill/>
                    <a:ln>
                      <a:noFill/>
                    </a:ln>
                  </pic:spPr>
                </pic:pic>
              </a:graphicData>
            </a:graphic>
          </wp:inline>
        </w:drawing>
      </w:r>
      <w:r>
        <w:rPr>
          <w:color w:val="auto"/>
        </w:rPr>
        <w:drawing>
          <wp:inline distT="0" distB="0" distL="114300" distR="114300">
            <wp:extent cx="5602605" cy="7877175"/>
            <wp:effectExtent l="0" t="0" r="17145" b="9525"/>
            <wp:docPr id="7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4"/>
                    <pic:cNvPicPr>
                      <a:picLocks noChangeAspect="1"/>
                    </pic:cNvPicPr>
                  </pic:nvPicPr>
                  <pic:blipFill>
                    <a:blip r:embed="rId42"/>
                    <a:stretch>
                      <a:fillRect/>
                    </a:stretch>
                  </pic:blipFill>
                  <pic:spPr>
                    <a:xfrm>
                      <a:off x="0" y="0"/>
                      <a:ext cx="5602605" cy="7877175"/>
                    </a:xfrm>
                    <a:prstGeom prst="rect">
                      <a:avLst/>
                    </a:prstGeom>
                    <a:noFill/>
                    <a:ln>
                      <a:noFill/>
                    </a:ln>
                  </pic:spPr>
                </pic:pic>
              </a:graphicData>
            </a:graphic>
          </wp:inline>
        </w:drawing>
      </w:r>
      <w:r>
        <w:rPr>
          <w:color w:val="auto"/>
        </w:rPr>
        <w:drawing>
          <wp:inline distT="0" distB="0" distL="114300" distR="114300">
            <wp:extent cx="5655310" cy="7079615"/>
            <wp:effectExtent l="0" t="0" r="2540" b="6985"/>
            <wp:docPr id="8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5"/>
                    <pic:cNvPicPr>
                      <a:picLocks noChangeAspect="1"/>
                    </pic:cNvPicPr>
                  </pic:nvPicPr>
                  <pic:blipFill>
                    <a:blip r:embed="rId43"/>
                    <a:stretch>
                      <a:fillRect/>
                    </a:stretch>
                  </pic:blipFill>
                  <pic:spPr>
                    <a:xfrm>
                      <a:off x="0" y="0"/>
                      <a:ext cx="5655310" cy="7079615"/>
                    </a:xfrm>
                    <a:prstGeom prst="rect">
                      <a:avLst/>
                    </a:prstGeom>
                    <a:noFill/>
                    <a:ln>
                      <a:noFill/>
                    </a:ln>
                  </pic:spPr>
                </pic:pic>
              </a:graphicData>
            </a:graphic>
          </wp:inline>
        </w:drawing>
      </w:r>
    </w:p>
    <w:p>
      <w:pPr>
        <w:rPr>
          <w:color w:val="auto"/>
        </w:rPr>
      </w:pPr>
      <w:r>
        <w:rPr>
          <w:color w:val="auto"/>
        </w:rPr>
        <w:br w:type="page"/>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59" w:beforeLines="50" w:after="159" w:afterLines="50" w:afterAutospacing="0" w:line="360" w:lineRule="auto"/>
        <w:ind w:left="17" w:leftChars="0" w:firstLine="0" w:firstLineChars="0"/>
        <w:jc w:val="left"/>
        <w:textAlignment w:val="baseline"/>
        <w:outlineLvl w:val="1"/>
        <w:rPr>
          <w:rFonts w:hint="default" w:ascii="Times New Roman" w:hAnsi="Times New Roman" w:eastAsia="宋体" w:cs="Times New Roman"/>
          <w:b/>
          <w:bCs/>
          <w:color w:val="auto"/>
          <w:sz w:val="28"/>
          <w:szCs w:val="28"/>
          <w:lang w:val="en-US" w:eastAsia="zh-CN"/>
        </w:rPr>
      </w:pPr>
      <w:bookmarkStart w:id="112" w:name="_Toc21925"/>
      <w:r>
        <w:rPr>
          <w:rFonts w:hint="eastAsia" w:ascii="Times New Roman" w:hAnsi="Times New Roman" w:eastAsia="宋体" w:cs="Times New Roman"/>
          <w:b/>
          <w:bCs/>
          <w:color w:val="auto"/>
          <w:sz w:val="28"/>
          <w:szCs w:val="28"/>
        </w:rPr>
        <w:t>附件</w:t>
      </w:r>
      <w:r>
        <w:rPr>
          <w:rFonts w:hint="eastAsia" w:cs="Times New Roman"/>
          <w:b/>
          <w:bCs/>
          <w:color w:val="auto"/>
          <w:sz w:val="28"/>
          <w:szCs w:val="28"/>
          <w:lang w:val="en-US" w:eastAsia="zh-CN"/>
        </w:rPr>
        <w:t>6</w:t>
      </w:r>
      <w:r>
        <w:rPr>
          <w:rFonts w:hint="eastAsia" w:ascii="Times New Roman" w:hAnsi="Times New Roman" w:eastAsia="宋体" w:cs="Times New Roman"/>
          <w:b/>
          <w:bCs/>
          <w:color w:val="auto"/>
          <w:sz w:val="28"/>
          <w:szCs w:val="28"/>
        </w:rPr>
        <w:t xml:space="preserve">  </w:t>
      </w:r>
      <w:r>
        <w:rPr>
          <w:rFonts w:hint="eastAsia" w:cs="Times New Roman"/>
          <w:b/>
          <w:bCs/>
          <w:color w:val="auto"/>
          <w:sz w:val="28"/>
          <w:szCs w:val="28"/>
          <w:lang w:val="en-US" w:eastAsia="zh-CN"/>
        </w:rPr>
        <w:t>林业局关于</w:t>
      </w:r>
      <w:r>
        <w:rPr>
          <w:rFonts w:hint="eastAsia" w:ascii="Times New Roman" w:hAnsi="Times New Roman" w:eastAsia="宋体" w:cs="Times New Roman"/>
          <w:b/>
          <w:bCs/>
          <w:color w:val="auto"/>
          <w:sz w:val="28"/>
          <w:szCs w:val="28"/>
          <w:lang w:val="en-US" w:eastAsia="zh-CN"/>
        </w:rPr>
        <w:t>华容县团洲垸灾后重建安置房建设项目的</w:t>
      </w:r>
      <w:r>
        <w:rPr>
          <w:rFonts w:hint="eastAsia" w:cs="Times New Roman"/>
          <w:b/>
          <w:bCs/>
          <w:color w:val="auto"/>
          <w:sz w:val="28"/>
          <w:szCs w:val="28"/>
          <w:lang w:val="en-US" w:eastAsia="zh-CN"/>
        </w:rPr>
        <w:t>意见</w:t>
      </w:r>
      <w:bookmarkEnd w:id="112"/>
    </w:p>
    <w:p>
      <w:pPr>
        <w:rPr>
          <w:color w:val="auto"/>
        </w:rPr>
      </w:pPr>
      <w:r>
        <w:rPr>
          <w:color w:val="auto"/>
        </w:rPr>
        <w:drawing>
          <wp:inline distT="0" distB="0" distL="114300" distR="114300">
            <wp:extent cx="5274310" cy="7271385"/>
            <wp:effectExtent l="0" t="0" r="2540" b="5715"/>
            <wp:docPr id="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6"/>
                    <pic:cNvPicPr>
                      <a:picLocks noChangeAspect="1"/>
                    </pic:cNvPicPr>
                  </pic:nvPicPr>
                  <pic:blipFill>
                    <a:blip r:embed="rId44"/>
                    <a:stretch>
                      <a:fillRect/>
                    </a:stretch>
                  </pic:blipFill>
                  <pic:spPr>
                    <a:xfrm>
                      <a:off x="0" y="0"/>
                      <a:ext cx="5274310" cy="7271385"/>
                    </a:xfrm>
                    <a:prstGeom prst="rect">
                      <a:avLst/>
                    </a:prstGeom>
                    <a:noFill/>
                    <a:ln>
                      <a:noFill/>
                    </a:ln>
                  </pic:spPr>
                </pic:pic>
              </a:graphicData>
            </a:graphic>
          </wp:inline>
        </w:drawing>
      </w:r>
    </w:p>
    <w:p>
      <w:pPr>
        <w:rPr>
          <w:color w:val="auto"/>
        </w:rPr>
      </w:pPr>
      <w:r>
        <w:rPr>
          <w:color w:val="auto"/>
        </w:rPr>
        <w:br w:type="page"/>
      </w:r>
    </w:p>
    <w:p>
      <w:pPr>
        <w:rPr>
          <w:color w:val="auto"/>
        </w:rPr>
      </w:pPr>
      <w:r>
        <w:rPr>
          <w:color w:val="auto"/>
        </w:rPr>
        <w:drawing>
          <wp:inline distT="0" distB="0" distL="114300" distR="114300">
            <wp:extent cx="5181600" cy="6829425"/>
            <wp:effectExtent l="0" t="0" r="0" b="952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45"/>
                    <a:stretch>
                      <a:fillRect/>
                    </a:stretch>
                  </pic:blipFill>
                  <pic:spPr>
                    <a:xfrm>
                      <a:off x="0" y="0"/>
                      <a:ext cx="5181600" cy="6829425"/>
                    </a:xfrm>
                    <a:prstGeom prst="rect">
                      <a:avLst/>
                    </a:prstGeom>
                    <a:noFill/>
                    <a:ln>
                      <a:noFill/>
                    </a:ln>
                  </pic:spPr>
                </pic:pic>
              </a:graphicData>
            </a:graphic>
          </wp:inline>
        </w:drawing>
      </w:r>
    </w:p>
    <w:p>
      <w:pPr>
        <w:rPr>
          <w:color w:val="auto"/>
        </w:rPr>
      </w:pPr>
      <w:r>
        <w:rPr>
          <w:color w:val="auto"/>
        </w:rPr>
        <w:drawing>
          <wp:inline distT="0" distB="0" distL="114300" distR="114300">
            <wp:extent cx="5114925" cy="6877050"/>
            <wp:effectExtent l="0" t="0" r="9525" b="0"/>
            <wp:docPr id="63"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18"/>
                    <pic:cNvPicPr>
                      <a:picLocks noChangeAspect="1"/>
                    </pic:cNvPicPr>
                  </pic:nvPicPr>
                  <pic:blipFill>
                    <a:blip r:embed="rId46"/>
                    <a:stretch>
                      <a:fillRect/>
                    </a:stretch>
                  </pic:blipFill>
                  <pic:spPr>
                    <a:xfrm>
                      <a:off x="0" y="0"/>
                      <a:ext cx="5114925" cy="6877050"/>
                    </a:xfrm>
                    <a:prstGeom prst="rect">
                      <a:avLst/>
                    </a:prstGeom>
                    <a:noFill/>
                    <a:ln>
                      <a:noFill/>
                    </a:ln>
                  </pic:spPr>
                </pic:pic>
              </a:graphicData>
            </a:graphic>
          </wp:inline>
        </w:drawing>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59" w:beforeLines="50" w:after="159" w:afterLines="50" w:afterAutospacing="0" w:line="360" w:lineRule="auto"/>
        <w:ind w:left="17" w:leftChars="0" w:firstLine="0" w:firstLineChars="0"/>
        <w:jc w:val="left"/>
        <w:textAlignment w:val="baseline"/>
        <w:outlineLvl w:val="1"/>
        <w:rPr>
          <w:color w:val="auto"/>
        </w:rPr>
      </w:pPr>
      <w:bookmarkStart w:id="113" w:name="_Toc21687"/>
      <w:r>
        <w:rPr>
          <w:color w:val="auto"/>
        </w:rPr>
        <w:drawing>
          <wp:inline distT="0" distB="0" distL="114300" distR="114300">
            <wp:extent cx="5172075" cy="5857875"/>
            <wp:effectExtent l="0" t="0" r="9525" b="9525"/>
            <wp:docPr id="6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19"/>
                    <pic:cNvPicPr>
                      <a:picLocks noChangeAspect="1"/>
                    </pic:cNvPicPr>
                  </pic:nvPicPr>
                  <pic:blipFill>
                    <a:blip r:embed="rId47"/>
                    <a:stretch>
                      <a:fillRect/>
                    </a:stretch>
                  </pic:blipFill>
                  <pic:spPr>
                    <a:xfrm>
                      <a:off x="0" y="0"/>
                      <a:ext cx="5172075" cy="5857875"/>
                    </a:xfrm>
                    <a:prstGeom prst="rect">
                      <a:avLst/>
                    </a:prstGeom>
                    <a:noFill/>
                    <a:ln>
                      <a:noFill/>
                    </a:ln>
                  </pic:spPr>
                </pic:pic>
              </a:graphicData>
            </a:graphic>
          </wp:inline>
        </w:drawing>
      </w:r>
      <w:bookmarkEnd w:id="113"/>
    </w:p>
    <w:p>
      <w:pPr>
        <w:rPr>
          <w:color w:val="auto"/>
        </w:rPr>
      </w:pPr>
      <w:r>
        <w:rPr>
          <w:color w:val="auto"/>
        </w:rPr>
        <w:br w:type="page"/>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59" w:beforeLines="50" w:after="159" w:afterLines="50" w:afterAutospacing="0" w:line="360" w:lineRule="auto"/>
        <w:ind w:left="17" w:leftChars="0" w:firstLine="0" w:firstLineChars="0"/>
        <w:jc w:val="left"/>
        <w:textAlignment w:val="baseline"/>
        <w:outlineLvl w:val="1"/>
        <w:rPr>
          <w:rFonts w:hint="eastAsia" w:ascii="Times New Roman" w:hAnsi="Times New Roman" w:eastAsia="宋体" w:cs="Times New Roman"/>
          <w:b/>
          <w:bCs/>
          <w:color w:val="auto"/>
          <w:sz w:val="28"/>
          <w:szCs w:val="28"/>
          <w:lang w:val="en-US" w:eastAsia="zh-CN"/>
        </w:rPr>
      </w:pPr>
      <w:bookmarkStart w:id="114" w:name="_Toc18911"/>
      <w:r>
        <w:rPr>
          <w:rFonts w:hint="eastAsia" w:cs="Times New Roman"/>
          <w:b/>
          <w:bCs/>
          <w:color w:val="auto"/>
          <w:sz w:val="28"/>
          <w:szCs w:val="28"/>
          <w:lang w:val="en-US" w:eastAsia="zh-CN"/>
        </w:rPr>
        <w:t xml:space="preserve">附件7 </w:t>
      </w:r>
      <w:r>
        <w:rPr>
          <w:rFonts w:hint="eastAsia" w:ascii="Times New Roman" w:hAnsi="Times New Roman" w:eastAsia="宋体" w:cs="Times New Roman"/>
          <w:b/>
          <w:bCs/>
          <w:color w:val="auto"/>
          <w:sz w:val="28"/>
          <w:szCs w:val="28"/>
          <w:lang w:val="en-US" w:eastAsia="zh-CN"/>
        </w:rPr>
        <w:t>华容县人民政府县长办公会议纪要</w:t>
      </w:r>
      <w:bookmarkEnd w:id="114"/>
    </w:p>
    <w:p>
      <w:pPr>
        <w:pageBreakBefore w:val="0"/>
        <w:wordWrap/>
        <w:overflowPunct/>
        <w:topLinePunct w:val="0"/>
        <w:bidi w:val="0"/>
        <w:spacing w:before="157" w:beforeLines="50" w:beforeAutospacing="0" w:after="157" w:afterLines="50" w:afterAutospacing="0" w:line="360" w:lineRule="auto"/>
        <w:rPr>
          <w:rFonts w:hint="default"/>
          <w:color w:val="auto"/>
          <w:lang w:val="en-US" w:eastAsia="zh-CN"/>
        </w:rPr>
      </w:pPr>
      <w:r>
        <w:rPr>
          <w:color w:val="auto"/>
        </w:rPr>
        <w:drawing>
          <wp:inline distT="0" distB="0" distL="114300" distR="114300">
            <wp:extent cx="5353050" cy="7512050"/>
            <wp:effectExtent l="0" t="0" r="0" b="12700"/>
            <wp:docPr id="2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4"/>
                    <pic:cNvPicPr>
                      <a:picLocks noChangeAspect="1"/>
                    </pic:cNvPicPr>
                  </pic:nvPicPr>
                  <pic:blipFill>
                    <a:blip r:embed="rId48"/>
                    <a:stretch>
                      <a:fillRect/>
                    </a:stretch>
                  </pic:blipFill>
                  <pic:spPr>
                    <a:xfrm>
                      <a:off x="0" y="0"/>
                      <a:ext cx="5353050" cy="7512050"/>
                    </a:xfrm>
                    <a:prstGeom prst="rect">
                      <a:avLst/>
                    </a:prstGeom>
                    <a:noFill/>
                    <a:ln>
                      <a:noFill/>
                    </a:ln>
                  </pic:spPr>
                </pic:pic>
              </a:graphicData>
            </a:graphic>
          </wp:inline>
        </w:drawing>
      </w:r>
      <w:r>
        <w:rPr>
          <w:color w:val="auto"/>
        </w:rPr>
        <w:drawing>
          <wp:inline distT="0" distB="0" distL="114300" distR="114300">
            <wp:extent cx="5474335" cy="8124825"/>
            <wp:effectExtent l="0" t="0" r="12065" b="9525"/>
            <wp:docPr id="2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5"/>
                    <pic:cNvPicPr>
                      <a:picLocks noChangeAspect="1"/>
                    </pic:cNvPicPr>
                  </pic:nvPicPr>
                  <pic:blipFill>
                    <a:blip r:embed="rId49"/>
                    <a:stretch>
                      <a:fillRect/>
                    </a:stretch>
                  </pic:blipFill>
                  <pic:spPr>
                    <a:xfrm>
                      <a:off x="0" y="0"/>
                      <a:ext cx="5474335" cy="8124825"/>
                    </a:xfrm>
                    <a:prstGeom prst="rect">
                      <a:avLst/>
                    </a:prstGeom>
                    <a:noFill/>
                    <a:ln>
                      <a:noFill/>
                    </a:ln>
                  </pic:spPr>
                </pic:pic>
              </a:graphicData>
            </a:graphic>
          </wp:inline>
        </w:drawing>
      </w:r>
      <w:r>
        <w:rPr>
          <w:color w:val="auto"/>
        </w:rPr>
        <w:drawing>
          <wp:inline distT="0" distB="0" distL="114300" distR="114300">
            <wp:extent cx="5833110" cy="7839075"/>
            <wp:effectExtent l="0" t="0" r="15240" b="9525"/>
            <wp:docPr id="2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6"/>
                    <pic:cNvPicPr>
                      <a:picLocks noChangeAspect="1"/>
                    </pic:cNvPicPr>
                  </pic:nvPicPr>
                  <pic:blipFill>
                    <a:blip r:embed="rId50"/>
                    <a:stretch>
                      <a:fillRect/>
                    </a:stretch>
                  </pic:blipFill>
                  <pic:spPr>
                    <a:xfrm>
                      <a:off x="0" y="0"/>
                      <a:ext cx="5833110" cy="7839075"/>
                    </a:xfrm>
                    <a:prstGeom prst="rect">
                      <a:avLst/>
                    </a:prstGeom>
                    <a:noFill/>
                    <a:ln>
                      <a:noFill/>
                    </a:ln>
                  </pic:spPr>
                </pic:pic>
              </a:graphicData>
            </a:graphic>
          </wp:inline>
        </w:drawing>
      </w:r>
      <w:r>
        <w:rPr>
          <w:color w:val="auto"/>
        </w:rPr>
        <w:drawing>
          <wp:inline distT="0" distB="0" distL="114300" distR="114300">
            <wp:extent cx="5709285" cy="7362825"/>
            <wp:effectExtent l="0" t="0" r="5715" b="9525"/>
            <wp:docPr id="2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7"/>
                    <pic:cNvPicPr>
                      <a:picLocks noChangeAspect="1"/>
                    </pic:cNvPicPr>
                  </pic:nvPicPr>
                  <pic:blipFill>
                    <a:blip r:embed="rId51"/>
                    <a:stretch>
                      <a:fillRect/>
                    </a:stretch>
                  </pic:blipFill>
                  <pic:spPr>
                    <a:xfrm>
                      <a:off x="0" y="0"/>
                      <a:ext cx="5709285" cy="7362825"/>
                    </a:xfrm>
                    <a:prstGeom prst="rect">
                      <a:avLst/>
                    </a:prstGeom>
                    <a:noFill/>
                    <a:ln>
                      <a:noFill/>
                    </a:ln>
                  </pic:spPr>
                </pic:pic>
              </a:graphicData>
            </a:graphic>
          </wp:inline>
        </w:drawing>
      </w:r>
    </w:p>
    <w:p>
      <w:pPr>
        <w:jc w:val="left"/>
        <w:outlineLvl w:val="1"/>
        <w:rPr>
          <w:rFonts w:hint="default" w:eastAsia="宋体"/>
          <w:b/>
          <w:bCs/>
          <w:color w:val="auto"/>
          <w:sz w:val="28"/>
          <w:szCs w:val="28"/>
          <w:lang w:val="en-US" w:eastAsia="zh-CN"/>
        </w:rPr>
      </w:pPr>
    </w:p>
    <w:p>
      <w:pPr>
        <w:rPr>
          <w:rFonts w:hint="eastAsia"/>
          <w:b/>
          <w:bCs/>
          <w:color w:val="auto"/>
          <w:sz w:val="28"/>
          <w:szCs w:val="28"/>
        </w:rPr>
      </w:pPr>
      <w:r>
        <w:rPr>
          <w:rFonts w:hint="eastAsia"/>
          <w:b/>
          <w:bCs/>
          <w:color w:val="auto"/>
          <w:sz w:val="28"/>
          <w:szCs w:val="28"/>
        </w:rPr>
        <w:br w:type="page"/>
      </w:r>
    </w:p>
    <w:p>
      <w:pPr>
        <w:jc w:val="left"/>
        <w:outlineLvl w:val="1"/>
        <w:rPr>
          <w:rFonts w:hint="default" w:eastAsia="宋体"/>
          <w:color w:val="auto"/>
          <w:lang w:val="en-US" w:eastAsia="zh-CN"/>
        </w:rPr>
      </w:pPr>
      <w:bookmarkStart w:id="115" w:name="_Toc5565"/>
      <w:r>
        <w:rPr>
          <w:rFonts w:hint="eastAsia"/>
          <w:b/>
          <w:bCs/>
          <w:color w:val="auto"/>
          <w:sz w:val="28"/>
          <w:szCs w:val="28"/>
          <w:lang w:val="en-US" w:eastAsia="zh-CN"/>
        </w:rPr>
        <w:t>附件8 备案文件</w:t>
      </w:r>
      <w:bookmarkEnd w:id="115"/>
    </w:p>
    <w:p>
      <w:pPr>
        <w:rPr>
          <w:rFonts w:hint="eastAsia"/>
          <w:b/>
          <w:bCs/>
          <w:color w:val="auto"/>
          <w:sz w:val="28"/>
          <w:szCs w:val="28"/>
          <w:lang w:val="en-US" w:eastAsia="zh-CN"/>
        </w:rPr>
      </w:pPr>
      <w:r>
        <w:rPr>
          <w:color w:val="auto"/>
        </w:rPr>
        <w:drawing>
          <wp:inline distT="0" distB="0" distL="114300" distR="114300">
            <wp:extent cx="5920740" cy="7338695"/>
            <wp:effectExtent l="0" t="0" r="3810" b="14605"/>
            <wp:docPr id="2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8"/>
                    <pic:cNvPicPr>
                      <a:picLocks noChangeAspect="1"/>
                    </pic:cNvPicPr>
                  </pic:nvPicPr>
                  <pic:blipFill>
                    <a:blip r:embed="rId52"/>
                    <a:stretch>
                      <a:fillRect/>
                    </a:stretch>
                  </pic:blipFill>
                  <pic:spPr>
                    <a:xfrm>
                      <a:off x="0" y="0"/>
                      <a:ext cx="5920740" cy="7338695"/>
                    </a:xfrm>
                    <a:prstGeom prst="rect">
                      <a:avLst/>
                    </a:prstGeom>
                    <a:noFill/>
                    <a:ln>
                      <a:noFill/>
                    </a:ln>
                  </pic:spPr>
                </pic:pic>
              </a:graphicData>
            </a:graphic>
          </wp:inline>
        </w:drawing>
      </w:r>
      <w:r>
        <w:rPr>
          <w:color w:val="auto"/>
        </w:rPr>
        <w:drawing>
          <wp:inline distT="0" distB="0" distL="114300" distR="114300">
            <wp:extent cx="5830570" cy="7841615"/>
            <wp:effectExtent l="0" t="0" r="17780" b="6985"/>
            <wp:docPr id="30"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9"/>
                    <pic:cNvPicPr>
                      <a:picLocks noChangeAspect="1"/>
                    </pic:cNvPicPr>
                  </pic:nvPicPr>
                  <pic:blipFill>
                    <a:blip r:embed="rId53"/>
                    <a:stretch>
                      <a:fillRect/>
                    </a:stretch>
                  </pic:blipFill>
                  <pic:spPr>
                    <a:xfrm>
                      <a:off x="0" y="0"/>
                      <a:ext cx="5830570" cy="7841615"/>
                    </a:xfrm>
                    <a:prstGeom prst="rect">
                      <a:avLst/>
                    </a:prstGeom>
                    <a:noFill/>
                    <a:ln>
                      <a:noFill/>
                    </a:ln>
                  </pic:spPr>
                </pic:pic>
              </a:graphicData>
            </a:graphic>
          </wp:inline>
        </w:drawing>
      </w:r>
    </w:p>
    <w:p>
      <w:pPr>
        <w:rPr>
          <w:rFonts w:hint="eastAsia"/>
          <w:b/>
          <w:bCs/>
          <w:color w:val="auto"/>
          <w:sz w:val="28"/>
          <w:szCs w:val="28"/>
          <w:lang w:val="en-US" w:eastAsia="zh-CN"/>
        </w:rPr>
      </w:pPr>
      <w:r>
        <w:rPr>
          <w:rFonts w:hint="eastAsia"/>
          <w:b/>
          <w:bCs/>
          <w:color w:val="auto"/>
          <w:sz w:val="28"/>
          <w:szCs w:val="28"/>
          <w:lang w:val="en-US" w:eastAsia="zh-CN"/>
        </w:rPr>
        <w:br w:type="page"/>
      </w:r>
    </w:p>
    <w:p>
      <w:pPr>
        <w:rPr>
          <w:rFonts w:hint="eastAsia"/>
          <w:b/>
          <w:bCs/>
          <w:color w:val="auto"/>
          <w:sz w:val="28"/>
          <w:szCs w:val="28"/>
          <w:lang w:val="en-US" w:eastAsia="zh-CN"/>
        </w:rPr>
      </w:pPr>
      <w:r>
        <w:rPr>
          <w:color w:val="auto"/>
        </w:rPr>
        <w:drawing>
          <wp:inline distT="0" distB="0" distL="114300" distR="114300">
            <wp:extent cx="5692775" cy="7717155"/>
            <wp:effectExtent l="0" t="0" r="3175" b="17145"/>
            <wp:docPr id="31"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0"/>
                    <pic:cNvPicPr>
                      <a:picLocks noChangeAspect="1"/>
                    </pic:cNvPicPr>
                  </pic:nvPicPr>
                  <pic:blipFill>
                    <a:blip r:embed="rId54"/>
                    <a:stretch>
                      <a:fillRect/>
                    </a:stretch>
                  </pic:blipFill>
                  <pic:spPr>
                    <a:xfrm>
                      <a:off x="0" y="0"/>
                      <a:ext cx="5692775" cy="7717155"/>
                    </a:xfrm>
                    <a:prstGeom prst="rect">
                      <a:avLst/>
                    </a:prstGeom>
                    <a:noFill/>
                    <a:ln>
                      <a:noFill/>
                    </a:ln>
                  </pic:spPr>
                </pic:pic>
              </a:graphicData>
            </a:graphic>
          </wp:inline>
        </w:drawing>
      </w:r>
    </w:p>
    <w:p>
      <w:pPr>
        <w:rPr>
          <w:rFonts w:hint="eastAsia"/>
          <w:b/>
          <w:bCs/>
          <w:color w:val="auto"/>
          <w:sz w:val="28"/>
          <w:szCs w:val="28"/>
          <w:lang w:val="en-US" w:eastAsia="zh-CN"/>
        </w:rPr>
      </w:pPr>
      <w:r>
        <w:rPr>
          <w:rFonts w:hint="eastAsia"/>
          <w:b/>
          <w:bCs/>
          <w:color w:val="auto"/>
          <w:sz w:val="28"/>
          <w:szCs w:val="28"/>
          <w:lang w:val="en-US" w:eastAsia="zh-CN"/>
        </w:rPr>
        <w:br w:type="page"/>
      </w:r>
    </w:p>
    <w:bookmarkEnd w:id="109"/>
    <w:bookmarkEnd w:id="110"/>
    <w:bookmarkEnd w:id="111"/>
    <w:p>
      <w:pPr>
        <w:jc w:val="left"/>
        <w:outlineLvl w:val="1"/>
        <w:rPr>
          <w:rFonts w:hint="default" w:ascii="方正小标宋_GBK" w:hAnsi="黑体" w:eastAsia="方正小标宋_GBK" w:cs="Times New Roman"/>
          <w:snapToGrid w:val="0"/>
          <w:color w:val="auto"/>
          <w:kern w:val="0"/>
          <w:sz w:val="38"/>
          <w:szCs w:val="38"/>
          <w:lang w:eastAsia="zh-CN"/>
        </w:rPr>
      </w:pPr>
      <w:bookmarkStart w:id="116" w:name="_Toc11199"/>
      <w:bookmarkStart w:id="117" w:name="_Toc24961"/>
      <w:bookmarkStart w:id="337" w:name="_GoBack"/>
      <w:bookmarkEnd w:id="337"/>
      <w:r>
        <w:rPr>
          <w:rFonts w:hint="eastAsia" w:ascii="方正小标宋_GBK" w:hAnsi="黑体" w:eastAsia="方正小标宋_GBK" w:cs="Times New Roman"/>
          <w:snapToGrid w:val="0"/>
          <w:color w:val="auto"/>
          <w:kern w:val="0"/>
          <w:sz w:val="38"/>
          <w:szCs w:val="38"/>
          <w:lang w:val="en-US" w:eastAsia="zh-CN"/>
        </w:rPr>
        <w:t>华容县团洲垸灾后重建安置房建设项目</w:t>
      </w:r>
      <w:bookmarkEnd w:id="116"/>
      <w:r>
        <w:rPr>
          <w:rFonts w:hint="eastAsia" w:ascii="方正小标宋_GBK" w:hAnsi="黑体" w:eastAsia="方正小标宋_GBK" w:cs="Times New Roman"/>
          <w:snapToGrid w:val="0"/>
          <w:color w:val="auto"/>
          <w:kern w:val="0"/>
          <w:sz w:val="38"/>
          <w:szCs w:val="38"/>
          <w:lang w:val="en-US" w:eastAsia="zh-CN"/>
        </w:rPr>
        <w:t>（三期）</w:t>
      </w:r>
      <w:bookmarkEnd w:id="117"/>
    </w:p>
    <w:p>
      <w:pPr>
        <w:jc w:val="center"/>
        <w:outlineLvl w:val="0"/>
        <w:rPr>
          <w:rFonts w:hint="default" w:ascii="方正小标宋_GBK" w:hAnsi="黑体" w:eastAsia="方正小标宋_GBK" w:cs="Times New Roman"/>
          <w:snapToGrid w:val="0"/>
          <w:color w:val="auto"/>
          <w:kern w:val="0"/>
          <w:sz w:val="38"/>
          <w:szCs w:val="38"/>
        </w:rPr>
      </w:pPr>
      <w:bookmarkStart w:id="118" w:name="_Toc1088"/>
      <w:bookmarkStart w:id="119" w:name="_Toc8161"/>
      <w:r>
        <w:rPr>
          <w:rFonts w:hint="eastAsia" w:ascii="方正小标宋_GBK" w:hAnsi="黑体" w:eastAsia="方正小标宋_GBK" w:cs="Times New Roman"/>
          <w:snapToGrid w:val="0"/>
          <w:color w:val="auto"/>
          <w:kern w:val="0"/>
          <w:sz w:val="38"/>
          <w:szCs w:val="38"/>
          <w:lang w:eastAsia="zh-CN"/>
        </w:rPr>
        <w:t>生态</w:t>
      </w:r>
      <w:r>
        <w:rPr>
          <w:rFonts w:hint="default" w:ascii="方正小标宋_GBK" w:hAnsi="黑体" w:eastAsia="方正小标宋_GBK" w:cs="Times New Roman"/>
          <w:snapToGrid w:val="0"/>
          <w:color w:val="auto"/>
          <w:kern w:val="0"/>
          <w:sz w:val="38"/>
          <w:szCs w:val="38"/>
        </w:rPr>
        <w:t>环境影响专项报告</w:t>
      </w:r>
      <w:bookmarkEnd w:id="118"/>
      <w:bookmarkEnd w:id="119"/>
    </w:p>
    <w:p>
      <w:pPr>
        <w:spacing w:before="60" w:after="60"/>
        <w:ind w:firstLine="0" w:firstLineChars="0"/>
        <w:jc w:val="center"/>
        <w:rPr>
          <w:rFonts w:hint="default" w:ascii="Times New Roman" w:hAnsi="Times New Roman" w:cs="Times New Roman"/>
          <w:b/>
          <w:bCs/>
          <w:color w:val="auto"/>
          <w:spacing w:val="20"/>
          <w:sz w:val="32"/>
        </w:rPr>
      </w:pPr>
    </w:p>
    <w:p>
      <w:pPr>
        <w:spacing w:before="60" w:after="60"/>
        <w:ind w:firstLine="0" w:firstLineChars="0"/>
        <w:jc w:val="center"/>
        <w:rPr>
          <w:rFonts w:hint="default" w:ascii="Times New Roman" w:hAnsi="Times New Roman" w:cs="Times New Roman"/>
          <w:b/>
          <w:bCs/>
          <w:color w:val="auto"/>
          <w:spacing w:val="20"/>
          <w:sz w:val="32"/>
        </w:rPr>
      </w:pPr>
    </w:p>
    <w:p>
      <w:pPr>
        <w:spacing w:before="60" w:after="60"/>
        <w:ind w:firstLine="0" w:firstLineChars="0"/>
        <w:jc w:val="center"/>
        <w:rPr>
          <w:rFonts w:hint="default" w:ascii="Times New Roman" w:hAnsi="Times New Roman" w:cs="Times New Roman"/>
          <w:b/>
          <w:bCs/>
          <w:color w:val="auto"/>
          <w:spacing w:val="20"/>
          <w:sz w:val="32"/>
        </w:rPr>
      </w:pPr>
    </w:p>
    <w:p>
      <w:pPr>
        <w:spacing w:before="60" w:after="60"/>
        <w:ind w:firstLine="0" w:firstLineChars="0"/>
        <w:jc w:val="center"/>
        <w:rPr>
          <w:rFonts w:hint="default" w:ascii="Times New Roman" w:hAnsi="Times New Roman" w:cs="Times New Roman"/>
          <w:b/>
          <w:bCs/>
          <w:color w:val="auto"/>
          <w:spacing w:val="20"/>
          <w:sz w:val="32"/>
        </w:rPr>
      </w:pPr>
    </w:p>
    <w:p>
      <w:pPr>
        <w:spacing w:before="60" w:after="60"/>
        <w:ind w:firstLine="0" w:firstLineChars="0"/>
        <w:jc w:val="center"/>
        <w:rPr>
          <w:rFonts w:hint="default" w:ascii="Times New Roman" w:hAnsi="Times New Roman" w:cs="Times New Roman"/>
          <w:b/>
          <w:bCs/>
          <w:color w:val="auto"/>
          <w:spacing w:val="20"/>
          <w:sz w:val="32"/>
        </w:rPr>
      </w:pPr>
    </w:p>
    <w:p>
      <w:pPr>
        <w:spacing w:before="60" w:after="60"/>
        <w:ind w:firstLine="0" w:firstLineChars="0"/>
        <w:jc w:val="center"/>
        <w:rPr>
          <w:rFonts w:hint="default" w:ascii="Times New Roman" w:hAnsi="Times New Roman" w:cs="Times New Roman"/>
          <w:b/>
          <w:bCs/>
          <w:color w:val="auto"/>
          <w:spacing w:val="20"/>
          <w:sz w:val="32"/>
        </w:rPr>
      </w:pPr>
    </w:p>
    <w:p>
      <w:pPr>
        <w:spacing w:before="60" w:after="60"/>
        <w:ind w:firstLine="0" w:firstLineChars="0"/>
        <w:jc w:val="center"/>
        <w:rPr>
          <w:rFonts w:hint="default" w:ascii="Times New Roman" w:hAnsi="Times New Roman" w:cs="Times New Roman"/>
          <w:b/>
          <w:bCs/>
          <w:color w:val="auto"/>
          <w:spacing w:val="20"/>
          <w:sz w:val="32"/>
        </w:rPr>
      </w:pPr>
    </w:p>
    <w:p>
      <w:pPr>
        <w:spacing w:before="60" w:after="60"/>
        <w:ind w:firstLine="0" w:firstLineChars="0"/>
        <w:jc w:val="center"/>
        <w:rPr>
          <w:rFonts w:hint="default" w:ascii="Times New Roman" w:hAnsi="Times New Roman" w:cs="Times New Roman"/>
          <w:b/>
          <w:bCs/>
          <w:color w:val="auto"/>
          <w:spacing w:val="20"/>
          <w:sz w:val="32"/>
        </w:rPr>
      </w:pPr>
    </w:p>
    <w:p>
      <w:pPr>
        <w:spacing w:before="60" w:after="60"/>
        <w:ind w:firstLine="0" w:firstLineChars="0"/>
        <w:jc w:val="center"/>
        <w:rPr>
          <w:rFonts w:hint="default" w:ascii="Times New Roman" w:hAnsi="Times New Roman" w:cs="Times New Roman"/>
          <w:b/>
          <w:bCs/>
          <w:color w:val="auto"/>
          <w:spacing w:val="20"/>
          <w:sz w:val="32"/>
        </w:rPr>
      </w:pPr>
    </w:p>
    <w:p>
      <w:pPr>
        <w:spacing w:before="60" w:after="60"/>
        <w:ind w:firstLine="0" w:firstLineChars="0"/>
        <w:jc w:val="center"/>
        <w:rPr>
          <w:rFonts w:hint="default" w:ascii="Times New Roman" w:hAnsi="Times New Roman" w:cs="Times New Roman"/>
          <w:b/>
          <w:bCs/>
          <w:color w:val="auto"/>
          <w:spacing w:val="20"/>
          <w:sz w:val="32"/>
        </w:rPr>
      </w:pPr>
    </w:p>
    <w:p>
      <w:pPr>
        <w:spacing w:before="60" w:after="60"/>
        <w:ind w:firstLine="0" w:firstLineChars="0"/>
        <w:jc w:val="center"/>
        <w:rPr>
          <w:rFonts w:hint="default" w:ascii="Times New Roman" w:hAnsi="Times New Roman" w:cs="Times New Roman"/>
          <w:b/>
          <w:bCs/>
          <w:color w:val="auto"/>
          <w:spacing w:val="20"/>
          <w:sz w:val="32"/>
        </w:rPr>
      </w:pPr>
    </w:p>
    <w:p>
      <w:pPr>
        <w:pStyle w:val="75"/>
        <w:rPr>
          <w:rFonts w:hint="default" w:ascii="Times New Roman" w:hAnsi="Times New Roman" w:cs="Times New Roman"/>
          <w:b/>
          <w:bCs/>
          <w:color w:val="auto"/>
          <w:spacing w:val="20"/>
          <w:sz w:val="32"/>
        </w:rPr>
      </w:pPr>
    </w:p>
    <w:p>
      <w:pPr>
        <w:pStyle w:val="75"/>
        <w:rPr>
          <w:rFonts w:hint="default" w:ascii="Times New Roman" w:hAnsi="Times New Roman" w:cs="Times New Roman"/>
          <w:b/>
          <w:bCs/>
          <w:color w:val="auto"/>
          <w:spacing w:val="20"/>
          <w:sz w:val="32"/>
        </w:rPr>
      </w:pPr>
    </w:p>
    <w:p>
      <w:pPr>
        <w:pStyle w:val="75"/>
        <w:rPr>
          <w:rFonts w:hint="default" w:ascii="Times New Roman" w:hAnsi="Times New Roman" w:cs="Times New Roman"/>
          <w:b/>
          <w:bCs/>
          <w:color w:val="auto"/>
          <w:spacing w:val="20"/>
          <w:sz w:val="32"/>
        </w:rPr>
      </w:pPr>
    </w:p>
    <w:p>
      <w:pPr>
        <w:pStyle w:val="75"/>
        <w:ind w:left="0" w:leftChars="0" w:firstLine="0" w:firstLineChars="0"/>
        <w:rPr>
          <w:rFonts w:hint="default" w:ascii="Times New Roman" w:hAnsi="Times New Roman" w:cs="Times New Roman"/>
          <w:b/>
          <w:bCs/>
          <w:color w:val="auto"/>
          <w:spacing w:val="20"/>
          <w:sz w:val="32"/>
        </w:rPr>
      </w:pPr>
    </w:p>
    <w:p>
      <w:pPr>
        <w:spacing w:before="0" w:beforeLines="0" w:after="0" w:afterLines="0"/>
        <w:ind w:firstLine="0" w:firstLineChars="0"/>
        <w:jc w:val="center"/>
        <w:rPr>
          <w:rFonts w:hint="default" w:ascii="Times New Roman" w:hAnsi="Times New Roman" w:cs="Times New Roman"/>
          <w:b/>
          <w:bCs/>
          <w:color w:val="auto"/>
          <w:spacing w:val="20"/>
          <w:sz w:val="32"/>
        </w:rPr>
      </w:pPr>
      <w:r>
        <w:rPr>
          <w:rFonts w:hint="default" w:ascii="Times New Roman" w:hAnsi="Times New Roman" w:cs="Times New Roman"/>
          <w:b/>
          <w:bCs/>
          <w:color w:val="auto"/>
          <w:spacing w:val="20"/>
          <w:sz w:val="32"/>
          <w:lang w:eastAsia="zh-CN"/>
        </w:rPr>
        <w:t>湖南润美环保科技有限公司</w:t>
      </w:r>
    </w:p>
    <w:p>
      <w:pPr>
        <w:spacing w:before="0" w:beforeLines="0" w:after="0" w:afterLines="0"/>
        <w:ind w:firstLine="0" w:firstLineChars="0"/>
        <w:jc w:val="center"/>
        <w:rPr>
          <w:rFonts w:hint="default" w:ascii="Times New Roman" w:hAnsi="Times New Roman" w:cs="Times New Roman"/>
          <w:b/>
          <w:bCs/>
          <w:color w:val="auto"/>
          <w:spacing w:val="20"/>
          <w:sz w:val="32"/>
        </w:rPr>
      </w:pPr>
    </w:p>
    <w:p>
      <w:pPr>
        <w:spacing w:before="0" w:beforeLines="0" w:after="0" w:afterLines="0"/>
        <w:ind w:firstLine="0" w:firstLineChars="0"/>
        <w:jc w:val="center"/>
        <w:rPr>
          <w:rFonts w:hint="default" w:ascii="Times New Roman" w:hAnsi="Times New Roman" w:eastAsia="宋体" w:cs="Times New Roman"/>
          <w:b/>
          <w:bCs/>
          <w:color w:val="auto"/>
          <w:spacing w:val="20"/>
          <w:sz w:val="32"/>
          <w:lang w:val="en-US" w:eastAsia="zh-CN"/>
        </w:rPr>
        <w:sectPr>
          <w:footerReference r:id="rId8" w:type="default"/>
          <w:pgSz w:w="11906" w:h="16838"/>
          <w:pgMar w:top="1440" w:right="1800" w:bottom="1440" w:left="1800" w:header="851" w:footer="1077" w:gutter="0"/>
          <w:pgBorders>
            <w:top w:val="none" w:sz="0" w:space="0"/>
            <w:left w:val="none" w:sz="0" w:space="0"/>
            <w:bottom w:val="none" w:sz="0" w:space="0"/>
            <w:right w:val="none" w:sz="0" w:space="0"/>
          </w:pgBorders>
          <w:pgNumType w:fmt="decimal" w:start="78"/>
          <w:cols w:space="720" w:num="1"/>
          <w:docGrid w:linePitch="312" w:charSpace="0"/>
        </w:sectPr>
      </w:pPr>
      <w:r>
        <w:rPr>
          <w:rFonts w:hint="default" w:ascii="Times New Roman" w:hAnsi="Times New Roman" w:cs="Times New Roman"/>
          <w:b/>
          <w:bCs/>
          <w:color w:val="auto"/>
          <w:spacing w:val="20"/>
          <w:sz w:val="32"/>
        </w:rPr>
        <w:t>二〇</w:t>
      </w:r>
      <w:r>
        <w:rPr>
          <w:rFonts w:hint="default" w:ascii="Times New Roman" w:hAnsi="Times New Roman" w:cs="Times New Roman"/>
          <w:b/>
          <w:bCs/>
          <w:color w:val="auto"/>
          <w:spacing w:val="20"/>
          <w:sz w:val="32"/>
          <w:lang w:eastAsia="zh-CN"/>
        </w:rPr>
        <w:t>二</w:t>
      </w:r>
      <w:r>
        <w:rPr>
          <w:rFonts w:hint="eastAsia" w:cs="Times New Roman"/>
          <w:b/>
          <w:bCs/>
          <w:color w:val="auto"/>
          <w:spacing w:val="20"/>
          <w:sz w:val="32"/>
          <w:lang w:val="en-US" w:eastAsia="zh-CN"/>
        </w:rPr>
        <w:t>五</w:t>
      </w:r>
      <w:r>
        <w:rPr>
          <w:rFonts w:hint="default" w:ascii="Times New Roman" w:hAnsi="Times New Roman" w:cs="Times New Roman"/>
          <w:b/>
          <w:bCs/>
          <w:color w:val="auto"/>
          <w:spacing w:val="20"/>
          <w:sz w:val="32"/>
        </w:rPr>
        <w:t>年</w:t>
      </w:r>
      <w:r>
        <w:rPr>
          <w:rFonts w:hint="eastAsia" w:cs="Times New Roman"/>
          <w:b/>
          <w:bCs/>
          <w:color w:val="auto"/>
          <w:spacing w:val="20"/>
          <w:sz w:val="32"/>
          <w:lang w:val="en-US" w:eastAsia="zh-CN"/>
        </w:rPr>
        <w:t>四月</w:t>
      </w:r>
    </w:p>
    <w:p>
      <w:pPr>
        <w:keepNext w:val="0"/>
        <w:keepLines w:val="0"/>
        <w:pageBreakBefore w:val="0"/>
        <w:widowControl w:val="0"/>
        <w:kinsoku/>
        <w:wordWrap/>
        <w:overflowPunct/>
        <w:topLinePunct w:val="0"/>
        <w:autoSpaceDE/>
        <w:autoSpaceDN/>
        <w:bidi w:val="0"/>
        <w:adjustRightInd w:val="0"/>
        <w:snapToGrid w:val="0"/>
        <w:spacing w:before="0" w:beforeLines="0" w:after="164" w:afterLines="50" w:line="240" w:lineRule="auto"/>
        <w:ind w:left="0" w:leftChars="0" w:right="0" w:rightChars="0" w:firstLine="0" w:firstLineChars="0"/>
        <w:jc w:val="center"/>
        <w:textAlignment w:val="auto"/>
        <w:rPr>
          <w:color w:val="auto"/>
        </w:rPr>
      </w:pPr>
      <w:r>
        <w:rPr>
          <w:rFonts w:ascii="宋体" w:hAnsi="宋体" w:eastAsia="宋体"/>
          <w:b/>
          <w:bCs/>
          <w:color w:val="auto"/>
          <w:sz w:val="28"/>
          <w:szCs w:val="28"/>
        </w:rPr>
        <w:t>目录</w:t>
      </w:r>
      <w:r>
        <w:rPr>
          <w:color w:val="auto"/>
        </w:rPr>
        <w:fldChar w:fldCharType="begin"/>
      </w:r>
      <w:r>
        <w:rPr>
          <w:color w:val="auto"/>
        </w:rPr>
        <w:instrText xml:space="preserve">TOC \o "1-2" \h \u </w:instrText>
      </w:r>
      <w:r>
        <w:rPr>
          <w:color w:val="auto"/>
        </w:rPr>
        <w:fldChar w:fldCharType="separate"/>
      </w:r>
    </w:p>
    <w:p>
      <w:pPr>
        <w:pStyle w:val="16"/>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_Toc29359 </w:instrText>
      </w:r>
      <w:r>
        <w:rPr>
          <w:color w:val="auto"/>
        </w:rPr>
        <w:fldChar w:fldCharType="separate"/>
      </w:r>
      <w:r>
        <w:rPr>
          <w:rFonts w:ascii="Times New Roman" w:hAnsi="Times New Roman" w:eastAsia="宋体" w:cs="Times New Roman"/>
          <w:snapToGrid w:val="0"/>
          <w:color w:val="auto"/>
          <w:kern w:val="0"/>
          <w:szCs w:val="30"/>
          <w:lang w:val="en-US" w:eastAsia="zh-CN" w:bidi="ar-SA"/>
        </w:rPr>
        <w:t>1总则</w:t>
      </w:r>
      <w:r>
        <w:rPr>
          <w:color w:val="auto"/>
        </w:rPr>
        <w:tab/>
      </w:r>
      <w:r>
        <w:rPr>
          <w:color w:val="auto"/>
        </w:rPr>
        <w:fldChar w:fldCharType="begin"/>
      </w:r>
      <w:r>
        <w:rPr>
          <w:color w:val="auto"/>
        </w:rPr>
        <w:instrText xml:space="preserve"> PAGEREF _Toc29359 \h </w:instrText>
      </w:r>
      <w:r>
        <w:rPr>
          <w:color w:val="auto"/>
        </w:rPr>
        <w:fldChar w:fldCharType="separate"/>
      </w:r>
      <w:r>
        <w:rPr>
          <w:color w:val="auto"/>
        </w:rPr>
        <w:t>1</w:t>
      </w:r>
      <w:r>
        <w:rPr>
          <w:color w:val="auto"/>
        </w:rPr>
        <w:fldChar w:fldCharType="end"/>
      </w:r>
      <w:r>
        <w:rPr>
          <w:color w:val="auto"/>
        </w:rPr>
        <w:fldChar w:fldCharType="end"/>
      </w:r>
    </w:p>
    <w:p>
      <w:pPr>
        <w:pStyle w:val="17"/>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_Toc9323 </w:instrText>
      </w:r>
      <w:r>
        <w:rPr>
          <w:color w:val="auto"/>
        </w:rPr>
        <w:fldChar w:fldCharType="separate"/>
      </w:r>
      <w:r>
        <w:rPr>
          <w:rFonts w:ascii="Times New Roman" w:hAnsi="Times New Roman" w:eastAsia="宋体" w:cs="Times New Roman"/>
          <w:bCs/>
          <w:color w:val="auto"/>
          <w:kern w:val="2"/>
          <w:szCs w:val="28"/>
          <w:lang w:val="en-US" w:eastAsia="zh-CN" w:bidi="ar-SA"/>
        </w:rPr>
        <w:t>1.1项目由来</w:t>
      </w:r>
      <w:r>
        <w:rPr>
          <w:color w:val="auto"/>
        </w:rPr>
        <w:tab/>
      </w:r>
      <w:r>
        <w:rPr>
          <w:color w:val="auto"/>
        </w:rPr>
        <w:fldChar w:fldCharType="begin"/>
      </w:r>
      <w:r>
        <w:rPr>
          <w:color w:val="auto"/>
        </w:rPr>
        <w:instrText xml:space="preserve"> PAGEREF _Toc9323 \h </w:instrText>
      </w:r>
      <w:r>
        <w:rPr>
          <w:color w:val="auto"/>
        </w:rPr>
        <w:fldChar w:fldCharType="separate"/>
      </w:r>
      <w:r>
        <w:rPr>
          <w:color w:val="auto"/>
        </w:rPr>
        <w:t>1</w:t>
      </w:r>
      <w:r>
        <w:rPr>
          <w:color w:val="auto"/>
        </w:rPr>
        <w:fldChar w:fldCharType="end"/>
      </w:r>
      <w:r>
        <w:rPr>
          <w:color w:val="auto"/>
        </w:rPr>
        <w:fldChar w:fldCharType="end"/>
      </w:r>
    </w:p>
    <w:p>
      <w:pPr>
        <w:pStyle w:val="17"/>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_Toc22516 </w:instrText>
      </w:r>
      <w:r>
        <w:rPr>
          <w:color w:val="auto"/>
        </w:rPr>
        <w:fldChar w:fldCharType="separate"/>
      </w:r>
      <w:r>
        <w:rPr>
          <w:rFonts w:ascii="Times New Roman" w:hAnsi="Times New Roman" w:eastAsia="宋体" w:cs="Times New Roman"/>
          <w:bCs/>
          <w:color w:val="auto"/>
          <w:kern w:val="2"/>
          <w:szCs w:val="28"/>
          <w:lang w:val="en-US" w:eastAsia="zh-CN" w:bidi="ar-SA"/>
        </w:rPr>
        <w:t>1.2评价目的和评价原则</w:t>
      </w:r>
      <w:r>
        <w:rPr>
          <w:color w:val="auto"/>
        </w:rPr>
        <w:tab/>
      </w:r>
      <w:r>
        <w:rPr>
          <w:color w:val="auto"/>
        </w:rPr>
        <w:fldChar w:fldCharType="begin"/>
      </w:r>
      <w:r>
        <w:rPr>
          <w:color w:val="auto"/>
        </w:rPr>
        <w:instrText xml:space="preserve"> PAGEREF _Toc22516 \h </w:instrText>
      </w:r>
      <w:r>
        <w:rPr>
          <w:color w:val="auto"/>
        </w:rPr>
        <w:fldChar w:fldCharType="separate"/>
      </w:r>
      <w:r>
        <w:rPr>
          <w:color w:val="auto"/>
        </w:rPr>
        <w:t>1</w:t>
      </w:r>
      <w:r>
        <w:rPr>
          <w:color w:val="auto"/>
        </w:rPr>
        <w:fldChar w:fldCharType="end"/>
      </w:r>
      <w:r>
        <w:rPr>
          <w:color w:val="auto"/>
        </w:rPr>
        <w:fldChar w:fldCharType="end"/>
      </w:r>
    </w:p>
    <w:p>
      <w:pPr>
        <w:pStyle w:val="17"/>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_Toc7949 </w:instrText>
      </w:r>
      <w:r>
        <w:rPr>
          <w:color w:val="auto"/>
        </w:rPr>
        <w:fldChar w:fldCharType="separate"/>
      </w:r>
      <w:r>
        <w:rPr>
          <w:rFonts w:ascii="Times New Roman" w:hAnsi="Times New Roman" w:eastAsia="宋体" w:cs="Times New Roman"/>
          <w:bCs/>
          <w:color w:val="auto"/>
          <w:kern w:val="2"/>
          <w:szCs w:val="28"/>
          <w:lang w:val="en-US" w:eastAsia="zh-CN" w:bidi="ar-SA"/>
        </w:rPr>
        <w:t>1.3工作原则</w:t>
      </w:r>
      <w:r>
        <w:rPr>
          <w:color w:val="auto"/>
        </w:rPr>
        <w:tab/>
      </w:r>
      <w:r>
        <w:rPr>
          <w:color w:val="auto"/>
        </w:rPr>
        <w:fldChar w:fldCharType="begin"/>
      </w:r>
      <w:r>
        <w:rPr>
          <w:color w:val="auto"/>
        </w:rPr>
        <w:instrText xml:space="preserve"> PAGEREF _Toc7949 \h </w:instrText>
      </w:r>
      <w:r>
        <w:rPr>
          <w:color w:val="auto"/>
        </w:rPr>
        <w:fldChar w:fldCharType="separate"/>
      </w:r>
      <w:r>
        <w:rPr>
          <w:color w:val="auto"/>
        </w:rPr>
        <w:t>2</w:t>
      </w:r>
      <w:r>
        <w:rPr>
          <w:color w:val="auto"/>
        </w:rPr>
        <w:fldChar w:fldCharType="end"/>
      </w:r>
      <w:r>
        <w:rPr>
          <w:color w:val="auto"/>
        </w:rPr>
        <w:fldChar w:fldCharType="end"/>
      </w:r>
    </w:p>
    <w:p>
      <w:pPr>
        <w:pStyle w:val="17"/>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_Toc12498 </w:instrText>
      </w:r>
      <w:r>
        <w:rPr>
          <w:color w:val="auto"/>
        </w:rPr>
        <w:fldChar w:fldCharType="separate"/>
      </w:r>
      <w:r>
        <w:rPr>
          <w:rFonts w:ascii="Times New Roman" w:hAnsi="Times New Roman" w:eastAsia="宋体" w:cs="Times New Roman"/>
          <w:bCs/>
          <w:color w:val="auto"/>
          <w:kern w:val="2"/>
          <w:szCs w:val="28"/>
          <w:lang w:val="en-US" w:eastAsia="zh-CN" w:bidi="ar-SA"/>
        </w:rPr>
        <w:t>1.4评价依据</w:t>
      </w:r>
      <w:r>
        <w:rPr>
          <w:color w:val="auto"/>
        </w:rPr>
        <w:tab/>
      </w:r>
      <w:r>
        <w:rPr>
          <w:color w:val="auto"/>
        </w:rPr>
        <w:fldChar w:fldCharType="begin"/>
      </w:r>
      <w:r>
        <w:rPr>
          <w:color w:val="auto"/>
        </w:rPr>
        <w:instrText xml:space="preserve"> PAGEREF _Toc12498 \h </w:instrText>
      </w:r>
      <w:r>
        <w:rPr>
          <w:color w:val="auto"/>
        </w:rPr>
        <w:fldChar w:fldCharType="separate"/>
      </w:r>
      <w:r>
        <w:rPr>
          <w:color w:val="auto"/>
        </w:rPr>
        <w:t>2</w:t>
      </w:r>
      <w:r>
        <w:rPr>
          <w:color w:val="auto"/>
        </w:rPr>
        <w:fldChar w:fldCharType="end"/>
      </w:r>
      <w:r>
        <w:rPr>
          <w:color w:val="auto"/>
        </w:rPr>
        <w:fldChar w:fldCharType="end"/>
      </w:r>
    </w:p>
    <w:p>
      <w:pPr>
        <w:pStyle w:val="17"/>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_Toc25026 </w:instrText>
      </w:r>
      <w:r>
        <w:rPr>
          <w:color w:val="auto"/>
        </w:rPr>
        <w:fldChar w:fldCharType="separate"/>
      </w:r>
      <w:r>
        <w:rPr>
          <w:rFonts w:ascii="Times New Roman" w:hAnsi="Times New Roman" w:eastAsia="宋体" w:cs="Times New Roman"/>
          <w:bCs/>
          <w:color w:val="auto"/>
          <w:kern w:val="2"/>
          <w:szCs w:val="28"/>
          <w:lang w:val="en-US" w:eastAsia="zh-CN" w:bidi="ar-SA"/>
        </w:rPr>
        <w:t>1.5生态环境评价工作等级及范围</w:t>
      </w:r>
      <w:r>
        <w:rPr>
          <w:color w:val="auto"/>
        </w:rPr>
        <w:tab/>
      </w:r>
      <w:r>
        <w:rPr>
          <w:color w:val="auto"/>
        </w:rPr>
        <w:fldChar w:fldCharType="begin"/>
      </w:r>
      <w:r>
        <w:rPr>
          <w:color w:val="auto"/>
        </w:rPr>
        <w:instrText xml:space="preserve"> PAGEREF _Toc25026 \h </w:instrText>
      </w:r>
      <w:r>
        <w:rPr>
          <w:color w:val="auto"/>
        </w:rPr>
        <w:fldChar w:fldCharType="separate"/>
      </w:r>
      <w:r>
        <w:rPr>
          <w:color w:val="auto"/>
        </w:rPr>
        <w:t>5</w:t>
      </w:r>
      <w:r>
        <w:rPr>
          <w:color w:val="auto"/>
        </w:rPr>
        <w:fldChar w:fldCharType="end"/>
      </w:r>
      <w:r>
        <w:rPr>
          <w:color w:val="auto"/>
        </w:rPr>
        <w:fldChar w:fldCharType="end"/>
      </w:r>
    </w:p>
    <w:p>
      <w:pPr>
        <w:pStyle w:val="17"/>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_Toc2532 </w:instrText>
      </w:r>
      <w:r>
        <w:rPr>
          <w:color w:val="auto"/>
        </w:rPr>
        <w:fldChar w:fldCharType="separate"/>
      </w:r>
      <w:r>
        <w:rPr>
          <w:rFonts w:hint="eastAsia" w:ascii="Times New Roman" w:hAnsi="Times New Roman" w:eastAsia="宋体" w:cs="Times New Roman"/>
          <w:bCs/>
          <w:color w:val="auto"/>
          <w:kern w:val="2"/>
          <w:szCs w:val="28"/>
          <w:lang w:val="en-US" w:eastAsia="zh-CN" w:bidi="ar-SA"/>
        </w:rPr>
        <w:t>1.6评价因子筛选及评价重点</w:t>
      </w:r>
      <w:r>
        <w:rPr>
          <w:color w:val="auto"/>
        </w:rPr>
        <w:tab/>
      </w:r>
      <w:r>
        <w:rPr>
          <w:color w:val="auto"/>
        </w:rPr>
        <w:fldChar w:fldCharType="begin"/>
      </w:r>
      <w:r>
        <w:rPr>
          <w:color w:val="auto"/>
        </w:rPr>
        <w:instrText xml:space="preserve"> PAGEREF _Toc2532 \h </w:instrText>
      </w:r>
      <w:r>
        <w:rPr>
          <w:color w:val="auto"/>
        </w:rPr>
        <w:fldChar w:fldCharType="separate"/>
      </w:r>
      <w:r>
        <w:rPr>
          <w:color w:val="auto"/>
        </w:rPr>
        <w:t>6</w:t>
      </w:r>
      <w:r>
        <w:rPr>
          <w:color w:val="auto"/>
        </w:rPr>
        <w:fldChar w:fldCharType="end"/>
      </w:r>
      <w:r>
        <w:rPr>
          <w:color w:val="auto"/>
        </w:rPr>
        <w:fldChar w:fldCharType="end"/>
      </w:r>
    </w:p>
    <w:p>
      <w:pPr>
        <w:pStyle w:val="17"/>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_Toc22427 </w:instrText>
      </w:r>
      <w:r>
        <w:rPr>
          <w:color w:val="auto"/>
        </w:rPr>
        <w:fldChar w:fldCharType="separate"/>
      </w:r>
      <w:r>
        <w:rPr>
          <w:rFonts w:ascii="Times New Roman" w:hAnsi="Times New Roman" w:eastAsia="宋体" w:cs="Times New Roman"/>
          <w:color w:val="auto"/>
          <w:kern w:val="2"/>
          <w:szCs w:val="28"/>
          <w:lang w:val="en-US" w:eastAsia="zh-CN" w:bidi="ar-SA"/>
        </w:rPr>
        <w:t>1.</w:t>
      </w:r>
      <w:r>
        <w:rPr>
          <w:rFonts w:hint="eastAsia" w:ascii="Times New Roman" w:hAnsi="Times New Roman" w:eastAsia="宋体" w:cs="Times New Roman"/>
          <w:color w:val="auto"/>
          <w:kern w:val="2"/>
          <w:szCs w:val="28"/>
          <w:lang w:val="en-US" w:eastAsia="zh-CN" w:bidi="ar-SA"/>
        </w:rPr>
        <w:t>7</w:t>
      </w:r>
      <w:r>
        <w:rPr>
          <w:rFonts w:ascii="Times New Roman" w:hAnsi="Times New Roman" w:eastAsia="宋体" w:cs="Times New Roman"/>
          <w:color w:val="auto"/>
          <w:kern w:val="2"/>
          <w:szCs w:val="28"/>
          <w:lang w:val="en-US" w:eastAsia="zh-CN" w:bidi="ar-SA"/>
        </w:rPr>
        <w:t>生态环境保护目标</w:t>
      </w:r>
      <w:r>
        <w:rPr>
          <w:color w:val="auto"/>
        </w:rPr>
        <w:tab/>
      </w:r>
      <w:r>
        <w:rPr>
          <w:color w:val="auto"/>
        </w:rPr>
        <w:fldChar w:fldCharType="begin"/>
      </w:r>
      <w:r>
        <w:rPr>
          <w:color w:val="auto"/>
        </w:rPr>
        <w:instrText xml:space="preserve"> PAGEREF _Toc22427 \h </w:instrText>
      </w:r>
      <w:r>
        <w:rPr>
          <w:color w:val="auto"/>
        </w:rPr>
        <w:fldChar w:fldCharType="separate"/>
      </w:r>
      <w:r>
        <w:rPr>
          <w:color w:val="auto"/>
        </w:rPr>
        <w:t>7</w:t>
      </w:r>
      <w:r>
        <w:rPr>
          <w:color w:val="auto"/>
        </w:rPr>
        <w:fldChar w:fldCharType="end"/>
      </w:r>
      <w:r>
        <w:rPr>
          <w:color w:val="auto"/>
        </w:rPr>
        <w:fldChar w:fldCharType="end"/>
      </w:r>
    </w:p>
    <w:p>
      <w:pPr>
        <w:pStyle w:val="16"/>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_Toc30542 </w:instrText>
      </w:r>
      <w:r>
        <w:rPr>
          <w:color w:val="auto"/>
        </w:rPr>
        <w:fldChar w:fldCharType="separate"/>
      </w:r>
      <w:r>
        <w:rPr>
          <w:rFonts w:ascii="Times New Roman" w:hAnsi="Times New Roman" w:eastAsia="宋体" w:cs="Times New Roman"/>
          <w:snapToGrid w:val="0"/>
          <w:color w:val="auto"/>
          <w:kern w:val="0"/>
          <w:szCs w:val="30"/>
          <w:lang w:val="en-US" w:eastAsia="zh-CN" w:bidi="ar-SA"/>
        </w:rPr>
        <w:t>2项目工程分析</w:t>
      </w:r>
      <w:r>
        <w:rPr>
          <w:color w:val="auto"/>
        </w:rPr>
        <w:tab/>
      </w:r>
      <w:r>
        <w:rPr>
          <w:color w:val="auto"/>
        </w:rPr>
        <w:fldChar w:fldCharType="begin"/>
      </w:r>
      <w:r>
        <w:rPr>
          <w:color w:val="auto"/>
        </w:rPr>
        <w:instrText xml:space="preserve"> PAGEREF _Toc30542 \h </w:instrText>
      </w:r>
      <w:r>
        <w:rPr>
          <w:color w:val="auto"/>
        </w:rPr>
        <w:fldChar w:fldCharType="separate"/>
      </w:r>
      <w:r>
        <w:rPr>
          <w:color w:val="auto"/>
        </w:rPr>
        <w:t>8</w:t>
      </w:r>
      <w:r>
        <w:rPr>
          <w:color w:val="auto"/>
        </w:rPr>
        <w:fldChar w:fldCharType="end"/>
      </w:r>
      <w:r>
        <w:rPr>
          <w:color w:val="auto"/>
        </w:rPr>
        <w:fldChar w:fldCharType="end"/>
      </w:r>
    </w:p>
    <w:p>
      <w:pPr>
        <w:pStyle w:val="17"/>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_Toc11291 </w:instrText>
      </w:r>
      <w:r>
        <w:rPr>
          <w:color w:val="auto"/>
        </w:rPr>
        <w:fldChar w:fldCharType="separate"/>
      </w:r>
      <w:r>
        <w:rPr>
          <w:rFonts w:ascii="Times New Roman" w:hAnsi="Times New Roman" w:eastAsia="宋体" w:cs="Times New Roman"/>
          <w:bCs/>
          <w:color w:val="auto"/>
          <w:kern w:val="2"/>
          <w:szCs w:val="28"/>
          <w:lang w:val="en-US" w:eastAsia="zh-CN" w:bidi="ar-SA"/>
        </w:rPr>
        <w:t>2.1</w:t>
      </w:r>
      <w:r>
        <w:rPr>
          <w:rFonts w:hint="eastAsia" w:ascii="Times New Roman" w:hAnsi="Times New Roman" w:eastAsia="宋体" w:cs="Times New Roman"/>
          <w:bCs/>
          <w:color w:val="auto"/>
          <w:kern w:val="2"/>
          <w:szCs w:val="28"/>
          <w:lang w:val="en-US" w:eastAsia="zh-CN" w:bidi="ar-SA"/>
        </w:rPr>
        <w:t>项目概况</w:t>
      </w:r>
      <w:r>
        <w:rPr>
          <w:color w:val="auto"/>
        </w:rPr>
        <w:tab/>
      </w:r>
      <w:r>
        <w:rPr>
          <w:color w:val="auto"/>
        </w:rPr>
        <w:fldChar w:fldCharType="begin"/>
      </w:r>
      <w:r>
        <w:rPr>
          <w:color w:val="auto"/>
        </w:rPr>
        <w:instrText xml:space="preserve"> PAGEREF _Toc11291 \h </w:instrText>
      </w:r>
      <w:r>
        <w:rPr>
          <w:color w:val="auto"/>
        </w:rPr>
        <w:fldChar w:fldCharType="separate"/>
      </w:r>
      <w:r>
        <w:rPr>
          <w:color w:val="auto"/>
        </w:rPr>
        <w:t>8</w:t>
      </w:r>
      <w:r>
        <w:rPr>
          <w:color w:val="auto"/>
        </w:rPr>
        <w:fldChar w:fldCharType="end"/>
      </w:r>
      <w:r>
        <w:rPr>
          <w:color w:val="auto"/>
        </w:rPr>
        <w:fldChar w:fldCharType="end"/>
      </w:r>
    </w:p>
    <w:p>
      <w:pPr>
        <w:pStyle w:val="17"/>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_Toc1717 </w:instrText>
      </w:r>
      <w:r>
        <w:rPr>
          <w:color w:val="auto"/>
        </w:rPr>
        <w:fldChar w:fldCharType="separate"/>
      </w:r>
      <w:r>
        <w:rPr>
          <w:rFonts w:hint="eastAsia" w:ascii="Times New Roman" w:hAnsi="Times New Roman" w:eastAsia="宋体" w:cs="Times New Roman"/>
          <w:bCs/>
          <w:color w:val="auto"/>
          <w:kern w:val="2"/>
          <w:szCs w:val="28"/>
          <w:lang w:val="en-US" w:eastAsia="zh-CN" w:bidi="ar-SA"/>
        </w:rPr>
        <w:t>2.2</w:t>
      </w:r>
      <w:r>
        <w:rPr>
          <w:rFonts w:ascii="Times New Roman" w:hAnsi="Times New Roman" w:eastAsia="宋体" w:cs="Times New Roman"/>
          <w:bCs/>
          <w:color w:val="auto"/>
          <w:kern w:val="2"/>
          <w:szCs w:val="28"/>
          <w:lang w:val="en-US" w:eastAsia="zh-CN" w:bidi="ar-SA"/>
        </w:rPr>
        <w:t>工程建设内容</w:t>
      </w:r>
      <w:r>
        <w:rPr>
          <w:color w:val="auto"/>
        </w:rPr>
        <w:tab/>
      </w:r>
      <w:r>
        <w:rPr>
          <w:color w:val="auto"/>
        </w:rPr>
        <w:fldChar w:fldCharType="begin"/>
      </w:r>
      <w:r>
        <w:rPr>
          <w:color w:val="auto"/>
        </w:rPr>
        <w:instrText xml:space="preserve"> PAGEREF _Toc1717 \h </w:instrText>
      </w:r>
      <w:r>
        <w:rPr>
          <w:color w:val="auto"/>
        </w:rPr>
        <w:fldChar w:fldCharType="separate"/>
      </w:r>
      <w:r>
        <w:rPr>
          <w:color w:val="auto"/>
        </w:rPr>
        <w:t>8</w:t>
      </w:r>
      <w:r>
        <w:rPr>
          <w:color w:val="auto"/>
        </w:rPr>
        <w:fldChar w:fldCharType="end"/>
      </w:r>
      <w:r>
        <w:rPr>
          <w:color w:val="auto"/>
        </w:rPr>
        <w:fldChar w:fldCharType="end"/>
      </w:r>
    </w:p>
    <w:p>
      <w:pPr>
        <w:pStyle w:val="16"/>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_Toc11734 </w:instrText>
      </w:r>
      <w:r>
        <w:rPr>
          <w:color w:val="auto"/>
        </w:rPr>
        <w:fldChar w:fldCharType="separate"/>
      </w:r>
      <w:r>
        <w:rPr>
          <w:rFonts w:ascii="Times New Roman" w:hAnsi="Times New Roman" w:eastAsia="宋体" w:cs="Times New Roman"/>
          <w:bCs w:val="0"/>
          <w:snapToGrid w:val="0"/>
          <w:color w:val="auto"/>
          <w:kern w:val="0"/>
          <w:szCs w:val="30"/>
          <w:lang w:val="en-US" w:eastAsia="zh-CN" w:bidi="ar-SA"/>
        </w:rPr>
        <w:t>3生态环境现状调查与评价</w:t>
      </w:r>
      <w:r>
        <w:rPr>
          <w:color w:val="auto"/>
        </w:rPr>
        <w:tab/>
      </w:r>
      <w:r>
        <w:rPr>
          <w:color w:val="auto"/>
        </w:rPr>
        <w:fldChar w:fldCharType="begin"/>
      </w:r>
      <w:r>
        <w:rPr>
          <w:color w:val="auto"/>
        </w:rPr>
        <w:instrText xml:space="preserve"> PAGEREF _Toc11734 \h </w:instrText>
      </w:r>
      <w:r>
        <w:rPr>
          <w:color w:val="auto"/>
        </w:rPr>
        <w:fldChar w:fldCharType="separate"/>
      </w:r>
      <w:r>
        <w:rPr>
          <w:color w:val="auto"/>
        </w:rPr>
        <w:t>9</w:t>
      </w:r>
      <w:r>
        <w:rPr>
          <w:color w:val="auto"/>
        </w:rPr>
        <w:fldChar w:fldCharType="end"/>
      </w:r>
      <w:r>
        <w:rPr>
          <w:color w:val="auto"/>
        </w:rPr>
        <w:fldChar w:fldCharType="end"/>
      </w:r>
    </w:p>
    <w:p>
      <w:pPr>
        <w:pStyle w:val="17"/>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_Toc28113 </w:instrText>
      </w:r>
      <w:r>
        <w:rPr>
          <w:color w:val="auto"/>
        </w:rPr>
        <w:fldChar w:fldCharType="separate"/>
      </w:r>
      <w:r>
        <w:rPr>
          <w:rFonts w:ascii="Times New Roman" w:hAnsi="Times New Roman" w:eastAsia="宋体" w:cs="Times New Roman"/>
          <w:bCs/>
          <w:color w:val="auto"/>
          <w:kern w:val="2"/>
          <w:szCs w:val="28"/>
          <w:lang w:val="en-US" w:eastAsia="zh-CN" w:bidi="ar-SA"/>
        </w:rPr>
        <w:t>3.1</w:t>
      </w:r>
      <w:r>
        <w:rPr>
          <w:rFonts w:hint="eastAsia" w:ascii="Times New Roman" w:hAnsi="Times New Roman" w:eastAsia="宋体" w:cs="Times New Roman"/>
          <w:bCs/>
          <w:color w:val="auto"/>
          <w:kern w:val="2"/>
          <w:szCs w:val="28"/>
          <w:lang w:val="en-US" w:eastAsia="zh-CN" w:bidi="ar-SA"/>
        </w:rPr>
        <w:t>土地利用现状</w:t>
      </w:r>
      <w:r>
        <w:rPr>
          <w:color w:val="auto"/>
        </w:rPr>
        <w:tab/>
      </w:r>
      <w:r>
        <w:rPr>
          <w:color w:val="auto"/>
        </w:rPr>
        <w:fldChar w:fldCharType="begin"/>
      </w:r>
      <w:r>
        <w:rPr>
          <w:color w:val="auto"/>
        </w:rPr>
        <w:instrText xml:space="preserve"> PAGEREF _Toc28113 \h </w:instrText>
      </w:r>
      <w:r>
        <w:rPr>
          <w:color w:val="auto"/>
        </w:rPr>
        <w:fldChar w:fldCharType="separate"/>
      </w:r>
      <w:r>
        <w:rPr>
          <w:color w:val="auto"/>
        </w:rPr>
        <w:t>9</w:t>
      </w:r>
      <w:r>
        <w:rPr>
          <w:color w:val="auto"/>
        </w:rPr>
        <w:fldChar w:fldCharType="end"/>
      </w:r>
      <w:r>
        <w:rPr>
          <w:color w:val="auto"/>
        </w:rPr>
        <w:fldChar w:fldCharType="end"/>
      </w:r>
    </w:p>
    <w:p>
      <w:pPr>
        <w:pStyle w:val="17"/>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_Toc16185 </w:instrText>
      </w:r>
      <w:r>
        <w:rPr>
          <w:color w:val="auto"/>
        </w:rPr>
        <w:fldChar w:fldCharType="separate"/>
      </w:r>
      <w:r>
        <w:rPr>
          <w:rFonts w:hint="eastAsia" w:ascii="Times New Roman" w:hAnsi="Times New Roman" w:eastAsia="宋体" w:cs="Times New Roman"/>
          <w:bCs/>
          <w:color w:val="auto"/>
          <w:kern w:val="2"/>
          <w:szCs w:val="28"/>
          <w:lang w:val="en-US" w:eastAsia="zh-CN" w:bidi="ar-SA"/>
        </w:rPr>
        <w:t>3</w:t>
      </w:r>
      <w:r>
        <w:rPr>
          <w:rFonts w:hint="default" w:ascii="Times New Roman" w:hAnsi="Times New Roman" w:eastAsia="宋体" w:cs="Times New Roman"/>
          <w:bCs/>
          <w:color w:val="auto"/>
          <w:kern w:val="2"/>
          <w:szCs w:val="28"/>
          <w:lang w:val="en-US" w:eastAsia="zh-CN" w:bidi="ar-SA"/>
        </w:rPr>
        <w:t>.2生态环境</w:t>
      </w:r>
      <w:r>
        <w:rPr>
          <w:rFonts w:hint="eastAsia" w:ascii="Times New Roman" w:hAnsi="Times New Roman" w:eastAsia="宋体" w:cs="Times New Roman"/>
          <w:bCs/>
          <w:color w:val="auto"/>
          <w:kern w:val="2"/>
          <w:szCs w:val="28"/>
          <w:lang w:val="en-US" w:eastAsia="zh-CN" w:bidi="ar-SA"/>
        </w:rPr>
        <w:t>调查与评价</w:t>
      </w:r>
      <w:r>
        <w:rPr>
          <w:color w:val="auto"/>
        </w:rPr>
        <w:tab/>
      </w:r>
      <w:r>
        <w:rPr>
          <w:color w:val="auto"/>
        </w:rPr>
        <w:fldChar w:fldCharType="begin"/>
      </w:r>
      <w:r>
        <w:rPr>
          <w:color w:val="auto"/>
        </w:rPr>
        <w:instrText xml:space="preserve"> PAGEREF _Toc16185 \h </w:instrText>
      </w:r>
      <w:r>
        <w:rPr>
          <w:color w:val="auto"/>
        </w:rPr>
        <w:fldChar w:fldCharType="separate"/>
      </w:r>
      <w:r>
        <w:rPr>
          <w:color w:val="auto"/>
        </w:rPr>
        <w:t>9</w:t>
      </w:r>
      <w:r>
        <w:rPr>
          <w:color w:val="auto"/>
        </w:rPr>
        <w:fldChar w:fldCharType="end"/>
      </w:r>
      <w:r>
        <w:rPr>
          <w:color w:val="auto"/>
        </w:rPr>
        <w:fldChar w:fldCharType="end"/>
      </w:r>
    </w:p>
    <w:p>
      <w:pPr>
        <w:pStyle w:val="17"/>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_Toc17066 </w:instrText>
      </w:r>
      <w:r>
        <w:rPr>
          <w:color w:val="auto"/>
        </w:rPr>
        <w:fldChar w:fldCharType="separate"/>
      </w:r>
      <w:r>
        <w:rPr>
          <w:rFonts w:hint="eastAsia" w:ascii="Times New Roman" w:hAnsi="Times New Roman" w:eastAsia="宋体" w:cs="Times New Roman"/>
          <w:bCs/>
          <w:color w:val="auto"/>
          <w:kern w:val="2"/>
          <w:szCs w:val="28"/>
          <w:lang w:val="en-US" w:eastAsia="zh-CN" w:bidi="ar-SA"/>
        </w:rPr>
        <w:t>3</w:t>
      </w:r>
      <w:r>
        <w:rPr>
          <w:rFonts w:hint="default" w:ascii="Times New Roman" w:hAnsi="Times New Roman" w:eastAsia="宋体" w:cs="Times New Roman"/>
          <w:bCs/>
          <w:color w:val="auto"/>
          <w:kern w:val="2"/>
          <w:szCs w:val="28"/>
          <w:lang w:val="en-US" w:eastAsia="zh-CN" w:bidi="ar-SA"/>
        </w:rPr>
        <w:t>.3建设项目所在地生态环境现状</w:t>
      </w:r>
      <w:r>
        <w:rPr>
          <w:color w:val="auto"/>
        </w:rPr>
        <w:tab/>
      </w:r>
      <w:r>
        <w:rPr>
          <w:color w:val="auto"/>
        </w:rPr>
        <w:fldChar w:fldCharType="begin"/>
      </w:r>
      <w:r>
        <w:rPr>
          <w:color w:val="auto"/>
        </w:rPr>
        <w:instrText xml:space="preserve"> PAGEREF _Toc17066 \h </w:instrText>
      </w:r>
      <w:r>
        <w:rPr>
          <w:color w:val="auto"/>
        </w:rPr>
        <w:fldChar w:fldCharType="separate"/>
      </w:r>
      <w:r>
        <w:rPr>
          <w:color w:val="auto"/>
        </w:rPr>
        <w:t>10</w:t>
      </w:r>
      <w:r>
        <w:rPr>
          <w:color w:val="auto"/>
        </w:rPr>
        <w:fldChar w:fldCharType="end"/>
      </w:r>
      <w:r>
        <w:rPr>
          <w:color w:val="auto"/>
        </w:rPr>
        <w:fldChar w:fldCharType="end"/>
      </w:r>
    </w:p>
    <w:p>
      <w:pPr>
        <w:pStyle w:val="16"/>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_Toc13004 </w:instrText>
      </w:r>
      <w:r>
        <w:rPr>
          <w:color w:val="auto"/>
        </w:rPr>
        <w:fldChar w:fldCharType="separate"/>
      </w:r>
      <w:r>
        <w:rPr>
          <w:rFonts w:hint="eastAsia" w:ascii="Times New Roman" w:hAnsi="Times New Roman" w:eastAsia="宋体" w:cs="Times New Roman"/>
          <w:bCs w:val="0"/>
          <w:snapToGrid w:val="0"/>
          <w:color w:val="auto"/>
          <w:kern w:val="0"/>
          <w:szCs w:val="30"/>
          <w:lang w:val="en-US" w:eastAsia="zh-CN" w:bidi="ar-SA"/>
        </w:rPr>
        <w:t>4</w:t>
      </w:r>
      <w:r>
        <w:rPr>
          <w:rFonts w:ascii="Times New Roman" w:hAnsi="Times New Roman" w:eastAsia="宋体" w:cs="Times New Roman"/>
          <w:bCs w:val="0"/>
          <w:snapToGrid w:val="0"/>
          <w:color w:val="auto"/>
          <w:kern w:val="0"/>
          <w:szCs w:val="30"/>
          <w:lang w:val="en-US" w:eastAsia="zh-CN" w:bidi="ar-SA"/>
        </w:rPr>
        <w:t>生态环境</w:t>
      </w:r>
      <w:r>
        <w:rPr>
          <w:rFonts w:hint="eastAsia" w:ascii="Times New Roman" w:hAnsi="Times New Roman" w:eastAsia="宋体" w:cs="Times New Roman"/>
          <w:bCs w:val="0"/>
          <w:snapToGrid w:val="0"/>
          <w:color w:val="auto"/>
          <w:kern w:val="0"/>
          <w:szCs w:val="30"/>
          <w:lang w:val="en-US" w:eastAsia="zh-CN" w:bidi="ar-SA"/>
        </w:rPr>
        <w:t>影响</w:t>
      </w:r>
      <w:r>
        <w:rPr>
          <w:rFonts w:ascii="Times New Roman" w:hAnsi="Times New Roman" w:eastAsia="宋体" w:cs="Times New Roman"/>
          <w:bCs w:val="0"/>
          <w:snapToGrid w:val="0"/>
          <w:color w:val="auto"/>
          <w:kern w:val="0"/>
          <w:szCs w:val="30"/>
          <w:lang w:val="en-US" w:eastAsia="zh-CN" w:bidi="ar-SA"/>
        </w:rPr>
        <w:t>评价</w:t>
      </w:r>
      <w:r>
        <w:rPr>
          <w:color w:val="auto"/>
        </w:rPr>
        <w:tab/>
      </w:r>
      <w:r>
        <w:rPr>
          <w:color w:val="auto"/>
        </w:rPr>
        <w:fldChar w:fldCharType="begin"/>
      </w:r>
      <w:r>
        <w:rPr>
          <w:color w:val="auto"/>
        </w:rPr>
        <w:instrText xml:space="preserve"> PAGEREF _Toc13004 \h </w:instrText>
      </w:r>
      <w:r>
        <w:rPr>
          <w:color w:val="auto"/>
        </w:rPr>
        <w:fldChar w:fldCharType="separate"/>
      </w:r>
      <w:r>
        <w:rPr>
          <w:color w:val="auto"/>
        </w:rPr>
        <w:t>29</w:t>
      </w:r>
      <w:r>
        <w:rPr>
          <w:color w:val="auto"/>
        </w:rPr>
        <w:fldChar w:fldCharType="end"/>
      </w:r>
      <w:r>
        <w:rPr>
          <w:color w:val="auto"/>
        </w:rPr>
        <w:fldChar w:fldCharType="end"/>
      </w:r>
    </w:p>
    <w:p>
      <w:pPr>
        <w:pStyle w:val="17"/>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_Toc21397 </w:instrText>
      </w:r>
      <w:r>
        <w:rPr>
          <w:color w:val="auto"/>
        </w:rPr>
        <w:fldChar w:fldCharType="separate"/>
      </w:r>
      <w:r>
        <w:rPr>
          <w:rFonts w:ascii="Times New Roman" w:hAnsi="Times New Roman" w:eastAsia="宋体" w:cs="Times New Roman"/>
          <w:bCs/>
          <w:color w:val="auto"/>
          <w:kern w:val="2"/>
          <w:szCs w:val="28"/>
          <w:lang w:val="en-US" w:eastAsia="zh-CN" w:bidi="ar-SA"/>
        </w:rPr>
        <w:t xml:space="preserve">4.1 </w:t>
      </w:r>
      <w:r>
        <w:rPr>
          <w:rFonts w:hint="eastAsia" w:ascii="Times New Roman" w:hAnsi="Times New Roman" w:eastAsia="宋体" w:cs="Times New Roman"/>
          <w:bCs/>
          <w:color w:val="auto"/>
          <w:kern w:val="2"/>
          <w:szCs w:val="28"/>
          <w:lang w:val="en-US" w:eastAsia="zh-CN" w:bidi="ar-SA"/>
        </w:rPr>
        <w:t>施工期生态环境影响分析与评价</w:t>
      </w:r>
      <w:r>
        <w:rPr>
          <w:color w:val="auto"/>
        </w:rPr>
        <w:tab/>
      </w:r>
      <w:r>
        <w:rPr>
          <w:color w:val="auto"/>
        </w:rPr>
        <w:fldChar w:fldCharType="begin"/>
      </w:r>
      <w:r>
        <w:rPr>
          <w:color w:val="auto"/>
        </w:rPr>
        <w:instrText xml:space="preserve"> PAGEREF _Toc21397 \h </w:instrText>
      </w:r>
      <w:r>
        <w:rPr>
          <w:color w:val="auto"/>
        </w:rPr>
        <w:fldChar w:fldCharType="separate"/>
      </w:r>
      <w:r>
        <w:rPr>
          <w:color w:val="auto"/>
        </w:rPr>
        <w:t>34</w:t>
      </w:r>
      <w:r>
        <w:rPr>
          <w:color w:val="auto"/>
        </w:rPr>
        <w:fldChar w:fldCharType="end"/>
      </w:r>
      <w:r>
        <w:rPr>
          <w:color w:val="auto"/>
        </w:rPr>
        <w:fldChar w:fldCharType="end"/>
      </w:r>
    </w:p>
    <w:p>
      <w:pPr>
        <w:pStyle w:val="17"/>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_Toc6378 </w:instrText>
      </w:r>
      <w:r>
        <w:rPr>
          <w:color w:val="auto"/>
        </w:rPr>
        <w:fldChar w:fldCharType="separate"/>
      </w:r>
      <w:r>
        <w:rPr>
          <w:rFonts w:ascii="Times New Roman" w:hAnsi="Times New Roman" w:eastAsia="宋体" w:cs="Times New Roman"/>
          <w:bCs/>
          <w:color w:val="auto"/>
          <w:kern w:val="2"/>
          <w:szCs w:val="28"/>
          <w:lang w:val="en-US" w:eastAsia="zh-CN" w:bidi="ar-SA"/>
        </w:rPr>
        <w:t>4.</w:t>
      </w:r>
      <w:r>
        <w:rPr>
          <w:rFonts w:hint="eastAsia" w:ascii="Times New Roman" w:hAnsi="Times New Roman" w:eastAsia="宋体" w:cs="Times New Roman"/>
          <w:bCs/>
          <w:color w:val="auto"/>
          <w:kern w:val="2"/>
          <w:szCs w:val="28"/>
          <w:lang w:val="en-US" w:eastAsia="zh-CN" w:bidi="ar-SA"/>
        </w:rPr>
        <w:t>2</w:t>
      </w:r>
      <w:r>
        <w:rPr>
          <w:rFonts w:ascii="Times New Roman" w:hAnsi="Times New Roman" w:eastAsia="宋体" w:cs="Times New Roman"/>
          <w:bCs/>
          <w:color w:val="auto"/>
          <w:kern w:val="2"/>
          <w:szCs w:val="28"/>
          <w:lang w:val="en-US" w:eastAsia="zh-CN" w:bidi="ar-SA"/>
        </w:rPr>
        <w:t xml:space="preserve"> </w:t>
      </w:r>
      <w:r>
        <w:rPr>
          <w:rFonts w:hint="eastAsia" w:ascii="Times New Roman" w:hAnsi="Times New Roman" w:eastAsia="宋体" w:cs="Times New Roman"/>
          <w:bCs/>
          <w:color w:val="auto"/>
          <w:kern w:val="2"/>
          <w:szCs w:val="28"/>
          <w:lang w:val="en-US" w:eastAsia="zh-CN" w:bidi="ar-SA"/>
        </w:rPr>
        <w:t>运营期生态环境影响分析与评价</w:t>
      </w:r>
      <w:r>
        <w:rPr>
          <w:color w:val="auto"/>
        </w:rPr>
        <w:tab/>
      </w:r>
      <w:r>
        <w:rPr>
          <w:color w:val="auto"/>
        </w:rPr>
        <w:fldChar w:fldCharType="begin"/>
      </w:r>
      <w:r>
        <w:rPr>
          <w:color w:val="auto"/>
        </w:rPr>
        <w:instrText xml:space="preserve"> PAGEREF _Toc6378 \h </w:instrText>
      </w:r>
      <w:r>
        <w:rPr>
          <w:color w:val="auto"/>
        </w:rPr>
        <w:fldChar w:fldCharType="separate"/>
      </w:r>
      <w:r>
        <w:rPr>
          <w:color w:val="auto"/>
        </w:rPr>
        <w:t>37</w:t>
      </w:r>
      <w:r>
        <w:rPr>
          <w:color w:val="auto"/>
        </w:rPr>
        <w:fldChar w:fldCharType="end"/>
      </w:r>
      <w:r>
        <w:rPr>
          <w:color w:val="auto"/>
        </w:rPr>
        <w:fldChar w:fldCharType="end"/>
      </w:r>
    </w:p>
    <w:p>
      <w:pPr>
        <w:pStyle w:val="16"/>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_Toc6600 </w:instrText>
      </w:r>
      <w:r>
        <w:rPr>
          <w:color w:val="auto"/>
        </w:rPr>
        <w:fldChar w:fldCharType="separate"/>
      </w:r>
      <w:r>
        <w:rPr>
          <w:rFonts w:ascii="Times New Roman" w:hAnsi="Times New Roman" w:eastAsia="宋体" w:cs="Times New Roman"/>
          <w:bCs w:val="0"/>
          <w:snapToGrid w:val="0"/>
          <w:color w:val="auto"/>
          <w:kern w:val="0"/>
          <w:szCs w:val="30"/>
          <w:lang w:val="en-US" w:eastAsia="zh-CN" w:bidi="ar-SA"/>
        </w:rPr>
        <w:t>5生态保护对策措施</w:t>
      </w:r>
      <w:r>
        <w:rPr>
          <w:color w:val="auto"/>
        </w:rPr>
        <w:tab/>
      </w:r>
      <w:r>
        <w:rPr>
          <w:color w:val="auto"/>
        </w:rPr>
        <w:fldChar w:fldCharType="begin"/>
      </w:r>
      <w:r>
        <w:rPr>
          <w:color w:val="auto"/>
        </w:rPr>
        <w:instrText xml:space="preserve"> PAGEREF _Toc6600 \h </w:instrText>
      </w:r>
      <w:r>
        <w:rPr>
          <w:color w:val="auto"/>
        </w:rPr>
        <w:fldChar w:fldCharType="separate"/>
      </w:r>
      <w:r>
        <w:rPr>
          <w:color w:val="auto"/>
        </w:rPr>
        <w:t>39</w:t>
      </w:r>
      <w:r>
        <w:rPr>
          <w:color w:val="auto"/>
        </w:rPr>
        <w:fldChar w:fldCharType="end"/>
      </w:r>
      <w:r>
        <w:rPr>
          <w:color w:val="auto"/>
        </w:rPr>
        <w:fldChar w:fldCharType="end"/>
      </w:r>
    </w:p>
    <w:p>
      <w:pPr>
        <w:pStyle w:val="17"/>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_Toc3275 </w:instrText>
      </w:r>
      <w:r>
        <w:rPr>
          <w:color w:val="auto"/>
        </w:rPr>
        <w:fldChar w:fldCharType="separate"/>
      </w:r>
      <w:r>
        <w:rPr>
          <w:rFonts w:ascii="Times New Roman" w:hAnsi="Times New Roman" w:eastAsia="宋体" w:cs="Times New Roman"/>
          <w:bCs/>
          <w:color w:val="auto"/>
          <w:kern w:val="2"/>
          <w:szCs w:val="28"/>
          <w:lang w:val="en-US" w:eastAsia="zh-CN" w:bidi="ar-SA"/>
        </w:rPr>
        <w:t>5.1施工期生态保护措施</w:t>
      </w:r>
      <w:r>
        <w:rPr>
          <w:color w:val="auto"/>
        </w:rPr>
        <w:tab/>
      </w:r>
      <w:r>
        <w:rPr>
          <w:color w:val="auto"/>
        </w:rPr>
        <w:fldChar w:fldCharType="begin"/>
      </w:r>
      <w:r>
        <w:rPr>
          <w:color w:val="auto"/>
        </w:rPr>
        <w:instrText xml:space="preserve"> PAGEREF _Toc3275 \h </w:instrText>
      </w:r>
      <w:r>
        <w:rPr>
          <w:color w:val="auto"/>
        </w:rPr>
        <w:fldChar w:fldCharType="separate"/>
      </w:r>
      <w:r>
        <w:rPr>
          <w:color w:val="auto"/>
        </w:rPr>
        <w:t>39</w:t>
      </w:r>
      <w:r>
        <w:rPr>
          <w:color w:val="auto"/>
        </w:rPr>
        <w:fldChar w:fldCharType="end"/>
      </w:r>
      <w:r>
        <w:rPr>
          <w:color w:val="auto"/>
        </w:rPr>
        <w:fldChar w:fldCharType="end"/>
      </w:r>
    </w:p>
    <w:p>
      <w:pPr>
        <w:pStyle w:val="17"/>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_Toc23134 </w:instrText>
      </w:r>
      <w:r>
        <w:rPr>
          <w:color w:val="auto"/>
        </w:rPr>
        <w:fldChar w:fldCharType="separate"/>
      </w:r>
      <w:r>
        <w:rPr>
          <w:rFonts w:ascii="Times New Roman" w:hAnsi="Times New Roman" w:eastAsia="宋体" w:cs="Times New Roman"/>
          <w:bCs/>
          <w:color w:val="auto"/>
          <w:kern w:val="2"/>
          <w:szCs w:val="28"/>
          <w:lang w:val="en-US" w:eastAsia="zh-CN" w:bidi="ar-SA"/>
        </w:rPr>
        <w:t>5.2营运期生态保护措施</w:t>
      </w:r>
      <w:r>
        <w:rPr>
          <w:color w:val="auto"/>
        </w:rPr>
        <w:tab/>
      </w:r>
      <w:r>
        <w:rPr>
          <w:color w:val="auto"/>
        </w:rPr>
        <w:fldChar w:fldCharType="begin"/>
      </w:r>
      <w:r>
        <w:rPr>
          <w:color w:val="auto"/>
        </w:rPr>
        <w:instrText xml:space="preserve"> PAGEREF _Toc23134 \h </w:instrText>
      </w:r>
      <w:r>
        <w:rPr>
          <w:color w:val="auto"/>
        </w:rPr>
        <w:fldChar w:fldCharType="separate"/>
      </w:r>
      <w:r>
        <w:rPr>
          <w:color w:val="auto"/>
        </w:rPr>
        <w:t>41</w:t>
      </w:r>
      <w:r>
        <w:rPr>
          <w:color w:val="auto"/>
        </w:rPr>
        <w:fldChar w:fldCharType="end"/>
      </w:r>
      <w:r>
        <w:rPr>
          <w:color w:val="auto"/>
        </w:rPr>
        <w:fldChar w:fldCharType="end"/>
      </w:r>
    </w:p>
    <w:p>
      <w:pPr>
        <w:pStyle w:val="16"/>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_Toc10105 </w:instrText>
      </w:r>
      <w:r>
        <w:rPr>
          <w:color w:val="auto"/>
        </w:rPr>
        <w:fldChar w:fldCharType="separate"/>
      </w:r>
      <w:r>
        <w:rPr>
          <w:rFonts w:ascii="Times New Roman" w:hAnsi="Times New Roman" w:eastAsia="宋体" w:cs="Times New Roman"/>
          <w:snapToGrid w:val="0"/>
          <w:color w:val="auto"/>
          <w:kern w:val="0"/>
          <w:szCs w:val="30"/>
          <w:lang w:val="en-US" w:eastAsia="zh-CN" w:bidi="ar-SA"/>
        </w:rPr>
        <w:t>6评价结论和建议</w:t>
      </w:r>
      <w:r>
        <w:rPr>
          <w:color w:val="auto"/>
        </w:rPr>
        <w:tab/>
      </w:r>
      <w:r>
        <w:rPr>
          <w:color w:val="auto"/>
        </w:rPr>
        <w:fldChar w:fldCharType="begin"/>
      </w:r>
      <w:r>
        <w:rPr>
          <w:color w:val="auto"/>
        </w:rPr>
        <w:instrText xml:space="preserve"> PAGEREF _Toc10105 \h </w:instrText>
      </w:r>
      <w:r>
        <w:rPr>
          <w:color w:val="auto"/>
        </w:rPr>
        <w:fldChar w:fldCharType="separate"/>
      </w:r>
      <w:r>
        <w:rPr>
          <w:color w:val="auto"/>
        </w:rPr>
        <w:t>42</w:t>
      </w:r>
      <w:r>
        <w:rPr>
          <w:color w:val="auto"/>
        </w:rPr>
        <w:fldChar w:fldCharType="end"/>
      </w:r>
      <w:r>
        <w:rPr>
          <w:color w:val="auto"/>
        </w:rPr>
        <w:fldChar w:fldCharType="end"/>
      </w:r>
    </w:p>
    <w:p>
      <w:pPr>
        <w:pStyle w:val="17"/>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_Toc24989 </w:instrText>
      </w:r>
      <w:r>
        <w:rPr>
          <w:color w:val="auto"/>
        </w:rPr>
        <w:fldChar w:fldCharType="separate"/>
      </w:r>
      <w:r>
        <w:rPr>
          <w:rFonts w:ascii="Times New Roman" w:hAnsi="Times New Roman" w:eastAsia="宋体" w:cs="Times New Roman"/>
          <w:bCs/>
          <w:color w:val="auto"/>
          <w:kern w:val="2"/>
          <w:szCs w:val="28"/>
          <w:lang w:val="en-US" w:eastAsia="zh-CN" w:bidi="ar-SA"/>
        </w:rPr>
        <w:t>6.1评价结论</w:t>
      </w:r>
      <w:r>
        <w:rPr>
          <w:color w:val="auto"/>
        </w:rPr>
        <w:tab/>
      </w:r>
      <w:r>
        <w:rPr>
          <w:color w:val="auto"/>
        </w:rPr>
        <w:fldChar w:fldCharType="begin"/>
      </w:r>
      <w:r>
        <w:rPr>
          <w:color w:val="auto"/>
        </w:rPr>
        <w:instrText xml:space="preserve"> PAGEREF _Toc24989 \h </w:instrText>
      </w:r>
      <w:r>
        <w:rPr>
          <w:color w:val="auto"/>
        </w:rPr>
        <w:fldChar w:fldCharType="separate"/>
      </w:r>
      <w:r>
        <w:rPr>
          <w:color w:val="auto"/>
        </w:rPr>
        <w:t>42</w:t>
      </w:r>
      <w:r>
        <w:rPr>
          <w:color w:val="auto"/>
        </w:rPr>
        <w:fldChar w:fldCharType="end"/>
      </w:r>
      <w:r>
        <w:rPr>
          <w:color w:val="auto"/>
        </w:rPr>
        <w:fldChar w:fldCharType="end"/>
      </w:r>
    </w:p>
    <w:p>
      <w:pPr>
        <w:pStyle w:val="17"/>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_Toc17926 </w:instrText>
      </w:r>
      <w:r>
        <w:rPr>
          <w:color w:val="auto"/>
        </w:rPr>
        <w:fldChar w:fldCharType="separate"/>
      </w:r>
      <w:r>
        <w:rPr>
          <w:rFonts w:ascii="Times New Roman" w:hAnsi="Times New Roman" w:eastAsia="宋体" w:cs="Times New Roman"/>
          <w:bCs/>
          <w:color w:val="auto"/>
          <w:kern w:val="2"/>
          <w:szCs w:val="28"/>
          <w:lang w:val="en-US" w:eastAsia="zh-CN" w:bidi="ar-SA"/>
        </w:rPr>
        <w:t>6.2评价建议</w:t>
      </w:r>
      <w:r>
        <w:rPr>
          <w:color w:val="auto"/>
        </w:rPr>
        <w:tab/>
      </w:r>
      <w:r>
        <w:rPr>
          <w:color w:val="auto"/>
        </w:rPr>
        <w:fldChar w:fldCharType="begin"/>
      </w:r>
      <w:r>
        <w:rPr>
          <w:color w:val="auto"/>
        </w:rPr>
        <w:instrText xml:space="preserve"> PAGEREF _Toc17926 \h </w:instrText>
      </w:r>
      <w:r>
        <w:rPr>
          <w:color w:val="auto"/>
        </w:rPr>
        <w:fldChar w:fldCharType="separate"/>
      </w:r>
      <w:r>
        <w:rPr>
          <w:color w:val="auto"/>
        </w:rPr>
        <w:t>42</w:t>
      </w:r>
      <w:r>
        <w:rPr>
          <w:color w:val="auto"/>
        </w:rPr>
        <w:fldChar w:fldCharType="end"/>
      </w:r>
      <w:r>
        <w:rPr>
          <w:color w:val="auto"/>
        </w:rPr>
        <w:fldChar w:fldCharType="end"/>
      </w:r>
    </w:p>
    <w:p>
      <w:pPr>
        <w:pStyle w:val="16"/>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_Toc15039 </w:instrText>
      </w:r>
      <w:r>
        <w:rPr>
          <w:color w:val="auto"/>
        </w:rPr>
        <w:fldChar w:fldCharType="separate"/>
      </w:r>
      <w:r>
        <w:rPr>
          <w:rFonts w:ascii="Times New Roman" w:hAnsi="Times New Roman" w:eastAsia="宋体" w:cs="Times New Roman"/>
          <w:snapToGrid w:val="0"/>
          <w:color w:val="auto"/>
          <w:kern w:val="0"/>
          <w:szCs w:val="30"/>
          <w:lang w:val="en-US" w:eastAsia="zh-CN" w:bidi="ar-SA"/>
        </w:rPr>
        <w:t>生态影响评价自查表</w:t>
      </w:r>
      <w:r>
        <w:rPr>
          <w:color w:val="auto"/>
        </w:rPr>
        <w:tab/>
      </w:r>
      <w:r>
        <w:rPr>
          <w:color w:val="auto"/>
        </w:rPr>
        <w:fldChar w:fldCharType="begin"/>
      </w:r>
      <w:r>
        <w:rPr>
          <w:color w:val="auto"/>
        </w:rPr>
        <w:instrText xml:space="preserve"> PAGEREF _Toc15039 \h </w:instrText>
      </w:r>
      <w:r>
        <w:rPr>
          <w:color w:val="auto"/>
        </w:rPr>
        <w:fldChar w:fldCharType="separate"/>
      </w:r>
      <w:r>
        <w:rPr>
          <w:color w:val="auto"/>
        </w:rPr>
        <w:t>43</w:t>
      </w:r>
      <w:r>
        <w:rPr>
          <w:color w:val="auto"/>
        </w:rPr>
        <w:fldChar w:fldCharType="end"/>
      </w:r>
      <w:r>
        <w:rPr>
          <w:color w:val="auto"/>
        </w:rPr>
        <w:fldChar w:fldCharType="end"/>
      </w:r>
    </w:p>
    <w:p>
      <w:pPr>
        <w:rPr>
          <w:b/>
          <w:color w:val="auto"/>
        </w:rPr>
      </w:pPr>
      <w:r>
        <w:rPr>
          <w:color w:val="auto"/>
        </w:rPr>
        <w:fldChar w:fldCharType="end"/>
      </w:r>
    </w:p>
    <w:p>
      <w:pPr>
        <w:rPr>
          <w:b/>
          <w:color w:val="auto"/>
        </w:rPr>
        <w:sectPr>
          <w:headerReference r:id="rId9" w:type="default"/>
          <w:footerReference r:id="rId11" w:type="default"/>
          <w:headerReference r:id="rId10" w:type="even"/>
          <w:pgSz w:w="11907" w:h="16839"/>
          <w:pgMar w:top="1440" w:right="1797" w:bottom="1440" w:left="1797" w:header="851" w:footer="851" w:gutter="0"/>
          <w:pgBorders>
            <w:top w:val="none" w:sz="0" w:space="0"/>
            <w:left w:val="none" w:sz="0" w:space="0"/>
            <w:bottom w:val="none" w:sz="0" w:space="0"/>
            <w:right w:val="none" w:sz="0" w:space="0"/>
          </w:pgBorders>
          <w:pgNumType w:fmt="decimal" w:start="1"/>
          <w:cols w:space="720" w:num="1"/>
          <w:docGrid w:linePitch="326" w:charSpace="0"/>
        </w:sectPr>
      </w:pPr>
    </w:p>
    <w:p>
      <w:pPr>
        <w:widowControl/>
        <w:spacing w:before="0" w:beforeAutospacing="0" w:after="0" w:afterAutospacing="0" w:line="360" w:lineRule="auto"/>
        <w:jc w:val="left"/>
        <w:outlineLvl w:val="0"/>
        <w:rPr>
          <w:rFonts w:ascii="Times New Roman" w:hAnsi="Times New Roman" w:eastAsia="宋体" w:cs="Times New Roman"/>
          <w:b/>
          <w:snapToGrid w:val="0"/>
          <w:color w:val="auto"/>
          <w:kern w:val="0"/>
          <w:sz w:val="30"/>
          <w:szCs w:val="30"/>
          <w:lang w:val="en-US" w:eastAsia="zh-CN" w:bidi="ar-SA"/>
        </w:rPr>
      </w:pPr>
      <w:bookmarkStart w:id="120" w:name="_Toc24724"/>
      <w:bookmarkStart w:id="121" w:name="_Toc12505"/>
      <w:bookmarkStart w:id="122" w:name="_Toc1145"/>
      <w:bookmarkStart w:id="123" w:name="_Toc29359"/>
      <w:bookmarkStart w:id="124" w:name="_Toc20133"/>
      <w:bookmarkStart w:id="125" w:name="_Toc24516"/>
      <w:bookmarkStart w:id="126" w:name="_Toc30891"/>
      <w:r>
        <w:rPr>
          <w:rFonts w:ascii="Times New Roman" w:hAnsi="Times New Roman" w:eastAsia="宋体" w:cs="Times New Roman"/>
          <w:b/>
          <w:snapToGrid w:val="0"/>
          <w:color w:val="auto"/>
          <w:kern w:val="0"/>
          <w:sz w:val="30"/>
          <w:szCs w:val="30"/>
          <w:lang w:val="en-US" w:eastAsia="zh-CN" w:bidi="ar-SA"/>
        </w:rPr>
        <w:t>1总则</w:t>
      </w:r>
      <w:bookmarkEnd w:id="120"/>
      <w:bookmarkEnd w:id="121"/>
      <w:bookmarkEnd w:id="122"/>
      <w:bookmarkEnd w:id="123"/>
      <w:bookmarkEnd w:id="124"/>
      <w:bookmarkEnd w:id="125"/>
      <w:bookmarkEnd w:id="126"/>
    </w:p>
    <w:p>
      <w:pPr>
        <w:keepNext/>
        <w:keepLines/>
        <w:widowControl w:val="0"/>
        <w:adjustRightInd w:val="0"/>
        <w:snapToGrid w:val="0"/>
        <w:spacing w:before="0" w:after="0" w:line="360" w:lineRule="auto"/>
        <w:jc w:val="both"/>
        <w:outlineLvl w:val="1"/>
        <w:rPr>
          <w:rFonts w:ascii="Times New Roman" w:hAnsi="Times New Roman" w:eastAsia="宋体" w:cs="Times New Roman"/>
          <w:b/>
          <w:bCs/>
          <w:color w:val="auto"/>
          <w:kern w:val="2"/>
          <w:sz w:val="28"/>
          <w:szCs w:val="28"/>
          <w:lang w:val="en-US" w:eastAsia="zh-CN" w:bidi="ar-SA"/>
        </w:rPr>
      </w:pPr>
      <w:bookmarkStart w:id="127" w:name="_Toc22364"/>
      <w:bookmarkStart w:id="128" w:name="_Toc9418"/>
      <w:bookmarkStart w:id="129" w:name="_Toc25514"/>
      <w:bookmarkStart w:id="130" w:name="_Toc11368"/>
      <w:bookmarkStart w:id="131" w:name="_Toc1053"/>
      <w:bookmarkStart w:id="132" w:name="_Toc22458"/>
      <w:bookmarkStart w:id="133" w:name="_Toc9323"/>
      <w:bookmarkStart w:id="134" w:name="_Toc17584"/>
      <w:bookmarkStart w:id="135" w:name="_Toc2392"/>
      <w:bookmarkStart w:id="136" w:name="_Toc6224"/>
      <w:r>
        <w:rPr>
          <w:rFonts w:ascii="Times New Roman" w:hAnsi="Times New Roman" w:eastAsia="宋体" w:cs="Times New Roman"/>
          <w:b/>
          <w:bCs/>
          <w:color w:val="auto"/>
          <w:kern w:val="2"/>
          <w:sz w:val="28"/>
          <w:szCs w:val="28"/>
          <w:lang w:val="en-US" w:eastAsia="zh-CN" w:bidi="ar-SA"/>
        </w:rPr>
        <w:t>1.1项目由来</w:t>
      </w:r>
      <w:bookmarkEnd w:id="127"/>
      <w:bookmarkEnd w:id="128"/>
      <w:bookmarkEnd w:id="129"/>
      <w:bookmarkEnd w:id="130"/>
      <w:bookmarkEnd w:id="131"/>
      <w:bookmarkEnd w:id="132"/>
      <w:bookmarkEnd w:id="133"/>
      <w:bookmarkEnd w:id="134"/>
      <w:bookmarkEnd w:id="135"/>
      <w:bookmarkEnd w:id="136"/>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2024年7月5日下午，团洲乡团北村团洲垸洞庭湖一线堤防发生堤坝决口，团洲垸92.5%的面积被淹，平均水深约5m，遭受了严重的洪涝灾害，对农业生产造成了严重影响。此次灾害是由于持续强降雨和长江水位暴涨导致的，降雨量大幅超出往年同期，致使多个堤防和河道水位超过警戒线。团洲乡地处平原，地势低洼，水流排泄不畅，导致全乡多个村庄遭受了洪水袭击，形成大面积积水。</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团洲乡大面积农田被洪水浸泡，水稻、玉米、大豆等农作物几乎绝收，农业生产受到严重打击；部分村庄的房屋被洪水侵入，泥石流和积水导致墙体倒塌或基础损坏，部分居民不得不转移至安全地点；多条乡村道路因洪水被冲毁或严重积水，交通受阻，物资运输和救援工作难以展开；供水、电力等基础设施受到破坏，部分村庄出现停水停电的情况，生活生产受到极大影响，部分村民被迫撤离，安置点紧急搭建，提供基本生活保障；此次洪涝灾害给团洲乡带来了巨大的经济损失，农业生产和居民生活均受到严重冲击，后续需要大规模的灾后重建工作。</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在收到上级批复后，华容县迅速组织了前期研究、选址、规划等工作。项目的选址考虑了洪水灾害的影响因素，确保新建安置房地势较高，避开低洼易涝区域。同时，相关配套基础设施的规划设计也已经完成，包括供水、排水、电力、消防和道路系统，确保新建安置点具备良好的居住和生活条件。团洲垸此次洪涝灾害波及范围广、影响深远，造成了大面积农田绝收、基础设施损毁和居民房屋倒塌。受灾居民被迫转移，生活受到严重影响。为尽快恢复正常生产生活秩序，华容县政府决定启动团洲垸灾后重建安置房建设项目。</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本项目即为团洲垸灾后重建安置房建设项目中的</w:t>
      </w:r>
      <w:r>
        <w:rPr>
          <w:rFonts w:hint="eastAsia" w:cs="宋体"/>
          <w:bCs/>
          <w:color w:val="auto"/>
          <w:sz w:val="24"/>
          <w:szCs w:val="21"/>
          <w:lang w:val="en-US" w:eastAsia="zh-CN"/>
        </w:rPr>
        <w:t>三</w:t>
      </w:r>
      <w:r>
        <w:rPr>
          <w:rFonts w:hint="eastAsia" w:ascii="Times New Roman" w:hAnsi="Times New Roman" w:eastAsia="宋体" w:cs="宋体"/>
          <w:bCs/>
          <w:color w:val="auto"/>
          <w:sz w:val="24"/>
          <w:szCs w:val="21"/>
          <w:lang w:val="en-US" w:eastAsia="zh-CN"/>
        </w:rPr>
        <w:t>期工程，因项目位于湖南东洞庭湖国家级自然保护区实验区范围内，根据《建设项目环境影响报告表编制技术指南（生态影响类）》表1专项评价设置原则表，本次评价设置生态专项评价。</w:t>
      </w:r>
    </w:p>
    <w:p>
      <w:pPr>
        <w:keepNext/>
        <w:keepLines/>
        <w:widowControl w:val="0"/>
        <w:adjustRightInd w:val="0"/>
        <w:snapToGrid w:val="0"/>
        <w:spacing w:before="0" w:after="0" w:line="360" w:lineRule="auto"/>
        <w:jc w:val="both"/>
        <w:outlineLvl w:val="1"/>
        <w:rPr>
          <w:rFonts w:ascii="Times New Roman" w:hAnsi="Times New Roman" w:eastAsia="宋体" w:cs="Times New Roman"/>
          <w:b/>
          <w:bCs/>
          <w:color w:val="auto"/>
          <w:kern w:val="2"/>
          <w:sz w:val="28"/>
          <w:szCs w:val="28"/>
          <w:lang w:val="en-US" w:eastAsia="zh-CN" w:bidi="ar-SA"/>
        </w:rPr>
      </w:pPr>
      <w:bookmarkStart w:id="137" w:name="_Toc7839"/>
      <w:bookmarkStart w:id="138" w:name="_Toc3932"/>
      <w:bookmarkStart w:id="139" w:name="_Toc32473"/>
      <w:bookmarkStart w:id="140" w:name="_Toc20118"/>
      <w:bookmarkStart w:id="141" w:name="_Toc11539"/>
      <w:bookmarkStart w:id="142" w:name="_Toc22516"/>
      <w:bookmarkStart w:id="143" w:name="_Toc23283"/>
      <w:bookmarkStart w:id="144" w:name="_Toc3286"/>
      <w:bookmarkStart w:id="145" w:name="_Toc7748"/>
      <w:bookmarkStart w:id="146" w:name="_Toc28784"/>
      <w:r>
        <w:rPr>
          <w:rFonts w:ascii="Times New Roman" w:hAnsi="Times New Roman" w:eastAsia="宋体" w:cs="Times New Roman"/>
          <w:b/>
          <w:bCs/>
          <w:color w:val="auto"/>
          <w:kern w:val="2"/>
          <w:sz w:val="28"/>
          <w:szCs w:val="28"/>
          <w:lang w:val="en-US" w:eastAsia="zh-CN" w:bidi="ar-SA"/>
        </w:rPr>
        <w:t>1.2评价目的和评价原则</w:t>
      </w:r>
      <w:bookmarkEnd w:id="137"/>
      <w:bookmarkEnd w:id="138"/>
      <w:bookmarkEnd w:id="139"/>
      <w:bookmarkEnd w:id="140"/>
      <w:bookmarkEnd w:id="141"/>
      <w:bookmarkEnd w:id="142"/>
      <w:bookmarkEnd w:id="143"/>
      <w:bookmarkEnd w:id="144"/>
      <w:bookmarkEnd w:id="145"/>
      <w:bookmarkEnd w:id="146"/>
    </w:p>
    <w:p>
      <w:pPr>
        <w:widowControl w:val="0"/>
        <w:adjustRightInd w:val="0"/>
        <w:snapToGrid w:val="0"/>
        <w:spacing w:line="360" w:lineRule="auto"/>
        <w:ind w:firstLine="480" w:firstLineChars="200"/>
        <w:jc w:val="both"/>
        <w:rPr>
          <w:rFonts w:ascii="Times New Roman" w:hAnsi="Times New Roman" w:eastAsia="宋体" w:cs="Times New Roman"/>
          <w:color w:val="auto"/>
          <w:kern w:val="2"/>
          <w:sz w:val="24"/>
          <w:szCs w:val="24"/>
          <w:lang w:val="en-US" w:eastAsia="zh-CN" w:bidi="ar-SA"/>
        </w:rPr>
      </w:pPr>
      <w:r>
        <w:rPr>
          <w:rFonts w:ascii="Times New Roman" w:hAnsi="Times New Roman" w:eastAsia="宋体" w:cs="Times New Roman"/>
          <w:color w:val="auto"/>
          <w:kern w:val="2"/>
          <w:sz w:val="24"/>
          <w:szCs w:val="24"/>
          <w:lang w:val="en-US" w:eastAsia="zh-CN" w:bidi="ar-SA"/>
        </w:rPr>
        <w:t>以保护优先、适度开发为基本原则，认真落实科学发展观，通过对评价区以及周围生态环境的调查，并对项目周围生态环境和对景区直接或间接影响进行分析和预测，论证生态措施可行性，并提出可操作的环境减缓生态保护对策，以达到经济开发与自然保护双赢的目标。</w:t>
      </w:r>
    </w:p>
    <w:p>
      <w:pPr>
        <w:keepNext/>
        <w:keepLines/>
        <w:widowControl w:val="0"/>
        <w:adjustRightInd w:val="0"/>
        <w:snapToGrid w:val="0"/>
        <w:spacing w:before="0" w:after="0" w:line="360" w:lineRule="auto"/>
        <w:jc w:val="both"/>
        <w:outlineLvl w:val="1"/>
        <w:rPr>
          <w:rFonts w:ascii="Times New Roman" w:hAnsi="Times New Roman" w:eastAsia="宋体" w:cs="Times New Roman"/>
          <w:b/>
          <w:bCs/>
          <w:color w:val="auto"/>
          <w:kern w:val="2"/>
          <w:sz w:val="28"/>
          <w:szCs w:val="28"/>
          <w:lang w:val="en-US" w:eastAsia="zh-CN" w:bidi="ar-SA"/>
        </w:rPr>
      </w:pPr>
      <w:bookmarkStart w:id="147" w:name="_Toc7949"/>
      <w:bookmarkStart w:id="148" w:name="_Toc19207"/>
      <w:bookmarkStart w:id="149" w:name="_Toc2090"/>
      <w:bookmarkStart w:id="150" w:name="_Toc661"/>
      <w:bookmarkStart w:id="151" w:name="_Toc14659"/>
      <w:bookmarkStart w:id="152" w:name="_Toc32734"/>
      <w:bookmarkStart w:id="153" w:name="_Toc1454"/>
      <w:bookmarkStart w:id="154" w:name="_Toc15346"/>
      <w:bookmarkStart w:id="155" w:name="_Toc3344"/>
      <w:bookmarkStart w:id="156" w:name="_Toc3301"/>
      <w:r>
        <w:rPr>
          <w:rFonts w:ascii="Times New Roman" w:hAnsi="Times New Roman" w:eastAsia="宋体" w:cs="Times New Roman"/>
          <w:b/>
          <w:bCs/>
          <w:color w:val="auto"/>
          <w:kern w:val="2"/>
          <w:sz w:val="28"/>
          <w:szCs w:val="28"/>
          <w:lang w:val="en-US" w:eastAsia="zh-CN" w:bidi="ar-SA"/>
        </w:rPr>
        <w:t>1.3工作原则</w:t>
      </w:r>
      <w:bookmarkEnd w:id="147"/>
      <w:bookmarkEnd w:id="148"/>
      <w:bookmarkEnd w:id="149"/>
      <w:bookmarkEnd w:id="150"/>
      <w:bookmarkEnd w:id="151"/>
      <w:bookmarkEnd w:id="152"/>
      <w:bookmarkEnd w:id="153"/>
      <w:bookmarkEnd w:id="154"/>
      <w:bookmarkEnd w:id="155"/>
      <w:bookmarkEnd w:id="156"/>
    </w:p>
    <w:p>
      <w:pPr>
        <w:widowControl w:val="0"/>
        <w:adjustRightInd w:val="0"/>
        <w:snapToGrid w:val="0"/>
        <w:spacing w:line="360" w:lineRule="auto"/>
        <w:ind w:firstLine="480" w:firstLineChars="200"/>
        <w:jc w:val="both"/>
        <w:rPr>
          <w:rFonts w:ascii="Times New Roman" w:hAnsi="Times New Roman" w:eastAsia="宋体" w:cs="Times New Roman"/>
          <w:color w:val="auto"/>
          <w:kern w:val="2"/>
          <w:sz w:val="24"/>
          <w:szCs w:val="24"/>
          <w:lang w:val="en-US" w:eastAsia="zh-CN" w:bidi="ar-SA"/>
        </w:rPr>
      </w:pPr>
      <w:r>
        <w:rPr>
          <w:rFonts w:ascii="Times New Roman" w:hAnsi="Times New Roman" w:eastAsia="宋体" w:cs="Times New Roman"/>
          <w:color w:val="auto"/>
          <w:kern w:val="2"/>
          <w:sz w:val="24"/>
          <w:szCs w:val="24"/>
          <w:lang w:val="en-US" w:eastAsia="zh-CN" w:bidi="ar-SA"/>
        </w:rPr>
        <w:t>1、在构建社会主义和谐社会的重大战略思想指导下，以保护优先、适度开发为原则，落实科学发展观；</w:t>
      </w:r>
    </w:p>
    <w:p>
      <w:pPr>
        <w:widowControl w:val="0"/>
        <w:adjustRightInd w:val="0"/>
        <w:snapToGrid w:val="0"/>
        <w:spacing w:line="360" w:lineRule="auto"/>
        <w:ind w:firstLine="480" w:firstLineChars="200"/>
        <w:jc w:val="both"/>
        <w:rPr>
          <w:rFonts w:ascii="Times New Roman" w:hAnsi="Times New Roman" w:eastAsia="宋体" w:cs="Times New Roman"/>
          <w:color w:val="auto"/>
          <w:kern w:val="2"/>
          <w:sz w:val="24"/>
          <w:szCs w:val="24"/>
          <w:lang w:val="en-US" w:eastAsia="zh-CN" w:bidi="ar-SA"/>
        </w:rPr>
      </w:pPr>
      <w:r>
        <w:rPr>
          <w:rFonts w:ascii="Times New Roman" w:hAnsi="Times New Roman" w:eastAsia="宋体" w:cs="Times New Roman"/>
          <w:color w:val="auto"/>
          <w:kern w:val="2"/>
          <w:sz w:val="24"/>
          <w:szCs w:val="24"/>
          <w:lang w:val="en-US" w:eastAsia="zh-CN" w:bidi="ar-SA"/>
        </w:rPr>
        <w:t>2、紧密结合《全国生态保护纲要》、《环境影响评价技术导则 生态环境》（HJ19-2022）；</w:t>
      </w:r>
    </w:p>
    <w:p>
      <w:pPr>
        <w:widowControl w:val="0"/>
        <w:adjustRightInd w:val="0"/>
        <w:snapToGrid w:val="0"/>
        <w:spacing w:line="360" w:lineRule="auto"/>
        <w:ind w:firstLine="480" w:firstLineChars="200"/>
        <w:jc w:val="both"/>
        <w:rPr>
          <w:rFonts w:ascii="Times New Roman" w:hAnsi="Times New Roman" w:eastAsia="宋体" w:cs="Times New Roman"/>
          <w:color w:val="auto"/>
          <w:kern w:val="2"/>
          <w:sz w:val="24"/>
          <w:szCs w:val="24"/>
          <w:lang w:val="en-US" w:eastAsia="zh-CN" w:bidi="ar-SA"/>
        </w:rPr>
      </w:pPr>
      <w:r>
        <w:rPr>
          <w:rFonts w:ascii="Times New Roman" w:hAnsi="Times New Roman" w:eastAsia="宋体" w:cs="Times New Roman"/>
          <w:color w:val="auto"/>
          <w:kern w:val="2"/>
          <w:sz w:val="24"/>
          <w:szCs w:val="24"/>
          <w:lang w:val="en-US" w:eastAsia="zh-CN" w:bidi="ar-SA"/>
        </w:rPr>
        <w:t>3、优先保护生物多样性，以实现保护生态环境、保护珍稀物种；</w:t>
      </w:r>
    </w:p>
    <w:p>
      <w:pPr>
        <w:widowControl w:val="0"/>
        <w:adjustRightInd w:val="0"/>
        <w:snapToGrid w:val="0"/>
        <w:spacing w:line="360" w:lineRule="auto"/>
        <w:ind w:firstLine="480" w:firstLineChars="200"/>
        <w:jc w:val="both"/>
        <w:rPr>
          <w:rFonts w:ascii="Times New Roman" w:hAnsi="Times New Roman" w:eastAsia="宋体" w:cs="Times New Roman"/>
          <w:color w:val="auto"/>
          <w:kern w:val="2"/>
          <w:sz w:val="24"/>
          <w:szCs w:val="24"/>
          <w:lang w:val="en-US" w:eastAsia="zh-CN" w:bidi="ar-SA"/>
        </w:rPr>
      </w:pPr>
      <w:r>
        <w:rPr>
          <w:rFonts w:ascii="Times New Roman" w:hAnsi="Times New Roman" w:eastAsia="宋体" w:cs="Times New Roman"/>
          <w:color w:val="auto"/>
          <w:kern w:val="2"/>
          <w:sz w:val="24"/>
          <w:szCs w:val="24"/>
          <w:lang w:val="en-US" w:eastAsia="zh-CN" w:bidi="ar-SA"/>
        </w:rPr>
        <w:t>4、突出生态保护与补偿措施的科学性与可操作性；</w:t>
      </w:r>
    </w:p>
    <w:p>
      <w:pPr>
        <w:widowControl w:val="0"/>
        <w:adjustRightInd w:val="0"/>
        <w:snapToGrid w:val="0"/>
        <w:spacing w:line="360" w:lineRule="auto"/>
        <w:ind w:firstLine="480" w:firstLineChars="200"/>
        <w:jc w:val="both"/>
        <w:rPr>
          <w:rFonts w:ascii="Times New Roman" w:hAnsi="Times New Roman" w:eastAsia="宋体" w:cs="Times New Roman"/>
          <w:color w:val="auto"/>
          <w:kern w:val="2"/>
          <w:sz w:val="24"/>
          <w:szCs w:val="24"/>
          <w:lang w:val="en-US" w:eastAsia="zh-CN" w:bidi="ar-SA"/>
        </w:rPr>
      </w:pPr>
      <w:r>
        <w:rPr>
          <w:rFonts w:ascii="Times New Roman" w:hAnsi="Times New Roman" w:eastAsia="宋体" w:cs="Times New Roman"/>
          <w:color w:val="auto"/>
          <w:kern w:val="2"/>
          <w:sz w:val="24"/>
          <w:szCs w:val="24"/>
          <w:lang w:val="en-US" w:eastAsia="zh-CN" w:bidi="ar-SA"/>
        </w:rPr>
        <w:t>5、尽量利用现有资料，全面评估本项目对周围生态环境的影响。</w:t>
      </w:r>
    </w:p>
    <w:p>
      <w:pPr>
        <w:keepNext/>
        <w:keepLines/>
        <w:widowControl w:val="0"/>
        <w:adjustRightInd w:val="0"/>
        <w:snapToGrid w:val="0"/>
        <w:spacing w:before="0" w:after="0" w:line="360" w:lineRule="auto"/>
        <w:jc w:val="both"/>
        <w:outlineLvl w:val="1"/>
        <w:rPr>
          <w:rFonts w:ascii="Times New Roman" w:hAnsi="Times New Roman" w:eastAsia="宋体" w:cs="Times New Roman"/>
          <w:b/>
          <w:bCs/>
          <w:color w:val="auto"/>
          <w:kern w:val="2"/>
          <w:sz w:val="28"/>
          <w:szCs w:val="28"/>
          <w:lang w:val="en-US" w:eastAsia="zh-CN" w:bidi="ar-SA"/>
        </w:rPr>
      </w:pPr>
      <w:bookmarkStart w:id="157" w:name="_Toc11166"/>
      <w:bookmarkStart w:id="158" w:name="_Toc23370"/>
      <w:bookmarkStart w:id="159" w:name="_Toc18759"/>
      <w:bookmarkStart w:id="160" w:name="_Toc28367"/>
      <w:bookmarkStart w:id="161" w:name="_Toc12498"/>
      <w:bookmarkStart w:id="162" w:name="_Toc24939"/>
      <w:bookmarkStart w:id="163" w:name="_Toc31091"/>
      <w:bookmarkStart w:id="164" w:name="_Toc4498"/>
      <w:bookmarkStart w:id="165" w:name="_Toc28586"/>
      <w:bookmarkStart w:id="166" w:name="_Toc30233"/>
      <w:r>
        <w:rPr>
          <w:rFonts w:ascii="Times New Roman" w:hAnsi="Times New Roman" w:eastAsia="宋体" w:cs="Times New Roman"/>
          <w:b/>
          <w:bCs/>
          <w:color w:val="auto"/>
          <w:kern w:val="2"/>
          <w:sz w:val="28"/>
          <w:szCs w:val="28"/>
          <w:lang w:val="en-US" w:eastAsia="zh-CN" w:bidi="ar-SA"/>
        </w:rPr>
        <w:t>1.4评价依据</w:t>
      </w:r>
      <w:bookmarkEnd w:id="157"/>
      <w:bookmarkEnd w:id="158"/>
      <w:bookmarkEnd w:id="159"/>
      <w:bookmarkEnd w:id="160"/>
      <w:bookmarkEnd w:id="161"/>
      <w:bookmarkEnd w:id="162"/>
      <w:bookmarkEnd w:id="163"/>
      <w:bookmarkEnd w:id="164"/>
      <w:bookmarkEnd w:id="165"/>
      <w:bookmarkEnd w:id="166"/>
    </w:p>
    <w:p>
      <w:pPr>
        <w:keepNext/>
        <w:widowControl w:val="0"/>
        <w:adjustRightInd w:val="0"/>
        <w:snapToGrid w:val="0"/>
        <w:spacing w:line="360" w:lineRule="auto"/>
        <w:ind w:firstLine="0" w:firstLineChars="0"/>
        <w:jc w:val="both"/>
        <w:outlineLvl w:val="2"/>
        <w:rPr>
          <w:rFonts w:ascii="Times New Roman" w:hAnsi="Times New Roman" w:eastAsia="宋体" w:cs="Times New Roman"/>
          <w:b/>
          <w:color w:val="auto"/>
          <w:kern w:val="2"/>
          <w:sz w:val="24"/>
          <w:szCs w:val="24"/>
          <w:lang w:val="en-US" w:eastAsia="zh-CN" w:bidi="ar-SA"/>
        </w:rPr>
      </w:pPr>
      <w:bookmarkStart w:id="167" w:name="_Toc23780"/>
      <w:bookmarkStart w:id="168" w:name="_Toc12619"/>
      <w:bookmarkStart w:id="169" w:name="_Toc2649"/>
      <w:bookmarkStart w:id="170" w:name="_Toc27122"/>
      <w:bookmarkStart w:id="171" w:name="_Toc32608"/>
      <w:bookmarkStart w:id="172" w:name="_Toc17857"/>
      <w:r>
        <w:rPr>
          <w:rFonts w:ascii="Times New Roman" w:hAnsi="Times New Roman" w:eastAsia="宋体" w:cs="Times New Roman"/>
          <w:b/>
          <w:color w:val="auto"/>
          <w:kern w:val="2"/>
          <w:sz w:val="24"/>
          <w:szCs w:val="24"/>
          <w:lang w:val="en-US" w:eastAsia="zh-CN" w:bidi="ar-SA"/>
        </w:rPr>
        <w:t>1.4.1</w:t>
      </w:r>
      <w:bookmarkEnd w:id="167"/>
      <w:bookmarkEnd w:id="168"/>
      <w:bookmarkEnd w:id="169"/>
      <w:bookmarkEnd w:id="170"/>
      <w:bookmarkEnd w:id="171"/>
      <w:bookmarkEnd w:id="172"/>
      <w:r>
        <w:rPr>
          <w:rFonts w:hint="eastAsia" w:ascii="Times New Roman" w:hAnsi="Times New Roman" w:eastAsia="宋体" w:cs="Times New Roman"/>
          <w:b/>
          <w:color w:val="auto"/>
          <w:kern w:val="2"/>
          <w:sz w:val="24"/>
          <w:szCs w:val="24"/>
          <w:lang w:val="en-US" w:eastAsia="zh-CN" w:bidi="ar-SA"/>
        </w:rPr>
        <w:t>法律、法规文件</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（1）《中华人民共和国环境保护法》（2015年1月1日起施行）；</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（2）《中华人民共和国环境影响评价法》（2018年12月29日修正）；</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（3）《中华人民共和国水污染防治法》（2018年1月1日起施行）；</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（4）《中华人民共和国大气污染防治法》（2018年10月26日修正）；</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（5）《中华人民共和国环境噪声污染防治法》（2022年6月5日修改）；</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（6）</w:t>
      </w:r>
      <w:r>
        <w:rPr>
          <w:rFonts w:hint="default" w:ascii="Times New Roman" w:hAnsi="Times New Roman" w:eastAsia="宋体" w:cs="Times New Roman"/>
          <w:color w:val="auto"/>
          <w:spacing w:val="-6"/>
          <w:sz w:val="24"/>
          <w:szCs w:val="24"/>
        </w:rPr>
        <w:t>《中华人民共和国固体废物污染环境防治法》（2020年9月1日起施行）；</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（7）《中华人民共和国野生动物保护法》（2018年10月26日修改）；</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（8）《中华人民共和国森林法》（2020年7月1日起施行）；</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（9）《中华人民共和国土地管理法》（2020年1月1日起施行）</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（10）《中华人民共和国水土保持法》（2010年12月25日修订）；</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（11）《中华人民共和国野生植物保护条例》（2017年10月7日修改）；</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（12）《中华人民共和国陆生野生动物保护实施条例》（2016年2月6日</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修订）；</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（13）《中华人民共和国森林法实施条例》（2018年3月19日起实施）；</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（14）《建设项目环境保护管理条例》（2017年10月1日起施行）；</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（15）《湖南省环境保护条例》（2019年9月28日修订）；</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（16）《湖南省野生动植物资源保护条例》（2018年7月19日修正）；</w:t>
      </w:r>
    </w:p>
    <w:p>
      <w:pPr>
        <w:keepNext/>
        <w:widowControl w:val="0"/>
        <w:adjustRightInd w:val="0"/>
        <w:snapToGrid w:val="0"/>
        <w:spacing w:line="360" w:lineRule="auto"/>
        <w:ind w:firstLine="0" w:firstLineChars="0"/>
        <w:jc w:val="both"/>
        <w:outlineLvl w:val="2"/>
        <w:rPr>
          <w:rFonts w:ascii="Times New Roman" w:hAnsi="Times New Roman" w:eastAsia="宋体" w:cs="Times New Roman"/>
          <w:b/>
          <w:color w:val="auto"/>
          <w:kern w:val="2"/>
          <w:sz w:val="24"/>
          <w:szCs w:val="24"/>
          <w:lang w:val="en-US" w:eastAsia="zh-CN" w:bidi="ar-SA"/>
        </w:rPr>
      </w:pPr>
      <w:r>
        <w:rPr>
          <w:rFonts w:ascii="Times New Roman" w:hAnsi="Times New Roman" w:eastAsia="宋体" w:cs="Times New Roman"/>
          <w:b/>
          <w:color w:val="auto"/>
          <w:kern w:val="2"/>
          <w:sz w:val="24"/>
          <w:szCs w:val="24"/>
          <w:lang w:val="en-US" w:eastAsia="zh-CN" w:bidi="ar-SA"/>
        </w:rPr>
        <w:t>1.4.</w:t>
      </w:r>
      <w:r>
        <w:rPr>
          <w:rFonts w:hint="eastAsia" w:ascii="Times New Roman" w:hAnsi="Times New Roman" w:eastAsia="宋体" w:cs="Times New Roman"/>
          <w:b/>
          <w:color w:val="auto"/>
          <w:kern w:val="2"/>
          <w:sz w:val="24"/>
          <w:szCs w:val="24"/>
          <w:lang w:val="en-US" w:eastAsia="zh-CN" w:bidi="ar-SA"/>
        </w:rPr>
        <w:t>2规章、规范性文件</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（1）《建设项目使用林地审核审批管理办法》（国家林业局令35号，2015年5月1日实施）；</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rPr>
        <w:t>）《关于进一步加强生态保护工作的意见》（环发〔2007〕37号）；</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pacing w:val="-6"/>
          <w:sz w:val="24"/>
          <w:szCs w:val="24"/>
        </w:rPr>
        <w:t>（关于进一步加强建设项目环境保护管理工作的通知）（环发[2001]19号）；</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val="en-US" w:eastAsia="zh-CN"/>
        </w:rPr>
        <w:t>4</w:t>
      </w:r>
      <w:r>
        <w:rPr>
          <w:rFonts w:hint="default" w:ascii="Times New Roman" w:hAnsi="Times New Roman" w:eastAsia="宋体" w:cs="Times New Roman"/>
          <w:color w:val="auto"/>
          <w:sz w:val="24"/>
          <w:szCs w:val="24"/>
        </w:rPr>
        <w:t>）《湖南省生态保护红线划定工作方案》（湘环发〔2016〕9号）；</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val="en-US" w:eastAsia="zh-CN"/>
        </w:rPr>
        <w:t>5</w:t>
      </w:r>
      <w:r>
        <w:rPr>
          <w:rFonts w:hint="default" w:ascii="Times New Roman" w:hAnsi="Times New Roman" w:eastAsia="宋体" w:cs="Times New Roman"/>
          <w:color w:val="auto"/>
          <w:sz w:val="24"/>
          <w:szCs w:val="24"/>
        </w:rPr>
        <w:t>）《湖南省建设项目环境保护管理办法》（2007年10月1日起施行）；</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val="en-US" w:eastAsia="zh-CN"/>
        </w:rPr>
        <w:t>6</w:t>
      </w: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pacing w:val="-6"/>
          <w:sz w:val="24"/>
          <w:szCs w:val="24"/>
        </w:rPr>
        <w:t>《湖南省实施〈中华人民共和国水土保持法〉办法》（2018年7月修订）；</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cs="Times New Roman"/>
          <w:color w:val="auto"/>
          <w:sz w:val="24"/>
          <w:szCs w:val="24"/>
          <w:lang w:eastAsia="zh-CN"/>
        </w:rPr>
      </w:pPr>
      <w:r>
        <w:rPr>
          <w:rFonts w:hint="default"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val="en-US" w:eastAsia="zh-CN"/>
        </w:rPr>
        <w:t>7</w:t>
      </w:r>
      <w:r>
        <w:rPr>
          <w:rFonts w:hint="default" w:ascii="Times New Roman" w:hAnsi="Times New Roman" w:eastAsia="宋体" w:cs="Times New Roman"/>
          <w:color w:val="auto"/>
          <w:sz w:val="24"/>
          <w:szCs w:val="24"/>
        </w:rPr>
        <w:t>）《湖南省古树名木保护办法》（2022年3月12日施行）</w:t>
      </w:r>
      <w:r>
        <w:rPr>
          <w:rFonts w:hint="eastAsia" w:cs="Times New Roman"/>
          <w:color w:val="auto"/>
          <w:sz w:val="24"/>
          <w:szCs w:val="24"/>
          <w:lang w:eastAsia="zh-CN"/>
        </w:rPr>
        <w:t>；</w:t>
      </w:r>
    </w:p>
    <w:p>
      <w:pPr>
        <w:widowControl w:val="0"/>
        <w:adjustRightInd w:val="0"/>
        <w:snapToGrid w:val="0"/>
        <w:spacing w:line="360" w:lineRule="auto"/>
        <w:ind w:firstLine="480" w:firstLineChars="200"/>
        <w:jc w:val="both"/>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（8）</w:t>
      </w:r>
      <w:r>
        <w:rPr>
          <w:rFonts w:ascii="Times New Roman" w:hAnsi="Times New Roman" w:eastAsia="宋体" w:cs="Times New Roman"/>
          <w:color w:val="auto"/>
          <w:kern w:val="2"/>
          <w:sz w:val="24"/>
          <w:szCs w:val="24"/>
          <w:lang w:val="en-US" w:eastAsia="zh-CN" w:bidi="ar-SA"/>
        </w:rPr>
        <w:t>《国家重点保护野生动物名录》</w:t>
      </w:r>
      <w:r>
        <w:rPr>
          <w:rFonts w:hint="eastAsia" w:ascii="Times New Roman" w:hAnsi="Times New Roman" w:eastAsia="宋体" w:cs="Times New Roman"/>
          <w:color w:val="auto"/>
          <w:kern w:val="2"/>
          <w:sz w:val="24"/>
          <w:szCs w:val="24"/>
          <w:lang w:val="en-US" w:eastAsia="zh-CN" w:bidi="ar-SA"/>
        </w:rPr>
        <w:t>，</w:t>
      </w:r>
      <w:r>
        <w:rPr>
          <w:rFonts w:ascii="Times New Roman" w:hAnsi="Times New Roman" w:eastAsia="宋体" w:cs="Times New Roman"/>
          <w:color w:val="auto"/>
          <w:kern w:val="2"/>
          <w:sz w:val="24"/>
          <w:szCs w:val="24"/>
          <w:lang w:val="en-US" w:eastAsia="zh-CN" w:bidi="ar-SA"/>
        </w:rPr>
        <w:t>2021年2月11日施行</w:t>
      </w:r>
      <w:r>
        <w:rPr>
          <w:rFonts w:hint="eastAsia" w:ascii="Times New Roman" w:hAnsi="Times New Roman" w:eastAsia="宋体" w:cs="Times New Roman"/>
          <w:color w:val="auto"/>
          <w:kern w:val="2"/>
          <w:sz w:val="24"/>
          <w:szCs w:val="24"/>
          <w:lang w:val="en-US" w:eastAsia="zh-CN" w:bidi="ar-SA"/>
        </w:rPr>
        <w:t>；</w:t>
      </w:r>
    </w:p>
    <w:p>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color w:val="auto"/>
          <w:kern w:val="2"/>
          <w:sz w:val="24"/>
          <w:szCs w:val="24"/>
          <w:lang w:val="en-US" w:eastAsia="zh-CN" w:bidi="ar-SA"/>
        </w:rPr>
      </w:pPr>
      <w:r>
        <w:rPr>
          <w:rFonts w:hint="default" w:ascii="Times New Roman" w:hAnsi="Times New Roman" w:eastAsia="宋体" w:cs="Times New Roman"/>
          <w:b/>
          <w:color w:val="auto"/>
          <w:kern w:val="2"/>
          <w:sz w:val="24"/>
          <w:szCs w:val="24"/>
          <w:lang w:val="en-US" w:eastAsia="zh-CN" w:bidi="ar-SA"/>
        </w:rPr>
        <w:t>1.</w:t>
      </w:r>
      <w:r>
        <w:rPr>
          <w:rFonts w:hint="eastAsia" w:ascii="Times New Roman" w:hAnsi="Times New Roman" w:eastAsia="宋体" w:cs="Times New Roman"/>
          <w:b/>
          <w:color w:val="auto"/>
          <w:kern w:val="2"/>
          <w:sz w:val="24"/>
          <w:szCs w:val="24"/>
          <w:lang w:val="en-US" w:eastAsia="zh-CN" w:bidi="ar-SA"/>
        </w:rPr>
        <w:t>4</w:t>
      </w:r>
      <w:r>
        <w:rPr>
          <w:rFonts w:hint="default" w:ascii="Times New Roman" w:hAnsi="Times New Roman" w:eastAsia="宋体" w:cs="Times New Roman"/>
          <w:b/>
          <w:color w:val="auto"/>
          <w:kern w:val="2"/>
          <w:sz w:val="24"/>
          <w:szCs w:val="24"/>
          <w:lang w:val="en-US" w:eastAsia="zh-CN" w:bidi="ar-SA"/>
        </w:rPr>
        <w:t>.3区划、规划</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（1）《全国生态环境保护纲要》（国务院2000年11月26日）；</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（2）《全国生态功能区划》（修编）（2015年11月）；</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（3）《全国生态脆弱区保护规划纲要》（2008年9月）</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（4）《全国主体功能区规划》（国发〔2010〕46号）；</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（5）《中国生物多样性保护战略与行动计划》（2011~2030年）；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val="en-US" w:eastAsia="zh-CN"/>
        </w:rPr>
        <w:t>6</w:t>
      </w:r>
      <w:r>
        <w:rPr>
          <w:rFonts w:hint="default" w:ascii="Times New Roman" w:hAnsi="Times New Roman" w:eastAsia="宋体" w:cs="Times New Roman"/>
          <w:color w:val="auto"/>
          <w:sz w:val="24"/>
          <w:szCs w:val="24"/>
        </w:rPr>
        <w:t>）《湖南省主体功能区规划》（2012年11月17日）；</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val="en-US" w:eastAsia="zh-CN"/>
        </w:rPr>
        <w:t>7</w:t>
      </w:r>
      <w:r>
        <w:rPr>
          <w:rFonts w:hint="default" w:ascii="Times New Roman" w:hAnsi="Times New Roman" w:eastAsia="宋体" w:cs="Times New Roman"/>
          <w:color w:val="auto"/>
          <w:sz w:val="24"/>
          <w:szCs w:val="24"/>
        </w:rPr>
        <w:t>）《湖南省生态功能区划》（2005年11月）；</w:t>
      </w:r>
    </w:p>
    <w:p>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color w:val="auto"/>
          <w:kern w:val="2"/>
          <w:sz w:val="24"/>
          <w:szCs w:val="24"/>
          <w:lang w:val="en-US" w:eastAsia="zh-CN" w:bidi="ar-SA"/>
        </w:rPr>
      </w:pPr>
      <w:r>
        <w:rPr>
          <w:rFonts w:hint="default" w:ascii="Times New Roman" w:hAnsi="Times New Roman" w:eastAsia="宋体" w:cs="Times New Roman"/>
          <w:b/>
          <w:color w:val="auto"/>
          <w:kern w:val="2"/>
          <w:sz w:val="24"/>
          <w:szCs w:val="24"/>
          <w:lang w:val="en-US" w:eastAsia="zh-CN" w:bidi="ar-SA"/>
        </w:rPr>
        <w:t>1.</w:t>
      </w:r>
      <w:r>
        <w:rPr>
          <w:rFonts w:hint="eastAsia" w:ascii="Times New Roman" w:hAnsi="Times New Roman" w:eastAsia="宋体" w:cs="Times New Roman"/>
          <w:b/>
          <w:color w:val="auto"/>
          <w:kern w:val="2"/>
          <w:sz w:val="24"/>
          <w:szCs w:val="24"/>
          <w:lang w:val="en-US" w:eastAsia="zh-CN" w:bidi="ar-SA"/>
        </w:rPr>
        <w:t>4</w:t>
      </w:r>
      <w:r>
        <w:rPr>
          <w:rFonts w:hint="default" w:ascii="Times New Roman" w:hAnsi="Times New Roman" w:eastAsia="宋体" w:cs="Times New Roman"/>
          <w:b/>
          <w:color w:val="auto"/>
          <w:kern w:val="2"/>
          <w:sz w:val="24"/>
          <w:szCs w:val="24"/>
          <w:lang w:val="en-US" w:eastAsia="zh-CN" w:bidi="ar-SA"/>
        </w:rPr>
        <w:t>.</w:t>
      </w:r>
      <w:r>
        <w:rPr>
          <w:rFonts w:hint="eastAsia" w:ascii="Times New Roman" w:hAnsi="Times New Roman" w:eastAsia="宋体" w:cs="Times New Roman"/>
          <w:b/>
          <w:color w:val="auto"/>
          <w:kern w:val="2"/>
          <w:sz w:val="24"/>
          <w:szCs w:val="24"/>
          <w:lang w:val="en-US" w:eastAsia="zh-CN" w:bidi="ar-SA"/>
        </w:rPr>
        <w:t>4导则、标准、技术规范</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（1）《建设项目环境影响评价技术导则</w:t>
      </w:r>
      <w:r>
        <w:rPr>
          <w:rFonts w:hint="eastAsia"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rPr>
        <w:t>总纲》（HJ2.1-2016）；</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（2）《环境影响评价技术导则</w:t>
      </w:r>
      <w:r>
        <w:rPr>
          <w:rFonts w:hint="eastAsia"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rPr>
        <w:t>生态影响》（HJ19-2022）；</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r>
        <w:rPr>
          <w:rFonts w:hint="eastAsia" w:eastAsia="宋体" w:cs="Times New Roman"/>
          <w:color w:val="auto"/>
          <w:sz w:val="24"/>
          <w:szCs w:val="24"/>
          <w:lang w:val="en-US" w:eastAsia="zh-CN"/>
        </w:rPr>
        <w:t>3</w:t>
      </w:r>
      <w:r>
        <w:rPr>
          <w:rFonts w:hint="default" w:ascii="Times New Roman" w:hAnsi="Times New Roman" w:eastAsia="宋体" w:cs="Times New Roman"/>
          <w:color w:val="auto"/>
          <w:sz w:val="24"/>
          <w:szCs w:val="24"/>
        </w:rPr>
        <w:t>）《土地利用现状分类》（GB/T21010-2017）；</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r>
        <w:rPr>
          <w:rFonts w:hint="eastAsia" w:eastAsia="宋体" w:cs="Times New Roman"/>
          <w:color w:val="auto"/>
          <w:sz w:val="24"/>
          <w:szCs w:val="24"/>
          <w:lang w:val="en-US" w:eastAsia="zh-CN"/>
        </w:rPr>
        <w:t>4</w:t>
      </w:r>
      <w:r>
        <w:rPr>
          <w:rFonts w:hint="default" w:ascii="Times New Roman" w:hAnsi="Times New Roman" w:eastAsia="宋体" w:cs="Times New Roman"/>
          <w:color w:val="auto"/>
          <w:sz w:val="24"/>
          <w:szCs w:val="24"/>
        </w:rPr>
        <w:t>）《生态环境状况评价技术规范》（HJ192-2015）；</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r>
        <w:rPr>
          <w:rFonts w:hint="eastAsia" w:eastAsia="宋体" w:cs="Times New Roman"/>
          <w:color w:val="auto"/>
          <w:sz w:val="24"/>
          <w:szCs w:val="24"/>
          <w:lang w:val="en-US" w:eastAsia="zh-CN"/>
        </w:rPr>
        <w:t>5</w:t>
      </w:r>
      <w:r>
        <w:rPr>
          <w:rFonts w:hint="default" w:ascii="Times New Roman" w:hAnsi="Times New Roman" w:eastAsia="宋体" w:cs="Times New Roman"/>
          <w:color w:val="auto"/>
          <w:sz w:val="24"/>
          <w:szCs w:val="24"/>
        </w:rPr>
        <w:t>）《全国植物物种资源调查技术规定（试行）》（公告2010年第27号）；</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r>
        <w:rPr>
          <w:rFonts w:hint="eastAsia" w:eastAsia="宋体" w:cs="Times New Roman"/>
          <w:color w:val="auto"/>
          <w:sz w:val="24"/>
          <w:szCs w:val="24"/>
          <w:lang w:val="en-US" w:eastAsia="zh-CN"/>
        </w:rPr>
        <w:t>6</w:t>
      </w:r>
      <w:r>
        <w:rPr>
          <w:rFonts w:hint="default" w:ascii="Times New Roman" w:hAnsi="Times New Roman" w:eastAsia="宋体" w:cs="Times New Roman"/>
          <w:color w:val="auto"/>
          <w:sz w:val="24"/>
          <w:szCs w:val="24"/>
        </w:rPr>
        <w:t>）《全国动物物种资源调查技术规定（试行）》（公告2010年第27号）；</w:t>
      </w:r>
    </w:p>
    <w:p>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color w:val="auto"/>
          <w:kern w:val="2"/>
          <w:sz w:val="24"/>
          <w:szCs w:val="24"/>
          <w:lang w:val="en-US" w:eastAsia="zh-CN" w:bidi="ar-SA"/>
        </w:rPr>
      </w:pPr>
      <w:r>
        <w:rPr>
          <w:rFonts w:hint="eastAsia" w:ascii="Times New Roman" w:hAnsi="Times New Roman" w:eastAsia="宋体" w:cs="Times New Roman"/>
          <w:b/>
          <w:color w:val="auto"/>
          <w:kern w:val="2"/>
          <w:sz w:val="24"/>
          <w:szCs w:val="24"/>
          <w:lang w:val="en-US" w:eastAsia="zh-CN" w:bidi="ar-SA"/>
        </w:rPr>
        <w:t>1.4.5相关技术材料</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华容县团洲垸灾后重建安置房建设项目可行性研究报告</w:t>
      </w:r>
      <w:r>
        <w:rPr>
          <w:rFonts w:hint="default" w:ascii="Times New Roman" w:hAnsi="Times New Roman" w:eastAsia="宋体" w:cs="Times New Roman"/>
          <w:color w:val="auto"/>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2</w:t>
      </w:r>
      <w:r>
        <w:rPr>
          <w:rFonts w:hint="eastAsia" w:ascii="Times New Roman" w:hAnsi="Times New Roman" w:eastAsia="宋体" w:cs="Times New Roman"/>
          <w:color w:val="auto"/>
          <w:sz w:val="24"/>
          <w:szCs w:val="24"/>
          <w:lang w:val="en-US" w:eastAsia="zh-CN"/>
        </w:rPr>
        <w:t>）华容县发展和改革局“关于同意变更华容县团洲垸灾后重建安置房建设项目可行性研究报告的批复”</w:t>
      </w:r>
      <w:r>
        <w:rPr>
          <w:rFonts w:hint="default" w:ascii="Times New Roman" w:hAnsi="Times New Roman" w:eastAsia="宋体" w:cs="Times New Roman"/>
          <w:color w:val="auto"/>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项目建设单位提供的其他相关资料。</w:t>
      </w:r>
    </w:p>
    <w:p>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color w:val="auto"/>
          <w:kern w:val="2"/>
          <w:sz w:val="24"/>
          <w:szCs w:val="24"/>
          <w:lang w:val="en-US" w:eastAsia="zh-CN" w:bidi="ar-SA"/>
        </w:rPr>
      </w:pPr>
      <w:r>
        <w:rPr>
          <w:rFonts w:hint="default" w:ascii="Times New Roman" w:hAnsi="Times New Roman" w:eastAsia="宋体" w:cs="Times New Roman"/>
          <w:b/>
          <w:color w:val="auto"/>
          <w:kern w:val="2"/>
          <w:sz w:val="24"/>
          <w:szCs w:val="24"/>
          <w:lang w:val="en-US" w:eastAsia="zh-CN" w:bidi="ar-SA"/>
        </w:rPr>
        <w:t>1.</w:t>
      </w:r>
      <w:r>
        <w:rPr>
          <w:rFonts w:hint="eastAsia" w:ascii="Times New Roman" w:hAnsi="Times New Roman" w:eastAsia="宋体" w:cs="Times New Roman"/>
          <w:b/>
          <w:color w:val="auto"/>
          <w:kern w:val="2"/>
          <w:sz w:val="24"/>
          <w:szCs w:val="24"/>
          <w:lang w:val="en-US" w:eastAsia="zh-CN" w:bidi="ar-SA"/>
        </w:rPr>
        <w:t>4</w:t>
      </w:r>
      <w:r>
        <w:rPr>
          <w:rFonts w:hint="default" w:ascii="Times New Roman" w:hAnsi="Times New Roman" w:eastAsia="宋体" w:cs="Times New Roman"/>
          <w:b/>
          <w:color w:val="auto"/>
          <w:kern w:val="2"/>
          <w:sz w:val="24"/>
          <w:szCs w:val="24"/>
          <w:lang w:val="en-US" w:eastAsia="zh-CN" w:bidi="ar-SA"/>
        </w:rPr>
        <w:t>.6参考资料</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（1）《中国植被》（科学出版社，1980年）；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（2）《中国植物志》（科学出版社，1959-2004年）；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（3）《中国高等植物图鉴》（科学出版社，1972-1983年）；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（4）《中国动物地理区划》（科学出版社，2011年）；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（5）《中国动物志》（两栖纲、爬行纲、鸟纲、哺乳纲）（科学出版社，1978-2009年）；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（6）《中国两栖动物图鉴》（费梁，1999年）；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（7）《中国两栖纲和爬行纲动物校正名录》（赵尔宓，张学文等，2000年）；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（8）《中国爬行动物图鉴》（中国野生动物保护协会，2002年）；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（9）《中国鸟类图鉴》（中国野生动物保护协会，1995年）；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（10）《中国鸟类分类与分布名录（第二版）》（科学出版社，2011年）；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（11）《中国兽类野外手册》（湖南教育出版社，2009年）；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（12）《中国哺乳动物种和亚种分类名录与分布大全》（中国林业出版社，2003年）；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（13）《中国珍稀濒危保护植物名录（第一册）》（1987年2月）；</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（14）《中国濒危珍惜动物名录》（2010年10月15日）；</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（15）《国家重点保护野生植物名录》（2021年8月7日施行）；</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（16）《国家重点保护野生动物名录》（2021年2月5日修订）。</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（17）《湖南省地方重点保护野生动物名录》（2002年9月修订）；</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（18）《湖南省地方重点保护野生植物名录》（2002年9月修订）；</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（19）《湖南植被》（湖南科学技术出版社，1990年）；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（20）《湖南植物志》（湖南科学技术出版社，2000年）；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（21）《湖南树木志》（湖南科技出版社，2000年）；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（22）《湖南种子植物总览》（湖南科学技术出版，2002年）；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（23）《湖南动物志·两栖纲》（湖南科学技术出版社，2014年）；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（24）《湖南动物志·爬行纲》（湖南科学技术出版社，2014年）；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（25）《湖南动物志·鸟纲雀形目》（湖南科学技术出版社，2013年）；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（26）《湖南省野生动物资源概况》（张启湘，易伐桂，1996年）；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（27）《湖南省爬行动物区系与地理区划》（邓学建，叶贻云，1998年）；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（28）《湖南省生物多样性调查和评价研究报告》（长沙环境保护职业技术学院，2010年1月）；</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（29）《湖南省鸟类迁徙通道示意图》（邓学建）；</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（30）《我国森林植被的生物量和净生产量》（方精云，刘国华，徐蒿龄，1996年）。</w:t>
      </w:r>
    </w:p>
    <w:p>
      <w:pPr>
        <w:keepNext/>
        <w:widowControl w:val="0"/>
        <w:adjustRightInd w:val="0"/>
        <w:snapToGrid w:val="0"/>
        <w:spacing w:line="360" w:lineRule="auto"/>
        <w:ind w:firstLine="0" w:firstLineChars="0"/>
        <w:jc w:val="both"/>
        <w:outlineLvl w:val="1"/>
        <w:rPr>
          <w:rFonts w:ascii="Times New Roman" w:hAnsi="Times New Roman" w:eastAsia="宋体" w:cs="Times New Roman"/>
          <w:b/>
          <w:color w:val="auto"/>
          <w:kern w:val="2"/>
          <w:sz w:val="24"/>
          <w:szCs w:val="28"/>
          <w:lang w:val="en-US" w:eastAsia="zh-CN" w:bidi="ar-SA"/>
        </w:rPr>
      </w:pPr>
      <w:bookmarkStart w:id="173" w:name="_Toc12531"/>
      <w:bookmarkStart w:id="174" w:name="_Toc2781"/>
      <w:bookmarkStart w:id="175" w:name="_Toc25138"/>
      <w:bookmarkStart w:id="176" w:name="_Toc21178"/>
      <w:bookmarkStart w:id="177" w:name="_Toc28262"/>
      <w:bookmarkStart w:id="178" w:name="_Toc13123"/>
      <w:bookmarkStart w:id="179" w:name="_Toc7522"/>
      <w:bookmarkStart w:id="180" w:name="_Toc1968"/>
      <w:bookmarkStart w:id="181" w:name="_Toc25026"/>
      <w:bookmarkStart w:id="182" w:name="_Toc31579"/>
      <w:bookmarkStart w:id="183" w:name="_Toc29023"/>
      <w:bookmarkStart w:id="184" w:name="_Toc5241"/>
      <w:r>
        <w:rPr>
          <w:rFonts w:ascii="Times New Roman" w:hAnsi="Times New Roman" w:eastAsia="宋体" w:cs="Times New Roman"/>
          <w:b/>
          <w:bCs/>
          <w:color w:val="auto"/>
          <w:kern w:val="2"/>
          <w:sz w:val="28"/>
          <w:szCs w:val="28"/>
          <w:lang w:val="en-US" w:eastAsia="zh-CN" w:bidi="ar-SA"/>
        </w:rPr>
        <w:t>1.5生态环境评价工作等级及范围</w:t>
      </w:r>
      <w:bookmarkEnd w:id="173"/>
      <w:bookmarkEnd w:id="174"/>
      <w:bookmarkEnd w:id="175"/>
      <w:bookmarkEnd w:id="176"/>
      <w:bookmarkEnd w:id="177"/>
      <w:bookmarkEnd w:id="178"/>
      <w:bookmarkEnd w:id="179"/>
      <w:bookmarkEnd w:id="180"/>
      <w:bookmarkEnd w:id="181"/>
      <w:bookmarkEnd w:id="182"/>
      <w:bookmarkEnd w:id="183"/>
      <w:bookmarkEnd w:id="184"/>
    </w:p>
    <w:p>
      <w:pPr>
        <w:keepNext/>
        <w:widowControl w:val="0"/>
        <w:adjustRightInd w:val="0"/>
        <w:snapToGrid w:val="0"/>
        <w:spacing w:line="360" w:lineRule="auto"/>
        <w:ind w:firstLine="0" w:firstLineChars="0"/>
        <w:jc w:val="both"/>
        <w:outlineLvl w:val="2"/>
        <w:rPr>
          <w:rFonts w:ascii="Times New Roman" w:hAnsi="Times New Roman" w:eastAsia="宋体" w:cs="Times New Roman"/>
          <w:b/>
          <w:color w:val="auto"/>
          <w:kern w:val="2"/>
          <w:sz w:val="24"/>
          <w:szCs w:val="24"/>
          <w:lang w:val="en-US" w:eastAsia="zh-CN" w:bidi="ar-SA"/>
        </w:rPr>
      </w:pPr>
      <w:bookmarkStart w:id="185" w:name="_Toc22349"/>
      <w:bookmarkStart w:id="186" w:name="_Toc5193"/>
      <w:bookmarkStart w:id="187" w:name="_Toc27738"/>
      <w:bookmarkStart w:id="188" w:name="_Toc30661"/>
      <w:bookmarkStart w:id="189" w:name="_Toc18529"/>
      <w:bookmarkStart w:id="190" w:name="_Toc27312"/>
      <w:bookmarkStart w:id="191" w:name="_Toc6365"/>
      <w:bookmarkStart w:id="192" w:name="_Toc19091"/>
      <w:r>
        <w:rPr>
          <w:rFonts w:ascii="Times New Roman" w:hAnsi="Times New Roman" w:eastAsia="宋体" w:cs="Times New Roman"/>
          <w:b/>
          <w:color w:val="auto"/>
          <w:kern w:val="2"/>
          <w:sz w:val="24"/>
          <w:szCs w:val="24"/>
          <w:lang w:val="en-US" w:eastAsia="zh-CN" w:bidi="ar-SA"/>
        </w:rPr>
        <w:t>1.5.1评价工作等级</w:t>
      </w:r>
      <w:bookmarkEnd w:id="185"/>
      <w:bookmarkEnd w:id="186"/>
      <w:bookmarkEnd w:id="187"/>
      <w:bookmarkEnd w:id="188"/>
      <w:bookmarkEnd w:id="189"/>
      <w:bookmarkEnd w:id="190"/>
      <w:bookmarkEnd w:id="191"/>
      <w:bookmarkEnd w:id="192"/>
    </w:p>
    <w:p>
      <w:pPr>
        <w:widowControl/>
        <w:adjustRightInd/>
        <w:snapToGrid/>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根据《环境影响评价技术导则-生态影响》（HJ19-2022），依据建设项目影响区域的生态敏感性和影响程度判定生态影响评价等级。</w:t>
      </w:r>
    </w:p>
    <w:p>
      <w:pPr>
        <w:autoSpaceDE w:val="0"/>
        <w:autoSpaceDN w:val="0"/>
        <w:adjustRightInd/>
        <w:snapToGrid/>
        <w:spacing w:line="240" w:lineRule="auto"/>
        <w:ind w:firstLine="0" w:firstLineChars="0"/>
        <w:jc w:val="center"/>
        <w:rPr>
          <w:rFonts w:hint="default" w:ascii="Times New Roman" w:hAnsi="Times New Roman" w:eastAsia="宋体" w:cs="Times New Roman"/>
          <w:b/>
          <w:bCs/>
          <w:iCs/>
          <w:color w:val="auto"/>
          <w:sz w:val="21"/>
          <w:szCs w:val="16"/>
        </w:rPr>
      </w:pPr>
      <w:r>
        <w:rPr>
          <w:rFonts w:hint="default" w:ascii="Times New Roman" w:hAnsi="Times New Roman" w:eastAsia="宋体" w:cs="Times New Roman"/>
          <w:b/>
          <w:bCs/>
          <w:iCs/>
          <w:color w:val="auto"/>
          <w:sz w:val="21"/>
          <w:szCs w:val="16"/>
        </w:rPr>
        <w:t>表1.</w:t>
      </w:r>
      <w:r>
        <w:rPr>
          <w:rFonts w:hint="eastAsia" w:ascii="Times New Roman" w:hAnsi="Times New Roman" w:eastAsia="宋体" w:cs="Times New Roman"/>
          <w:b/>
          <w:bCs/>
          <w:iCs/>
          <w:color w:val="auto"/>
          <w:sz w:val="21"/>
          <w:szCs w:val="16"/>
          <w:lang w:val="en-US" w:eastAsia="zh-CN"/>
        </w:rPr>
        <w:t>5</w:t>
      </w:r>
      <w:r>
        <w:rPr>
          <w:rFonts w:hint="default" w:ascii="Times New Roman" w:hAnsi="Times New Roman" w:eastAsia="宋体" w:cs="Times New Roman"/>
          <w:b/>
          <w:bCs/>
          <w:iCs/>
          <w:color w:val="auto"/>
          <w:sz w:val="21"/>
          <w:szCs w:val="16"/>
        </w:rPr>
        <w:t>-1</w:t>
      </w:r>
      <w:r>
        <w:rPr>
          <w:rFonts w:hint="eastAsia" w:ascii="Times New Roman" w:hAnsi="Times New Roman" w:eastAsia="宋体" w:cs="Times New Roman"/>
          <w:b/>
          <w:bCs/>
          <w:iCs/>
          <w:color w:val="auto"/>
          <w:sz w:val="21"/>
          <w:szCs w:val="16"/>
          <w:lang w:val="en-US" w:eastAsia="zh-CN"/>
        </w:rPr>
        <w:t xml:space="preserve">  </w:t>
      </w:r>
      <w:r>
        <w:rPr>
          <w:rFonts w:hint="default" w:ascii="Times New Roman" w:hAnsi="Times New Roman" w:eastAsia="宋体" w:cs="Times New Roman"/>
          <w:b/>
          <w:bCs/>
          <w:iCs/>
          <w:color w:val="auto"/>
          <w:sz w:val="21"/>
          <w:szCs w:val="16"/>
        </w:rPr>
        <w:t>生态影响评价工作等级划分表</w:t>
      </w:r>
    </w:p>
    <w:tbl>
      <w:tblPr>
        <w:tblStyle w:val="22"/>
        <w:tblW w:w="4999"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1193"/>
        <w:gridCol w:w="6199"/>
        <w:gridCol w:w="1128"/>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70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color w:val="auto"/>
                <w:sz w:val="21"/>
                <w:szCs w:val="21"/>
                <w:u w:val="none"/>
                <w:lang w:val="en-US" w:eastAsia="zh-CN" w:bidi="ar"/>
              </w:rPr>
              <w:t>评价等级</w:t>
            </w:r>
          </w:p>
        </w:tc>
        <w:tc>
          <w:tcPr>
            <w:tcW w:w="363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color w:val="auto"/>
                <w:sz w:val="21"/>
                <w:szCs w:val="21"/>
                <w:u w:val="none"/>
                <w:lang w:val="en-US" w:eastAsia="zh-CN" w:bidi="ar"/>
              </w:rPr>
              <w:t>判定内容</w:t>
            </w:r>
          </w:p>
        </w:tc>
        <w:tc>
          <w:tcPr>
            <w:tcW w:w="66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color w:val="auto"/>
                <w:sz w:val="21"/>
                <w:szCs w:val="21"/>
                <w:u w:val="none"/>
                <w:lang w:val="en-US" w:eastAsia="zh-CN" w:bidi="ar"/>
              </w:rPr>
              <w:t>备注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70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color w:val="auto"/>
                <w:sz w:val="21"/>
                <w:szCs w:val="21"/>
                <w:u w:val="none"/>
                <w:lang w:val="en-US" w:eastAsia="zh-CN" w:bidi="ar"/>
              </w:rPr>
              <w:t>一级</w:t>
            </w:r>
          </w:p>
        </w:tc>
        <w:tc>
          <w:tcPr>
            <w:tcW w:w="363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color w:val="auto"/>
                <w:sz w:val="21"/>
                <w:szCs w:val="21"/>
                <w:u w:val="none"/>
                <w:lang w:val="en-US" w:eastAsia="zh-CN" w:bidi="ar"/>
              </w:rPr>
              <w:t>涉及国家公园、自然保护区、世界自然遗产、重要生境时</w:t>
            </w:r>
          </w:p>
        </w:tc>
        <w:tc>
          <w:tcPr>
            <w:tcW w:w="66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color w:val="auto"/>
                <w:sz w:val="21"/>
                <w:szCs w:val="21"/>
                <w:u w:val="none"/>
                <w:lang w:val="en-US" w:eastAsia="zh-CN" w:bidi="ar"/>
              </w:rPr>
              <w:t>涉及</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70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color w:val="auto"/>
                <w:sz w:val="21"/>
                <w:szCs w:val="21"/>
                <w:u w:val="none"/>
                <w:lang w:val="en-US" w:eastAsia="zh-CN" w:bidi="ar"/>
              </w:rPr>
              <w:t>二级</w:t>
            </w:r>
          </w:p>
        </w:tc>
        <w:tc>
          <w:tcPr>
            <w:tcW w:w="363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color w:val="auto"/>
                <w:sz w:val="21"/>
                <w:szCs w:val="21"/>
                <w:u w:val="none"/>
                <w:lang w:val="en-US" w:eastAsia="zh-CN" w:bidi="ar"/>
              </w:rPr>
              <w:t>涉及自然公园</w:t>
            </w:r>
          </w:p>
        </w:tc>
        <w:tc>
          <w:tcPr>
            <w:tcW w:w="66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lang w:val="en-US"/>
              </w:rPr>
            </w:pPr>
            <w:r>
              <w:rPr>
                <w:rFonts w:hint="default" w:ascii="Times New Roman" w:hAnsi="Times New Roman" w:eastAsia="宋体" w:cs="Times New Roman"/>
                <w:color w:val="auto"/>
                <w:sz w:val="21"/>
                <w:szCs w:val="21"/>
                <w:u w:val="none"/>
                <w:lang w:val="en-US" w:eastAsia="zh-CN" w:bidi="ar"/>
              </w:rPr>
              <w:t>不涉及</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401" w:hRule="atLeast"/>
          <w:jc w:val="center"/>
        </w:trPr>
        <w:tc>
          <w:tcPr>
            <w:tcW w:w="70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color w:val="auto"/>
                <w:sz w:val="21"/>
                <w:szCs w:val="21"/>
                <w:u w:val="none"/>
                <w:lang w:val="en-US" w:eastAsia="zh-CN" w:bidi="ar"/>
              </w:rPr>
              <w:t>不低于二级</w:t>
            </w:r>
          </w:p>
        </w:tc>
        <w:tc>
          <w:tcPr>
            <w:tcW w:w="363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color w:val="auto"/>
                <w:sz w:val="21"/>
                <w:szCs w:val="21"/>
                <w:u w:val="none"/>
                <w:lang w:val="en-US" w:eastAsia="zh-CN" w:bidi="ar"/>
              </w:rPr>
              <w:t>①涉及生态保护红线时；②根据HJ2.3判断属于水文要素影响型且地表水评价等级不低于二级的建设项目；③根据HJ610、HJ964判断地下水水位或土壤影响范围内分布有天然林、公益林、湿地等生态保护目标的建设项目；④当工程占地规模大于20km²时(包括永久和临时占用陆域和水域)。</w:t>
            </w:r>
          </w:p>
        </w:tc>
        <w:tc>
          <w:tcPr>
            <w:tcW w:w="66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color w:val="auto"/>
                <w:sz w:val="21"/>
                <w:szCs w:val="21"/>
                <w:u w:val="none"/>
                <w:lang w:val="en-US" w:eastAsia="zh-CN" w:bidi="ar"/>
              </w:rPr>
              <w:t>不涉及</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70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color w:val="auto"/>
                <w:sz w:val="21"/>
                <w:szCs w:val="21"/>
                <w:u w:val="none"/>
                <w:lang w:val="en-US" w:eastAsia="zh-CN" w:bidi="ar"/>
              </w:rPr>
              <w:t>三级</w:t>
            </w:r>
          </w:p>
        </w:tc>
        <w:tc>
          <w:tcPr>
            <w:tcW w:w="363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color w:val="auto"/>
                <w:sz w:val="21"/>
                <w:szCs w:val="21"/>
                <w:u w:val="none"/>
                <w:lang w:val="en-US" w:eastAsia="zh-CN" w:bidi="ar"/>
              </w:rPr>
              <w:t>以上之外的</w:t>
            </w:r>
          </w:p>
        </w:tc>
        <w:tc>
          <w:tcPr>
            <w:tcW w:w="66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eastAsia" w:ascii="Times New Roman" w:hAnsi="Times New Roman" w:eastAsia="宋体" w:cs="Times New Roman"/>
                <w:color w:val="auto"/>
                <w:lang w:val="en-US" w:eastAsia="zh-CN"/>
              </w:rPr>
              <w:t>涉及湖南东洞庭湖国家级自然保护区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70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color w:val="auto"/>
                <w:sz w:val="21"/>
                <w:szCs w:val="21"/>
                <w:u w:val="none"/>
                <w:lang w:val="en-US" w:eastAsia="zh-CN" w:bidi="ar"/>
              </w:rPr>
              <w:t>说明</w:t>
            </w:r>
          </w:p>
        </w:tc>
        <w:tc>
          <w:tcPr>
            <w:tcW w:w="363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color w:val="auto"/>
                <w:sz w:val="21"/>
                <w:szCs w:val="21"/>
                <w:u w:val="none"/>
                <w:lang w:val="en-US" w:eastAsia="zh-CN" w:bidi="ar"/>
              </w:rPr>
              <w:t>①改扩建项目的占地范围以新增占地(包括陆域和水域)确定；②当评价等级判定同时符合上述多种情况时，应采用其中最高的评价等级；③建设项目涉及经论证对保护生物多样性具有重要意义的区域时，可适当上调评价等级。④建设项目同时涉及陆生、水生生态影响时，可针对陆生生态、水生生态分别判定评价等级。⑤在矿山开采可能导致矿区土地利用类型明显改变，或拦河闸坝建设可能明显改变水文情势等情况下，评价等级应上调一级。⑥线性工程可分段确定评价等级。线性工程地下穿越或地表跨越生态敏感区，在生态敏感区范围内无永久、临时占地时，评价等级可下调一级。⑦涉海工程评价等级判定参照GB/T19485。</w:t>
            </w:r>
          </w:p>
        </w:tc>
        <w:tc>
          <w:tcPr>
            <w:tcW w:w="66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color w:val="auto"/>
                <w:sz w:val="21"/>
                <w:szCs w:val="21"/>
                <w:u w:val="none"/>
                <w:lang w:val="en-US" w:eastAsia="zh-CN" w:bidi="ar"/>
              </w:rPr>
              <w:t>不涉及</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70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color w:val="auto"/>
                <w:sz w:val="21"/>
                <w:szCs w:val="21"/>
                <w:u w:val="none"/>
                <w:lang w:val="en-US" w:eastAsia="zh-CN" w:bidi="ar"/>
              </w:rPr>
              <w:t>简单分析</w:t>
            </w:r>
          </w:p>
        </w:tc>
        <w:tc>
          <w:tcPr>
            <w:tcW w:w="363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color w:val="auto"/>
                <w:sz w:val="21"/>
                <w:szCs w:val="21"/>
                <w:u w:val="none"/>
                <w:lang w:val="en-US" w:eastAsia="zh-CN" w:bidi="ar"/>
              </w:rPr>
              <w:t>符合生态环境分区管控要求且位于原厂界(或永久用地)范围内的污染影响类改扩建项目，位于已批准规划环评的产业园区内且符合规划环评要求、不涉及生态敏感区的污染影响类建设项目，可不确定评价等级，直接进行生态影响简单分析。</w:t>
            </w:r>
          </w:p>
        </w:tc>
        <w:tc>
          <w:tcPr>
            <w:tcW w:w="66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lang w:val="en-US"/>
              </w:rPr>
            </w:pPr>
            <w:r>
              <w:rPr>
                <w:rFonts w:hint="default" w:ascii="Times New Roman" w:hAnsi="Times New Roman" w:eastAsia="宋体" w:cs="Times New Roman"/>
                <w:color w:val="auto"/>
                <w:sz w:val="21"/>
                <w:szCs w:val="21"/>
                <w:u w:val="none"/>
                <w:lang w:val="en-US" w:eastAsia="zh-CN" w:bidi="ar"/>
              </w:rPr>
              <w:t>不</w:t>
            </w:r>
            <w:r>
              <w:rPr>
                <w:rFonts w:hint="eastAsia" w:eastAsia="宋体" w:cs="Times New Roman"/>
                <w:color w:val="auto"/>
                <w:sz w:val="21"/>
                <w:szCs w:val="21"/>
                <w:u w:val="none"/>
                <w:lang w:val="en-US" w:eastAsia="zh-CN" w:bidi="ar"/>
              </w:rPr>
              <w:t>涉及</w:t>
            </w:r>
          </w:p>
        </w:tc>
      </w:tr>
    </w:tbl>
    <w:p>
      <w:pPr>
        <w:widowControl/>
        <w:adjustRightInd/>
        <w:snapToGrid/>
        <w:spacing w:line="360" w:lineRule="auto"/>
        <w:ind w:firstLine="480" w:firstLineChars="200"/>
        <w:rPr>
          <w:rFonts w:hint="eastAsia" w:ascii="Times New Roman" w:hAnsi="Times New Roman" w:eastAsia="宋体" w:cs="Times New Roman"/>
          <w:color w:val="auto"/>
          <w:sz w:val="24"/>
          <w:lang w:val="en-US" w:eastAsia="zh-CN"/>
        </w:rPr>
      </w:pPr>
      <w:bookmarkStart w:id="193" w:name="_Toc20371"/>
      <w:bookmarkStart w:id="194" w:name="_Toc30108"/>
      <w:bookmarkStart w:id="195" w:name="_Toc11056"/>
      <w:bookmarkStart w:id="196" w:name="_Toc17614"/>
      <w:bookmarkStart w:id="197" w:name="_Toc28868"/>
      <w:bookmarkStart w:id="198" w:name="_Toc27736"/>
      <w:bookmarkStart w:id="199" w:name="_Toc10823"/>
      <w:bookmarkStart w:id="200" w:name="_Toc18736"/>
      <w:r>
        <w:rPr>
          <w:rFonts w:hint="eastAsia" w:ascii="Times New Roman" w:hAnsi="Times New Roman" w:eastAsia="宋体" w:cs="Times New Roman"/>
          <w:color w:val="auto"/>
          <w:sz w:val="24"/>
          <w:lang w:val="en-US" w:eastAsia="zh-CN"/>
        </w:rPr>
        <w:t>根据HJ19-2022关于生态环境影响评价工作等级的划分，本项目生态环境影响评价等级应设定为一级。但参照《关于印发《涉及国家级自然保护区建设项目生态影响专题报告编制指南(试行)》的通知》(环办函[2014]1419号)“对于在国家级自然保护区范围内，生态影响较小，需要按照相关法规要求进行环境影响评价且编制环境影响报告表的建设项目，其《专题报告》应参照本指南并可适当简化。”由于本项目环评编制环境影响报告表，生态环境影响小，且本项目区域位于湖南东洞庭湖国家级自然保护区</w:t>
      </w:r>
      <w:r>
        <w:rPr>
          <w:rFonts w:hint="eastAsia" w:cs="Times New Roman"/>
          <w:color w:val="auto"/>
          <w:sz w:val="24"/>
          <w:lang w:val="en-US" w:eastAsia="zh-CN"/>
        </w:rPr>
        <w:t>整合优化后的边界范围外</w:t>
      </w:r>
      <w:r>
        <w:rPr>
          <w:rFonts w:hint="eastAsia" w:ascii="Times New Roman" w:hAnsi="Times New Roman" w:eastAsia="宋体" w:cs="Times New Roman"/>
          <w:color w:val="auto"/>
          <w:sz w:val="24"/>
          <w:lang w:val="en-US" w:eastAsia="zh-CN"/>
        </w:rPr>
        <w:t>，根据现场调查，项目周边均为农村生态系统，实际为</w:t>
      </w:r>
      <w:r>
        <w:rPr>
          <w:rFonts w:hint="eastAsia" w:cs="Times New Roman"/>
          <w:color w:val="auto"/>
          <w:sz w:val="24"/>
          <w:lang w:val="en-US" w:eastAsia="zh-CN"/>
        </w:rPr>
        <w:t>城镇</w:t>
      </w:r>
      <w:r>
        <w:rPr>
          <w:rFonts w:hint="eastAsia" w:ascii="Times New Roman" w:hAnsi="Times New Roman" w:eastAsia="宋体" w:cs="Times New Roman"/>
          <w:color w:val="auto"/>
          <w:sz w:val="24"/>
          <w:lang w:val="en-US" w:eastAsia="zh-CN"/>
        </w:rPr>
        <w:t>建成区域，生态环境实际并不敏感，所以</w:t>
      </w:r>
      <w:r>
        <w:rPr>
          <w:rFonts w:hint="eastAsia" w:cs="Times New Roman"/>
          <w:color w:val="auto"/>
          <w:sz w:val="24"/>
          <w:lang w:val="en-US" w:eastAsia="zh-CN"/>
        </w:rPr>
        <w:t>本次生态环境影响分析在参照</w:t>
      </w:r>
      <w:r>
        <w:rPr>
          <w:rFonts w:ascii="Times New Roman" w:hAnsi="Times New Roman" w:eastAsia="宋体" w:cs="Times New Roman"/>
          <w:color w:val="auto"/>
          <w:sz w:val="24"/>
        </w:rPr>
        <w:t>《环境影响评价技术导则-生态影响》（HJ19-2022）</w:t>
      </w:r>
      <w:r>
        <w:rPr>
          <w:rFonts w:hint="eastAsia" w:cs="Times New Roman"/>
          <w:color w:val="auto"/>
          <w:sz w:val="24"/>
          <w:lang w:val="en-US" w:eastAsia="zh-CN"/>
        </w:rPr>
        <w:t>的基础上适当简化</w:t>
      </w:r>
      <w:r>
        <w:rPr>
          <w:rFonts w:hint="eastAsia" w:ascii="Times New Roman" w:hAnsi="Times New Roman" w:eastAsia="宋体" w:cs="Times New Roman"/>
          <w:color w:val="auto"/>
          <w:sz w:val="24"/>
          <w:lang w:val="en-US" w:eastAsia="zh-CN"/>
        </w:rPr>
        <w:t>。</w:t>
      </w:r>
    </w:p>
    <w:p>
      <w:pPr>
        <w:keepNext/>
        <w:widowControl w:val="0"/>
        <w:adjustRightInd w:val="0"/>
        <w:snapToGrid w:val="0"/>
        <w:spacing w:line="360" w:lineRule="auto"/>
        <w:ind w:firstLine="0" w:firstLineChars="0"/>
        <w:jc w:val="both"/>
        <w:outlineLvl w:val="2"/>
        <w:rPr>
          <w:rFonts w:ascii="Times New Roman" w:hAnsi="Times New Roman" w:eastAsia="宋体" w:cs="Times New Roman"/>
          <w:b/>
          <w:color w:val="auto"/>
          <w:kern w:val="2"/>
          <w:sz w:val="24"/>
          <w:szCs w:val="24"/>
          <w:lang w:val="en-US" w:eastAsia="zh-CN" w:bidi="ar-SA"/>
        </w:rPr>
      </w:pPr>
      <w:r>
        <w:rPr>
          <w:rFonts w:ascii="Times New Roman" w:hAnsi="Times New Roman" w:eastAsia="宋体" w:cs="Times New Roman"/>
          <w:b/>
          <w:color w:val="auto"/>
          <w:kern w:val="2"/>
          <w:sz w:val="24"/>
          <w:szCs w:val="24"/>
          <w:lang w:val="en-US" w:eastAsia="zh-CN" w:bidi="ar-SA"/>
        </w:rPr>
        <w:t>1.5.2评价范围</w:t>
      </w:r>
      <w:bookmarkEnd w:id="193"/>
      <w:bookmarkEnd w:id="194"/>
      <w:bookmarkEnd w:id="195"/>
      <w:bookmarkEnd w:id="196"/>
      <w:bookmarkEnd w:id="197"/>
      <w:bookmarkEnd w:id="198"/>
      <w:bookmarkEnd w:id="199"/>
      <w:bookmarkEnd w:id="200"/>
      <w:r>
        <w:rPr>
          <w:rFonts w:hint="eastAsia" w:ascii="Times New Roman" w:hAnsi="Times New Roman" w:eastAsia="宋体" w:cs="Times New Roman"/>
          <w:b/>
          <w:color w:val="auto"/>
          <w:kern w:val="2"/>
          <w:sz w:val="24"/>
          <w:szCs w:val="24"/>
          <w:lang w:val="en-US" w:eastAsia="zh-CN" w:bidi="ar-SA"/>
        </w:rPr>
        <w:t>和时段</w:t>
      </w:r>
    </w:p>
    <w:p>
      <w:pPr>
        <w:widowControl/>
        <w:adjustRightInd/>
        <w:snapToGrid/>
        <w:spacing w:line="360" w:lineRule="auto"/>
        <w:ind w:firstLine="480" w:firstLineChars="200"/>
        <w:rPr>
          <w:rFonts w:hint="eastAsia" w:ascii="Times New Roman" w:hAnsi="Times New Roman" w:eastAsia="宋体" w:cs="Times New Roman"/>
          <w:color w:val="auto"/>
          <w:sz w:val="24"/>
          <w:u w:val="single"/>
        </w:rPr>
      </w:pPr>
      <w:r>
        <w:rPr>
          <w:rFonts w:ascii="Times New Roman" w:hAnsi="Times New Roman" w:eastAsia="宋体" w:cs="Times New Roman"/>
          <w:color w:val="auto"/>
          <w:sz w:val="24"/>
        </w:rPr>
        <w:t>根据《环境影响评价技术导则-生态影响》（HJ19-2022），生态影响评价范围应能够重复体现生态完整性，涵盖评价项目全部活动的直接影响区域和间接影响区域。本项目</w:t>
      </w:r>
      <w:r>
        <w:rPr>
          <w:rFonts w:hint="eastAsia" w:ascii="Times New Roman" w:hAnsi="Times New Roman" w:eastAsia="宋体" w:cs="Times New Roman"/>
          <w:color w:val="auto"/>
          <w:sz w:val="24"/>
          <w:lang w:eastAsia="zh-CN"/>
        </w:rPr>
        <w:t>为</w:t>
      </w:r>
      <w:r>
        <w:rPr>
          <w:rFonts w:hint="eastAsia" w:eastAsia="宋体" w:cs="Times New Roman"/>
          <w:color w:val="auto"/>
          <w:sz w:val="24"/>
          <w:lang w:val="en-US" w:eastAsia="zh-CN"/>
        </w:rPr>
        <w:t>房地产开发项目</w:t>
      </w:r>
      <w:r>
        <w:rPr>
          <w:rFonts w:hint="eastAsia" w:ascii="Times New Roman" w:hAnsi="Times New Roman" w:eastAsia="宋体" w:cs="Times New Roman"/>
          <w:color w:val="auto"/>
          <w:sz w:val="24"/>
          <w:lang w:eastAsia="zh-CN"/>
        </w:rPr>
        <w:t>，</w:t>
      </w:r>
      <w:r>
        <w:rPr>
          <w:rFonts w:hint="eastAsia" w:eastAsia="宋体" w:cs="Times New Roman"/>
          <w:color w:val="auto"/>
          <w:sz w:val="24"/>
          <w:lang w:val="en-US" w:eastAsia="zh-CN"/>
        </w:rPr>
        <w:t>占用地区涉及</w:t>
      </w:r>
      <w:r>
        <w:rPr>
          <w:rFonts w:hint="eastAsia" w:ascii="Times New Roman" w:hAnsi="Times New Roman" w:eastAsia="宋体" w:cs="Times New Roman"/>
          <w:color w:val="auto"/>
          <w:sz w:val="24"/>
          <w:lang w:eastAsia="zh-CN"/>
        </w:rPr>
        <w:t>生态敏感区，</w:t>
      </w:r>
      <w:r>
        <w:rPr>
          <w:rFonts w:hint="eastAsia" w:eastAsia="宋体" w:cs="Times New Roman"/>
          <w:color w:val="auto"/>
          <w:sz w:val="24"/>
          <w:lang w:val="en-US" w:eastAsia="zh-CN"/>
        </w:rPr>
        <w:t>因项目建设及运营过程中产生的污染较小，且结合项目周边生态敏感性</w:t>
      </w:r>
      <w:r>
        <w:rPr>
          <w:rFonts w:hint="eastAsia" w:ascii="Times New Roman" w:hAnsi="Times New Roman" w:eastAsia="宋体" w:cs="Times New Roman"/>
          <w:color w:val="auto"/>
          <w:sz w:val="24"/>
          <w:lang w:eastAsia="zh-CN"/>
        </w:rPr>
        <w:t>，项目评价范围确定为</w:t>
      </w:r>
      <w:r>
        <w:rPr>
          <w:rFonts w:hint="eastAsia" w:eastAsia="宋体" w:cs="Times New Roman"/>
          <w:color w:val="auto"/>
          <w:sz w:val="24"/>
          <w:lang w:val="en-US" w:eastAsia="zh-CN"/>
        </w:rPr>
        <w:t>项目占地边界外侧</w:t>
      </w:r>
      <w:r>
        <w:rPr>
          <w:rFonts w:hint="eastAsia" w:cs="Times New Roman"/>
          <w:color w:val="auto"/>
          <w:sz w:val="24"/>
          <w:lang w:val="en-US" w:eastAsia="zh-CN"/>
        </w:rPr>
        <w:t>10</w:t>
      </w:r>
      <w:r>
        <w:rPr>
          <w:rFonts w:hint="eastAsia" w:ascii="Times New Roman" w:hAnsi="Times New Roman" w:eastAsia="宋体" w:cs="Times New Roman"/>
          <w:color w:val="auto"/>
          <w:sz w:val="24"/>
          <w:lang w:eastAsia="zh-CN"/>
        </w:rPr>
        <w:t>00m以内的区域</w:t>
      </w:r>
      <w:r>
        <w:rPr>
          <w:rFonts w:hint="eastAsia" w:ascii="Times New Roman" w:hAnsi="Times New Roman" w:eastAsia="宋体" w:cs="Times New Roman"/>
          <w:color w:val="auto"/>
          <w:sz w:val="24"/>
          <w:u w:val="none"/>
        </w:rPr>
        <w:t>。</w:t>
      </w:r>
    </w:p>
    <w:p>
      <w:pPr>
        <w:widowControl/>
        <w:adjustRightInd/>
        <w:snapToGrid/>
        <w:spacing w:line="360" w:lineRule="auto"/>
        <w:ind w:firstLine="480" w:firstLineChars="200"/>
        <w:rPr>
          <w:rFonts w:hint="eastAsia" w:ascii="Times New Roman" w:hAnsi="Times New Roman" w:eastAsia="宋体" w:cs="Times New Roman"/>
          <w:color w:val="auto"/>
          <w:sz w:val="24"/>
          <w:lang w:eastAsia="zh-CN"/>
        </w:rPr>
      </w:pPr>
      <w:r>
        <w:rPr>
          <w:rFonts w:hint="eastAsia" w:ascii="Times New Roman" w:hAnsi="Times New Roman" w:eastAsia="宋体" w:cs="Times New Roman"/>
          <w:color w:val="auto"/>
          <w:sz w:val="24"/>
          <w:lang w:eastAsia="zh-CN"/>
        </w:rPr>
        <w:t>评价时段为施工期及运营期，</w:t>
      </w:r>
      <w:r>
        <w:rPr>
          <w:rFonts w:hint="eastAsia" w:ascii="Times New Roman" w:hAnsi="Times New Roman" w:eastAsia="宋体" w:cs="Times New Roman"/>
          <w:color w:val="auto"/>
          <w:sz w:val="24"/>
          <w:lang w:val="en-US" w:eastAsia="zh-CN"/>
        </w:rPr>
        <w:t>因项目已建成，对施工期主要进行回顾性评价</w:t>
      </w:r>
      <w:r>
        <w:rPr>
          <w:rFonts w:hint="eastAsia" w:ascii="Times New Roman" w:hAnsi="Times New Roman" w:eastAsia="宋体" w:cs="Times New Roman"/>
          <w:color w:val="auto"/>
          <w:sz w:val="24"/>
          <w:lang w:eastAsia="zh-CN"/>
        </w:rPr>
        <w:t>。</w:t>
      </w:r>
    </w:p>
    <w:p>
      <w:pPr>
        <w:keepNext/>
        <w:widowControl w:val="0"/>
        <w:adjustRightInd w:val="0"/>
        <w:snapToGrid w:val="0"/>
        <w:spacing w:line="360" w:lineRule="auto"/>
        <w:ind w:firstLine="0" w:firstLineChars="0"/>
        <w:jc w:val="both"/>
        <w:outlineLvl w:val="1"/>
        <w:rPr>
          <w:rFonts w:hint="eastAsia" w:ascii="Times New Roman" w:hAnsi="Times New Roman" w:eastAsia="宋体" w:cs="Times New Roman"/>
          <w:b/>
          <w:bCs/>
          <w:color w:val="auto"/>
          <w:kern w:val="2"/>
          <w:sz w:val="28"/>
          <w:szCs w:val="28"/>
          <w:lang w:val="en-US" w:eastAsia="zh-CN" w:bidi="ar-SA"/>
        </w:rPr>
      </w:pPr>
      <w:bookmarkStart w:id="201" w:name="_Toc2532"/>
      <w:bookmarkStart w:id="202" w:name="_Toc12559"/>
      <w:bookmarkStart w:id="203" w:name="_Toc5680"/>
      <w:bookmarkStart w:id="204" w:name="_Toc14067"/>
      <w:bookmarkStart w:id="205" w:name="_Toc25749"/>
      <w:bookmarkStart w:id="206" w:name="_Toc7826"/>
      <w:bookmarkStart w:id="207" w:name="_Toc28620"/>
      <w:bookmarkStart w:id="208" w:name="_Toc14248"/>
      <w:bookmarkStart w:id="209" w:name="_Toc3333"/>
      <w:bookmarkStart w:id="210" w:name="_Toc15125"/>
      <w:r>
        <w:rPr>
          <w:rFonts w:hint="eastAsia" w:ascii="Times New Roman" w:hAnsi="Times New Roman" w:eastAsia="宋体" w:cs="Times New Roman"/>
          <w:b/>
          <w:bCs/>
          <w:color w:val="auto"/>
          <w:kern w:val="2"/>
          <w:sz w:val="28"/>
          <w:szCs w:val="28"/>
          <w:lang w:val="en-US" w:eastAsia="zh-CN" w:bidi="ar-SA"/>
        </w:rPr>
        <w:t>1.6评价因子筛选及评价重点</w:t>
      </w:r>
      <w:bookmarkEnd w:id="201"/>
      <w:bookmarkEnd w:id="202"/>
      <w:bookmarkEnd w:id="203"/>
      <w:bookmarkEnd w:id="204"/>
    </w:p>
    <w:p>
      <w:pPr>
        <w:widowControl w:val="0"/>
        <w:spacing w:line="360" w:lineRule="auto"/>
        <w:ind w:firstLine="480" w:firstLineChars="200"/>
        <w:jc w:val="both"/>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根据对本项目的工程特点、周边生态环境特征、工程的环境影响要素分析和识别，筛选出主要的环境影响评价因子，详见下表。</w:t>
      </w:r>
    </w:p>
    <w:p>
      <w:pPr>
        <w:widowControl w:val="0"/>
        <w:spacing w:line="360" w:lineRule="auto"/>
        <w:ind w:firstLine="422" w:firstLineChars="200"/>
        <w:jc w:val="center"/>
        <w:rPr>
          <w:rFonts w:hint="eastAsia" w:ascii="Times New Roman" w:hAnsi="Times New Roman" w:eastAsia="宋体" w:cs="Times New Roman"/>
          <w:b/>
          <w:bCs/>
          <w:color w:val="auto"/>
          <w:kern w:val="2"/>
          <w:sz w:val="21"/>
          <w:szCs w:val="21"/>
          <w:lang w:val="en-US" w:eastAsia="zh-CN" w:bidi="ar-SA"/>
        </w:rPr>
      </w:pPr>
      <w:r>
        <w:rPr>
          <w:rFonts w:hint="eastAsia" w:ascii="Times New Roman" w:hAnsi="Times New Roman" w:eastAsia="宋体" w:cs="Times New Roman"/>
          <w:b/>
          <w:bCs/>
          <w:color w:val="auto"/>
          <w:kern w:val="2"/>
          <w:sz w:val="21"/>
          <w:szCs w:val="21"/>
          <w:lang w:val="en-US" w:eastAsia="zh-CN" w:bidi="ar-SA"/>
        </w:rPr>
        <w:t>表1.6-1  生态影响评价因子筛选表</w:t>
      </w:r>
    </w:p>
    <w:tbl>
      <w:tblPr>
        <w:tblStyle w:val="2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4"/>
        <w:gridCol w:w="1865"/>
        <w:gridCol w:w="3687"/>
        <w:gridCol w:w="866"/>
        <w:gridCol w:w="7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0" w:hRule="atLeast"/>
        </w:trPr>
        <w:tc>
          <w:tcPr>
            <w:tcW w:w="77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受影响对象</w:t>
            </w:r>
          </w:p>
        </w:tc>
        <w:tc>
          <w:tcPr>
            <w:tcW w:w="109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评价因子</w:t>
            </w:r>
          </w:p>
        </w:tc>
        <w:tc>
          <w:tcPr>
            <w:tcW w:w="216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工程内容及影响方式</w:t>
            </w:r>
          </w:p>
        </w:tc>
        <w:tc>
          <w:tcPr>
            <w:tcW w:w="50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影响</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性质</w:t>
            </w:r>
          </w:p>
        </w:tc>
        <w:tc>
          <w:tcPr>
            <w:tcW w:w="46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影响程度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7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物种</w:t>
            </w:r>
          </w:p>
        </w:tc>
        <w:tc>
          <w:tcPr>
            <w:tcW w:w="109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分布范围、种群数量、迁徙通道和迁徙地</w:t>
            </w:r>
          </w:p>
        </w:tc>
        <w:tc>
          <w:tcPr>
            <w:tcW w:w="216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施工活动和工程运行造成区域动物趋避、动植物数量减少，工程施工、运行导致个体直接死亡</w:t>
            </w:r>
          </w:p>
        </w:tc>
        <w:tc>
          <w:tcPr>
            <w:tcW w:w="50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短期/可逆</w:t>
            </w:r>
          </w:p>
        </w:tc>
        <w:tc>
          <w:tcPr>
            <w:tcW w:w="46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7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生境</w:t>
            </w:r>
          </w:p>
        </w:tc>
        <w:tc>
          <w:tcPr>
            <w:tcW w:w="109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生境面积、质量</w:t>
            </w:r>
          </w:p>
        </w:tc>
        <w:tc>
          <w:tcPr>
            <w:tcW w:w="216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工程占地包括临时、永久占地导致动植物原有生境直接破坏或丧失；工程运行对周边生境质量造成影响</w:t>
            </w:r>
          </w:p>
        </w:tc>
        <w:tc>
          <w:tcPr>
            <w:tcW w:w="50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长期/不可逆</w:t>
            </w:r>
          </w:p>
        </w:tc>
        <w:tc>
          <w:tcPr>
            <w:tcW w:w="46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0" w:hRule="atLeast"/>
        </w:trPr>
        <w:tc>
          <w:tcPr>
            <w:tcW w:w="77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生物群落</w:t>
            </w:r>
          </w:p>
        </w:tc>
        <w:tc>
          <w:tcPr>
            <w:tcW w:w="109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物种组成、群落结构等</w:t>
            </w:r>
          </w:p>
        </w:tc>
        <w:tc>
          <w:tcPr>
            <w:tcW w:w="216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施工活动引入外来植物、惊扰动物，造成区域生物群落的组成变化</w:t>
            </w:r>
          </w:p>
        </w:tc>
        <w:tc>
          <w:tcPr>
            <w:tcW w:w="50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长期/可逆</w:t>
            </w:r>
          </w:p>
        </w:tc>
        <w:tc>
          <w:tcPr>
            <w:tcW w:w="46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7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生态系统</w:t>
            </w:r>
          </w:p>
        </w:tc>
        <w:tc>
          <w:tcPr>
            <w:tcW w:w="109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植被覆盖度、生产力、生物量、生态系统功能、完整性</w:t>
            </w:r>
          </w:p>
        </w:tc>
        <w:tc>
          <w:tcPr>
            <w:tcW w:w="216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工程占地、施工活动对农林业生产、土壤及地貌的影响，破坏了区域原有生境，造成植被损失，使生物量、生产力减少，影响生态系统功能、生态系统的完整性</w:t>
            </w:r>
          </w:p>
        </w:tc>
        <w:tc>
          <w:tcPr>
            <w:tcW w:w="50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长期/不可逆</w:t>
            </w:r>
          </w:p>
        </w:tc>
        <w:tc>
          <w:tcPr>
            <w:tcW w:w="46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lang w:eastAsia="zh-CN"/>
              </w:rPr>
            </w:pPr>
            <w:r>
              <w:rPr>
                <w:rFonts w:hint="default" w:ascii="Times New Roman" w:hAnsi="Times New Roman" w:eastAsia="宋体" w:cs="Times New Roman"/>
                <w:i w:val="0"/>
                <w:iCs w:val="0"/>
                <w:color w:val="auto"/>
                <w:sz w:val="21"/>
                <w:szCs w:val="21"/>
                <w:u w:val="none"/>
                <w:lang w:eastAsia="zh-CN"/>
              </w:rPr>
              <w:t>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7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生物多样性</w:t>
            </w:r>
          </w:p>
        </w:tc>
        <w:tc>
          <w:tcPr>
            <w:tcW w:w="109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物种丰富度、均匀度、优势度</w:t>
            </w:r>
          </w:p>
        </w:tc>
        <w:tc>
          <w:tcPr>
            <w:tcW w:w="216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工程占地区开挖、建设等会扰动地表，破坏地表植物及植被，弃渣场</w:t>
            </w:r>
            <w:r>
              <w:rPr>
                <w:rFonts w:hint="eastAsia" w:eastAsia="宋体" w:cs="Times New Roman"/>
                <w:i w:val="0"/>
                <w:iCs w:val="0"/>
                <w:color w:val="auto"/>
                <w:sz w:val="21"/>
                <w:szCs w:val="21"/>
                <w:u w:val="none"/>
                <w:lang w:val="en-US" w:eastAsia="zh-CN"/>
              </w:rPr>
              <w:t>以及</w:t>
            </w:r>
            <w:r>
              <w:rPr>
                <w:rFonts w:hint="default" w:ascii="Times New Roman" w:hAnsi="Times New Roman" w:eastAsia="宋体" w:cs="Times New Roman"/>
                <w:i w:val="0"/>
                <w:iCs w:val="0"/>
                <w:color w:val="auto"/>
                <w:sz w:val="21"/>
                <w:szCs w:val="21"/>
                <w:u w:val="none"/>
              </w:rPr>
              <w:t>临时施工场地</w:t>
            </w:r>
            <w:r>
              <w:rPr>
                <w:rFonts w:hint="eastAsia" w:eastAsia="宋体" w:cs="Times New Roman"/>
                <w:i w:val="0"/>
                <w:iCs w:val="0"/>
                <w:color w:val="auto"/>
                <w:sz w:val="21"/>
                <w:szCs w:val="21"/>
                <w:u w:val="none"/>
                <w:lang w:eastAsia="zh-CN"/>
              </w:rPr>
              <w:t>（</w:t>
            </w:r>
            <w:r>
              <w:rPr>
                <w:rFonts w:hint="eastAsia" w:eastAsia="宋体" w:cs="Times New Roman"/>
                <w:i w:val="0"/>
                <w:iCs w:val="0"/>
                <w:color w:val="auto"/>
                <w:sz w:val="21"/>
                <w:szCs w:val="21"/>
                <w:u w:val="none"/>
                <w:lang w:val="en-US" w:eastAsia="zh-CN"/>
              </w:rPr>
              <w:t>本项目弃渣场以及临时是哦干场地均设置于项目用地红线范围内，目前已恢复为绿化用地</w:t>
            </w:r>
            <w:r>
              <w:rPr>
                <w:rFonts w:hint="eastAsia" w:eastAsia="宋体" w:cs="Times New Roman"/>
                <w:i w:val="0"/>
                <w:iCs w:val="0"/>
                <w:color w:val="auto"/>
                <w:sz w:val="21"/>
                <w:szCs w:val="21"/>
                <w:u w:val="none"/>
                <w:lang w:eastAsia="zh-CN"/>
              </w:rPr>
              <w:t>）</w:t>
            </w:r>
            <w:r>
              <w:rPr>
                <w:rFonts w:hint="default" w:ascii="Times New Roman" w:hAnsi="Times New Roman" w:eastAsia="宋体" w:cs="Times New Roman"/>
                <w:i w:val="0"/>
                <w:iCs w:val="0"/>
                <w:color w:val="auto"/>
                <w:sz w:val="21"/>
                <w:szCs w:val="21"/>
                <w:u w:val="none"/>
              </w:rPr>
              <w:t>平整、临时施工便道修筑等工程行为使土壤裸露、地表扰动对生物多样性的影响。跨河桥梁施工对水生生态环境的影响</w:t>
            </w:r>
          </w:p>
        </w:tc>
        <w:tc>
          <w:tcPr>
            <w:tcW w:w="50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短期/可逆</w:t>
            </w:r>
          </w:p>
        </w:tc>
        <w:tc>
          <w:tcPr>
            <w:tcW w:w="46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7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生态敏感区</w:t>
            </w:r>
          </w:p>
        </w:tc>
        <w:tc>
          <w:tcPr>
            <w:tcW w:w="109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主要保护对象、生态功能</w:t>
            </w:r>
          </w:p>
        </w:tc>
        <w:tc>
          <w:tcPr>
            <w:tcW w:w="216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eastAsia="宋体" w:cs="Times New Roman"/>
                <w:i w:val="0"/>
                <w:iCs w:val="0"/>
                <w:color w:val="auto"/>
                <w:kern w:val="0"/>
                <w:sz w:val="21"/>
                <w:szCs w:val="21"/>
                <w:u w:val="none"/>
                <w:lang w:val="en-US" w:eastAsia="zh-CN" w:bidi="ar"/>
              </w:rPr>
              <w:t>本项目涉及</w:t>
            </w:r>
            <w:r>
              <w:rPr>
                <w:rFonts w:hint="eastAsia" w:ascii="Times New Roman" w:hAnsi="Times New Roman" w:eastAsia="宋体" w:cs="Times New Roman"/>
                <w:color w:val="auto"/>
                <w:lang w:val="en-US" w:eastAsia="zh-CN"/>
              </w:rPr>
              <w:t>湖南东洞庭湖国家级自然保护区实验区范围</w:t>
            </w:r>
          </w:p>
        </w:tc>
        <w:tc>
          <w:tcPr>
            <w:tcW w:w="50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短期/可逆</w:t>
            </w:r>
          </w:p>
        </w:tc>
        <w:tc>
          <w:tcPr>
            <w:tcW w:w="46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7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自然景观</w:t>
            </w:r>
          </w:p>
        </w:tc>
        <w:tc>
          <w:tcPr>
            <w:tcW w:w="109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景观质量</w:t>
            </w:r>
          </w:p>
        </w:tc>
        <w:tc>
          <w:tcPr>
            <w:tcW w:w="216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工程占地和工程运行造成区域自然景观的质量下降</w:t>
            </w:r>
          </w:p>
        </w:tc>
        <w:tc>
          <w:tcPr>
            <w:tcW w:w="50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长期/不可逆</w:t>
            </w:r>
          </w:p>
        </w:tc>
        <w:tc>
          <w:tcPr>
            <w:tcW w:w="46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0" w:hRule="atLeast"/>
        </w:trPr>
        <w:tc>
          <w:tcPr>
            <w:tcW w:w="77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土地利用</w:t>
            </w:r>
          </w:p>
        </w:tc>
        <w:tc>
          <w:tcPr>
            <w:tcW w:w="109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地类面积</w:t>
            </w:r>
          </w:p>
        </w:tc>
        <w:tc>
          <w:tcPr>
            <w:tcW w:w="216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工程占地改变了区域原有土地利用类型和分布</w:t>
            </w:r>
          </w:p>
        </w:tc>
        <w:tc>
          <w:tcPr>
            <w:tcW w:w="50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长期/不可逆</w:t>
            </w:r>
          </w:p>
        </w:tc>
        <w:tc>
          <w:tcPr>
            <w:tcW w:w="46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弱</w:t>
            </w:r>
          </w:p>
        </w:tc>
      </w:tr>
    </w:tbl>
    <w:p>
      <w:pPr>
        <w:widowControl w:val="0"/>
        <w:spacing w:line="360" w:lineRule="auto"/>
        <w:ind w:firstLine="480" w:firstLineChars="200"/>
        <w:jc w:val="both"/>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主要现状评价因子：野生动植物、植被、耕地、水土流失等。</w:t>
      </w:r>
    </w:p>
    <w:p>
      <w:pPr>
        <w:widowControl w:val="0"/>
        <w:spacing w:line="360" w:lineRule="auto"/>
        <w:ind w:firstLine="480" w:firstLineChars="200"/>
        <w:jc w:val="both"/>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主要影响评价因子：施工期为野生动物、植被、耕地、水土流失、景观、林地、土壤的影响；运营期为植被、野生动物、土地复垦及防护工程、绿化工程。</w:t>
      </w:r>
    </w:p>
    <w:p>
      <w:pPr>
        <w:keepNext/>
        <w:widowControl w:val="0"/>
        <w:adjustRightInd w:val="0"/>
        <w:snapToGrid w:val="0"/>
        <w:spacing w:line="360" w:lineRule="auto"/>
        <w:ind w:firstLine="0" w:firstLineChars="0"/>
        <w:jc w:val="both"/>
        <w:outlineLvl w:val="1"/>
        <w:rPr>
          <w:rFonts w:ascii="Times New Roman" w:hAnsi="Times New Roman" w:eastAsia="宋体" w:cs="Times New Roman"/>
          <w:b/>
          <w:color w:val="auto"/>
          <w:kern w:val="2"/>
          <w:sz w:val="24"/>
          <w:szCs w:val="28"/>
          <w:lang w:val="en-US" w:eastAsia="zh-CN" w:bidi="ar-SA"/>
        </w:rPr>
      </w:pPr>
      <w:bookmarkStart w:id="211" w:name="_Toc22427"/>
      <w:bookmarkStart w:id="212" w:name="_Toc28730"/>
      <w:bookmarkStart w:id="213" w:name="_Toc29621"/>
      <w:bookmarkStart w:id="214" w:name="_Toc11317"/>
      <w:r>
        <w:rPr>
          <w:rFonts w:ascii="Times New Roman" w:hAnsi="Times New Roman" w:eastAsia="宋体" w:cs="Times New Roman"/>
          <w:b/>
          <w:color w:val="auto"/>
          <w:kern w:val="2"/>
          <w:sz w:val="24"/>
          <w:szCs w:val="28"/>
          <w:lang w:val="en-US" w:eastAsia="zh-CN" w:bidi="ar-SA"/>
        </w:rPr>
        <w:t>1.</w:t>
      </w:r>
      <w:r>
        <w:rPr>
          <w:rFonts w:hint="eastAsia" w:ascii="Times New Roman" w:hAnsi="Times New Roman" w:eastAsia="宋体" w:cs="Times New Roman"/>
          <w:b/>
          <w:color w:val="auto"/>
          <w:kern w:val="2"/>
          <w:sz w:val="24"/>
          <w:szCs w:val="28"/>
          <w:lang w:val="en-US" w:eastAsia="zh-CN" w:bidi="ar-SA"/>
        </w:rPr>
        <w:t>7</w:t>
      </w:r>
      <w:r>
        <w:rPr>
          <w:rFonts w:ascii="Times New Roman" w:hAnsi="Times New Roman" w:eastAsia="宋体" w:cs="Times New Roman"/>
          <w:b/>
          <w:color w:val="auto"/>
          <w:kern w:val="2"/>
          <w:sz w:val="24"/>
          <w:szCs w:val="28"/>
          <w:lang w:val="en-US" w:eastAsia="zh-CN" w:bidi="ar-SA"/>
        </w:rPr>
        <w:t>生态环境保护目标</w:t>
      </w:r>
      <w:bookmarkEnd w:id="205"/>
      <w:bookmarkEnd w:id="206"/>
      <w:bookmarkEnd w:id="207"/>
      <w:bookmarkEnd w:id="208"/>
      <w:bookmarkEnd w:id="209"/>
      <w:bookmarkEnd w:id="210"/>
      <w:bookmarkEnd w:id="211"/>
      <w:bookmarkEnd w:id="212"/>
      <w:bookmarkEnd w:id="213"/>
      <w:bookmarkEnd w:id="214"/>
    </w:p>
    <w:p>
      <w:pPr>
        <w:widowControl w:val="0"/>
        <w:adjustRightInd w:val="0"/>
        <w:snapToGrid w:val="0"/>
        <w:spacing w:before="0" w:after="0" w:line="360" w:lineRule="auto"/>
        <w:ind w:right="0" w:firstLine="480" w:firstLineChars="200"/>
        <w:jc w:val="both"/>
        <w:rPr>
          <w:rFonts w:hint="eastAsia" w:ascii="Times New Roman" w:hAnsi="Times New Roman" w:eastAsia="宋体" w:cs="Times New Roman"/>
          <w:b/>
          <w:bCs/>
          <w:color w:val="auto"/>
          <w:kern w:val="13"/>
          <w:sz w:val="21"/>
          <w:szCs w:val="21"/>
          <w:lang w:val="en-US" w:eastAsia="zh-CN" w:bidi="ar-SA"/>
        </w:rPr>
      </w:pPr>
      <w:r>
        <w:rPr>
          <w:rFonts w:hint="eastAsia" w:ascii="Times New Roman" w:hAnsi="Times New Roman" w:eastAsia="宋体" w:cs="Times New Roman"/>
          <w:color w:val="auto"/>
          <w:kern w:val="13"/>
          <w:sz w:val="24"/>
          <w:szCs w:val="24"/>
          <w:lang w:val="en-US" w:eastAsia="zh-CN" w:bidi="ar-SA"/>
        </w:rPr>
        <w:t>项目生态保护目标如下。</w:t>
      </w:r>
    </w:p>
    <w:p>
      <w:pPr>
        <w:widowControl w:val="0"/>
        <w:adjustRightInd w:val="0"/>
        <w:snapToGrid w:val="0"/>
        <w:spacing w:before="0" w:after="0" w:line="360" w:lineRule="auto"/>
        <w:ind w:right="0" w:firstLine="0" w:firstLineChars="0"/>
        <w:jc w:val="center"/>
        <w:rPr>
          <w:rFonts w:ascii="Times New Roman" w:hAnsi="Times New Roman" w:eastAsia="宋体" w:cs="Times New Roman"/>
          <w:b/>
          <w:bCs/>
          <w:color w:val="auto"/>
          <w:kern w:val="2"/>
          <w:sz w:val="21"/>
          <w:szCs w:val="21"/>
          <w:lang w:val="en-US" w:eastAsia="zh-CN" w:bidi="ar-SA"/>
        </w:rPr>
      </w:pPr>
      <w:r>
        <w:rPr>
          <w:rFonts w:ascii="Times New Roman" w:hAnsi="Times New Roman" w:eastAsia="宋体" w:cs="Times New Roman"/>
          <w:b/>
          <w:bCs/>
          <w:color w:val="auto"/>
          <w:kern w:val="2"/>
          <w:sz w:val="21"/>
          <w:szCs w:val="21"/>
          <w:lang w:val="en-US" w:eastAsia="zh-CN" w:bidi="ar-SA"/>
        </w:rPr>
        <w:t>表</w:t>
      </w:r>
      <w:r>
        <w:rPr>
          <w:rFonts w:hint="eastAsia" w:ascii="Times New Roman" w:hAnsi="Times New Roman" w:eastAsia="宋体" w:cs="Times New Roman"/>
          <w:b/>
          <w:bCs/>
          <w:color w:val="auto"/>
          <w:kern w:val="2"/>
          <w:sz w:val="21"/>
          <w:szCs w:val="21"/>
          <w:lang w:val="en-US" w:eastAsia="zh-CN" w:bidi="ar-SA"/>
        </w:rPr>
        <w:t xml:space="preserve">1.7-1  </w:t>
      </w:r>
      <w:r>
        <w:rPr>
          <w:rFonts w:ascii="Times New Roman" w:hAnsi="Times New Roman" w:eastAsia="宋体" w:cs="Times New Roman"/>
          <w:b/>
          <w:bCs/>
          <w:color w:val="auto"/>
          <w:kern w:val="2"/>
          <w:sz w:val="21"/>
          <w:szCs w:val="21"/>
          <w:lang w:val="en-US" w:eastAsia="zh-CN" w:bidi="ar-SA"/>
        </w:rPr>
        <w:t>主要生态环境保护目标</w:t>
      </w:r>
    </w:p>
    <w:tbl>
      <w:tblPr>
        <w:tblStyle w:val="22"/>
        <w:tblW w:w="506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3"/>
        <w:gridCol w:w="2626"/>
        <w:gridCol w:w="2201"/>
        <w:gridCol w:w="25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658" w:type="pct"/>
            <w:noWrap w:val="0"/>
            <w:tcMar>
              <w:left w:w="0" w:type="dxa"/>
              <w:right w:w="0" w:type="dxa"/>
            </w:tcMar>
            <w:vAlign w:val="center"/>
          </w:tcPr>
          <w:p>
            <w:pPr>
              <w:pStyle w:val="73"/>
              <w:snapToGrid w:val="0"/>
              <w:spacing w:after="0" w:afterLines="0" w:line="240" w:lineRule="auto"/>
              <w:ind w:firstLine="0" w:firstLineChars="0"/>
              <w:rPr>
                <w:rFonts w:hint="default" w:ascii="Times New Roman" w:hAnsi="Times New Roman" w:cs="Times New Roman"/>
                <w:b/>
                <w:color w:val="auto"/>
                <w:sz w:val="21"/>
                <w:szCs w:val="21"/>
              </w:rPr>
            </w:pPr>
            <w:bookmarkStart w:id="215" w:name="_Toc30725"/>
            <w:bookmarkStart w:id="216" w:name="_Toc32159"/>
            <w:bookmarkStart w:id="217" w:name="_Toc2005"/>
            <w:bookmarkStart w:id="218" w:name="_Toc23919"/>
            <w:bookmarkStart w:id="219" w:name="_Toc30772"/>
            <w:r>
              <w:rPr>
                <w:rFonts w:hint="default" w:ascii="Times New Roman" w:hAnsi="Times New Roman" w:cs="Times New Roman"/>
                <w:b/>
                <w:color w:val="auto"/>
                <w:sz w:val="21"/>
                <w:szCs w:val="21"/>
                <w:lang w:eastAsia="zh-CN"/>
              </w:rPr>
              <w:t>环保</w:t>
            </w:r>
            <w:r>
              <w:rPr>
                <w:rFonts w:hint="default" w:ascii="Times New Roman" w:hAnsi="Times New Roman" w:cs="Times New Roman"/>
                <w:b/>
                <w:color w:val="auto"/>
                <w:sz w:val="21"/>
                <w:szCs w:val="21"/>
              </w:rPr>
              <w:t>目标</w:t>
            </w:r>
          </w:p>
        </w:tc>
        <w:tc>
          <w:tcPr>
            <w:tcW w:w="1539" w:type="pct"/>
            <w:noWrap w:val="0"/>
            <w:tcMar>
              <w:left w:w="0" w:type="dxa"/>
              <w:right w:w="0" w:type="dxa"/>
            </w:tcMar>
            <w:vAlign w:val="center"/>
          </w:tcPr>
          <w:p>
            <w:pPr>
              <w:pStyle w:val="73"/>
              <w:snapToGrid w:val="0"/>
              <w:spacing w:after="0" w:afterLines="0" w:line="240" w:lineRule="auto"/>
              <w:ind w:firstLine="0" w:firstLineChars="0"/>
              <w:rPr>
                <w:rFonts w:hint="default" w:ascii="Times New Roman" w:hAnsi="Times New Roman" w:eastAsia="宋体" w:cs="Times New Roman"/>
                <w:b/>
                <w:color w:val="auto"/>
                <w:sz w:val="21"/>
                <w:szCs w:val="21"/>
                <w:lang w:eastAsia="zh-CN"/>
              </w:rPr>
            </w:pPr>
            <w:r>
              <w:rPr>
                <w:rFonts w:hint="default" w:ascii="Times New Roman" w:hAnsi="Times New Roman" w:cs="Times New Roman"/>
                <w:b/>
                <w:bCs/>
                <w:color w:val="auto"/>
                <w:sz w:val="21"/>
                <w:szCs w:val="21"/>
                <w:lang w:eastAsia="zh-CN"/>
              </w:rPr>
              <w:t>与工程相对位置关系</w:t>
            </w:r>
          </w:p>
        </w:tc>
        <w:tc>
          <w:tcPr>
            <w:tcW w:w="1290" w:type="pct"/>
            <w:noWrap w:val="0"/>
            <w:tcMar>
              <w:left w:w="0" w:type="dxa"/>
              <w:right w:w="0" w:type="dxa"/>
            </w:tcMar>
            <w:vAlign w:val="center"/>
          </w:tcPr>
          <w:p>
            <w:pPr>
              <w:pStyle w:val="73"/>
              <w:snapToGrid w:val="0"/>
              <w:spacing w:after="0" w:afterLines="0" w:line="240" w:lineRule="auto"/>
              <w:ind w:firstLine="0" w:firstLineChars="0"/>
              <w:rPr>
                <w:rFonts w:hint="default" w:ascii="Times New Roman" w:hAnsi="Times New Roman" w:eastAsia="宋体" w:cs="Times New Roman"/>
                <w:b/>
                <w:color w:val="auto"/>
                <w:sz w:val="21"/>
                <w:szCs w:val="21"/>
                <w:lang w:eastAsia="zh-CN"/>
              </w:rPr>
            </w:pPr>
            <w:r>
              <w:rPr>
                <w:rFonts w:hint="default" w:ascii="Times New Roman" w:hAnsi="Times New Roman" w:cs="Times New Roman"/>
                <w:b/>
                <w:color w:val="auto"/>
                <w:sz w:val="21"/>
                <w:szCs w:val="21"/>
                <w:lang w:eastAsia="zh-CN"/>
              </w:rPr>
              <w:t>影响因素</w:t>
            </w:r>
          </w:p>
        </w:tc>
        <w:tc>
          <w:tcPr>
            <w:tcW w:w="1512" w:type="pct"/>
            <w:noWrap w:val="0"/>
            <w:vAlign w:val="center"/>
          </w:tcPr>
          <w:p>
            <w:pPr>
              <w:pStyle w:val="73"/>
              <w:snapToGrid w:val="0"/>
              <w:spacing w:after="0" w:afterLines="0" w:line="240" w:lineRule="auto"/>
              <w:ind w:firstLine="0" w:firstLineChars="0"/>
              <w:rPr>
                <w:rFonts w:hint="default" w:ascii="Times New Roman" w:hAnsi="Times New Roman" w:eastAsia="宋体" w:cs="Times New Roman"/>
                <w:b/>
                <w:color w:val="auto"/>
                <w:sz w:val="21"/>
                <w:szCs w:val="21"/>
                <w:lang w:eastAsia="zh-CN"/>
              </w:rPr>
            </w:pPr>
            <w:r>
              <w:rPr>
                <w:rFonts w:hint="default" w:ascii="Times New Roman" w:hAnsi="Times New Roman" w:cs="Times New Roman"/>
                <w:b/>
                <w:bCs/>
                <w:color w:val="auto"/>
                <w:sz w:val="21"/>
                <w:szCs w:val="21"/>
                <w:lang w:eastAsia="zh-CN"/>
              </w:rPr>
              <w:t>保护要求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8" w:type="pct"/>
            <w:noWrap w:val="0"/>
            <w:tcMar>
              <w:left w:w="0" w:type="dxa"/>
              <w:right w:w="0" w:type="dxa"/>
            </w:tcMar>
            <w:vAlign w:val="center"/>
          </w:tcPr>
          <w:p>
            <w:pPr>
              <w:pStyle w:val="73"/>
              <w:overflowPunct/>
              <w:autoSpaceDE/>
              <w:autoSpaceDN/>
              <w:snapToGrid w:val="0"/>
              <w:spacing w:after="0" w:afterLines="0" w:line="240" w:lineRule="auto"/>
              <w:ind w:firstLine="0" w:firstLineChars="0"/>
              <w:textAlignment w:val="auto"/>
              <w:rPr>
                <w:rFonts w:hint="default" w:ascii="Times New Roman" w:hAnsi="Times New Roman" w:eastAsia="宋体" w:cs="Times New Roman"/>
                <w:b w:val="0"/>
                <w:bCs w:val="0"/>
                <w:color w:val="auto"/>
                <w:sz w:val="21"/>
                <w:szCs w:val="21"/>
                <w:lang w:eastAsia="zh-CN"/>
              </w:rPr>
            </w:pPr>
            <w:r>
              <w:rPr>
                <w:rFonts w:hint="default" w:ascii="Times New Roman" w:hAnsi="Times New Roman" w:cs="Times New Roman"/>
                <w:b w:val="0"/>
                <w:bCs w:val="0"/>
                <w:color w:val="auto"/>
                <w:sz w:val="21"/>
                <w:szCs w:val="21"/>
                <w:lang w:eastAsia="zh-CN"/>
              </w:rPr>
              <w:t>陆生</w:t>
            </w:r>
            <w:r>
              <w:rPr>
                <w:rFonts w:hint="default" w:ascii="Times New Roman" w:hAnsi="Times New Roman" w:cs="Times New Roman"/>
                <w:b w:val="0"/>
                <w:bCs w:val="0"/>
                <w:color w:val="auto"/>
                <w:sz w:val="21"/>
                <w:szCs w:val="21"/>
              </w:rPr>
              <w:t>植</w:t>
            </w:r>
            <w:r>
              <w:rPr>
                <w:rFonts w:hint="default" w:ascii="Times New Roman" w:hAnsi="Times New Roman" w:cs="Times New Roman"/>
                <w:b w:val="0"/>
                <w:bCs w:val="0"/>
                <w:color w:val="auto"/>
                <w:sz w:val="21"/>
                <w:szCs w:val="21"/>
                <w:lang w:eastAsia="zh-CN"/>
              </w:rPr>
              <w:t>物</w:t>
            </w:r>
          </w:p>
        </w:tc>
        <w:tc>
          <w:tcPr>
            <w:tcW w:w="1539" w:type="pct"/>
            <w:noWrap w:val="0"/>
            <w:tcMar>
              <w:left w:w="0" w:type="dxa"/>
              <w:right w:w="0" w:type="dxa"/>
            </w:tcMar>
            <w:vAlign w:val="center"/>
          </w:tcPr>
          <w:p>
            <w:pPr>
              <w:pStyle w:val="73"/>
              <w:snapToGrid w:val="0"/>
              <w:spacing w:after="0" w:afterLines="0" w:line="240" w:lineRule="auto"/>
              <w:ind w:firstLine="0" w:firstLineChars="0"/>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项目主体工程以及</w:t>
            </w:r>
            <w:r>
              <w:rPr>
                <w:rFonts w:hint="default" w:ascii="Times New Roman" w:hAnsi="Times New Roman" w:cs="Times New Roman"/>
                <w:b w:val="0"/>
                <w:bCs w:val="0"/>
                <w:color w:val="auto"/>
                <w:sz w:val="21"/>
                <w:szCs w:val="21"/>
                <w:lang w:eastAsia="zh-CN"/>
              </w:rPr>
              <w:t>施工场地、弃渣场</w:t>
            </w:r>
            <w:r>
              <w:rPr>
                <w:rFonts w:hint="default" w:ascii="Times New Roman" w:hAnsi="Times New Roman" w:cs="Times New Roman"/>
                <w:b w:val="0"/>
                <w:bCs w:val="0"/>
                <w:color w:val="auto"/>
                <w:sz w:val="21"/>
                <w:szCs w:val="21"/>
              </w:rPr>
              <w:t>周边</w:t>
            </w:r>
          </w:p>
        </w:tc>
        <w:tc>
          <w:tcPr>
            <w:tcW w:w="1290" w:type="pct"/>
            <w:noWrap w:val="0"/>
            <w:tcMar>
              <w:left w:w="0" w:type="dxa"/>
              <w:right w:w="0" w:type="dxa"/>
            </w:tcMar>
            <w:vAlign w:val="center"/>
          </w:tcPr>
          <w:p>
            <w:pPr>
              <w:pStyle w:val="73"/>
              <w:snapToGrid w:val="0"/>
              <w:spacing w:after="0" w:afterLines="0" w:line="240" w:lineRule="auto"/>
              <w:ind w:firstLine="0" w:firstLineChars="0"/>
              <w:rPr>
                <w:rFonts w:hint="default" w:ascii="Times New Roman" w:hAnsi="Times New Roman" w:eastAsia="宋体" w:cs="Times New Roman"/>
                <w:b w:val="0"/>
                <w:bCs w:val="0"/>
                <w:color w:val="auto"/>
                <w:sz w:val="21"/>
                <w:szCs w:val="21"/>
                <w:lang w:eastAsia="zh-CN"/>
              </w:rPr>
            </w:pPr>
            <w:r>
              <w:rPr>
                <w:rFonts w:hint="default" w:ascii="Times New Roman" w:hAnsi="Times New Roman" w:cs="Times New Roman"/>
                <w:b w:val="0"/>
                <w:bCs w:val="0"/>
                <w:color w:val="auto"/>
                <w:sz w:val="21"/>
                <w:szCs w:val="21"/>
              </w:rPr>
              <w:t>土地占用</w:t>
            </w:r>
            <w:r>
              <w:rPr>
                <w:rFonts w:hint="default" w:ascii="Times New Roman" w:hAnsi="Times New Roman" w:cs="Times New Roman"/>
                <w:b w:val="0"/>
                <w:bCs w:val="0"/>
                <w:color w:val="auto"/>
                <w:sz w:val="21"/>
                <w:szCs w:val="21"/>
                <w:lang w:eastAsia="zh-CN"/>
              </w:rPr>
              <w:t>、</w:t>
            </w:r>
            <w:r>
              <w:rPr>
                <w:rFonts w:hint="default" w:ascii="Times New Roman" w:hAnsi="Times New Roman" w:cs="Times New Roman"/>
                <w:b w:val="0"/>
                <w:bCs w:val="0"/>
                <w:color w:val="auto"/>
                <w:kern w:val="2"/>
                <w:sz w:val="21"/>
                <w:szCs w:val="21"/>
                <w:lang w:val="en-US" w:eastAsia="zh-CN"/>
              </w:rPr>
              <w:t>施工期挖填方及弃土</w:t>
            </w:r>
            <w:r>
              <w:rPr>
                <w:rFonts w:hint="default" w:ascii="Times New Roman" w:hAnsi="Times New Roman" w:cs="Times New Roman"/>
                <w:b w:val="0"/>
                <w:bCs w:val="0"/>
                <w:color w:val="auto"/>
                <w:sz w:val="21"/>
                <w:szCs w:val="21"/>
              </w:rPr>
              <w:t>将造成植被的</w:t>
            </w:r>
            <w:r>
              <w:rPr>
                <w:rFonts w:hint="default" w:ascii="Times New Roman" w:hAnsi="Times New Roman" w:cs="Times New Roman"/>
                <w:b w:val="0"/>
                <w:bCs w:val="0"/>
                <w:color w:val="auto"/>
                <w:sz w:val="21"/>
                <w:szCs w:val="21"/>
                <w:lang w:eastAsia="zh-CN"/>
              </w:rPr>
              <w:t>破坏及</w:t>
            </w:r>
            <w:r>
              <w:rPr>
                <w:rFonts w:hint="default" w:ascii="Times New Roman" w:hAnsi="Times New Roman" w:cs="Times New Roman"/>
                <w:b w:val="0"/>
                <w:bCs w:val="0"/>
                <w:color w:val="auto"/>
                <w:sz w:val="21"/>
                <w:szCs w:val="21"/>
              </w:rPr>
              <w:t>损失。影响时段为施工期</w:t>
            </w:r>
          </w:p>
        </w:tc>
        <w:tc>
          <w:tcPr>
            <w:tcW w:w="1512" w:type="pct"/>
            <w:noWrap w:val="0"/>
            <w:vAlign w:val="center"/>
          </w:tcPr>
          <w:p>
            <w:pPr>
              <w:pStyle w:val="73"/>
              <w:snapToGrid w:val="0"/>
              <w:spacing w:after="0" w:afterLines="0" w:line="240" w:lineRule="auto"/>
              <w:ind w:firstLine="0" w:firstLineChars="0"/>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lang w:eastAsia="zh-CN"/>
              </w:rPr>
              <w:t>加强施工环境管理和监理，优化施工方式，减少对植被破坏，</w:t>
            </w:r>
            <w:r>
              <w:rPr>
                <w:rFonts w:hint="default" w:ascii="Times New Roman" w:hAnsi="Times New Roman" w:cs="Times New Roman"/>
                <w:b w:val="0"/>
                <w:bCs w:val="0"/>
                <w:color w:val="auto"/>
                <w:kern w:val="2"/>
                <w:sz w:val="21"/>
                <w:szCs w:val="21"/>
                <w:lang w:eastAsia="zh-CN"/>
              </w:rPr>
              <w:t>施工完成后及时对临时施工场地等进行植被恢复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658" w:type="pct"/>
            <w:noWrap w:val="0"/>
            <w:tcMar>
              <w:left w:w="0" w:type="dxa"/>
              <w:right w:w="0" w:type="dxa"/>
            </w:tcMar>
            <w:vAlign w:val="center"/>
          </w:tcPr>
          <w:p>
            <w:pPr>
              <w:pStyle w:val="73"/>
              <w:snapToGrid w:val="0"/>
              <w:spacing w:after="0" w:afterLines="0" w:line="240" w:lineRule="auto"/>
              <w:ind w:firstLine="0" w:firstLineChars="0"/>
              <w:rPr>
                <w:rFonts w:hint="default" w:ascii="Times New Roman" w:hAnsi="Times New Roman" w:cs="Times New Roman"/>
                <w:b w:val="0"/>
                <w:bCs w:val="0"/>
                <w:color w:val="auto"/>
                <w:kern w:val="2"/>
                <w:sz w:val="21"/>
                <w:szCs w:val="21"/>
                <w:lang w:eastAsia="zh-CN"/>
              </w:rPr>
            </w:pPr>
            <w:r>
              <w:rPr>
                <w:rFonts w:hint="default" w:ascii="Times New Roman" w:hAnsi="Times New Roman" w:cs="Times New Roman"/>
                <w:b w:val="0"/>
                <w:bCs w:val="0"/>
                <w:color w:val="auto"/>
                <w:kern w:val="2"/>
                <w:sz w:val="21"/>
                <w:szCs w:val="21"/>
                <w:lang w:eastAsia="zh-CN"/>
              </w:rPr>
              <w:t>陆生动物</w:t>
            </w:r>
          </w:p>
        </w:tc>
        <w:tc>
          <w:tcPr>
            <w:tcW w:w="1539" w:type="pct"/>
            <w:noWrap w:val="0"/>
            <w:tcMar>
              <w:left w:w="0" w:type="dxa"/>
              <w:right w:w="0" w:type="dxa"/>
            </w:tcMar>
            <w:vAlign w:val="center"/>
          </w:tcPr>
          <w:p>
            <w:pPr>
              <w:pStyle w:val="73"/>
              <w:snapToGrid w:val="0"/>
              <w:spacing w:after="0" w:afterLines="0" w:line="240" w:lineRule="auto"/>
              <w:ind w:firstLine="0" w:firstLineChars="0"/>
              <w:rPr>
                <w:rFonts w:hint="default" w:ascii="Times New Roman" w:hAnsi="Times New Roman" w:cs="Times New Roman"/>
                <w:b w:val="0"/>
                <w:bCs w:val="0"/>
                <w:color w:val="auto"/>
                <w:kern w:val="2"/>
                <w:sz w:val="21"/>
                <w:szCs w:val="21"/>
                <w:lang w:eastAsia="zh-CN"/>
              </w:rPr>
            </w:pPr>
            <w:r>
              <w:rPr>
                <w:rFonts w:hint="default" w:ascii="Times New Roman" w:hAnsi="Times New Roman" w:cs="Times New Roman"/>
                <w:b w:val="0"/>
                <w:bCs w:val="0"/>
                <w:color w:val="auto"/>
                <w:sz w:val="21"/>
                <w:szCs w:val="21"/>
              </w:rPr>
              <w:t>项目主体工程以及</w:t>
            </w:r>
            <w:r>
              <w:rPr>
                <w:rFonts w:hint="default" w:ascii="Times New Roman" w:hAnsi="Times New Roman" w:cs="Times New Roman"/>
                <w:b w:val="0"/>
                <w:bCs w:val="0"/>
                <w:color w:val="auto"/>
                <w:sz w:val="21"/>
                <w:szCs w:val="21"/>
                <w:lang w:eastAsia="zh-CN"/>
              </w:rPr>
              <w:t>施工场地、弃渣场</w:t>
            </w:r>
            <w:r>
              <w:rPr>
                <w:rFonts w:hint="default" w:ascii="Times New Roman" w:hAnsi="Times New Roman" w:cs="Times New Roman"/>
                <w:b w:val="0"/>
                <w:bCs w:val="0"/>
                <w:color w:val="auto"/>
                <w:sz w:val="21"/>
                <w:szCs w:val="21"/>
              </w:rPr>
              <w:t>周边</w:t>
            </w:r>
          </w:p>
        </w:tc>
        <w:tc>
          <w:tcPr>
            <w:tcW w:w="1290" w:type="pct"/>
            <w:noWrap w:val="0"/>
            <w:tcMar>
              <w:left w:w="0" w:type="dxa"/>
              <w:right w:w="0" w:type="dxa"/>
            </w:tcMar>
            <w:vAlign w:val="center"/>
          </w:tcPr>
          <w:p>
            <w:pPr>
              <w:pStyle w:val="73"/>
              <w:snapToGrid w:val="0"/>
              <w:spacing w:after="0" w:afterLines="0" w:line="240" w:lineRule="auto"/>
              <w:ind w:firstLine="0" w:firstLineChars="0"/>
              <w:rPr>
                <w:rFonts w:hint="default" w:ascii="Times New Roman" w:hAnsi="Times New Roman" w:cs="Times New Roman"/>
                <w:b w:val="0"/>
                <w:bCs w:val="0"/>
                <w:color w:val="auto"/>
                <w:kern w:val="2"/>
                <w:sz w:val="21"/>
                <w:szCs w:val="21"/>
                <w:lang w:val="en-US" w:eastAsia="zh-CN"/>
              </w:rPr>
            </w:pPr>
            <w:r>
              <w:rPr>
                <w:rFonts w:hint="default" w:ascii="Times New Roman" w:hAnsi="Times New Roman" w:cs="Times New Roman"/>
                <w:b w:val="0"/>
                <w:bCs w:val="0"/>
                <w:color w:val="auto"/>
                <w:kern w:val="2"/>
                <w:sz w:val="21"/>
                <w:szCs w:val="21"/>
                <w:lang w:val="en-US" w:eastAsia="zh-CN"/>
              </w:rPr>
              <w:t>施工期对其生境的扰动</w:t>
            </w:r>
          </w:p>
        </w:tc>
        <w:tc>
          <w:tcPr>
            <w:tcW w:w="1512" w:type="pct"/>
            <w:noWrap w:val="0"/>
            <w:vAlign w:val="center"/>
          </w:tcPr>
          <w:p>
            <w:pPr>
              <w:pStyle w:val="73"/>
              <w:snapToGrid w:val="0"/>
              <w:spacing w:after="0" w:afterLines="0" w:line="240" w:lineRule="auto"/>
              <w:ind w:firstLine="0" w:firstLineChars="0"/>
              <w:rPr>
                <w:rFonts w:hint="default" w:ascii="Times New Roman" w:hAnsi="Times New Roman" w:cs="Times New Roman"/>
                <w:b w:val="0"/>
                <w:bCs w:val="0"/>
                <w:color w:val="auto"/>
                <w:kern w:val="2"/>
                <w:sz w:val="21"/>
                <w:szCs w:val="21"/>
                <w:lang w:eastAsia="zh-CN"/>
              </w:rPr>
            </w:pPr>
            <w:r>
              <w:rPr>
                <w:rFonts w:hint="default" w:ascii="Times New Roman" w:hAnsi="Times New Roman" w:cs="Times New Roman"/>
                <w:b w:val="0"/>
                <w:bCs w:val="0"/>
                <w:color w:val="auto"/>
                <w:kern w:val="2"/>
                <w:sz w:val="21"/>
                <w:szCs w:val="21"/>
                <w:lang w:eastAsia="zh-CN"/>
              </w:rPr>
              <w:t>加强施工管理，优化施工时间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658" w:type="pct"/>
            <w:noWrap w:val="0"/>
            <w:tcMar>
              <w:left w:w="0" w:type="dxa"/>
              <w:right w:w="0" w:type="dxa"/>
            </w:tcMar>
            <w:vAlign w:val="center"/>
          </w:tcPr>
          <w:p>
            <w:pPr>
              <w:pStyle w:val="73"/>
              <w:snapToGrid w:val="0"/>
              <w:spacing w:after="0" w:afterLines="0" w:line="240" w:lineRule="auto"/>
              <w:ind w:firstLine="0" w:firstLineChars="0"/>
              <w:rPr>
                <w:rFonts w:hint="default" w:ascii="Times New Roman" w:hAnsi="Times New Roman" w:cs="Times New Roman"/>
                <w:b w:val="0"/>
                <w:bCs w:val="0"/>
                <w:color w:val="auto"/>
                <w:kern w:val="2"/>
                <w:sz w:val="21"/>
                <w:szCs w:val="21"/>
              </w:rPr>
            </w:pPr>
            <w:r>
              <w:rPr>
                <w:rFonts w:hint="default" w:ascii="Times New Roman" w:hAnsi="Times New Roman" w:cs="Times New Roman"/>
                <w:b w:val="0"/>
                <w:bCs w:val="0"/>
                <w:color w:val="auto"/>
                <w:kern w:val="2"/>
                <w:sz w:val="21"/>
                <w:szCs w:val="21"/>
              </w:rPr>
              <w:t>水生生物</w:t>
            </w:r>
          </w:p>
        </w:tc>
        <w:tc>
          <w:tcPr>
            <w:tcW w:w="1539" w:type="pct"/>
            <w:noWrap w:val="0"/>
            <w:tcMar>
              <w:left w:w="0" w:type="dxa"/>
              <w:right w:w="0" w:type="dxa"/>
            </w:tcMar>
            <w:vAlign w:val="center"/>
          </w:tcPr>
          <w:p>
            <w:pPr>
              <w:pStyle w:val="73"/>
              <w:snapToGrid w:val="0"/>
              <w:spacing w:after="0" w:afterLines="0" w:line="240" w:lineRule="auto"/>
              <w:ind w:firstLine="0" w:firstLineChars="0"/>
              <w:rPr>
                <w:rFonts w:hint="default" w:ascii="Times New Roman" w:hAnsi="Times New Roman" w:eastAsia="宋体" w:cs="Times New Roman"/>
                <w:b w:val="0"/>
                <w:bCs w:val="0"/>
                <w:color w:val="auto"/>
                <w:kern w:val="2"/>
                <w:sz w:val="21"/>
                <w:szCs w:val="21"/>
                <w:lang w:val="en-US" w:eastAsia="zh-CN"/>
              </w:rPr>
            </w:pPr>
            <w:r>
              <w:rPr>
                <w:rFonts w:hint="eastAsia" w:eastAsia="宋体" w:cs="Times New Roman"/>
                <w:b w:val="0"/>
                <w:bCs w:val="0"/>
                <w:color w:val="auto"/>
                <w:kern w:val="2"/>
                <w:sz w:val="21"/>
                <w:szCs w:val="21"/>
                <w:lang w:val="en-US" w:eastAsia="zh-CN"/>
              </w:rPr>
              <w:t>本项目不涉及涉水施工</w:t>
            </w:r>
          </w:p>
        </w:tc>
        <w:tc>
          <w:tcPr>
            <w:tcW w:w="1290" w:type="pct"/>
            <w:noWrap w:val="0"/>
            <w:tcMar>
              <w:left w:w="0" w:type="dxa"/>
              <w:right w:w="0" w:type="dxa"/>
            </w:tcMar>
            <w:vAlign w:val="center"/>
          </w:tcPr>
          <w:p>
            <w:pPr>
              <w:pStyle w:val="73"/>
              <w:snapToGrid w:val="0"/>
              <w:spacing w:after="0" w:afterLines="0" w:line="240" w:lineRule="auto"/>
              <w:ind w:firstLine="0" w:firstLineChars="0"/>
              <w:rPr>
                <w:rFonts w:hint="default" w:ascii="Times New Roman" w:hAnsi="Times New Roman" w:cs="Times New Roman"/>
                <w:b w:val="0"/>
                <w:bCs w:val="0"/>
                <w:color w:val="auto"/>
                <w:kern w:val="2"/>
                <w:sz w:val="21"/>
                <w:szCs w:val="21"/>
                <w:lang w:val="en-US" w:eastAsia="zh-CN"/>
              </w:rPr>
            </w:pPr>
            <w:r>
              <w:rPr>
                <w:rFonts w:hint="eastAsia" w:cs="Times New Roman"/>
                <w:b w:val="0"/>
                <w:bCs w:val="0"/>
                <w:color w:val="auto"/>
                <w:kern w:val="2"/>
                <w:sz w:val="21"/>
                <w:szCs w:val="21"/>
                <w:lang w:val="en-US" w:eastAsia="zh-CN"/>
              </w:rPr>
              <w:t>/</w:t>
            </w:r>
          </w:p>
        </w:tc>
        <w:tc>
          <w:tcPr>
            <w:tcW w:w="1512" w:type="pct"/>
            <w:noWrap w:val="0"/>
            <w:vAlign w:val="center"/>
          </w:tcPr>
          <w:p>
            <w:pPr>
              <w:pStyle w:val="73"/>
              <w:snapToGrid w:val="0"/>
              <w:spacing w:after="0" w:afterLines="0" w:line="240" w:lineRule="auto"/>
              <w:ind w:firstLine="0" w:firstLineChars="0"/>
              <w:rPr>
                <w:rFonts w:hint="default" w:ascii="Times New Roman" w:hAnsi="Times New Roman" w:eastAsia="宋体" w:cs="Times New Roman"/>
                <w:b w:val="0"/>
                <w:bCs w:val="0"/>
                <w:color w:val="auto"/>
                <w:kern w:val="2"/>
                <w:sz w:val="21"/>
                <w:szCs w:val="21"/>
                <w:lang w:val="en-US" w:eastAsia="zh-CN"/>
              </w:rPr>
            </w:pPr>
            <w:r>
              <w:rPr>
                <w:rFonts w:hint="eastAsia" w:eastAsia="宋体" w:cs="Times New Roman"/>
                <w:b w:val="0"/>
                <w:bCs w:val="0"/>
                <w:color w:val="auto"/>
                <w:kern w:val="2"/>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123" w:type="dxa"/>
            <w:noWrap w:val="0"/>
            <w:tcMar>
              <w:left w:w="0" w:type="dxa"/>
              <w:right w:w="0" w:type="dxa"/>
            </w:tcMar>
            <w:vAlign w:val="center"/>
          </w:tcPr>
          <w:p>
            <w:pPr>
              <w:pStyle w:val="50"/>
              <w:spacing w:before="0" w:beforeLines="0" w:after="0" w:afterLines="0"/>
              <w:jc w:val="center"/>
              <w:rPr>
                <w:rFonts w:hint="default" w:ascii="Times New Roman" w:hAnsi="Times New Roman" w:eastAsia="宋体" w:cs="Times New Roman"/>
                <w:b w:val="0"/>
                <w:bCs w:val="0"/>
                <w:color w:val="auto"/>
                <w:kern w:val="2"/>
                <w:sz w:val="21"/>
                <w:szCs w:val="21"/>
                <w:u w:val="single"/>
                <w:lang w:val="en-US" w:eastAsia="zh-CN"/>
              </w:rPr>
            </w:pPr>
            <w:r>
              <w:rPr>
                <w:rFonts w:hint="eastAsia"/>
                <w:b w:val="0"/>
                <w:bCs/>
                <w:color w:val="auto"/>
                <w:sz w:val="21"/>
                <w:szCs w:val="21"/>
                <w:lang w:val="en-US" w:eastAsia="zh-CN"/>
              </w:rPr>
              <w:t>湖南东洞庭湖国家级自然保护区实验区</w:t>
            </w:r>
          </w:p>
        </w:tc>
        <w:tc>
          <w:tcPr>
            <w:tcW w:w="2626" w:type="dxa"/>
            <w:noWrap w:val="0"/>
            <w:tcMar>
              <w:left w:w="0" w:type="dxa"/>
              <w:right w:w="0" w:type="dxa"/>
            </w:tcMar>
            <w:vAlign w:val="center"/>
          </w:tcPr>
          <w:p>
            <w:pPr>
              <w:pStyle w:val="50"/>
              <w:spacing w:before="0" w:beforeLines="0" w:after="0" w:afterLines="0"/>
              <w:jc w:val="center"/>
              <w:rPr>
                <w:rFonts w:hint="default" w:ascii="Times New Roman" w:hAnsi="Times New Roman" w:eastAsia="宋体" w:cs="Times New Roman"/>
                <w:b w:val="0"/>
                <w:bCs w:val="0"/>
                <w:color w:val="auto"/>
                <w:kern w:val="2"/>
                <w:sz w:val="21"/>
                <w:szCs w:val="21"/>
                <w:u w:val="single"/>
                <w:lang w:val="en-US" w:eastAsia="zh-CN"/>
              </w:rPr>
            </w:pPr>
            <w:r>
              <w:rPr>
                <w:rFonts w:hint="eastAsia"/>
                <w:b w:val="0"/>
                <w:bCs/>
                <w:color w:val="auto"/>
                <w:sz w:val="21"/>
                <w:szCs w:val="21"/>
                <w:lang w:val="en-US" w:eastAsia="zh-CN"/>
              </w:rPr>
              <w:t>项目位于实验区范围内</w:t>
            </w:r>
          </w:p>
        </w:tc>
        <w:tc>
          <w:tcPr>
            <w:tcW w:w="2201" w:type="dxa"/>
            <w:noWrap w:val="0"/>
            <w:tcMar>
              <w:left w:w="0" w:type="dxa"/>
              <w:right w:w="0" w:type="dxa"/>
            </w:tcMar>
            <w:vAlign w:val="center"/>
          </w:tcPr>
          <w:p>
            <w:pPr>
              <w:pStyle w:val="50"/>
              <w:spacing w:before="0" w:beforeLines="0" w:after="0" w:afterLines="0"/>
              <w:rPr>
                <w:rFonts w:hint="default" w:ascii="Times New Roman" w:hAnsi="Times New Roman" w:eastAsia="宋体" w:cs="Times New Roman"/>
                <w:b w:val="0"/>
                <w:bCs w:val="0"/>
                <w:color w:val="auto"/>
                <w:kern w:val="2"/>
                <w:sz w:val="21"/>
                <w:szCs w:val="21"/>
                <w:u w:val="single"/>
                <w:lang w:val="en-US" w:eastAsia="zh-CN"/>
              </w:rPr>
            </w:pPr>
            <w:r>
              <w:rPr>
                <w:rFonts w:hint="default" w:ascii="Times New Roman" w:hAnsi="Times New Roman" w:cs="Times New Roman"/>
                <w:b w:val="0"/>
                <w:bCs w:val="0"/>
                <w:color w:val="auto"/>
                <w:kern w:val="2"/>
                <w:sz w:val="21"/>
                <w:szCs w:val="21"/>
                <w:lang w:val="en-US" w:eastAsia="zh-CN"/>
              </w:rPr>
              <w:t>施工期对其</w:t>
            </w:r>
            <w:r>
              <w:rPr>
                <w:rFonts w:hint="eastAsia" w:ascii="Times New Roman" w:hAnsi="Times New Roman" w:cs="Times New Roman"/>
                <w:b w:val="0"/>
                <w:bCs w:val="0"/>
                <w:color w:val="auto"/>
                <w:kern w:val="2"/>
                <w:sz w:val="21"/>
                <w:szCs w:val="21"/>
                <w:lang w:val="en-US" w:eastAsia="zh-CN"/>
              </w:rPr>
              <w:t>自然环境的破坏</w:t>
            </w:r>
          </w:p>
        </w:tc>
        <w:tc>
          <w:tcPr>
            <w:tcW w:w="2580" w:type="dxa"/>
            <w:noWrap w:val="0"/>
            <w:vAlign w:val="center"/>
          </w:tcPr>
          <w:p>
            <w:pPr>
              <w:pStyle w:val="50"/>
              <w:spacing w:before="0" w:beforeLines="0" w:after="0" w:afterLines="0"/>
              <w:rPr>
                <w:rFonts w:hint="default" w:ascii="Times New Roman" w:hAnsi="Times New Roman" w:cs="Times New Roman"/>
                <w:b w:val="0"/>
                <w:bCs w:val="0"/>
                <w:color w:val="auto"/>
                <w:kern w:val="2"/>
                <w:sz w:val="21"/>
                <w:szCs w:val="21"/>
                <w:u w:val="single"/>
                <w:lang w:val="en-US" w:eastAsia="zh-CN"/>
              </w:rPr>
            </w:pPr>
            <w:r>
              <w:rPr>
                <w:rFonts w:hint="default"/>
                <w:b w:val="0"/>
                <w:bCs/>
                <w:color w:val="auto"/>
                <w:sz w:val="21"/>
                <w:szCs w:val="21"/>
                <w:lang w:val="en-US" w:eastAsia="zh-CN"/>
              </w:rPr>
              <w:t>有效保护</w:t>
            </w:r>
            <w:r>
              <w:rPr>
                <w:rFonts w:hint="eastAsia"/>
                <w:b w:val="0"/>
                <w:bCs/>
                <w:color w:val="auto"/>
                <w:sz w:val="21"/>
                <w:szCs w:val="21"/>
                <w:lang w:val="en-US" w:eastAsia="zh-CN"/>
              </w:rPr>
              <w:t>周边</w:t>
            </w:r>
            <w:r>
              <w:rPr>
                <w:rFonts w:hint="default"/>
                <w:b w:val="0"/>
                <w:bCs/>
                <w:color w:val="auto"/>
                <w:sz w:val="21"/>
                <w:szCs w:val="21"/>
                <w:lang w:val="en-US" w:eastAsia="zh-CN"/>
              </w:rPr>
              <w:t>生态环境</w:t>
            </w:r>
            <w:r>
              <w:rPr>
                <w:rFonts w:hint="eastAsia"/>
                <w:b w:val="0"/>
                <w:bCs/>
                <w:color w:val="auto"/>
                <w:sz w:val="21"/>
                <w:szCs w:val="21"/>
                <w:lang w:val="en-US" w:eastAsia="zh-CN"/>
              </w:rPr>
              <w:t>不受本项目影响</w:t>
            </w:r>
          </w:p>
        </w:tc>
      </w:tr>
    </w:tbl>
    <w:p>
      <w:pPr>
        <w:widowControl/>
        <w:adjustRightInd w:val="0"/>
        <w:snapToGrid w:val="0"/>
        <w:spacing w:before="0" w:beforeAutospacing="0" w:after="0" w:afterAutospacing="0" w:line="360" w:lineRule="auto"/>
        <w:jc w:val="left"/>
        <w:outlineLvl w:val="0"/>
        <w:rPr>
          <w:rFonts w:ascii="Times New Roman" w:hAnsi="Times New Roman" w:eastAsia="宋体" w:cs="Times New Roman"/>
          <w:b/>
          <w:snapToGrid w:val="0"/>
          <w:color w:val="auto"/>
          <w:kern w:val="0"/>
          <w:sz w:val="30"/>
          <w:szCs w:val="30"/>
          <w:lang w:val="en-US" w:eastAsia="zh-CN" w:bidi="ar-SA"/>
        </w:rPr>
        <w:sectPr>
          <w:footerReference r:id="rId12" w:type="default"/>
          <w:pgSz w:w="11906" w:h="16838"/>
          <w:pgMar w:top="1440" w:right="1800" w:bottom="1440" w:left="1800" w:header="851" w:footer="1077" w:gutter="0"/>
          <w:pgBorders>
            <w:top w:val="none" w:sz="0" w:space="0"/>
            <w:left w:val="none" w:sz="0" w:space="0"/>
            <w:bottom w:val="none" w:sz="0" w:space="0"/>
            <w:right w:val="none" w:sz="0" w:space="0"/>
          </w:pgBorders>
          <w:pgNumType w:start="1"/>
          <w:cols w:space="720" w:num="1"/>
          <w:docGrid w:linePitch="312" w:charSpace="0"/>
        </w:sectPr>
      </w:pPr>
    </w:p>
    <w:p>
      <w:pPr>
        <w:widowControl/>
        <w:adjustRightInd w:val="0"/>
        <w:snapToGrid w:val="0"/>
        <w:spacing w:before="0" w:beforeAutospacing="0" w:after="0" w:afterAutospacing="0" w:line="360" w:lineRule="auto"/>
        <w:jc w:val="left"/>
        <w:outlineLvl w:val="0"/>
        <w:rPr>
          <w:rFonts w:ascii="Times New Roman" w:hAnsi="Times New Roman" w:eastAsia="宋体" w:cs="Times New Roman"/>
          <w:b/>
          <w:snapToGrid w:val="0"/>
          <w:color w:val="auto"/>
          <w:kern w:val="0"/>
          <w:sz w:val="30"/>
          <w:szCs w:val="30"/>
          <w:lang w:val="en-US" w:eastAsia="zh-CN" w:bidi="ar-SA"/>
        </w:rPr>
      </w:pPr>
      <w:bookmarkStart w:id="220" w:name="_Toc29981"/>
      <w:bookmarkStart w:id="221" w:name="_Toc30542"/>
      <w:bookmarkStart w:id="222" w:name="_Toc8093"/>
      <w:bookmarkStart w:id="223" w:name="_Toc12867"/>
      <w:r>
        <w:rPr>
          <w:rFonts w:ascii="Times New Roman" w:hAnsi="Times New Roman" w:eastAsia="宋体" w:cs="Times New Roman"/>
          <w:b/>
          <w:snapToGrid w:val="0"/>
          <w:color w:val="auto"/>
          <w:kern w:val="0"/>
          <w:sz w:val="30"/>
          <w:szCs w:val="30"/>
          <w:lang w:val="en-US" w:eastAsia="zh-CN" w:bidi="ar-SA"/>
        </w:rPr>
        <w:t>2项目工程分析</w:t>
      </w:r>
      <w:bookmarkEnd w:id="215"/>
      <w:bookmarkEnd w:id="216"/>
      <w:bookmarkEnd w:id="217"/>
      <w:bookmarkEnd w:id="220"/>
      <w:bookmarkEnd w:id="221"/>
      <w:bookmarkEnd w:id="222"/>
      <w:bookmarkEnd w:id="223"/>
    </w:p>
    <w:p>
      <w:pPr>
        <w:keepNext/>
        <w:widowControl w:val="0"/>
        <w:adjustRightInd w:val="0"/>
        <w:snapToGrid w:val="0"/>
        <w:spacing w:line="360" w:lineRule="auto"/>
        <w:ind w:firstLine="0" w:firstLineChars="0"/>
        <w:jc w:val="both"/>
        <w:outlineLvl w:val="1"/>
        <w:rPr>
          <w:rFonts w:hint="eastAsia" w:ascii="Times New Roman" w:hAnsi="Times New Roman" w:eastAsia="宋体" w:cs="Times New Roman"/>
          <w:b/>
          <w:bCs/>
          <w:color w:val="auto"/>
          <w:kern w:val="2"/>
          <w:sz w:val="28"/>
          <w:szCs w:val="28"/>
          <w:lang w:val="en-US" w:eastAsia="zh-CN" w:bidi="ar-SA"/>
        </w:rPr>
      </w:pPr>
      <w:bookmarkStart w:id="224" w:name="_Toc18958"/>
      <w:bookmarkStart w:id="225" w:name="_Toc11291"/>
      <w:bookmarkStart w:id="226" w:name="_Toc19403"/>
      <w:bookmarkStart w:id="227" w:name="_Toc6948"/>
      <w:bookmarkStart w:id="228" w:name="_Toc1117"/>
      <w:bookmarkStart w:id="229" w:name="_Toc15832"/>
      <w:bookmarkStart w:id="230" w:name="_Toc6415"/>
      <w:bookmarkStart w:id="231" w:name="_Toc20161"/>
      <w:bookmarkStart w:id="232" w:name="_Toc18260"/>
      <w:r>
        <w:rPr>
          <w:rFonts w:ascii="Times New Roman" w:hAnsi="Times New Roman" w:eastAsia="宋体" w:cs="Times New Roman"/>
          <w:b/>
          <w:bCs/>
          <w:color w:val="auto"/>
          <w:kern w:val="2"/>
          <w:sz w:val="28"/>
          <w:szCs w:val="28"/>
          <w:lang w:val="en-US" w:eastAsia="zh-CN" w:bidi="ar-SA"/>
        </w:rPr>
        <w:t>2.1</w:t>
      </w:r>
      <w:r>
        <w:rPr>
          <w:rFonts w:hint="eastAsia" w:ascii="Times New Roman" w:hAnsi="Times New Roman" w:eastAsia="宋体" w:cs="Times New Roman"/>
          <w:b/>
          <w:bCs/>
          <w:color w:val="auto"/>
          <w:kern w:val="2"/>
          <w:sz w:val="28"/>
          <w:szCs w:val="28"/>
          <w:lang w:val="en-US" w:eastAsia="zh-CN" w:bidi="ar-SA"/>
        </w:rPr>
        <w:t>项目概况</w:t>
      </w:r>
      <w:bookmarkEnd w:id="224"/>
      <w:bookmarkEnd w:id="225"/>
      <w:bookmarkEnd w:id="226"/>
      <w:bookmarkEnd w:id="227"/>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80" w:firstLineChars="200"/>
        <w:jc w:val="both"/>
        <w:textAlignment w:val="auto"/>
        <w:rPr>
          <w:rFonts w:hint="eastAsia" w:ascii="仿宋" w:hAnsi="仿宋" w:eastAsia="仿宋" w:cs="仿宋"/>
          <w:b w:val="0"/>
          <w:bCs w:val="0"/>
          <w:color w:val="auto"/>
          <w:spacing w:val="0"/>
          <w:kern w:val="0"/>
          <w:sz w:val="28"/>
          <w:szCs w:val="28"/>
          <w:lang w:val="en-US" w:eastAsia="zh-CN" w:bidi="ar"/>
        </w:rPr>
      </w:pPr>
      <w:r>
        <w:rPr>
          <w:rFonts w:hint="eastAsia" w:cs="宋体"/>
          <w:bCs/>
          <w:color w:val="auto"/>
          <w:sz w:val="24"/>
          <w:szCs w:val="21"/>
        </w:rPr>
        <w:t>项目名称：</w:t>
      </w:r>
      <w:r>
        <w:rPr>
          <w:rFonts w:hint="eastAsia" w:ascii="Times New Roman" w:hAnsi="Times New Roman" w:eastAsia="宋体" w:cs="宋体"/>
          <w:bCs/>
          <w:color w:val="auto"/>
          <w:sz w:val="24"/>
          <w:szCs w:val="21"/>
          <w:lang w:val="en-US" w:eastAsia="zh-CN"/>
        </w:rPr>
        <w:t>华容县团洲垸灾后重建安置房建设项目</w:t>
      </w:r>
      <w:r>
        <w:rPr>
          <w:rFonts w:hint="eastAsia" w:cs="宋体"/>
          <w:bCs/>
          <w:color w:val="auto"/>
          <w:sz w:val="24"/>
          <w:szCs w:val="21"/>
          <w:lang w:val="en-US" w:eastAsia="zh-CN"/>
        </w:rPr>
        <w:t>（三期）</w:t>
      </w:r>
      <w:r>
        <w:rPr>
          <w:rFonts w:hint="eastAsia" w:cs="宋体"/>
          <w:bCs/>
          <w:color w:val="auto"/>
          <w:sz w:val="24"/>
          <w:szCs w:val="28"/>
          <w:vertAlign w:val="baseline"/>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cs="宋体"/>
          <w:bCs/>
          <w:color w:val="auto"/>
          <w:sz w:val="24"/>
          <w:szCs w:val="21"/>
        </w:rPr>
      </w:pPr>
      <w:r>
        <w:rPr>
          <w:rFonts w:hint="eastAsia" w:cs="宋体"/>
          <w:bCs/>
          <w:color w:val="auto"/>
          <w:sz w:val="24"/>
          <w:szCs w:val="21"/>
        </w:rPr>
        <w:t>建设性质：新建</w:t>
      </w:r>
      <w:r>
        <w:rPr>
          <w:rFonts w:hint="eastAsia" w:cs="宋体"/>
          <w:bCs/>
          <w:color w:val="auto"/>
          <w:sz w:val="24"/>
          <w:szCs w:val="28"/>
          <w:vertAlign w:val="baseline"/>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eastAsia="宋体" w:cs="宋体"/>
          <w:bCs/>
          <w:color w:val="auto"/>
          <w:sz w:val="24"/>
          <w:szCs w:val="21"/>
          <w:lang w:val="en-US" w:eastAsia="zh-CN"/>
        </w:rPr>
      </w:pPr>
      <w:r>
        <w:rPr>
          <w:rFonts w:hint="eastAsia" w:cs="宋体"/>
          <w:bCs/>
          <w:color w:val="auto"/>
          <w:sz w:val="24"/>
          <w:szCs w:val="21"/>
        </w:rPr>
        <w:t>建设</w:t>
      </w:r>
      <w:r>
        <w:rPr>
          <w:rFonts w:hint="eastAsia" w:ascii="Times New Roman" w:hAnsi="Times New Roman" w:eastAsia="宋体" w:cs="宋体"/>
          <w:bCs/>
          <w:color w:val="auto"/>
          <w:sz w:val="24"/>
          <w:szCs w:val="21"/>
        </w:rPr>
        <w:t>单位：</w:t>
      </w:r>
      <w:r>
        <w:rPr>
          <w:rFonts w:hint="eastAsia" w:cs="宋体"/>
          <w:bCs/>
          <w:color w:val="auto"/>
          <w:sz w:val="24"/>
          <w:szCs w:val="21"/>
          <w:lang w:val="en-US" w:eastAsia="zh-CN"/>
        </w:rPr>
        <w:t>华容县城乡建设事务中心</w:t>
      </w:r>
      <w:r>
        <w:rPr>
          <w:rFonts w:hint="eastAsia" w:cs="宋体"/>
          <w:bCs/>
          <w:color w:val="auto"/>
          <w:sz w:val="24"/>
          <w:szCs w:val="28"/>
          <w:vertAlign w:val="baseline"/>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cs="宋体"/>
          <w:bCs/>
          <w:color w:val="auto"/>
          <w:sz w:val="24"/>
          <w:szCs w:val="21"/>
        </w:rPr>
        <w:t>建设地点：</w:t>
      </w:r>
      <w:r>
        <w:rPr>
          <w:rFonts w:hint="eastAsia" w:ascii="Times New Roman" w:hAnsi="Times New Roman" w:eastAsia="宋体" w:cs="宋体"/>
          <w:bCs/>
          <w:color w:val="auto"/>
          <w:sz w:val="24"/>
          <w:szCs w:val="21"/>
          <w:lang w:val="en-US" w:eastAsia="zh-CN"/>
        </w:rPr>
        <w:t>项目建设地点位于华容县团洲安全垸内团洲花园小区东南侧，南电排渠西侧</w:t>
      </w:r>
      <w:r>
        <w:rPr>
          <w:rFonts w:hint="eastAsia" w:cs="宋体"/>
          <w:bCs/>
          <w:color w:val="auto"/>
          <w:sz w:val="24"/>
          <w:szCs w:val="21"/>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eastAsia="宋体" w:cs="宋体"/>
          <w:bCs/>
          <w:color w:val="auto"/>
          <w:sz w:val="24"/>
          <w:szCs w:val="21"/>
          <w:lang w:eastAsia="zh-CN"/>
        </w:rPr>
      </w:pPr>
      <w:r>
        <w:rPr>
          <w:rFonts w:hint="eastAsia" w:ascii="Times New Roman" w:hAnsi="Times New Roman" w:eastAsia="宋体" w:cs="宋体"/>
          <w:bCs/>
          <w:color w:val="auto"/>
          <w:sz w:val="24"/>
          <w:szCs w:val="21"/>
          <w:lang w:val="en-US" w:eastAsia="zh-CN"/>
        </w:rPr>
        <w:t>中心坐标：东经 112.797710E；北纬29.334009N</w:t>
      </w:r>
      <w:r>
        <w:rPr>
          <w:rFonts w:hint="eastAsia" w:cs="宋体"/>
          <w:bCs/>
          <w:color w:val="auto"/>
          <w:sz w:val="24"/>
          <w:szCs w:val="21"/>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highlight w:val="none"/>
          <w:lang w:val="en-US" w:eastAsia="zh-CN"/>
        </w:rPr>
      </w:pPr>
      <w:r>
        <w:rPr>
          <w:rFonts w:hint="eastAsia" w:cs="宋体"/>
          <w:bCs/>
          <w:color w:val="auto"/>
          <w:sz w:val="24"/>
          <w:szCs w:val="21"/>
        </w:rPr>
        <w:t>项目投资：总投</w:t>
      </w:r>
      <w:r>
        <w:rPr>
          <w:rFonts w:hint="eastAsia" w:ascii="Times New Roman" w:hAnsi="Times New Roman" w:eastAsia="宋体" w:cs="宋体"/>
          <w:bCs/>
          <w:color w:val="auto"/>
          <w:sz w:val="24"/>
          <w:szCs w:val="21"/>
          <w:lang w:val="en-US" w:eastAsia="zh-CN"/>
        </w:rPr>
        <w:t>资</w:t>
      </w:r>
      <w:r>
        <w:rPr>
          <w:rFonts w:hint="eastAsia" w:cs="宋体"/>
          <w:bCs/>
          <w:color w:val="auto"/>
          <w:sz w:val="24"/>
          <w:szCs w:val="21"/>
          <w:lang w:val="en-US" w:eastAsia="zh-CN"/>
        </w:rPr>
        <w:t>44879</w:t>
      </w:r>
      <w:r>
        <w:rPr>
          <w:rFonts w:hint="eastAsia" w:ascii="Times New Roman" w:hAnsi="Times New Roman" w:eastAsia="宋体" w:cs="宋体"/>
          <w:bCs/>
          <w:color w:val="auto"/>
          <w:sz w:val="24"/>
          <w:szCs w:val="21"/>
          <w:lang w:val="en-US" w:eastAsia="zh-CN"/>
        </w:rPr>
        <w:t>万元</w:t>
      </w:r>
      <w:r>
        <w:rPr>
          <w:rFonts w:hint="eastAsia" w:ascii="Times New Roman" w:hAnsi="Times New Roman" w:eastAsia="宋体" w:cs="宋体"/>
          <w:bCs/>
          <w:color w:val="auto"/>
          <w:sz w:val="24"/>
          <w:szCs w:val="21"/>
          <w:highlight w:val="none"/>
          <w:lang w:val="en-US" w:eastAsia="zh-CN"/>
        </w:rPr>
        <w:t>，其中环保投资</w:t>
      </w:r>
      <w:r>
        <w:rPr>
          <w:rFonts w:hint="eastAsia" w:cs="宋体"/>
          <w:bCs/>
          <w:color w:val="auto"/>
          <w:sz w:val="24"/>
          <w:szCs w:val="21"/>
          <w:highlight w:val="none"/>
          <w:lang w:val="en-US" w:eastAsia="zh-CN"/>
        </w:rPr>
        <w:t>250</w:t>
      </w:r>
      <w:r>
        <w:rPr>
          <w:rFonts w:hint="eastAsia" w:ascii="Times New Roman" w:hAnsi="Times New Roman" w:eastAsia="宋体" w:cs="宋体"/>
          <w:bCs/>
          <w:color w:val="auto"/>
          <w:sz w:val="24"/>
          <w:szCs w:val="21"/>
          <w:highlight w:val="none"/>
          <w:lang w:val="en-US" w:eastAsia="zh-CN"/>
        </w:rPr>
        <w:t>万元，占总投资的</w:t>
      </w:r>
      <w:r>
        <w:rPr>
          <w:rFonts w:hint="eastAsia" w:cs="宋体"/>
          <w:bCs/>
          <w:color w:val="auto"/>
          <w:sz w:val="24"/>
          <w:szCs w:val="21"/>
          <w:highlight w:val="none"/>
          <w:lang w:val="en-US" w:eastAsia="zh-CN"/>
        </w:rPr>
        <w:t>0.56</w:t>
      </w:r>
      <w:r>
        <w:rPr>
          <w:rFonts w:hint="eastAsia" w:ascii="Times New Roman" w:hAnsi="Times New Roman" w:eastAsia="宋体" w:cs="宋体"/>
          <w:bCs/>
          <w:color w:val="auto"/>
          <w:sz w:val="24"/>
          <w:szCs w:val="21"/>
          <w:highlight w:val="none"/>
          <w:lang w:val="en-US" w:eastAsia="zh-CN"/>
        </w:rPr>
        <w:t xml:space="preserve">%，资金来源：县财政整合相关救灾补助资金、危房改造项目资金、社 </w:t>
      </w:r>
    </w:p>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cs="宋体"/>
          <w:bCs/>
          <w:color w:val="auto"/>
          <w:sz w:val="24"/>
          <w:szCs w:val="21"/>
          <w:highlight w:val="none"/>
        </w:rPr>
      </w:pPr>
      <w:r>
        <w:rPr>
          <w:rFonts w:hint="eastAsia" w:ascii="Times New Roman" w:hAnsi="Times New Roman" w:eastAsia="宋体" w:cs="宋体"/>
          <w:bCs/>
          <w:color w:val="auto"/>
          <w:sz w:val="24"/>
          <w:szCs w:val="21"/>
          <w:highlight w:val="none"/>
          <w:lang w:val="en-US" w:eastAsia="zh-CN"/>
        </w:rPr>
        <w:t>会捐赠资金和受灾群众部分自筹。</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eastAsia="宋体" w:cs="宋体"/>
          <w:bCs/>
          <w:color w:val="auto"/>
          <w:sz w:val="24"/>
          <w:szCs w:val="21"/>
          <w:lang w:eastAsia="zh-CN"/>
        </w:rPr>
      </w:pPr>
      <w:r>
        <w:rPr>
          <w:rFonts w:hint="eastAsia" w:cs="宋体"/>
          <w:bCs/>
          <w:color w:val="auto"/>
          <w:sz w:val="24"/>
          <w:szCs w:val="21"/>
        </w:rPr>
        <w:t>占地面积：约</w:t>
      </w:r>
      <w:r>
        <w:rPr>
          <w:rFonts w:hint="eastAsia" w:ascii="Times New Roman" w:hAnsi="Times New Roman" w:eastAsia="宋体" w:cs="宋体"/>
          <w:bCs/>
          <w:color w:val="auto"/>
          <w:sz w:val="24"/>
          <w:szCs w:val="21"/>
          <w:lang w:val="en-US" w:eastAsia="zh-CN"/>
        </w:rPr>
        <w:t>112,978.</w:t>
      </w:r>
      <w:r>
        <w:rPr>
          <w:rFonts w:hint="eastAsia" w:cs="宋体"/>
          <w:bCs/>
          <w:color w:val="auto"/>
          <w:sz w:val="24"/>
          <w:szCs w:val="21"/>
        </w:rPr>
        <w:t>m</w:t>
      </w:r>
      <w:r>
        <w:rPr>
          <w:rFonts w:hint="eastAsia" w:cs="宋体"/>
          <w:bCs/>
          <w:color w:val="auto"/>
          <w:sz w:val="24"/>
          <w:szCs w:val="28"/>
          <w:vertAlign w:val="superscript"/>
        </w:rPr>
        <w:t>2</w:t>
      </w:r>
      <w:r>
        <w:rPr>
          <w:rFonts w:hint="eastAsia" w:cs="宋体"/>
          <w:bCs/>
          <w:color w:val="auto"/>
          <w:sz w:val="24"/>
          <w:szCs w:val="21"/>
        </w:rPr>
        <w:t>，总建筑面积约</w:t>
      </w:r>
      <w:r>
        <w:rPr>
          <w:rFonts w:hint="eastAsia" w:cs="宋体"/>
          <w:bCs/>
          <w:color w:val="auto"/>
          <w:sz w:val="24"/>
          <w:szCs w:val="21"/>
          <w:lang w:val="en-US" w:eastAsia="zh-CN"/>
        </w:rPr>
        <w:t>148885.76</w:t>
      </w:r>
      <w:r>
        <w:rPr>
          <w:rFonts w:hint="eastAsia" w:cs="宋体"/>
          <w:bCs/>
          <w:color w:val="auto"/>
          <w:sz w:val="24"/>
          <w:szCs w:val="21"/>
        </w:rPr>
        <w:t>m</w:t>
      </w:r>
      <w:r>
        <w:rPr>
          <w:rFonts w:hint="eastAsia" w:cs="宋体"/>
          <w:bCs/>
          <w:color w:val="auto"/>
          <w:sz w:val="24"/>
          <w:szCs w:val="28"/>
          <w:vertAlign w:val="superscript"/>
        </w:rPr>
        <w:t>2</w:t>
      </w:r>
      <w:r>
        <w:rPr>
          <w:rFonts w:hint="eastAsia" w:cs="宋体"/>
          <w:bCs/>
          <w:color w:val="auto"/>
          <w:sz w:val="24"/>
          <w:szCs w:val="28"/>
          <w:vertAlign w:val="baseline"/>
          <w:lang w:eastAsia="zh-CN"/>
        </w:rPr>
        <w:t>。</w:t>
      </w:r>
    </w:p>
    <w:p>
      <w:pPr>
        <w:widowControl w:val="0"/>
        <w:adjustRightInd w:val="0"/>
        <w:snapToGrid w:val="0"/>
        <w:spacing w:line="360" w:lineRule="auto"/>
        <w:ind w:firstLine="480" w:firstLineChars="200"/>
        <w:jc w:val="both"/>
        <w:rPr>
          <w:rFonts w:hint="eastAsia" w:ascii="Times New Roman" w:hAnsi="Times New Roman" w:eastAsia="宋体" w:cs="Times New Roman"/>
          <w:color w:val="auto"/>
          <w:kern w:val="2"/>
          <w:sz w:val="24"/>
          <w:szCs w:val="24"/>
          <w:u w:val="none"/>
          <w:lang w:val="en-US" w:eastAsia="zh-CN" w:bidi="ar-SA"/>
        </w:rPr>
      </w:pPr>
      <w:r>
        <w:rPr>
          <w:rFonts w:hint="default" w:ascii="Times New Roman" w:hAnsi="Times New Roman" w:eastAsia="宋体" w:cs="宋体"/>
          <w:bCs/>
          <w:color w:val="auto"/>
          <w:sz w:val="24"/>
          <w:szCs w:val="21"/>
          <w:lang w:val="en-US" w:eastAsia="zh-CN"/>
        </w:rPr>
        <w:t>建设进度：</w:t>
      </w:r>
      <w:r>
        <w:rPr>
          <w:rFonts w:hint="eastAsia" w:ascii="Times New Roman" w:hAnsi="Times New Roman" w:eastAsia="宋体" w:cs="宋体"/>
          <w:bCs/>
          <w:color w:val="auto"/>
          <w:sz w:val="24"/>
          <w:szCs w:val="21"/>
          <w:lang w:val="en-US" w:eastAsia="zh-CN"/>
        </w:rPr>
        <w:t>项目为灾后重建应急工程，为尽快使受灾人民恢复正常生产生活秩序，项目已提前施工，目前项目</w:t>
      </w:r>
      <w:r>
        <w:rPr>
          <w:rFonts w:hint="eastAsia" w:cs="宋体"/>
          <w:bCs/>
          <w:color w:val="auto"/>
          <w:sz w:val="24"/>
          <w:szCs w:val="21"/>
          <w:lang w:val="en-US" w:eastAsia="zh-CN"/>
        </w:rPr>
        <w:t>主体工程</w:t>
      </w:r>
      <w:r>
        <w:rPr>
          <w:rFonts w:hint="eastAsia" w:ascii="Times New Roman" w:hAnsi="Times New Roman" w:eastAsia="宋体" w:cs="宋体"/>
          <w:bCs/>
          <w:color w:val="auto"/>
          <w:sz w:val="24"/>
          <w:szCs w:val="21"/>
          <w:lang w:val="en-US" w:eastAsia="zh-CN"/>
        </w:rPr>
        <w:t>已建成，目前暂没有住户入住</w:t>
      </w:r>
      <w:r>
        <w:rPr>
          <w:rFonts w:hint="default" w:ascii="Times New Roman" w:hAnsi="Times New Roman" w:eastAsia="宋体" w:cs="Times New Roman"/>
          <w:color w:val="auto"/>
          <w:kern w:val="2"/>
          <w:sz w:val="24"/>
          <w:szCs w:val="24"/>
          <w:u w:val="none"/>
          <w:lang w:val="en-US" w:eastAsia="zh-CN" w:bidi="ar-SA"/>
        </w:rPr>
        <w:t>。</w:t>
      </w:r>
    </w:p>
    <w:p>
      <w:pPr>
        <w:keepNext/>
        <w:widowControl w:val="0"/>
        <w:adjustRightInd w:val="0"/>
        <w:snapToGrid w:val="0"/>
        <w:spacing w:line="360" w:lineRule="auto"/>
        <w:ind w:firstLine="0" w:firstLineChars="0"/>
        <w:jc w:val="both"/>
        <w:outlineLvl w:val="1"/>
        <w:rPr>
          <w:rFonts w:ascii="Times New Roman" w:hAnsi="Times New Roman" w:eastAsia="宋体" w:cs="Times New Roman"/>
          <w:b/>
          <w:bCs/>
          <w:color w:val="auto"/>
          <w:kern w:val="2"/>
          <w:sz w:val="28"/>
          <w:szCs w:val="28"/>
          <w:lang w:val="en-US" w:eastAsia="zh-CN" w:bidi="ar-SA"/>
        </w:rPr>
      </w:pPr>
      <w:bookmarkStart w:id="233" w:name="_Toc1717"/>
      <w:bookmarkStart w:id="234" w:name="_Toc1418"/>
      <w:bookmarkStart w:id="235" w:name="_Toc563"/>
      <w:bookmarkStart w:id="236" w:name="_Toc491"/>
      <w:r>
        <w:rPr>
          <w:rFonts w:hint="eastAsia" w:ascii="Times New Roman" w:hAnsi="Times New Roman" w:eastAsia="宋体" w:cs="Times New Roman"/>
          <w:b/>
          <w:bCs/>
          <w:color w:val="auto"/>
          <w:kern w:val="2"/>
          <w:sz w:val="28"/>
          <w:szCs w:val="28"/>
          <w:lang w:val="en-US" w:eastAsia="zh-CN" w:bidi="ar-SA"/>
        </w:rPr>
        <w:t>2.2</w:t>
      </w:r>
      <w:r>
        <w:rPr>
          <w:rFonts w:ascii="Times New Roman" w:hAnsi="Times New Roman" w:eastAsia="宋体" w:cs="Times New Roman"/>
          <w:b/>
          <w:bCs/>
          <w:color w:val="auto"/>
          <w:kern w:val="2"/>
          <w:sz w:val="28"/>
          <w:szCs w:val="28"/>
          <w:lang w:val="en-US" w:eastAsia="zh-CN" w:bidi="ar-SA"/>
        </w:rPr>
        <w:t>工程建设内容</w:t>
      </w:r>
      <w:bookmarkEnd w:id="228"/>
      <w:bookmarkEnd w:id="229"/>
      <w:bookmarkEnd w:id="230"/>
      <w:bookmarkEnd w:id="231"/>
      <w:bookmarkEnd w:id="232"/>
      <w:bookmarkEnd w:id="233"/>
      <w:bookmarkEnd w:id="234"/>
      <w:bookmarkEnd w:id="235"/>
      <w:bookmarkEnd w:id="236"/>
    </w:p>
    <w:p>
      <w:pPr>
        <w:adjustRightInd w:val="0"/>
        <w:snapToGrid w:val="0"/>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项目工程建设内容</w:t>
      </w:r>
      <w:r>
        <w:rPr>
          <w:rFonts w:ascii="Times New Roman" w:hAnsi="Times New Roman" w:eastAsia="宋体" w:cs="Times New Roman"/>
          <w:color w:val="auto"/>
          <w:sz w:val="24"/>
        </w:rPr>
        <w:t>详见</w:t>
      </w:r>
      <w:r>
        <w:rPr>
          <w:rFonts w:hint="eastAsia" w:ascii="Times New Roman" w:hAnsi="Times New Roman" w:eastAsia="宋体" w:cs="Times New Roman"/>
          <w:color w:val="auto"/>
          <w:sz w:val="24"/>
        </w:rPr>
        <w:t>本</w:t>
      </w:r>
      <w:r>
        <w:rPr>
          <w:rFonts w:ascii="Times New Roman" w:hAnsi="Times New Roman" w:eastAsia="宋体" w:cs="Times New Roman"/>
          <w:color w:val="auto"/>
          <w:sz w:val="24"/>
        </w:rPr>
        <w:t>报告表中第二章节。</w:t>
      </w:r>
    </w:p>
    <w:p>
      <w:pPr>
        <w:keepNext/>
        <w:widowControl w:val="0"/>
        <w:overflowPunct w:val="0"/>
        <w:adjustRightInd w:val="0"/>
        <w:snapToGrid w:val="0"/>
        <w:spacing w:before="0" w:after="0" w:line="360" w:lineRule="auto"/>
        <w:ind w:left="0" w:firstLine="0"/>
        <w:jc w:val="both"/>
        <w:outlineLvl w:val="0"/>
        <w:rPr>
          <w:rFonts w:ascii="Times New Roman" w:hAnsi="Times New Roman" w:eastAsia="黑体" w:cs="Times New Roman"/>
          <w:b/>
          <w:bCs/>
          <w:color w:val="auto"/>
          <w:kern w:val="44"/>
          <w:sz w:val="30"/>
          <w:szCs w:val="30"/>
          <w:u w:val="single"/>
          <w:lang w:val="en-US" w:eastAsia="zh-CN" w:bidi="ar-SA"/>
        </w:rPr>
      </w:pPr>
      <w:r>
        <w:rPr>
          <w:rFonts w:ascii="Times New Roman" w:hAnsi="Times New Roman" w:eastAsia="黑体" w:cs="Times New Roman"/>
          <w:b/>
          <w:bCs/>
          <w:color w:val="auto"/>
          <w:kern w:val="44"/>
          <w:sz w:val="30"/>
          <w:szCs w:val="30"/>
          <w:lang w:val="en-US" w:eastAsia="zh-CN" w:bidi="ar-SA"/>
        </w:rPr>
        <w:br w:type="page"/>
      </w:r>
      <w:bookmarkStart w:id="237" w:name="_Toc7729"/>
      <w:bookmarkStart w:id="238" w:name="_Toc26877"/>
      <w:bookmarkStart w:id="239" w:name="_Toc1655"/>
      <w:bookmarkStart w:id="240" w:name="_Toc11734"/>
      <w:bookmarkStart w:id="241" w:name="_Toc2504"/>
      <w:bookmarkStart w:id="242" w:name="_Toc11656"/>
      <w:bookmarkStart w:id="243" w:name="_Toc17428"/>
      <w:r>
        <w:rPr>
          <w:rFonts w:ascii="Times New Roman" w:hAnsi="Times New Roman" w:eastAsia="宋体" w:cs="Times New Roman"/>
          <w:b/>
          <w:bCs w:val="0"/>
          <w:snapToGrid w:val="0"/>
          <w:color w:val="auto"/>
          <w:kern w:val="0"/>
          <w:sz w:val="30"/>
          <w:szCs w:val="30"/>
          <w:lang w:val="en-US" w:eastAsia="zh-CN" w:bidi="ar-SA"/>
        </w:rPr>
        <w:t>3生态环境现状调查与评价</w:t>
      </w:r>
      <w:bookmarkEnd w:id="218"/>
      <w:bookmarkEnd w:id="219"/>
      <w:bookmarkEnd w:id="237"/>
      <w:bookmarkEnd w:id="238"/>
      <w:bookmarkEnd w:id="239"/>
      <w:bookmarkEnd w:id="240"/>
      <w:bookmarkEnd w:id="241"/>
      <w:bookmarkEnd w:id="242"/>
      <w:bookmarkEnd w:id="243"/>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bookmarkStart w:id="244" w:name="_Toc425"/>
      <w:bookmarkStart w:id="245" w:name="_Toc24962"/>
      <w:bookmarkStart w:id="246" w:name="_Toc28113"/>
      <w:bookmarkStart w:id="247" w:name="_Toc21211"/>
      <w:bookmarkStart w:id="248" w:name="_Toc2011"/>
      <w:bookmarkStart w:id="249" w:name="_Toc32502"/>
      <w:bookmarkStart w:id="250" w:name="_Toc25187"/>
      <w:bookmarkStart w:id="251" w:name="_Toc1083"/>
      <w:bookmarkStart w:id="252" w:name="_Toc19759"/>
      <w:bookmarkStart w:id="253" w:name="_Toc3320"/>
      <w:r>
        <w:rPr>
          <w:rFonts w:hint="eastAsia" w:ascii="Times New Roman" w:hAnsi="Times New Roman" w:eastAsia="宋体" w:cs="宋体"/>
          <w:bCs/>
          <w:color w:val="auto"/>
          <w:sz w:val="24"/>
          <w:szCs w:val="21"/>
          <w:lang w:val="en-US" w:eastAsia="zh-CN"/>
        </w:rPr>
        <w:t>本项目与2025年3月委托湖南</w:t>
      </w:r>
      <w:r>
        <w:rPr>
          <w:rFonts w:hint="default" w:ascii="Times New Roman" w:hAnsi="Times New Roman" w:eastAsia="宋体" w:cs="宋体"/>
          <w:bCs/>
          <w:color w:val="auto"/>
          <w:sz w:val="24"/>
          <w:szCs w:val="21"/>
          <w:lang w:val="en-US" w:eastAsia="zh-CN"/>
        </w:rPr>
        <w:t>绿湘生态科技有限公司</w:t>
      </w:r>
      <w:r>
        <w:rPr>
          <w:rFonts w:hint="eastAsia" w:ascii="Times New Roman" w:hAnsi="Times New Roman" w:eastAsia="宋体" w:cs="宋体"/>
          <w:bCs/>
          <w:color w:val="auto"/>
          <w:sz w:val="24"/>
          <w:szCs w:val="21"/>
          <w:lang w:val="en-US" w:eastAsia="zh-CN"/>
        </w:rPr>
        <w:t>进行了《</w:t>
      </w:r>
      <w:r>
        <w:rPr>
          <w:rFonts w:hint="default" w:ascii="Times New Roman" w:hAnsi="Times New Roman" w:eastAsia="宋体" w:cs="宋体"/>
          <w:bCs/>
          <w:color w:val="auto"/>
          <w:sz w:val="24"/>
          <w:szCs w:val="21"/>
          <w:lang w:val="en-US" w:eastAsia="zh-CN"/>
        </w:rPr>
        <w:t>华容县团洲垸决口灾后农村居民集中安置房项目</w:t>
      </w:r>
      <w:r>
        <w:rPr>
          <w:rFonts w:hint="eastAsia" w:ascii="Times New Roman" w:hAnsi="Times New Roman" w:eastAsia="宋体" w:cs="宋体"/>
          <w:bCs/>
          <w:color w:val="auto"/>
          <w:sz w:val="24"/>
          <w:szCs w:val="21"/>
          <w:lang w:val="en-US" w:eastAsia="zh-CN"/>
        </w:rPr>
        <w:t>对湖南东洞庭湖国家级自然保护区生物多样性影响评价报告》并已通过湖南省林业局审查（详见附件</w:t>
      </w:r>
      <w:r>
        <w:rPr>
          <w:rFonts w:hint="eastAsia" w:cs="宋体"/>
          <w:bCs/>
          <w:color w:val="auto"/>
          <w:sz w:val="24"/>
          <w:szCs w:val="21"/>
          <w:lang w:val="en-US" w:eastAsia="zh-CN"/>
        </w:rPr>
        <w:t>中</w:t>
      </w:r>
      <w:r>
        <w:rPr>
          <w:rFonts w:hint="eastAsia" w:ascii="Times New Roman" w:hAnsi="Times New Roman" w:eastAsia="宋体" w:cs="宋体"/>
          <w:bCs/>
          <w:color w:val="auto"/>
          <w:sz w:val="24"/>
          <w:szCs w:val="21"/>
          <w:lang w:val="en-US" w:eastAsia="zh-CN"/>
        </w:rPr>
        <w:t xml:space="preserve"> </w:t>
      </w:r>
      <w:r>
        <w:rPr>
          <w:rFonts w:hint="default" w:ascii="Times New Roman" w:hAnsi="Times New Roman" w:eastAsia="宋体" w:cs="宋体"/>
          <w:bCs/>
          <w:color w:val="auto"/>
          <w:sz w:val="24"/>
          <w:szCs w:val="21"/>
          <w:lang w:val="en-US" w:eastAsia="zh-CN"/>
        </w:rPr>
        <w:t>湘林保函〔2025〕13号</w:t>
      </w:r>
      <w:r>
        <w:rPr>
          <w:rFonts w:hint="eastAsia" w:cs="宋体"/>
          <w:bCs/>
          <w:color w:val="auto"/>
          <w:sz w:val="24"/>
          <w:szCs w:val="21"/>
          <w:lang w:val="en-US" w:eastAsia="zh-CN"/>
        </w:rPr>
        <w:t>文件</w:t>
      </w:r>
      <w:r>
        <w:rPr>
          <w:rFonts w:hint="eastAsia" w:ascii="Times New Roman" w:hAnsi="Times New Roman" w:eastAsia="宋体" w:cs="宋体"/>
          <w:bCs/>
          <w:color w:val="auto"/>
          <w:sz w:val="24"/>
          <w:szCs w:val="21"/>
          <w:lang w:val="en-US" w:eastAsia="zh-CN"/>
        </w:rPr>
        <w:t>），本次</w:t>
      </w:r>
      <w:r>
        <w:rPr>
          <w:rFonts w:hint="eastAsia" w:cs="宋体"/>
          <w:bCs/>
          <w:color w:val="auto"/>
          <w:sz w:val="24"/>
          <w:szCs w:val="21"/>
          <w:lang w:val="en-US" w:eastAsia="zh-CN"/>
        </w:rPr>
        <w:t>生态环境现状</w:t>
      </w:r>
      <w:r>
        <w:rPr>
          <w:rFonts w:hint="eastAsia" w:ascii="Times New Roman" w:hAnsi="Times New Roman" w:eastAsia="宋体" w:cs="宋体"/>
          <w:bCs/>
          <w:color w:val="auto"/>
          <w:sz w:val="24"/>
          <w:szCs w:val="21"/>
          <w:lang w:val="en-US" w:eastAsia="zh-CN"/>
        </w:rPr>
        <w:t>评价部分引用</w:t>
      </w:r>
      <w:r>
        <w:rPr>
          <w:rFonts w:hint="eastAsia" w:cs="宋体"/>
          <w:bCs/>
          <w:color w:val="auto"/>
          <w:sz w:val="24"/>
          <w:szCs w:val="21"/>
          <w:lang w:val="en-US" w:eastAsia="zh-CN"/>
        </w:rPr>
        <w:t>该</w:t>
      </w:r>
      <w:r>
        <w:rPr>
          <w:rFonts w:hint="eastAsia" w:ascii="Times New Roman" w:hAnsi="Times New Roman" w:eastAsia="宋体" w:cs="宋体"/>
          <w:bCs/>
          <w:color w:val="auto"/>
          <w:sz w:val="24"/>
          <w:szCs w:val="21"/>
          <w:lang w:val="en-US" w:eastAsia="zh-CN"/>
        </w:rPr>
        <w:t>评价报告中相关内容</w:t>
      </w:r>
    </w:p>
    <w:p>
      <w:pPr>
        <w:keepNext/>
        <w:keepLines/>
        <w:widowControl w:val="0"/>
        <w:adjustRightInd w:val="0"/>
        <w:snapToGrid w:val="0"/>
        <w:spacing w:before="0" w:after="0" w:line="360" w:lineRule="auto"/>
        <w:jc w:val="both"/>
        <w:outlineLvl w:val="1"/>
        <w:rPr>
          <w:rFonts w:ascii="Times New Roman" w:hAnsi="Times New Roman" w:eastAsia="宋体" w:cs="Times New Roman"/>
          <w:b/>
          <w:bCs/>
          <w:color w:val="auto"/>
          <w:kern w:val="2"/>
          <w:sz w:val="28"/>
          <w:szCs w:val="28"/>
          <w:lang w:val="en-US" w:eastAsia="zh-CN" w:bidi="ar-SA"/>
        </w:rPr>
      </w:pPr>
      <w:bookmarkStart w:id="254" w:name="_Toc1540"/>
      <w:r>
        <w:rPr>
          <w:rFonts w:ascii="Times New Roman" w:hAnsi="Times New Roman" w:eastAsia="宋体" w:cs="Times New Roman"/>
          <w:b/>
          <w:bCs/>
          <w:color w:val="auto"/>
          <w:kern w:val="2"/>
          <w:sz w:val="28"/>
          <w:szCs w:val="28"/>
          <w:lang w:val="en-US" w:eastAsia="zh-CN" w:bidi="ar-SA"/>
        </w:rPr>
        <w:t>3.1</w:t>
      </w:r>
      <w:r>
        <w:rPr>
          <w:rFonts w:hint="eastAsia" w:ascii="Times New Roman" w:hAnsi="Times New Roman" w:eastAsia="宋体" w:cs="Times New Roman"/>
          <w:b/>
          <w:bCs/>
          <w:color w:val="auto"/>
          <w:kern w:val="2"/>
          <w:sz w:val="28"/>
          <w:szCs w:val="28"/>
          <w:lang w:val="en-US" w:eastAsia="zh-CN" w:bidi="ar-SA"/>
        </w:rPr>
        <w:t>土地利用现状</w:t>
      </w:r>
      <w:bookmarkEnd w:id="244"/>
      <w:bookmarkEnd w:id="245"/>
      <w:bookmarkEnd w:id="246"/>
      <w:bookmarkEnd w:id="254"/>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highlight w:val="none"/>
          <w:lang w:val="en-US" w:eastAsia="zh-CN"/>
        </w:rPr>
      </w:pPr>
      <w:bookmarkStart w:id="255" w:name="_Toc20615"/>
      <w:bookmarkStart w:id="256" w:name="_Toc20121"/>
      <w:bookmarkStart w:id="257" w:name="_Toc16185"/>
      <w:r>
        <w:rPr>
          <w:rFonts w:hint="default" w:ascii="Times New Roman" w:hAnsi="Times New Roman" w:eastAsia="宋体" w:cs="宋体"/>
          <w:bCs/>
          <w:color w:val="auto"/>
          <w:sz w:val="24"/>
          <w:szCs w:val="21"/>
          <w:highlight w:val="none"/>
          <w:lang w:val="en-US" w:eastAsia="zh-CN"/>
        </w:rPr>
        <w:t>根据规划，本工程项目永久占地</w:t>
      </w:r>
      <w:r>
        <w:rPr>
          <w:rFonts w:hint="eastAsia" w:cs="宋体"/>
          <w:bCs/>
          <w:color w:val="auto"/>
          <w:sz w:val="24"/>
          <w:szCs w:val="21"/>
          <w:highlight w:val="none"/>
          <w:lang w:val="en-US" w:eastAsia="zh-CN"/>
        </w:rPr>
        <w:t>112978</w:t>
      </w:r>
      <w:r>
        <w:rPr>
          <w:rFonts w:hint="default" w:ascii="Times New Roman" w:hAnsi="Times New Roman" w:eastAsia="宋体" w:cs="宋体"/>
          <w:bCs/>
          <w:color w:val="auto"/>
          <w:sz w:val="24"/>
          <w:szCs w:val="21"/>
          <w:highlight w:val="none"/>
          <w:lang w:val="en-US" w:eastAsia="zh-CN"/>
        </w:rPr>
        <w:t>m</w:t>
      </w:r>
      <w:r>
        <w:rPr>
          <w:rFonts w:hint="default" w:ascii="Times New Roman" w:hAnsi="Times New Roman" w:eastAsia="宋体" w:cs="宋体"/>
          <w:bCs/>
          <w:color w:val="auto"/>
          <w:sz w:val="24"/>
          <w:szCs w:val="21"/>
          <w:highlight w:val="none"/>
          <w:vertAlign w:val="superscript"/>
          <w:lang w:val="en-US" w:eastAsia="zh-CN"/>
        </w:rPr>
        <w:t>2</w:t>
      </w:r>
      <w:r>
        <w:rPr>
          <w:rFonts w:hint="default" w:ascii="Times New Roman" w:hAnsi="Times New Roman" w:eastAsia="宋体" w:cs="宋体"/>
          <w:bCs/>
          <w:color w:val="auto"/>
          <w:sz w:val="24"/>
          <w:szCs w:val="21"/>
          <w:highlight w:val="none"/>
          <w:lang w:val="en-US" w:eastAsia="zh-CN"/>
        </w:rPr>
        <w:t>，占地类型主要为</w:t>
      </w:r>
      <w:r>
        <w:rPr>
          <w:rFonts w:hint="eastAsia" w:cs="宋体"/>
          <w:bCs/>
          <w:color w:val="auto"/>
          <w:sz w:val="24"/>
          <w:szCs w:val="21"/>
          <w:highlight w:val="none"/>
          <w:lang w:val="en-US" w:eastAsia="zh-CN"/>
        </w:rPr>
        <w:t>耕地</w:t>
      </w:r>
      <w:r>
        <w:rPr>
          <w:rFonts w:hint="default" w:ascii="Times New Roman" w:hAnsi="Times New Roman" w:eastAsia="宋体" w:cs="宋体"/>
          <w:bCs/>
          <w:color w:val="auto"/>
          <w:sz w:val="24"/>
          <w:szCs w:val="21"/>
          <w:highlight w:val="none"/>
          <w:lang w:val="en-US" w:eastAsia="zh-CN"/>
        </w:rPr>
        <w:t>，</w:t>
      </w:r>
      <w:r>
        <w:rPr>
          <w:rFonts w:hint="eastAsia" w:cs="宋体"/>
          <w:bCs/>
          <w:color w:val="auto"/>
          <w:sz w:val="24"/>
          <w:szCs w:val="21"/>
          <w:highlight w:val="none"/>
          <w:lang w:val="en-US" w:eastAsia="zh-CN"/>
        </w:rPr>
        <w:t>占用面积约104647</w:t>
      </w:r>
      <w:r>
        <w:rPr>
          <w:rFonts w:hint="default" w:ascii="Times New Roman" w:hAnsi="Times New Roman" w:eastAsia="宋体" w:cs="宋体"/>
          <w:bCs/>
          <w:color w:val="auto"/>
          <w:sz w:val="24"/>
          <w:szCs w:val="21"/>
          <w:highlight w:val="none"/>
          <w:lang w:val="en-US" w:eastAsia="zh-CN"/>
        </w:rPr>
        <w:t>m</w:t>
      </w:r>
      <w:r>
        <w:rPr>
          <w:rFonts w:hint="default" w:ascii="Times New Roman" w:hAnsi="Times New Roman" w:eastAsia="宋体" w:cs="宋体"/>
          <w:bCs/>
          <w:color w:val="auto"/>
          <w:sz w:val="24"/>
          <w:szCs w:val="21"/>
          <w:highlight w:val="none"/>
          <w:vertAlign w:val="superscript"/>
          <w:lang w:val="en-US" w:eastAsia="zh-CN"/>
        </w:rPr>
        <w:t>2</w:t>
      </w:r>
      <w:r>
        <w:rPr>
          <w:rFonts w:hint="eastAsia" w:cs="宋体"/>
          <w:bCs/>
          <w:color w:val="auto"/>
          <w:sz w:val="24"/>
          <w:szCs w:val="21"/>
          <w:highlight w:val="none"/>
          <w:vertAlign w:val="baseline"/>
          <w:lang w:val="en-US" w:eastAsia="zh-CN"/>
        </w:rPr>
        <w:t>，其次为林地4957</w:t>
      </w:r>
      <w:r>
        <w:rPr>
          <w:rFonts w:hint="default" w:ascii="Times New Roman" w:hAnsi="Times New Roman" w:eastAsia="宋体" w:cs="宋体"/>
          <w:bCs/>
          <w:color w:val="auto"/>
          <w:sz w:val="24"/>
          <w:szCs w:val="21"/>
          <w:highlight w:val="none"/>
          <w:lang w:val="en-US" w:eastAsia="zh-CN"/>
        </w:rPr>
        <w:t>m</w:t>
      </w:r>
      <w:r>
        <w:rPr>
          <w:rFonts w:hint="default" w:ascii="Times New Roman" w:hAnsi="Times New Roman" w:eastAsia="宋体" w:cs="宋体"/>
          <w:bCs/>
          <w:color w:val="auto"/>
          <w:sz w:val="24"/>
          <w:szCs w:val="21"/>
          <w:highlight w:val="none"/>
          <w:vertAlign w:val="superscript"/>
          <w:lang w:val="en-US" w:eastAsia="zh-CN"/>
        </w:rPr>
        <w:t>2</w:t>
      </w:r>
      <w:r>
        <w:rPr>
          <w:rFonts w:hint="eastAsia" w:cs="宋体"/>
          <w:bCs/>
          <w:color w:val="auto"/>
          <w:sz w:val="24"/>
          <w:szCs w:val="21"/>
          <w:highlight w:val="none"/>
          <w:vertAlign w:val="baseline"/>
          <w:lang w:val="en-US" w:eastAsia="zh-CN"/>
        </w:rPr>
        <w:t>，农业设施用地2015</w:t>
      </w:r>
      <w:r>
        <w:rPr>
          <w:rFonts w:hint="default" w:ascii="Times New Roman" w:hAnsi="Times New Roman" w:eastAsia="宋体" w:cs="宋体"/>
          <w:bCs/>
          <w:color w:val="auto"/>
          <w:sz w:val="24"/>
          <w:szCs w:val="21"/>
          <w:highlight w:val="none"/>
          <w:lang w:val="en-US" w:eastAsia="zh-CN"/>
        </w:rPr>
        <w:t>m</w:t>
      </w:r>
      <w:r>
        <w:rPr>
          <w:rFonts w:hint="default" w:ascii="Times New Roman" w:hAnsi="Times New Roman" w:eastAsia="宋体" w:cs="宋体"/>
          <w:bCs/>
          <w:color w:val="auto"/>
          <w:sz w:val="24"/>
          <w:szCs w:val="21"/>
          <w:highlight w:val="none"/>
          <w:vertAlign w:val="superscript"/>
          <w:lang w:val="en-US" w:eastAsia="zh-CN"/>
        </w:rPr>
        <w:t>2</w:t>
      </w:r>
      <w:r>
        <w:rPr>
          <w:rFonts w:hint="eastAsia" w:cs="宋体"/>
          <w:bCs/>
          <w:color w:val="auto"/>
          <w:sz w:val="24"/>
          <w:szCs w:val="21"/>
          <w:highlight w:val="none"/>
          <w:vertAlign w:val="baseline"/>
          <w:lang w:val="en-US" w:eastAsia="zh-CN"/>
        </w:rPr>
        <w:t>、居住用地1345</w:t>
      </w:r>
      <w:r>
        <w:rPr>
          <w:rFonts w:hint="default" w:ascii="Times New Roman" w:hAnsi="Times New Roman" w:eastAsia="宋体" w:cs="宋体"/>
          <w:bCs/>
          <w:color w:val="auto"/>
          <w:sz w:val="24"/>
          <w:szCs w:val="21"/>
          <w:highlight w:val="none"/>
          <w:lang w:val="en-US" w:eastAsia="zh-CN"/>
        </w:rPr>
        <w:t>m</w:t>
      </w:r>
      <w:r>
        <w:rPr>
          <w:rFonts w:hint="default" w:ascii="Times New Roman" w:hAnsi="Times New Roman" w:eastAsia="宋体" w:cs="宋体"/>
          <w:bCs/>
          <w:color w:val="auto"/>
          <w:sz w:val="24"/>
          <w:szCs w:val="21"/>
          <w:highlight w:val="none"/>
          <w:vertAlign w:val="superscript"/>
          <w:lang w:val="en-US" w:eastAsia="zh-CN"/>
        </w:rPr>
        <w:t>2</w:t>
      </w:r>
      <w:r>
        <w:rPr>
          <w:rFonts w:hint="eastAsia" w:cs="宋体"/>
          <w:bCs/>
          <w:color w:val="auto"/>
          <w:sz w:val="24"/>
          <w:szCs w:val="21"/>
          <w:highlight w:val="none"/>
          <w:vertAlign w:val="baseline"/>
          <w:lang w:val="en-US" w:eastAsia="zh-CN"/>
        </w:rPr>
        <w:t>以及少量的公共管理与公共服务用地、绿地与开敞空间用地，占用面积不到15</w:t>
      </w:r>
      <w:r>
        <w:rPr>
          <w:rFonts w:hint="default" w:ascii="Times New Roman" w:hAnsi="Times New Roman" w:eastAsia="宋体" w:cs="宋体"/>
          <w:bCs/>
          <w:color w:val="auto"/>
          <w:sz w:val="24"/>
          <w:szCs w:val="21"/>
          <w:highlight w:val="none"/>
          <w:lang w:val="en-US" w:eastAsia="zh-CN"/>
        </w:rPr>
        <w:t>m</w:t>
      </w:r>
      <w:r>
        <w:rPr>
          <w:rFonts w:hint="default" w:ascii="Times New Roman" w:hAnsi="Times New Roman" w:eastAsia="宋体" w:cs="宋体"/>
          <w:bCs/>
          <w:color w:val="auto"/>
          <w:sz w:val="24"/>
          <w:szCs w:val="21"/>
          <w:highlight w:val="none"/>
          <w:vertAlign w:val="superscript"/>
          <w:lang w:val="en-US" w:eastAsia="zh-CN"/>
        </w:rPr>
        <w:t>2</w:t>
      </w:r>
      <w:r>
        <w:rPr>
          <w:rFonts w:hint="eastAsia" w:cs="宋体"/>
          <w:bCs/>
          <w:color w:val="auto"/>
          <w:sz w:val="24"/>
          <w:szCs w:val="21"/>
          <w:highlight w:val="none"/>
          <w:vertAlign w:val="baseline"/>
          <w:lang w:val="en-US" w:eastAsia="zh-CN"/>
        </w:rPr>
        <w:t>。</w:t>
      </w:r>
      <w:r>
        <w:rPr>
          <w:rFonts w:hint="default" w:ascii="Times New Roman" w:hAnsi="Times New Roman" w:eastAsia="宋体" w:cs="宋体"/>
          <w:bCs/>
          <w:color w:val="auto"/>
          <w:sz w:val="24"/>
          <w:szCs w:val="21"/>
          <w:highlight w:val="none"/>
          <w:lang w:val="en-US" w:eastAsia="zh-CN"/>
        </w:rPr>
        <w:t>项目施工场地、施工便道及弃渣场等临时工程</w:t>
      </w:r>
      <w:r>
        <w:rPr>
          <w:rFonts w:hint="eastAsia" w:ascii="Times New Roman" w:hAnsi="Times New Roman" w:eastAsia="宋体" w:cs="宋体"/>
          <w:bCs/>
          <w:color w:val="auto"/>
          <w:sz w:val="24"/>
          <w:szCs w:val="21"/>
          <w:highlight w:val="none"/>
          <w:lang w:val="en-US" w:eastAsia="zh-CN"/>
        </w:rPr>
        <w:t>均设置本项目用地红线范围内（现已恢复为安置区内绿化用地）</w:t>
      </w:r>
      <w:r>
        <w:rPr>
          <w:rFonts w:hint="default" w:ascii="Times New Roman" w:hAnsi="Times New Roman" w:eastAsia="宋体" w:cs="宋体"/>
          <w:bCs/>
          <w:color w:val="auto"/>
          <w:sz w:val="24"/>
          <w:szCs w:val="21"/>
          <w:highlight w:val="none"/>
          <w:lang w:val="en-US" w:eastAsia="zh-CN"/>
        </w:rPr>
        <w:t>，</w:t>
      </w:r>
      <w:r>
        <w:rPr>
          <w:rFonts w:hint="eastAsia" w:ascii="Times New Roman" w:hAnsi="Times New Roman" w:eastAsia="宋体" w:cs="宋体"/>
          <w:bCs/>
          <w:color w:val="auto"/>
          <w:sz w:val="24"/>
          <w:szCs w:val="21"/>
          <w:highlight w:val="none"/>
          <w:lang w:val="en-US" w:eastAsia="zh-CN"/>
        </w:rPr>
        <w:t>未额外占用土地等</w:t>
      </w:r>
      <w:r>
        <w:rPr>
          <w:rFonts w:hint="default" w:ascii="Times New Roman" w:hAnsi="Times New Roman" w:eastAsia="宋体" w:cs="宋体"/>
          <w:bCs/>
          <w:color w:val="auto"/>
          <w:sz w:val="24"/>
          <w:szCs w:val="21"/>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cs="宋体"/>
          <w:bCs/>
          <w:color w:val="auto"/>
          <w:sz w:val="24"/>
          <w:szCs w:val="21"/>
          <w:lang w:val="en-US" w:eastAsia="zh-CN"/>
        </w:rPr>
        <w:t>项目</w:t>
      </w:r>
      <w:r>
        <w:rPr>
          <w:rFonts w:hint="default" w:ascii="Times New Roman" w:hAnsi="Times New Roman" w:eastAsia="宋体" w:cs="宋体"/>
          <w:bCs/>
          <w:color w:val="auto"/>
          <w:sz w:val="24"/>
          <w:szCs w:val="21"/>
          <w:lang w:val="en-US" w:eastAsia="zh-CN"/>
        </w:rPr>
        <w:t>不涉及国家公园、风景名胜区、饮用水水源保护区、</w:t>
      </w:r>
      <w:r>
        <w:rPr>
          <w:rFonts w:hint="eastAsia" w:ascii="Times New Roman" w:hAnsi="Times New Roman" w:eastAsia="宋体" w:cs="宋体"/>
          <w:bCs/>
          <w:color w:val="auto"/>
          <w:sz w:val="24"/>
          <w:szCs w:val="21"/>
          <w:lang w:val="en-US" w:eastAsia="zh-CN"/>
        </w:rPr>
        <w:t>永久</w:t>
      </w:r>
      <w:r>
        <w:rPr>
          <w:rFonts w:hint="default" w:ascii="Times New Roman" w:hAnsi="Times New Roman" w:eastAsia="宋体" w:cs="宋体"/>
          <w:bCs/>
          <w:color w:val="auto"/>
          <w:sz w:val="24"/>
          <w:szCs w:val="21"/>
          <w:lang w:val="en-US" w:eastAsia="zh-CN"/>
        </w:rPr>
        <w:t>基本农田</w:t>
      </w:r>
      <w:r>
        <w:rPr>
          <w:rFonts w:hint="eastAsia" w:ascii="Times New Roman" w:hAnsi="Times New Roman" w:eastAsia="宋体" w:cs="宋体"/>
          <w:bCs/>
          <w:color w:val="auto"/>
          <w:sz w:val="24"/>
          <w:szCs w:val="21"/>
          <w:lang w:val="en-US" w:eastAsia="zh-CN"/>
        </w:rPr>
        <w:t>、</w:t>
      </w:r>
      <w:r>
        <w:rPr>
          <w:rFonts w:hint="default" w:ascii="Times New Roman" w:hAnsi="Times New Roman" w:eastAsia="宋体" w:cs="宋体"/>
          <w:bCs/>
          <w:color w:val="auto"/>
          <w:sz w:val="24"/>
          <w:szCs w:val="21"/>
          <w:lang w:val="en-US" w:eastAsia="zh-CN"/>
        </w:rPr>
        <w:t>基本草原、自然公园（森林公园、地质公园</w:t>
      </w:r>
      <w:r>
        <w:rPr>
          <w:rFonts w:hint="eastAsia" w:cs="宋体"/>
          <w:bCs/>
          <w:color w:val="auto"/>
          <w:sz w:val="24"/>
          <w:szCs w:val="21"/>
          <w:lang w:val="en-US" w:eastAsia="zh-CN"/>
        </w:rPr>
        <w:t>、海洋公园等</w:t>
      </w:r>
      <w:r>
        <w:rPr>
          <w:rFonts w:hint="default" w:ascii="Times New Roman" w:hAnsi="Times New Roman" w:eastAsia="宋体" w:cs="宋体"/>
          <w:bCs/>
          <w:color w:val="auto"/>
          <w:sz w:val="24"/>
          <w:szCs w:val="21"/>
          <w:lang w:val="en-US" w:eastAsia="zh-CN"/>
        </w:rPr>
        <w:t>）、重要湿地、天然林、重点保护野生动物栖息地、重点保护野生植物生长繁殖地等，</w:t>
      </w:r>
      <w:r>
        <w:rPr>
          <w:rFonts w:hint="eastAsia" w:ascii="Times New Roman" w:hAnsi="Times New Roman" w:eastAsia="宋体" w:cs="宋体"/>
          <w:bCs/>
          <w:color w:val="auto"/>
          <w:sz w:val="24"/>
          <w:szCs w:val="21"/>
          <w:lang w:val="en-US" w:eastAsia="zh-CN"/>
        </w:rPr>
        <w:t>不占用国家一级生态公益林。主要涉及生态敏感目标为湖南东洞庭湖国家级自然保护区实验区。</w:t>
      </w:r>
    </w:p>
    <w:p>
      <w:pPr>
        <w:keepNext/>
        <w:keepLines/>
        <w:widowControl w:val="0"/>
        <w:adjustRightInd w:val="0"/>
        <w:snapToGrid w:val="0"/>
        <w:spacing w:before="0" w:after="0" w:line="360" w:lineRule="auto"/>
        <w:jc w:val="both"/>
        <w:outlineLvl w:val="1"/>
        <w:rPr>
          <w:rFonts w:hint="default" w:ascii="Times New Roman" w:hAnsi="Times New Roman" w:eastAsia="宋体" w:cs="Times New Roman"/>
          <w:b/>
          <w:bCs/>
          <w:color w:val="auto"/>
          <w:kern w:val="2"/>
          <w:sz w:val="28"/>
          <w:szCs w:val="28"/>
          <w:lang w:val="en-US" w:eastAsia="zh-CN" w:bidi="ar-SA"/>
        </w:rPr>
      </w:pPr>
      <w:bookmarkStart w:id="258" w:name="_Toc19787"/>
      <w:r>
        <w:rPr>
          <w:rFonts w:hint="eastAsia" w:ascii="Times New Roman" w:hAnsi="Times New Roman" w:eastAsia="宋体" w:cs="Times New Roman"/>
          <w:b/>
          <w:bCs/>
          <w:color w:val="auto"/>
          <w:kern w:val="2"/>
          <w:sz w:val="28"/>
          <w:szCs w:val="28"/>
          <w:lang w:val="en-US" w:eastAsia="zh-CN" w:bidi="ar-SA"/>
        </w:rPr>
        <w:t>3</w:t>
      </w:r>
      <w:r>
        <w:rPr>
          <w:rFonts w:hint="default" w:ascii="Times New Roman" w:hAnsi="Times New Roman" w:eastAsia="宋体" w:cs="Times New Roman"/>
          <w:b/>
          <w:bCs/>
          <w:color w:val="auto"/>
          <w:kern w:val="2"/>
          <w:sz w:val="28"/>
          <w:szCs w:val="28"/>
          <w:lang w:val="en-US" w:eastAsia="zh-CN" w:bidi="ar-SA"/>
        </w:rPr>
        <w:t>.2生态环境</w:t>
      </w:r>
      <w:r>
        <w:rPr>
          <w:rFonts w:hint="eastAsia" w:ascii="Times New Roman" w:hAnsi="Times New Roman" w:eastAsia="宋体" w:cs="Times New Roman"/>
          <w:b/>
          <w:bCs/>
          <w:color w:val="auto"/>
          <w:kern w:val="2"/>
          <w:sz w:val="28"/>
          <w:szCs w:val="28"/>
          <w:lang w:val="en-US" w:eastAsia="zh-CN" w:bidi="ar-SA"/>
        </w:rPr>
        <w:t>调查与评价</w:t>
      </w:r>
      <w:bookmarkEnd w:id="255"/>
      <w:bookmarkEnd w:id="256"/>
      <w:bookmarkEnd w:id="257"/>
      <w:bookmarkEnd w:id="258"/>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r>
        <w:rPr>
          <w:rFonts w:hint="default" w:ascii="Times New Roman" w:hAnsi="Times New Roman" w:eastAsia="宋体" w:cs="宋体"/>
          <w:bCs/>
          <w:color w:val="auto"/>
          <w:sz w:val="24"/>
          <w:szCs w:val="21"/>
          <w:lang w:val="en-US" w:eastAsia="zh-CN"/>
        </w:rPr>
        <w:t>本项目位于</w:t>
      </w:r>
      <w:r>
        <w:rPr>
          <w:rFonts w:hint="eastAsia" w:ascii="Times New Roman" w:hAnsi="Times New Roman" w:eastAsia="宋体" w:cs="宋体"/>
          <w:bCs/>
          <w:color w:val="auto"/>
          <w:sz w:val="24"/>
          <w:szCs w:val="21"/>
          <w:lang w:val="en-US" w:eastAsia="zh-CN"/>
        </w:rPr>
        <w:t>华容县团洲乡</w:t>
      </w:r>
      <w:r>
        <w:rPr>
          <w:rFonts w:hint="default" w:ascii="Times New Roman" w:hAnsi="Times New Roman" w:eastAsia="宋体" w:cs="宋体"/>
          <w:bCs/>
          <w:color w:val="auto"/>
          <w:sz w:val="24"/>
          <w:szCs w:val="21"/>
          <w:lang w:val="en-US" w:eastAsia="zh-CN"/>
        </w:rPr>
        <w:t>，</w:t>
      </w:r>
      <w:r>
        <w:rPr>
          <w:rFonts w:hint="eastAsia" w:ascii="Times New Roman" w:hAnsi="Times New Roman" w:eastAsia="宋体" w:cs="宋体"/>
          <w:bCs/>
          <w:color w:val="auto"/>
          <w:sz w:val="24"/>
          <w:szCs w:val="21"/>
          <w:lang w:val="en-US" w:eastAsia="zh-CN"/>
        </w:rPr>
        <w:t>用地范围</w:t>
      </w:r>
      <w:r>
        <w:rPr>
          <w:rFonts w:hint="default" w:ascii="Times New Roman" w:hAnsi="Times New Roman" w:eastAsia="宋体" w:cs="宋体"/>
          <w:bCs/>
          <w:color w:val="auto"/>
          <w:sz w:val="24"/>
          <w:szCs w:val="21"/>
          <w:lang w:val="en-US" w:eastAsia="zh-CN"/>
        </w:rPr>
        <w:t>位于低山地带，项目区域所在区域以农村生态系统为主，受人类活动影响相对较大，评价范围内主要为农作物和村落</w:t>
      </w:r>
      <w:r>
        <w:rPr>
          <w:rFonts w:hint="eastAsia" w:ascii="Times New Roman" w:hAnsi="Times New Roman" w:eastAsia="宋体" w:cs="宋体"/>
          <w:bCs/>
          <w:color w:val="auto"/>
          <w:sz w:val="24"/>
          <w:szCs w:val="21"/>
          <w:lang w:val="en-US" w:eastAsia="zh-CN"/>
        </w:rPr>
        <w:t>，</w:t>
      </w:r>
      <w:r>
        <w:rPr>
          <w:rFonts w:hint="default" w:ascii="Times New Roman" w:hAnsi="Times New Roman" w:eastAsia="宋体" w:cs="宋体"/>
          <w:bCs/>
          <w:color w:val="auto"/>
          <w:sz w:val="24"/>
          <w:szCs w:val="21"/>
          <w:lang w:val="en-US" w:eastAsia="zh-CN"/>
        </w:rPr>
        <w:t>区域无珍稀野生动植物分布。整体上，项目区域生态环境现状呈现农业生态特征，生态环境敏感度一般。</w:t>
      </w:r>
    </w:p>
    <w:p>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color w:val="auto"/>
          <w:kern w:val="2"/>
          <w:sz w:val="24"/>
          <w:szCs w:val="24"/>
          <w:lang w:val="en-US" w:eastAsia="zh-CN" w:bidi="ar-SA"/>
        </w:rPr>
      </w:pPr>
      <w:r>
        <w:rPr>
          <w:rFonts w:hint="eastAsia" w:ascii="Times New Roman" w:hAnsi="Times New Roman" w:eastAsia="宋体" w:cs="Times New Roman"/>
          <w:b/>
          <w:color w:val="auto"/>
          <w:kern w:val="2"/>
          <w:sz w:val="24"/>
          <w:szCs w:val="24"/>
          <w:lang w:val="en-US" w:eastAsia="zh-CN" w:bidi="ar-SA"/>
        </w:rPr>
        <w:t>3.2.1生态现状评价方法</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r>
        <w:rPr>
          <w:rFonts w:hint="default" w:ascii="Times New Roman" w:hAnsi="Times New Roman" w:eastAsia="宋体" w:cs="宋体"/>
          <w:bCs/>
          <w:color w:val="auto"/>
          <w:sz w:val="24"/>
          <w:szCs w:val="21"/>
          <w:lang w:val="en-US" w:eastAsia="zh-CN"/>
        </w:rPr>
        <w:t>总体评价采用实地野外考察与室内资料分析相结合、全线普查与重点取样相结合，并走访</w:t>
      </w:r>
      <w:r>
        <w:rPr>
          <w:rFonts w:hint="eastAsia" w:ascii="Times New Roman" w:hAnsi="Times New Roman" w:eastAsia="宋体" w:cs="宋体"/>
          <w:bCs/>
          <w:color w:val="auto"/>
          <w:sz w:val="24"/>
          <w:szCs w:val="21"/>
          <w:lang w:val="en-US" w:eastAsia="zh-CN"/>
        </w:rPr>
        <w:t>周边</w:t>
      </w:r>
      <w:r>
        <w:rPr>
          <w:rFonts w:hint="default" w:ascii="Times New Roman" w:hAnsi="Times New Roman" w:eastAsia="宋体" w:cs="宋体"/>
          <w:bCs/>
          <w:color w:val="auto"/>
          <w:sz w:val="24"/>
          <w:szCs w:val="21"/>
          <w:lang w:val="en-US" w:eastAsia="zh-CN"/>
        </w:rPr>
        <w:t>村民和</w:t>
      </w:r>
      <w:r>
        <w:rPr>
          <w:rFonts w:hint="eastAsia" w:ascii="Times New Roman" w:hAnsi="Times New Roman" w:eastAsia="宋体" w:cs="宋体"/>
          <w:bCs/>
          <w:color w:val="auto"/>
          <w:sz w:val="24"/>
          <w:szCs w:val="21"/>
          <w:lang w:val="en-US" w:eastAsia="zh-CN"/>
        </w:rPr>
        <w:t>政府单位</w:t>
      </w:r>
      <w:r>
        <w:rPr>
          <w:rFonts w:hint="default" w:ascii="Times New Roman" w:hAnsi="Times New Roman" w:eastAsia="宋体" w:cs="宋体"/>
          <w:bCs/>
          <w:color w:val="auto"/>
          <w:sz w:val="24"/>
          <w:szCs w:val="21"/>
          <w:lang w:val="en-US" w:eastAsia="zh-CN"/>
        </w:rPr>
        <w:t>工作者，利用已有的各类资料和野外考察的资料分区分段对评价区生态环境现状和工程建设施工及运营过程中将对</w:t>
      </w:r>
      <w:r>
        <w:rPr>
          <w:rFonts w:hint="eastAsia" w:ascii="Times New Roman" w:hAnsi="Times New Roman" w:eastAsia="宋体" w:cs="宋体"/>
          <w:bCs/>
          <w:color w:val="auto"/>
          <w:sz w:val="24"/>
          <w:szCs w:val="21"/>
          <w:lang w:val="en-US" w:eastAsia="zh-CN"/>
        </w:rPr>
        <w:t>周边</w:t>
      </w:r>
      <w:r>
        <w:rPr>
          <w:rFonts w:hint="default" w:ascii="Times New Roman" w:hAnsi="Times New Roman" w:eastAsia="宋体" w:cs="宋体"/>
          <w:bCs/>
          <w:color w:val="auto"/>
          <w:sz w:val="24"/>
          <w:szCs w:val="21"/>
          <w:lang w:val="en-US" w:eastAsia="zh-CN"/>
        </w:rPr>
        <w:t>植被、植物资源、珍稀植物资源、动物资源、珍稀保护动物资源等生态环境因素的影响进行评价。</w:t>
      </w:r>
    </w:p>
    <w:p>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default" w:ascii="Times New Roman" w:hAnsi="Times New Roman" w:eastAsia="宋体" w:cs="宋体"/>
          <w:b/>
          <w:bCs w:val="0"/>
          <w:color w:val="auto"/>
          <w:sz w:val="24"/>
          <w:szCs w:val="21"/>
          <w:lang w:val="en-US" w:eastAsia="zh-CN"/>
        </w:rPr>
      </w:pPr>
      <w:r>
        <w:rPr>
          <w:rFonts w:hint="eastAsia" w:ascii="Times New Roman" w:hAnsi="Times New Roman" w:eastAsia="宋体" w:cs="宋体"/>
          <w:b/>
          <w:bCs w:val="0"/>
          <w:color w:val="auto"/>
          <w:sz w:val="24"/>
          <w:szCs w:val="21"/>
          <w:lang w:val="en-US" w:eastAsia="zh-CN"/>
        </w:rPr>
        <w:t>1、资料收集</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r>
        <w:rPr>
          <w:rFonts w:hint="default" w:ascii="Times New Roman" w:hAnsi="Times New Roman" w:eastAsia="宋体" w:cs="宋体"/>
          <w:bCs/>
          <w:color w:val="auto"/>
          <w:sz w:val="24"/>
          <w:szCs w:val="21"/>
          <w:lang w:val="en-US" w:eastAsia="zh-CN"/>
        </w:rPr>
        <w:t>收集整理评价区及邻近地区的现有生物多样性资料，在综合分析现有资料的基础上，确定实地考察的重点区域及考察路线。</w:t>
      </w:r>
    </w:p>
    <w:p>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default" w:ascii="Times New Roman" w:hAnsi="Times New Roman" w:eastAsia="宋体" w:cs="宋体"/>
          <w:b/>
          <w:bCs w:val="0"/>
          <w:color w:val="auto"/>
          <w:sz w:val="24"/>
          <w:szCs w:val="21"/>
          <w:lang w:val="en-US" w:eastAsia="zh-CN"/>
        </w:rPr>
      </w:pPr>
      <w:bookmarkStart w:id="259" w:name="_Toc30250"/>
      <w:bookmarkStart w:id="260" w:name="_Toc17066"/>
      <w:r>
        <w:rPr>
          <w:rFonts w:hint="eastAsia" w:ascii="Times New Roman" w:hAnsi="Times New Roman" w:eastAsia="宋体" w:cs="宋体"/>
          <w:b/>
          <w:bCs w:val="0"/>
          <w:color w:val="auto"/>
          <w:sz w:val="24"/>
          <w:szCs w:val="21"/>
          <w:lang w:val="en-US" w:eastAsia="zh-CN"/>
        </w:rPr>
        <w:t>2、</w:t>
      </w:r>
      <w:r>
        <w:rPr>
          <w:rFonts w:hint="default" w:ascii="Times New Roman" w:hAnsi="Times New Roman" w:eastAsia="宋体" w:cs="宋体"/>
          <w:b/>
          <w:bCs w:val="0"/>
          <w:color w:val="auto"/>
          <w:sz w:val="24"/>
          <w:szCs w:val="21"/>
          <w:lang w:val="en-US" w:eastAsia="zh-CN"/>
        </w:rPr>
        <w:t>现场调查</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r>
        <w:rPr>
          <w:rFonts w:hint="eastAsia" w:cs="宋体"/>
          <w:bCs/>
          <w:color w:val="auto"/>
          <w:sz w:val="24"/>
          <w:szCs w:val="21"/>
          <w:lang w:val="en-US" w:eastAsia="zh-CN"/>
        </w:rPr>
        <w:t>现场调查方法及相关内容主要引用于</w:t>
      </w:r>
      <w:r>
        <w:rPr>
          <w:rFonts w:hint="eastAsia" w:ascii="Times New Roman" w:hAnsi="Times New Roman" w:eastAsia="宋体" w:cs="宋体"/>
          <w:bCs/>
          <w:color w:val="auto"/>
          <w:sz w:val="24"/>
          <w:szCs w:val="21"/>
          <w:lang w:val="en-US" w:eastAsia="zh-CN"/>
        </w:rPr>
        <w:t>《</w:t>
      </w:r>
      <w:r>
        <w:rPr>
          <w:rFonts w:hint="default" w:ascii="Times New Roman" w:hAnsi="Times New Roman" w:eastAsia="宋体" w:cs="宋体"/>
          <w:bCs/>
          <w:color w:val="auto"/>
          <w:sz w:val="24"/>
          <w:szCs w:val="21"/>
          <w:lang w:val="en-US" w:eastAsia="zh-CN"/>
        </w:rPr>
        <w:t>华容县团洲垸决口灾后农村居民集中安置房项目</w:t>
      </w:r>
      <w:r>
        <w:rPr>
          <w:rFonts w:hint="eastAsia" w:ascii="Times New Roman" w:hAnsi="Times New Roman" w:eastAsia="宋体" w:cs="宋体"/>
          <w:bCs/>
          <w:color w:val="auto"/>
          <w:sz w:val="24"/>
          <w:szCs w:val="21"/>
          <w:lang w:val="en-US" w:eastAsia="zh-CN"/>
        </w:rPr>
        <w:t>对湖南东洞庭湖国家级自然保护区生物多样性影响评价报告》</w:t>
      </w:r>
      <w:r>
        <w:rPr>
          <w:rFonts w:hint="eastAsia" w:cs="宋体"/>
          <w:bCs/>
          <w:color w:val="auto"/>
          <w:sz w:val="24"/>
          <w:szCs w:val="21"/>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r>
        <w:rPr>
          <w:rFonts w:hint="default" w:ascii="Times New Roman" w:hAnsi="Times New Roman" w:eastAsia="宋体" w:cs="宋体"/>
          <w:bCs/>
          <w:color w:val="auto"/>
          <w:sz w:val="24"/>
          <w:szCs w:val="21"/>
          <w:lang w:val="en-US" w:eastAsia="zh-CN"/>
        </w:rPr>
        <w:t>（1）植物群落调查</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r>
        <w:rPr>
          <w:rFonts w:hint="default" w:ascii="Times New Roman" w:hAnsi="Times New Roman" w:eastAsia="宋体" w:cs="宋体"/>
          <w:bCs/>
          <w:color w:val="auto"/>
          <w:sz w:val="24"/>
          <w:szCs w:val="21"/>
          <w:lang w:val="en-US" w:eastAsia="zh-CN"/>
        </w:rPr>
        <w:t>由于</w:t>
      </w:r>
      <w:r>
        <w:rPr>
          <w:rFonts w:hint="eastAsia" w:cs="宋体"/>
          <w:bCs/>
          <w:color w:val="auto"/>
          <w:sz w:val="24"/>
          <w:szCs w:val="21"/>
          <w:lang w:val="en-US" w:eastAsia="zh-CN"/>
        </w:rPr>
        <w:t>项目占用区</w:t>
      </w:r>
      <w:r>
        <w:rPr>
          <w:rFonts w:hint="default" w:ascii="Times New Roman" w:hAnsi="Times New Roman" w:eastAsia="宋体" w:cs="宋体"/>
          <w:bCs/>
          <w:color w:val="auto"/>
          <w:sz w:val="24"/>
          <w:szCs w:val="21"/>
          <w:lang w:val="en-US" w:eastAsia="zh-CN"/>
        </w:rPr>
        <w:t>植被多为次生植被，主要为农作物和村落</w:t>
      </w:r>
      <w:r>
        <w:rPr>
          <w:rFonts w:hint="eastAsia" w:ascii="Times New Roman" w:hAnsi="Times New Roman" w:eastAsia="宋体" w:cs="宋体"/>
          <w:bCs/>
          <w:color w:val="auto"/>
          <w:sz w:val="24"/>
          <w:szCs w:val="21"/>
          <w:lang w:val="en-US" w:eastAsia="zh-CN"/>
        </w:rPr>
        <w:t>，均为常见人工植物群落，无自然植物群落存在，本次未</w:t>
      </w:r>
      <w:r>
        <w:rPr>
          <w:rFonts w:hint="eastAsia" w:cs="宋体"/>
          <w:bCs/>
          <w:color w:val="auto"/>
          <w:sz w:val="24"/>
          <w:szCs w:val="21"/>
          <w:lang w:val="en-US" w:eastAsia="zh-CN"/>
        </w:rPr>
        <w:t>对项目占用区内</w:t>
      </w:r>
      <w:r>
        <w:rPr>
          <w:rFonts w:hint="eastAsia" w:ascii="Times New Roman" w:hAnsi="Times New Roman" w:eastAsia="宋体" w:cs="宋体"/>
          <w:bCs/>
          <w:color w:val="auto"/>
          <w:sz w:val="24"/>
          <w:szCs w:val="21"/>
          <w:lang w:val="en-US" w:eastAsia="zh-CN"/>
        </w:rPr>
        <w:t>进行群落调查</w:t>
      </w:r>
      <w:r>
        <w:rPr>
          <w:rFonts w:hint="default" w:ascii="Times New Roman" w:hAnsi="Times New Roman" w:eastAsia="宋体" w:cs="宋体"/>
          <w:bCs/>
          <w:color w:val="auto"/>
          <w:sz w:val="24"/>
          <w:szCs w:val="21"/>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cs="宋体"/>
          <w:bCs/>
          <w:color w:val="auto"/>
          <w:sz w:val="24"/>
          <w:szCs w:val="21"/>
          <w:lang w:val="en-US" w:eastAsia="zh-CN"/>
        </w:rPr>
        <w:t>项目占用区外评价范围内</w:t>
      </w:r>
      <w:r>
        <w:rPr>
          <w:rFonts w:hint="eastAsia" w:ascii="Times New Roman" w:hAnsi="Times New Roman" w:eastAsia="宋体" w:cs="宋体"/>
          <w:bCs/>
          <w:color w:val="auto"/>
          <w:sz w:val="24"/>
          <w:szCs w:val="21"/>
          <w:lang w:val="en-US" w:eastAsia="zh-CN"/>
        </w:rPr>
        <w:t xml:space="preserve">植被调查采用样方和样线相结合的调查方法。首先在评价区 </w:t>
      </w:r>
      <w:r>
        <w:rPr>
          <w:rFonts w:hint="default" w:ascii="Times New Roman" w:hAnsi="Times New Roman" w:eastAsia="宋体" w:cs="宋体"/>
          <w:bCs/>
          <w:color w:val="auto"/>
          <w:sz w:val="24"/>
          <w:szCs w:val="21"/>
          <w:lang w:val="en-US" w:eastAsia="zh-CN"/>
        </w:rPr>
        <w:t xml:space="preserve">1:1 </w:t>
      </w:r>
      <w:r>
        <w:rPr>
          <w:rFonts w:hint="eastAsia" w:ascii="Times New Roman" w:hAnsi="Times New Roman" w:eastAsia="宋体" w:cs="宋体"/>
          <w:bCs/>
          <w:color w:val="auto"/>
          <w:sz w:val="24"/>
          <w:szCs w:val="21"/>
          <w:lang w:val="en-US" w:eastAsia="zh-CN"/>
        </w:rPr>
        <w:t>万的地形图结合无人机航片初步确定野外调查样线及样方，然后实地调查。每种植被类型均采用法瑞学派样方调查法，乔木取</w:t>
      </w:r>
      <w:r>
        <w:rPr>
          <w:rFonts w:hint="default" w:ascii="Times New Roman" w:hAnsi="Times New Roman" w:eastAsia="宋体" w:cs="宋体"/>
          <w:bCs/>
          <w:color w:val="auto"/>
          <w:sz w:val="24"/>
          <w:szCs w:val="21"/>
          <w:lang w:val="en-US" w:eastAsia="zh-CN"/>
        </w:rPr>
        <w:t>200</w:t>
      </w:r>
      <w:r>
        <w:rPr>
          <w:rFonts w:hint="eastAsia" w:ascii="Times New Roman" w:hAnsi="Times New Roman" w:eastAsia="宋体" w:cs="宋体"/>
          <w:bCs/>
          <w:color w:val="auto"/>
          <w:sz w:val="24"/>
          <w:szCs w:val="21"/>
          <w:lang w:val="en-US" w:eastAsia="zh-CN"/>
        </w:rPr>
        <w:t>～</w:t>
      </w:r>
      <w:r>
        <w:rPr>
          <w:rFonts w:hint="default" w:ascii="Times New Roman" w:hAnsi="Times New Roman" w:eastAsia="宋体" w:cs="宋体"/>
          <w:bCs/>
          <w:color w:val="auto"/>
          <w:sz w:val="24"/>
          <w:szCs w:val="21"/>
          <w:lang w:val="en-US" w:eastAsia="zh-CN"/>
        </w:rPr>
        <w:t>40 m</w:t>
      </w:r>
      <w:r>
        <w:rPr>
          <w:rFonts w:hint="default" w:ascii="Times New Roman" w:hAnsi="Times New Roman" w:eastAsia="宋体" w:cs="宋体"/>
          <w:bCs/>
          <w:color w:val="auto"/>
          <w:sz w:val="24"/>
          <w:szCs w:val="21"/>
          <w:vertAlign w:val="superscript"/>
          <w:lang w:val="en-US" w:eastAsia="zh-CN"/>
        </w:rPr>
        <w:t>2</w:t>
      </w:r>
      <w:r>
        <w:rPr>
          <w:rFonts w:hint="eastAsia" w:ascii="Times New Roman" w:hAnsi="Times New Roman" w:eastAsia="宋体" w:cs="宋体"/>
          <w:bCs/>
          <w:color w:val="auto"/>
          <w:sz w:val="24"/>
          <w:szCs w:val="21"/>
          <w:lang w:val="en-US" w:eastAsia="zh-CN"/>
        </w:rPr>
        <w:t>的样方调查，灌丛取</w:t>
      </w:r>
      <w:r>
        <w:rPr>
          <w:rFonts w:hint="default" w:ascii="Times New Roman" w:hAnsi="Times New Roman" w:eastAsia="宋体" w:cs="宋体"/>
          <w:bCs/>
          <w:color w:val="auto"/>
          <w:sz w:val="24"/>
          <w:szCs w:val="21"/>
          <w:lang w:val="en-US" w:eastAsia="zh-CN"/>
        </w:rPr>
        <w:t>25</w:t>
      </w:r>
      <w:r>
        <w:rPr>
          <w:rFonts w:hint="eastAsia" w:ascii="Times New Roman" w:hAnsi="Times New Roman" w:eastAsia="宋体" w:cs="宋体"/>
          <w:bCs/>
          <w:color w:val="auto"/>
          <w:sz w:val="24"/>
          <w:szCs w:val="21"/>
          <w:lang w:val="en-US" w:eastAsia="zh-CN"/>
        </w:rPr>
        <w:t>～</w:t>
      </w:r>
      <w:r>
        <w:rPr>
          <w:rFonts w:hint="default" w:ascii="Times New Roman" w:hAnsi="Times New Roman" w:eastAsia="宋体" w:cs="宋体"/>
          <w:bCs/>
          <w:color w:val="auto"/>
          <w:sz w:val="24"/>
          <w:szCs w:val="21"/>
          <w:lang w:val="en-US" w:eastAsia="zh-CN"/>
        </w:rPr>
        <w:t>100 m</w:t>
      </w:r>
      <w:r>
        <w:rPr>
          <w:rFonts w:hint="default" w:ascii="Times New Roman" w:hAnsi="Times New Roman" w:eastAsia="宋体" w:cs="宋体"/>
          <w:bCs/>
          <w:color w:val="auto"/>
          <w:sz w:val="24"/>
          <w:szCs w:val="21"/>
          <w:vertAlign w:val="superscript"/>
          <w:lang w:val="en-US" w:eastAsia="zh-CN"/>
        </w:rPr>
        <w:t>2</w:t>
      </w:r>
      <w:r>
        <w:rPr>
          <w:rFonts w:hint="eastAsia" w:ascii="Times New Roman" w:hAnsi="Times New Roman" w:eastAsia="宋体" w:cs="宋体"/>
          <w:bCs/>
          <w:color w:val="auto"/>
          <w:sz w:val="24"/>
          <w:szCs w:val="21"/>
          <w:lang w:val="en-US" w:eastAsia="zh-CN"/>
        </w:rPr>
        <w:t>的样方调查，草丛取</w:t>
      </w:r>
      <w:r>
        <w:rPr>
          <w:rFonts w:hint="default" w:ascii="Times New Roman" w:hAnsi="Times New Roman" w:eastAsia="宋体" w:cs="宋体"/>
          <w:bCs/>
          <w:color w:val="auto"/>
          <w:sz w:val="24"/>
          <w:szCs w:val="21"/>
          <w:lang w:val="en-US" w:eastAsia="zh-CN"/>
        </w:rPr>
        <w:t>1</w:t>
      </w:r>
      <w:r>
        <w:rPr>
          <w:rFonts w:hint="eastAsia" w:ascii="Times New Roman" w:hAnsi="Times New Roman" w:eastAsia="宋体" w:cs="宋体"/>
          <w:bCs/>
          <w:color w:val="auto"/>
          <w:sz w:val="24"/>
          <w:szCs w:val="21"/>
          <w:lang w:val="en-US" w:eastAsia="zh-CN"/>
        </w:rPr>
        <w:t>～</w:t>
      </w:r>
      <w:r>
        <w:rPr>
          <w:rFonts w:hint="default" w:ascii="Times New Roman" w:hAnsi="Times New Roman" w:eastAsia="宋体" w:cs="宋体"/>
          <w:bCs/>
          <w:color w:val="auto"/>
          <w:sz w:val="24"/>
          <w:szCs w:val="21"/>
          <w:lang w:val="en-US" w:eastAsia="zh-CN"/>
        </w:rPr>
        <w:t>4 m</w:t>
      </w:r>
      <w:r>
        <w:rPr>
          <w:rFonts w:hint="eastAsia" w:ascii="Times New Roman" w:hAnsi="Times New Roman" w:eastAsia="宋体" w:cs="宋体"/>
          <w:bCs/>
          <w:color w:val="auto"/>
          <w:sz w:val="24"/>
          <w:szCs w:val="21"/>
          <w:lang w:val="en-US" w:eastAsia="zh-CN"/>
        </w:rPr>
        <w:t xml:space="preserve">的样方调查，记录样方内的所有植物种类、物种优势度、群落平均高度、群落郁闭度或盖度 等，并用 </w:t>
      </w:r>
      <w:r>
        <w:rPr>
          <w:rFonts w:hint="default" w:ascii="Times New Roman" w:hAnsi="Times New Roman" w:eastAsia="宋体" w:cs="宋体"/>
          <w:bCs/>
          <w:color w:val="auto"/>
          <w:sz w:val="24"/>
          <w:szCs w:val="21"/>
          <w:lang w:val="en-US" w:eastAsia="zh-CN"/>
        </w:rPr>
        <w:t>GPS</w:t>
      </w:r>
      <w:r>
        <w:rPr>
          <w:rFonts w:hint="eastAsia" w:ascii="Times New Roman" w:hAnsi="Times New Roman" w:eastAsia="宋体" w:cs="宋体"/>
          <w:bCs/>
          <w:color w:val="auto"/>
          <w:sz w:val="24"/>
          <w:szCs w:val="21"/>
          <w:lang w:val="en-US" w:eastAsia="zh-CN"/>
        </w:rPr>
        <w:t xml:space="preserve">确定样方地理坐标。通过分析统计样方调查数据，划分评价区内的植被类型，找出评价区内分布最典型的植被类型，并对其植物群落结构组成进行描述分析。 </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w:t>
      </w:r>
      <w:r>
        <w:rPr>
          <w:rFonts w:hint="default" w:ascii="Times New Roman" w:hAnsi="Times New Roman" w:eastAsia="宋体" w:cs="宋体"/>
          <w:bCs/>
          <w:color w:val="auto"/>
          <w:sz w:val="24"/>
          <w:szCs w:val="21"/>
          <w:lang w:val="en-US" w:eastAsia="zh-CN"/>
        </w:rPr>
        <w:t>2</w:t>
      </w:r>
      <w:r>
        <w:rPr>
          <w:rFonts w:hint="eastAsia" w:ascii="Times New Roman" w:hAnsi="Times New Roman" w:eastAsia="宋体" w:cs="宋体"/>
          <w:bCs/>
          <w:color w:val="auto"/>
          <w:sz w:val="24"/>
          <w:szCs w:val="21"/>
          <w:lang w:val="en-US" w:eastAsia="zh-CN"/>
        </w:rPr>
        <w:t xml:space="preserve">）植物多样性调查方法 </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植物多样性调查采用基础资料收集与野外调查相结合的调查方法，野外实地调查时采用样线法和样方法，记录植物的种类、多度、生境特点等信息。重点调查划定工程区的植物多样性，一般调查划定工程区之外的评价区的植物多样性。主要调查内容包括维管植物、珍稀保护植物和古树名木等。发现国家和省级重点保护野生植物、</w:t>
      </w:r>
      <w:r>
        <w:rPr>
          <w:rFonts w:hint="default" w:ascii="Times New Roman" w:hAnsi="Times New Roman" w:eastAsia="宋体" w:cs="宋体"/>
          <w:bCs/>
          <w:color w:val="auto"/>
          <w:sz w:val="24"/>
          <w:szCs w:val="21"/>
          <w:lang w:val="en-US" w:eastAsia="zh-CN"/>
        </w:rPr>
        <w:t xml:space="preserve">IUCN </w:t>
      </w:r>
      <w:r>
        <w:rPr>
          <w:rFonts w:hint="eastAsia" w:ascii="Times New Roman" w:hAnsi="Times New Roman" w:eastAsia="宋体" w:cs="宋体"/>
          <w:bCs/>
          <w:color w:val="auto"/>
          <w:sz w:val="24"/>
          <w:szCs w:val="21"/>
          <w:lang w:val="en-US" w:eastAsia="zh-CN"/>
        </w:rPr>
        <w:t>红皮书附录植物以及省级特有植物，准确记录地理坐标，并对其进行数量统计和生境描述。</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r>
        <w:rPr>
          <w:rFonts w:hint="default" w:ascii="Times New Roman" w:hAnsi="Times New Roman" w:eastAsia="宋体" w:cs="宋体"/>
          <w:bCs/>
          <w:color w:val="auto"/>
          <w:sz w:val="24"/>
          <w:szCs w:val="21"/>
          <w:lang w:val="en-US" w:eastAsia="zh-CN"/>
        </w:rPr>
        <w:t>（3）陆生</w:t>
      </w:r>
      <w:r>
        <w:rPr>
          <w:rFonts w:hint="eastAsia" w:ascii="Times New Roman" w:hAnsi="Times New Roman" w:eastAsia="宋体" w:cs="宋体"/>
          <w:bCs/>
          <w:color w:val="auto"/>
          <w:sz w:val="24"/>
          <w:szCs w:val="21"/>
          <w:lang w:val="en-US" w:eastAsia="zh-CN"/>
        </w:rPr>
        <w:t>野生</w:t>
      </w:r>
      <w:r>
        <w:rPr>
          <w:rFonts w:hint="default" w:ascii="Times New Roman" w:hAnsi="Times New Roman" w:eastAsia="宋体" w:cs="宋体"/>
          <w:bCs/>
          <w:color w:val="auto"/>
          <w:sz w:val="24"/>
          <w:szCs w:val="21"/>
          <w:lang w:val="en-US" w:eastAsia="zh-CN"/>
        </w:rPr>
        <w:t>动物调查</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default" w:ascii="Times New Roman" w:hAnsi="Times New Roman" w:eastAsia="宋体" w:cs="宋体"/>
          <w:bCs/>
          <w:color w:val="auto"/>
          <w:sz w:val="24"/>
          <w:szCs w:val="21"/>
          <w:lang w:val="en-US" w:eastAsia="zh-CN"/>
        </w:rPr>
        <w:t>1</w:t>
      </w:r>
      <w:r>
        <w:rPr>
          <w:rFonts w:hint="eastAsia" w:ascii="Times New Roman" w:hAnsi="Times New Roman" w:eastAsia="宋体" w:cs="宋体"/>
          <w:bCs/>
          <w:color w:val="auto"/>
          <w:sz w:val="24"/>
          <w:szCs w:val="21"/>
          <w:lang w:val="en-US" w:eastAsia="zh-CN"/>
        </w:rPr>
        <w:t xml:space="preserve">）文献资料查阅法 </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 xml:space="preserve">查阅当地的有关科学研究和野外调查资料。比照相应的地理纬度和海拔高度，对照相关的研究资料，核查和收集当地及相邻地区的相关资料。 </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并且结合国家林业和草原局中南调查规划设计院编写的《湖南东洞庭湖国 家级自然保护区总体规划（</w:t>
      </w:r>
      <w:r>
        <w:rPr>
          <w:rFonts w:hint="default" w:ascii="Times New Roman" w:hAnsi="Times New Roman" w:eastAsia="宋体" w:cs="宋体"/>
          <w:bCs/>
          <w:color w:val="auto"/>
          <w:sz w:val="24"/>
          <w:szCs w:val="21"/>
          <w:lang w:val="en-US" w:eastAsia="zh-CN"/>
        </w:rPr>
        <w:t>2016</w:t>
      </w:r>
      <w:r>
        <w:rPr>
          <w:rFonts w:hint="eastAsia" w:ascii="Times New Roman" w:hAnsi="Times New Roman" w:eastAsia="宋体" w:cs="宋体"/>
          <w:bCs/>
          <w:color w:val="auto"/>
          <w:sz w:val="24"/>
          <w:szCs w:val="21"/>
          <w:lang w:val="en-US" w:eastAsia="zh-CN"/>
        </w:rPr>
        <w:t>～</w:t>
      </w:r>
      <w:r>
        <w:rPr>
          <w:rFonts w:hint="default" w:ascii="Times New Roman" w:hAnsi="Times New Roman" w:eastAsia="宋体" w:cs="宋体"/>
          <w:bCs/>
          <w:color w:val="auto"/>
          <w:sz w:val="24"/>
          <w:szCs w:val="21"/>
          <w:lang w:val="en-US" w:eastAsia="zh-CN"/>
        </w:rPr>
        <w:t>2025</w:t>
      </w:r>
      <w:r>
        <w:rPr>
          <w:rFonts w:hint="eastAsia" w:ascii="Times New Roman" w:hAnsi="Times New Roman" w:eastAsia="宋体" w:cs="宋体"/>
          <w:bCs/>
          <w:color w:val="auto"/>
          <w:sz w:val="24"/>
          <w:szCs w:val="21"/>
          <w:lang w:val="en-US" w:eastAsia="zh-CN"/>
        </w:rPr>
        <w:t>）》，</w:t>
      </w:r>
      <w:r>
        <w:rPr>
          <w:rFonts w:hint="default" w:ascii="Times New Roman" w:hAnsi="Times New Roman" w:eastAsia="宋体" w:cs="宋体"/>
          <w:bCs/>
          <w:color w:val="auto"/>
          <w:sz w:val="24"/>
          <w:szCs w:val="21"/>
          <w:lang w:val="en-US" w:eastAsia="zh-CN"/>
        </w:rPr>
        <w:t>参考《湖南省两栖动物区系与地理区划》、《湖南省爬行动物区系与地理区划》、《湖南鸟类名录》、《湖南省重点保护兽类种类及分布》等系列论文及当地的区、县市志和林业志等书籍，再结合本次进行的野外考察以及对当地村民和林业工作者的访问，确认评价范围内的野生动物种类及资源现状。</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 xml:space="preserve">拟定评价区野生动物名录。 </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default" w:ascii="Times New Roman" w:hAnsi="Times New Roman" w:eastAsia="宋体" w:cs="宋体"/>
          <w:bCs/>
          <w:color w:val="auto"/>
          <w:sz w:val="24"/>
          <w:szCs w:val="21"/>
          <w:lang w:val="en-US" w:eastAsia="zh-CN"/>
        </w:rPr>
        <w:t>2</w:t>
      </w:r>
      <w:r>
        <w:rPr>
          <w:rFonts w:hint="eastAsia" w:ascii="Times New Roman" w:hAnsi="Times New Roman" w:eastAsia="宋体" w:cs="宋体"/>
          <w:bCs/>
          <w:color w:val="auto"/>
          <w:sz w:val="24"/>
          <w:szCs w:val="21"/>
          <w:lang w:val="en-US" w:eastAsia="zh-CN"/>
        </w:rPr>
        <w:t xml:space="preserve">）访问调查法 </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 xml:space="preserve">访问调查对象主要是对脊椎动物识别有一定经验当地居民和保护区工作人员，通过询问他们近 </w:t>
      </w:r>
      <w:r>
        <w:rPr>
          <w:rFonts w:hint="default" w:ascii="Times New Roman" w:hAnsi="Times New Roman" w:eastAsia="宋体" w:cs="宋体"/>
          <w:bCs/>
          <w:color w:val="auto"/>
          <w:sz w:val="24"/>
          <w:szCs w:val="21"/>
          <w:lang w:val="en-US" w:eastAsia="zh-CN"/>
        </w:rPr>
        <w:t xml:space="preserve">5 </w:t>
      </w:r>
      <w:r>
        <w:rPr>
          <w:rFonts w:hint="eastAsia" w:ascii="Times New Roman" w:hAnsi="Times New Roman" w:eastAsia="宋体" w:cs="宋体"/>
          <w:bCs/>
          <w:color w:val="auto"/>
          <w:sz w:val="24"/>
          <w:szCs w:val="21"/>
          <w:lang w:val="en-US" w:eastAsia="zh-CN"/>
        </w:rPr>
        <w:t xml:space="preserve">年在项目评价区观察到的动物实体和活动痕迹，采用对照野生动物图谱、生物学特征等相关识别手段进行判定。调查农贸市场、餐馆、了解物种种类后，再根据特征进行物种判定或查阅资料确定访问到的物种。 </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w:t>
      </w:r>
      <w:r>
        <w:rPr>
          <w:rFonts w:hint="default" w:ascii="Times New Roman" w:hAnsi="Times New Roman" w:eastAsia="宋体" w:cs="宋体"/>
          <w:bCs/>
          <w:color w:val="auto"/>
          <w:sz w:val="24"/>
          <w:szCs w:val="21"/>
          <w:lang w:val="en-US" w:eastAsia="zh-CN"/>
        </w:rPr>
        <w:t>3</w:t>
      </w:r>
      <w:r>
        <w:rPr>
          <w:rFonts w:hint="eastAsia" w:ascii="Times New Roman" w:hAnsi="Times New Roman" w:eastAsia="宋体" w:cs="宋体"/>
          <w:bCs/>
          <w:color w:val="auto"/>
          <w:sz w:val="24"/>
          <w:szCs w:val="21"/>
          <w:lang w:val="en-US" w:eastAsia="zh-CN"/>
        </w:rPr>
        <w:t xml:space="preserve">）样带调查法 </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 xml:space="preserve">①两栖爬行动物调查 </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两栖、爬行动物调查主要采用常规路线调查，同时辅以样带法、访问法等。在不同生境设置长度不等的样带，晚上用手电、头灯等照明工具沿固定样线进行调查。记录发现点生境特征及样带长度，并用专业数码相机对物种及生境进行拍照，供物种鉴定和内业整理时参考。根据《中国两栖动物及其分布彩色图鉴》</w:t>
      </w:r>
      <w:r>
        <w:rPr>
          <w:rFonts w:hint="default" w:ascii="Times New Roman" w:hAnsi="Times New Roman" w:eastAsia="宋体" w:cs="宋体"/>
          <w:bCs/>
          <w:color w:val="auto"/>
          <w:sz w:val="24"/>
          <w:szCs w:val="21"/>
          <w:lang w:val="en-US" w:eastAsia="zh-CN"/>
        </w:rPr>
        <w:t>(</w:t>
      </w:r>
      <w:r>
        <w:rPr>
          <w:rFonts w:hint="eastAsia" w:ascii="Times New Roman" w:hAnsi="Times New Roman" w:eastAsia="宋体" w:cs="宋体"/>
          <w:bCs/>
          <w:color w:val="auto"/>
          <w:sz w:val="24"/>
          <w:szCs w:val="21"/>
          <w:lang w:val="en-US" w:eastAsia="zh-CN"/>
        </w:rPr>
        <w:t>费梁，</w:t>
      </w:r>
      <w:r>
        <w:rPr>
          <w:rFonts w:hint="default" w:ascii="Times New Roman" w:hAnsi="Times New Roman" w:eastAsia="宋体" w:cs="宋体"/>
          <w:bCs/>
          <w:color w:val="auto"/>
          <w:sz w:val="24"/>
          <w:szCs w:val="21"/>
          <w:lang w:val="en-US" w:eastAsia="zh-CN"/>
        </w:rPr>
        <w:t>2012)</w:t>
      </w:r>
      <w:r>
        <w:rPr>
          <w:rFonts w:hint="eastAsia" w:ascii="Times New Roman" w:hAnsi="Times New Roman" w:eastAsia="宋体" w:cs="宋体"/>
          <w:bCs/>
          <w:color w:val="auto"/>
          <w:sz w:val="24"/>
          <w:szCs w:val="21"/>
          <w:lang w:val="en-US" w:eastAsia="zh-CN"/>
        </w:rPr>
        <w:t>，湖南动物志</w:t>
      </w:r>
      <w:r>
        <w:rPr>
          <w:rFonts w:hint="default" w:ascii="Times New Roman" w:hAnsi="Times New Roman" w:eastAsia="宋体" w:cs="宋体"/>
          <w:bCs/>
          <w:color w:val="auto"/>
          <w:sz w:val="24"/>
          <w:szCs w:val="21"/>
          <w:lang w:val="en-US" w:eastAsia="zh-CN"/>
        </w:rPr>
        <w:t>(</w:t>
      </w:r>
      <w:r>
        <w:rPr>
          <w:rFonts w:hint="eastAsia" w:ascii="Times New Roman" w:hAnsi="Times New Roman" w:eastAsia="宋体" w:cs="宋体"/>
          <w:bCs/>
          <w:color w:val="auto"/>
          <w:sz w:val="24"/>
          <w:szCs w:val="21"/>
          <w:lang w:val="en-US" w:eastAsia="zh-CN"/>
        </w:rPr>
        <w:t>两栖纲</w:t>
      </w:r>
      <w:r>
        <w:rPr>
          <w:rFonts w:hint="default" w:ascii="Times New Roman" w:hAnsi="Times New Roman" w:eastAsia="宋体" w:cs="宋体"/>
          <w:bCs/>
          <w:color w:val="auto"/>
          <w:sz w:val="24"/>
          <w:szCs w:val="21"/>
          <w:lang w:val="en-US" w:eastAsia="zh-CN"/>
        </w:rPr>
        <w:t>)(</w:t>
      </w:r>
      <w:r>
        <w:rPr>
          <w:rFonts w:hint="eastAsia" w:ascii="Times New Roman" w:hAnsi="Times New Roman" w:eastAsia="宋体" w:cs="宋体"/>
          <w:bCs/>
          <w:color w:val="auto"/>
          <w:sz w:val="24"/>
          <w:szCs w:val="21"/>
          <w:lang w:val="en-US" w:eastAsia="zh-CN"/>
        </w:rPr>
        <w:t>沈猷慧等</w:t>
      </w:r>
      <w:r>
        <w:rPr>
          <w:rFonts w:hint="default" w:ascii="Times New Roman" w:hAnsi="Times New Roman" w:eastAsia="宋体" w:cs="宋体"/>
          <w:bCs/>
          <w:color w:val="auto"/>
          <w:sz w:val="24"/>
          <w:szCs w:val="21"/>
          <w:lang w:val="en-US" w:eastAsia="zh-CN"/>
        </w:rPr>
        <w:t>, 2014)</w:t>
      </w:r>
      <w:r>
        <w:rPr>
          <w:rFonts w:hint="eastAsia" w:ascii="Times New Roman" w:hAnsi="Times New Roman" w:eastAsia="宋体" w:cs="宋体"/>
          <w:bCs/>
          <w:color w:val="auto"/>
          <w:sz w:val="24"/>
          <w:szCs w:val="21"/>
          <w:lang w:val="en-US" w:eastAsia="zh-CN"/>
        </w:rPr>
        <w:t>，《中国蛇类》</w:t>
      </w:r>
      <w:r>
        <w:rPr>
          <w:rFonts w:hint="default" w:ascii="Times New Roman" w:hAnsi="Times New Roman" w:eastAsia="宋体" w:cs="宋体"/>
          <w:bCs/>
          <w:color w:val="auto"/>
          <w:sz w:val="24"/>
          <w:szCs w:val="21"/>
          <w:lang w:val="en-US" w:eastAsia="zh-CN"/>
        </w:rPr>
        <w:t>(</w:t>
      </w:r>
      <w:r>
        <w:rPr>
          <w:rFonts w:hint="eastAsia" w:ascii="Times New Roman" w:hAnsi="Times New Roman" w:eastAsia="宋体" w:cs="宋体"/>
          <w:bCs/>
          <w:color w:val="auto"/>
          <w:sz w:val="24"/>
          <w:szCs w:val="21"/>
          <w:lang w:val="en-US" w:eastAsia="zh-CN"/>
        </w:rPr>
        <w:t>上、下册</w:t>
      </w:r>
      <w:r>
        <w:rPr>
          <w:rFonts w:hint="default" w:ascii="Times New Roman" w:hAnsi="Times New Roman" w:eastAsia="宋体" w:cs="宋体"/>
          <w:bCs/>
          <w:color w:val="auto"/>
          <w:sz w:val="24"/>
          <w:szCs w:val="21"/>
          <w:lang w:val="en-US" w:eastAsia="zh-CN"/>
        </w:rPr>
        <w:t>)</w:t>
      </w:r>
      <w:r>
        <w:rPr>
          <w:rFonts w:hint="eastAsia" w:ascii="Times New Roman" w:hAnsi="Times New Roman" w:eastAsia="宋体" w:cs="宋体"/>
          <w:bCs/>
          <w:color w:val="auto"/>
          <w:sz w:val="24"/>
          <w:szCs w:val="21"/>
          <w:lang w:val="en-US" w:eastAsia="zh-CN"/>
        </w:rPr>
        <w:t>、湖南动物志</w:t>
      </w:r>
      <w:r>
        <w:rPr>
          <w:rFonts w:hint="default" w:ascii="Times New Roman" w:hAnsi="Times New Roman" w:eastAsia="宋体" w:cs="宋体"/>
          <w:bCs/>
          <w:color w:val="auto"/>
          <w:sz w:val="24"/>
          <w:szCs w:val="21"/>
          <w:lang w:val="en-US" w:eastAsia="zh-CN"/>
        </w:rPr>
        <w:t>(</w:t>
      </w:r>
      <w:r>
        <w:rPr>
          <w:rFonts w:hint="eastAsia" w:ascii="Times New Roman" w:hAnsi="Times New Roman" w:eastAsia="宋体" w:cs="宋体"/>
          <w:bCs/>
          <w:color w:val="auto"/>
          <w:sz w:val="24"/>
          <w:szCs w:val="21"/>
          <w:lang w:val="en-US" w:eastAsia="zh-CN"/>
        </w:rPr>
        <w:t>爬行纲</w:t>
      </w:r>
      <w:r>
        <w:rPr>
          <w:rFonts w:hint="default" w:ascii="Times New Roman" w:hAnsi="Times New Roman" w:eastAsia="宋体" w:cs="宋体"/>
          <w:bCs/>
          <w:color w:val="auto"/>
          <w:sz w:val="24"/>
          <w:szCs w:val="21"/>
          <w:lang w:val="en-US" w:eastAsia="zh-CN"/>
        </w:rPr>
        <w:t>)</w:t>
      </w:r>
      <w:r>
        <w:rPr>
          <w:rFonts w:hint="eastAsia" w:ascii="Times New Roman" w:hAnsi="Times New Roman" w:eastAsia="宋体" w:cs="宋体"/>
          <w:bCs/>
          <w:color w:val="auto"/>
          <w:sz w:val="24"/>
          <w:szCs w:val="21"/>
          <w:lang w:val="en-US" w:eastAsia="zh-CN"/>
        </w:rPr>
        <w:t>、《中国爬行动物图鉴》，《湖南省两栖、爬行动物物种多样性及其受危等级评估》（高志10伟，</w:t>
      </w:r>
      <w:r>
        <w:rPr>
          <w:rFonts w:hint="default" w:ascii="Times New Roman" w:hAnsi="Times New Roman" w:eastAsia="宋体" w:cs="宋体"/>
          <w:bCs/>
          <w:color w:val="auto"/>
          <w:sz w:val="24"/>
          <w:szCs w:val="21"/>
          <w:lang w:val="en-US" w:eastAsia="zh-CN"/>
        </w:rPr>
        <w:t>2022</w:t>
      </w:r>
      <w:r>
        <w:rPr>
          <w:rFonts w:hint="eastAsia" w:ascii="Times New Roman" w:hAnsi="Times New Roman" w:eastAsia="宋体" w:cs="宋体"/>
          <w:bCs/>
          <w:color w:val="auto"/>
          <w:sz w:val="24"/>
          <w:szCs w:val="21"/>
          <w:lang w:val="en-US" w:eastAsia="zh-CN"/>
        </w:rPr>
        <w:t>）等参考书对物种进行鉴定分类，地理区划参考《湖南省两栖动物调查及区系分析》</w:t>
      </w:r>
      <w:r>
        <w:rPr>
          <w:rFonts w:hint="default" w:ascii="Times New Roman" w:hAnsi="Times New Roman" w:eastAsia="宋体" w:cs="宋体"/>
          <w:bCs/>
          <w:color w:val="auto"/>
          <w:sz w:val="24"/>
          <w:szCs w:val="21"/>
          <w:lang w:val="en-US" w:eastAsia="zh-CN"/>
        </w:rPr>
        <w:t>(</w:t>
      </w:r>
      <w:r>
        <w:rPr>
          <w:rFonts w:hint="eastAsia" w:ascii="Times New Roman" w:hAnsi="Times New Roman" w:eastAsia="宋体" w:cs="宋体"/>
          <w:bCs/>
          <w:color w:val="auto"/>
          <w:sz w:val="24"/>
          <w:szCs w:val="21"/>
          <w:lang w:val="en-US" w:eastAsia="zh-CN"/>
        </w:rPr>
        <w:t>沈猷慧，</w:t>
      </w:r>
      <w:r>
        <w:rPr>
          <w:rFonts w:hint="default" w:ascii="Times New Roman" w:hAnsi="Times New Roman" w:eastAsia="宋体" w:cs="宋体"/>
          <w:bCs/>
          <w:color w:val="auto"/>
          <w:sz w:val="24"/>
          <w:szCs w:val="21"/>
          <w:lang w:val="en-US" w:eastAsia="zh-CN"/>
        </w:rPr>
        <w:t>1983)</w:t>
      </w:r>
      <w:r>
        <w:rPr>
          <w:rFonts w:hint="eastAsia" w:ascii="Times New Roman" w:hAnsi="Times New Roman" w:eastAsia="宋体" w:cs="宋体"/>
          <w:bCs/>
          <w:color w:val="auto"/>
          <w:sz w:val="24"/>
          <w:szCs w:val="21"/>
          <w:lang w:val="en-US" w:eastAsia="zh-CN"/>
        </w:rPr>
        <w:t>和《中国动物地理》</w:t>
      </w:r>
      <w:r>
        <w:rPr>
          <w:rFonts w:hint="default" w:ascii="Times New Roman" w:hAnsi="Times New Roman" w:eastAsia="宋体" w:cs="宋体"/>
          <w:bCs/>
          <w:color w:val="auto"/>
          <w:sz w:val="24"/>
          <w:szCs w:val="21"/>
          <w:lang w:val="en-US" w:eastAsia="zh-CN"/>
        </w:rPr>
        <w:t>(</w:t>
      </w:r>
      <w:r>
        <w:rPr>
          <w:rFonts w:hint="eastAsia" w:ascii="Times New Roman" w:hAnsi="Times New Roman" w:eastAsia="宋体" w:cs="宋体"/>
          <w:bCs/>
          <w:color w:val="auto"/>
          <w:sz w:val="24"/>
          <w:szCs w:val="21"/>
          <w:lang w:val="en-US" w:eastAsia="zh-CN"/>
        </w:rPr>
        <w:t>张荣祖，</w:t>
      </w:r>
      <w:r>
        <w:rPr>
          <w:rFonts w:hint="default" w:ascii="Times New Roman" w:hAnsi="Times New Roman" w:eastAsia="宋体" w:cs="宋体"/>
          <w:bCs/>
          <w:color w:val="auto"/>
          <w:sz w:val="24"/>
          <w:szCs w:val="21"/>
          <w:lang w:val="en-US" w:eastAsia="zh-CN"/>
        </w:rPr>
        <w:t>2011)</w:t>
      </w:r>
      <w:r>
        <w:rPr>
          <w:rFonts w:hint="eastAsia" w:ascii="Times New Roman" w:hAnsi="Times New Roman" w:eastAsia="宋体" w:cs="宋体"/>
          <w:bCs/>
          <w:color w:val="auto"/>
          <w:sz w:val="24"/>
          <w:szCs w:val="21"/>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 xml:space="preserve">②鸟类调查 </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鸟类调查主要采用样带法，结合样点法和访问调查法。样线法主要采用可变距离样带法，根据调查区域的地形地貌和鸟类栖息地类型，设置不同长度的样带沿布设的固定样线徒步行走，对观察到的鸟类使用专业数码相机对其生境及物种进行拍照，并用平板电脑中的奥维软件记录样线起点、终点坐标和样线长度等信息。同时访问当地有经验的老猎人和村民，详细了解该地区鸟类资源状况。根据《中国鸟类图鉴》、《湖南省动物志</w:t>
      </w:r>
      <w:r>
        <w:rPr>
          <w:rFonts w:hint="default" w:ascii="Times New Roman" w:hAnsi="Times New Roman" w:eastAsia="宋体" w:cs="宋体"/>
          <w:bCs/>
          <w:color w:val="auto"/>
          <w:sz w:val="24"/>
          <w:szCs w:val="21"/>
          <w:lang w:val="en-US" w:eastAsia="zh-CN"/>
        </w:rPr>
        <w:t>.</w:t>
      </w:r>
      <w:r>
        <w:rPr>
          <w:rFonts w:hint="eastAsia" w:ascii="Times New Roman" w:hAnsi="Times New Roman" w:eastAsia="宋体" w:cs="宋体"/>
          <w:bCs/>
          <w:color w:val="auto"/>
          <w:sz w:val="24"/>
          <w:szCs w:val="21"/>
          <w:lang w:val="en-US" w:eastAsia="zh-CN"/>
        </w:rPr>
        <w:t>鸟纲雀形目》、《中国鸟类分类与分布名录》</w:t>
      </w:r>
      <w:r>
        <w:rPr>
          <w:rFonts w:hint="default" w:ascii="Times New Roman" w:hAnsi="Times New Roman" w:eastAsia="宋体" w:cs="宋体"/>
          <w:bCs/>
          <w:color w:val="auto"/>
          <w:sz w:val="24"/>
          <w:szCs w:val="21"/>
          <w:lang w:val="en-US" w:eastAsia="zh-CN"/>
        </w:rPr>
        <w:t>(</w:t>
      </w:r>
      <w:r>
        <w:rPr>
          <w:rFonts w:hint="eastAsia" w:ascii="Times New Roman" w:hAnsi="Times New Roman" w:eastAsia="宋体" w:cs="宋体"/>
          <w:bCs/>
          <w:color w:val="auto"/>
          <w:sz w:val="24"/>
          <w:szCs w:val="21"/>
          <w:lang w:val="en-US" w:eastAsia="zh-CN"/>
        </w:rPr>
        <w:t>第四版</w:t>
      </w:r>
      <w:r>
        <w:rPr>
          <w:rFonts w:hint="default" w:ascii="Times New Roman" w:hAnsi="Times New Roman" w:eastAsia="宋体" w:cs="宋体"/>
          <w:bCs/>
          <w:color w:val="auto"/>
          <w:sz w:val="24"/>
          <w:szCs w:val="21"/>
          <w:lang w:val="en-US" w:eastAsia="zh-CN"/>
        </w:rPr>
        <w:t>)</w:t>
      </w:r>
      <w:r>
        <w:rPr>
          <w:rFonts w:hint="eastAsia" w:ascii="Times New Roman" w:hAnsi="Times New Roman" w:eastAsia="宋体" w:cs="宋体"/>
          <w:bCs/>
          <w:color w:val="auto"/>
          <w:sz w:val="24"/>
          <w:szCs w:val="21"/>
          <w:lang w:val="en-US" w:eastAsia="zh-CN"/>
        </w:rPr>
        <w:t xml:space="preserve">等参考书对物种进行鉴定。 </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 xml:space="preserve">③兽类调查 </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 xml:space="preserve">兽类调查主要采用样带法、访问调查法和文献查阅法。依据不同的海拔、不同生境选取观察路线，统计路线两边兽类的足迹、粪便、叫声、活动迹象以及活体的活动情况等。同时走访当地有经验的居民和保护区工作人员，根据访问调查结果再结合相关文献来确定兽类物种名录。 </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 xml:space="preserve">④鱼类调查 </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首先查阅相关文献，了解项目评价区内的水文等自然条件，同时走访当地村民和农贸市场，确定鱼类名录。</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（4）景观调查</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利用地形图、近期卫星影像图、无人机航片与</w:t>
      </w:r>
      <w:r>
        <w:rPr>
          <w:rFonts w:hint="default" w:ascii="Times New Roman" w:hAnsi="Times New Roman" w:eastAsia="宋体" w:cs="宋体"/>
          <w:bCs/>
          <w:color w:val="auto"/>
          <w:sz w:val="24"/>
          <w:szCs w:val="21"/>
          <w:lang w:val="en-US" w:eastAsia="zh-CN"/>
        </w:rPr>
        <w:t>2022</w:t>
      </w:r>
      <w:r>
        <w:rPr>
          <w:rFonts w:hint="eastAsia" w:ascii="Times New Roman" w:hAnsi="Times New Roman" w:eastAsia="宋体" w:cs="宋体"/>
          <w:bCs/>
          <w:color w:val="auto"/>
          <w:sz w:val="24"/>
          <w:szCs w:val="21"/>
          <w:lang w:val="en-US" w:eastAsia="zh-CN"/>
        </w:rPr>
        <w:t>年林草湿“一张图”，对项目区与影响评价区的景观类型进行区划，并记录。</w:t>
      </w:r>
    </w:p>
    <w:p>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color w:val="auto"/>
          <w:kern w:val="2"/>
          <w:sz w:val="24"/>
          <w:szCs w:val="24"/>
          <w:lang w:val="en-US" w:eastAsia="zh-CN" w:bidi="ar-SA"/>
        </w:rPr>
      </w:pPr>
      <w:r>
        <w:rPr>
          <w:rFonts w:hint="eastAsia" w:ascii="Times New Roman" w:hAnsi="Times New Roman" w:eastAsia="宋体" w:cs="Times New Roman"/>
          <w:b/>
          <w:color w:val="auto"/>
          <w:kern w:val="2"/>
          <w:sz w:val="24"/>
          <w:szCs w:val="24"/>
          <w:lang w:val="en-US" w:eastAsia="zh-CN" w:bidi="ar-SA"/>
        </w:rPr>
        <w:t>3.2.2 项目区域生态环境现状</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（1）</w:t>
      </w:r>
      <w:r>
        <w:rPr>
          <w:rFonts w:hint="default" w:ascii="Times New Roman" w:hAnsi="Times New Roman" w:eastAsia="宋体" w:cs="宋体"/>
          <w:bCs/>
          <w:color w:val="auto"/>
          <w:sz w:val="24"/>
          <w:szCs w:val="21"/>
          <w:lang w:val="en-US" w:eastAsia="zh-CN"/>
        </w:rPr>
        <w:t>主体功能区</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r>
        <w:rPr>
          <w:rFonts w:hint="default" w:ascii="Times New Roman" w:hAnsi="Times New Roman" w:eastAsia="宋体" w:cs="宋体"/>
          <w:bCs/>
          <w:color w:val="auto"/>
          <w:sz w:val="24"/>
          <w:szCs w:val="21"/>
          <w:lang w:val="en-US" w:eastAsia="zh-CN"/>
        </w:rPr>
        <w:t>根据《湖南省主体功能区规划》，本工程位于国家级重点开发区，项目占地涉及建设项目环境影响评价分类管理名录（2021 年版）中提及的生态环境敏感区</w:t>
      </w:r>
      <w:r>
        <w:rPr>
          <w:rFonts w:hint="eastAsia" w:ascii="Times New Roman" w:hAnsi="Times New Roman" w:eastAsia="宋体" w:cs="宋体"/>
          <w:bCs/>
          <w:color w:val="auto"/>
          <w:sz w:val="24"/>
          <w:szCs w:val="21"/>
          <w:lang w:val="en-US" w:eastAsia="zh-CN"/>
        </w:rPr>
        <w:t>：第三条（一）中的全部区域：湖南东洞庭湖国家级自然保护区。</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r>
        <w:rPr>
          <w:rFonts w:hint="default" w:ascii="Times New Roman" w:hAnsi="Times New Roman" w:eastAsia="宋体" w:cs="宋体"/>
          <w:bCs/>
          <w:color w:val="auto"/>
          <w:sz w:val="24"/>
          <w:szCs w:val="21"/>
          <w:lang w:val="en-US" w:eastAsia="zh-CN"/>
        </w:rPr>
        <w:t>（2）生态功能区</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r>
        <w:rPr>
          <w:rFonts w:hint="default" w:ascii="Times New Roman" w:hAnsi="Times New Roman" w:eastAsia="宋体" w:cs="宋体"/>
          <w:bCs/>
          <w:color w:val="auto"/>
          <w:sz w:val="24"/>
          <w:szCs w:val="21"/>
          <w:lang w:val="en-US" w:eastAsia="zh-CN"/>
        </w:rPr>
        <w:t>根据《全国生态功能区划》（修编版），全国生态功能区划体系分为3个大类、9个小类、242个生态功能区，项目所在区域位于II-01-22湖南中部丘陵农产品提供功能区，属于产品提供大类，农产品提供小类。</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default" w:ascii="Times New Roman" w:hAnsi="Times New Roman" w:eastAsia="宋体" w:cs="宋体"/>
          <w:bCs/>
          <w:color w:val="auto"/>
          <w:sz w:val="24"/>
          <w:szCs w:val="21"/>
          <w:lang w:val="en-US" w:eastAsia="zh-CN"/>
        </w:rPr>
        <w:t>（3）地形</w:t>
      </w:r>
      <w:r>
        <w:rPr>
          <w:rFonts w:hint="eastAsia" w:ascii="Times New Roman" w:hAnsi="Times New Roman" w:eastAsia="宋体" w:cs="宋体"/>
          <w:bCs/>
          <w:color w:val="auto"/>
          <w:sz w:val="24"/>
          <w:szCs w:val="21"/>
          <w:lang w:val="en-US" w:eastAsia="zh-CN"/>
        </w:rPr>
        <w:t>地质</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r>
        <w:rPr>
          <w:rFonts w:hint="default" w:ascii="Times New Roman" w:hAnsi="Times New Roman" w:eastAsia="宋体" w:cs="宋体"/>
          <w:bCs/>
          <w:color w:val="auto"/>
          <w:sz w:val="24"/>
          <w:szCs w:val="21"/>
          <w:lang w:val="en-US" w:eastAsia="zh-CN"/>
        </w:rPr>
        <w:t>岳阳市华容县团洲乡位于中国湖南省的东部，是一个典型的南方丘陵地区。团洲乡位于长江中游的洞庭湖区南缘，属于扬子地台的南缘部分。该地区地质构造复杂，多种地质构造单元交错分布。该地区经历了多次构造运动，主要受印支运动和燕山运动的影响，形成了多样的地层和地质构造。前寒武纪地层主要由变质岩组成，如片麻岩、片岩和石英岩等。这些地层具有较高的强度和稳定性。古生代地层包括奥陶纪、志留纪和泥盆纪的沉积岩，如灰岩、页岩和砂岩等。这些地层在地质构造活动中形成了复杂的褶皱和断裂。中生代地层主要是三叠纪和侏罗纪的沉积岩，如红色砂岩、泥岩等。这些地层多为河湖相沉积，厚度变化较大。新生代地层包括第三纪和第四纪的沉积物，如粘土、砂砾石和黄土等。这些地层主要分布在低洼地区和河谷地带，厚度较小但广泛分布。褶皱构造团洲乡的地层受多次构造运动影响，形成了明显的褶皱构造。主要表现为轴向东西走向的紧闭褶皱，这些褶皱在地表常形成丘陵和山脉。该地区存在多条断裂带，主要为北东向和北西向断裂。断裂活动频繁，导致地层错动和破碎，对地质稳定性产生一定影响。团洲乡的地质构造还包括多个沉积盆地和河流沉积体系，这些构造在地表形成了平原和洼地，为农业和城市建设提供了良好的地质条件。因为地形多丘陵和山区，降雨量丰富，加上地质构造复杂，容易发生滑坡和崩塌等地质灾害。</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r>
        <w:rPr>
          <w:rFonts w:hint="default" w:ascii="Times New Roman" w:hAnsi="Times New Roman" w:eastAsia="宋体" w:cs="宋体"/>
          <w:bCs/>
          <w:color w:val="auto"/>
          <w:sz w:val="24"/>
          <w:szCs w:val="21"/>
          <w:lang w:val="en-US" w:eastAsia="zh-CN"/>
        </w:rPr>
        <w:t>（4）动物分布</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r>
        <w:rPr>
          <w:rFonts w:hint="default" w:ascii="Times New Roman" w:hAnsi="Times New Roman" w:eastAsia="宋体" w:cs="宋体"/>
          <w:bCs/>
          <w:color w:val="auto"/>
          <w:sz w:val="24"/>
          <w:szCs w:val="21"/>
          <w:lang w:val="en-US" w:eastAsia="zh-CN"/>
        </w:rPr>
        <w:t>陆生脊椎动物以禽类和鼠类为主；华容县</w:t>
      </w:r>
      <w:r>
        <w:rPr>
          <w:rFonts w:hint="eastAsia" w:ascii="Times New Roman" w:hAnsi="Times New Roman" w:eastAsia="宋体" w:cs="宋体"/>
          <w:bCs/>
          <w:color w:val="auto"/>
          <w:sz w:val="24"/>
          <w:szCs w:val="21"/>
          <w:lang w:val="en-US" w:eastAsia="zh-CN"/>
        </w:rPr>
        <w:t>团洲乡</w:t>
      </w:r>
      <w:r>
        <w:rPr>
          <w:rFonts w:hint="default" w:ascii="Times New Roman" w:hAnsi="Times New Roman" w:eastAsia="宋体" w:cs="宋体"/>
          <w:bCs/>
          <w:color w:val="auto"/>
          <w:sz w:val="24"/>
          <w:szCs w:val="21"/>
          <w:lang w:val="en-US" w:eastAsia="zh-CN"/>
        </w:rPr>
        <w:t>内有众多数量的沟、港、湖泊，浮游生物丰富，为鱼类的栖居、索饵、产卵和洄游提供了良好场所，淡水鱼产地。目前现有鱼类11目22科114种。未发现珍稀、濒危物种和国家、地方保护物种。</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r>
        <w:rPr>
          <w:rFonts w:hint="default" w:ascii="Times New Roman" w:hAnsi="Times New Roman" w:eastAsia="宋体" w:cs="宋体"/>
          <w:bCs/>
          <w:color w:val="auto"/>
          <w:sz w:val="24"/>
          <w:szCs w:val="21"/>
          <w:lang w:val="en-US" w:eastAsia="zh-CN"/>
        </w:rPr>
        <w:t>（5）植被分布</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default" w:ascii="Times New Roman" w:hAnsi="Times New Roman" w:eastAsia="宋体" w:cs="宋体"/>
          <w:bCs/>
          <w:color w:val="auto"/>
          <w:sz w:val="24"/>
          <w:szCs w:val="21"/>
          <w:lang w:val="en-US" w:eastAsia="zh-CN"/>
        </w:rPr>
        <w:t>华容县</w:t>
      </w:r>
      <w:r>
        <w:rPr>
          <w:rFonts w:hint="eastAsia" w:ascii="Times New Roman" w:hAnsi="Times New Roman" w:eastAsia="宋体" w:cs="宋体"/>
          <w:bCs/>
          <w:color w:val="auto"/>
          <w:sz w:val="24"/>
          <w:szCs w:val="21"/>
          <w:lang w:val="en-US" w:eastAsia="zh-CN"/>
        </w:rPr>
        <w:t>团洲乡</w:t>
      </w:r>
      <w:r>
        <w:rPr>
          <w:rFonts w:hint="default" w:ascii="Times New Roman" w:hAnsi="Times New Roman" w:eastAsia="宋体" w:cs="宋体"/>
          <w:bCs/>
          <w:color w:val="auto"/>
          <w:sz w:val="24"/>
          <w:szCs w:val="21"/>
          <w:lang w:val="en-US" w:eastAsia="zh-CN"/>
        </w:rPr>
        <w:t>为主要农业产区，水田多种水稻，旱地多种油菜、棉花，其他有各类零星瓜果蔬菜等</w:t>
      </w:r>
      <w:r>
        <w:rPr>
          <w:rFonts w:hint="eastAsia" w:ascii="Times New Roman" w:hAnsi="Times New Roman" w:eastAsia="宋体" w:cs="宋体"/>
          <w:bCs/>
          <w:color w:val="auto"/>
          <w:sz w:val="24"/>
          <w:szCs w:val="21"/>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项目区域及周边</w:t>
      </w:r>
      <w:r>
        <w:rPr>
          <w:rFonts w:hint="default" w:ascii="Times New Roman" w:hAnsi="Times New Roman" w:eastAsia="宋体" w:cs="宋体"/>
          <w:bCs/>
          <w:color w:val="auto"/>
          <w:sz w:val="24"/>
          <w:szCs w:val="21"/>
          <w:lang w:val="en-US" w:eastAsia="zh-CN"/>
        </w:rPr>
        <w:t>未见古树名木及其他珍稀、濒危物种和国家、地方保护物种。</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r>
        <w:rPr>
          <w:rFonts w:hint="default" w:ascii="Times New Roman" w:hAnsi="Times New Roman" w:eastAsia="宋体" w:cs="宋体"/>
          <w:bCs/>
          <w:color w:val="auto"/>
          <w:sz w:val="24"/>
          <w:szCs w:val="21"/>
          <w:lang w:val="en-US" w:eastAsia="zh-CN"/>
        </w:rPr>
        <w:t>（6）水土流失现状</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color w:val="auto"/>
        </w:rPr>
      </w:pPr>
      <w:r>
        <w:rPr>
          <w:rFonts w:hint="default" w:ascii="Times New Roman" w:hAnsi="Times New Roman" w:eastAsia="宋体" w:cs="宋体"/>
          <w:bCs/>
          <w:color w:val="auto"/>
          <w:sz w:val="24"/>
          <w:szCs w:val="21"/>
          <w:lang w:val="en-US" w:eastAsia="zh-CN"/>
        </w:rPr>
        <w:t>根据《土壤侵蚀分类分级标准》（SL190-2007），在全国土壤侵蚀类型区划中，项目区属于以水力侵蚀为主的类型区中的南方红壤丘陵区，其土壤容许流失量为500t/k㎡.a；项目区水土流失侵蚀形态以轻度水力侵蚀为主，水蚀又以面蚀为主，沟蚀次之。</w:t>
      </w:r>
    </w:p>
    <w:p>
      <w:pPr>
        <w:pStyle w:val="65"/>
        <w:ind w:firstLine="480"/>
        <w:rPr>
          <w:rFonts w:hint="default" w:ascii="Times New Roman" w:hAnsi="Times New Roman" w:cs="Times New Roman"/>
          <w:color w:val="auto"/>
        </w:rPr>
      </w:pPr>
      <w:r>
        <w:rPr>
          <w:rFonts w:hint="default" w:ascii="Times New Roman" w:hAnsi="Times New Roman" w:cs="Times New Roman"/>
          <w:color w:val="auto"/>
        </w:rPr>
        <w:t>1）华容县水土流失现状</w:t>
      </w:r>
    </w:p>
    <w:p>
      <w:pPr>
        <w:pStyle w:val="65"/>
        <w:ind w:firstLine="480"/>
        <w:rPr>
          <w:rFonts w:hint="default" w:ascii="Times New Roman" w:hAnsi="Times New Roman" w:cs="Times New Roman"/>
          <w:color w:val="auto"/>
        </w:rPr>
      </w:pPr>
      <w:r>
        <w:rPr>
          <w:rFonts w:hint="default" w:ascii="Times New Roman" w:hAnsi="Times New Roman" w:cs="Times New Roman"/>
          <w:color w:val="auto"/>
        </w:rPr>
        <w:t>根据2022年湖南省水土保持公报中（2022年湖南省水土保持率及水土流失面积表）华容县数据，水土保持率为99.26%，项目区所在的华容县水土流失面积为11.72km²，按水土流失强度分级为：轻度侵蚀面积10.34km²，占水土流失总面积的88.23%；中度侵蚀面积1.36km²，占水土流失总面积的11.60%；强烈侵蚀面积0.01km2，占水土流失总面积的0.09%；极强烈侵蚀面积0.01km²，占水土流失总面积的0.09%；剧烈侵蚀面积0.00km²，占水土流失总面积的0.00%；华容县水土流失面积见下表。</w:t>
      </w:r>
    </w:p>
    <w:p>
      <w:pPr>
        <w:pStyle w:val="66"/>
        <w:keepNext w:val="0"/>
        <w:keepLines w:val="0"/>
        <w:pageBreakBefore w:val="0"/>
        <w:widowControl w:val="0"/>
        <w:kinsoku/>
        <w:wordWrap/>
        <w:overflowPunct/>
        <w:topLinePunct w:val="0"/>
        <w:autoSpaceDE/>
        <w:autoSpaceDN/>
        <w:bidi w:val="0"/>
        <w:adjustRightInd/>
        <w:snapToGrid/>
        <w:spacing w:beforeLines="0"/>
        <w:textAlignment w:val="auto"/>
        <w:rPr>
          <w:rFonts w:hint="default" w:ascii="Times New Roman" w:hAnsi="Times New Roman" w:cs="Times New Roman"/>
          <w:color w:val="auto"/>
        </w:rPr>
      </w:pPr>
      <w:r>
        <w:rPr>
          <w:rFonts w:hint="default" w:ascii="Times New Roman" w:hAnsi="Times New Roman" w:cs="Times New Roman"/>
          <w:color w:val="auto"/>
        </w:rPr>
        <w:t>表3-</w:t>
      </w:r>
      <w:r>
        <w:rPr>
          <w:rFonts w:hint="eastAsia" w:ascii="Times New Roman" w:hAnsi="Times New Roman" w:cs="Times New Roman"/>
          <w:color w:val="auto"/>
          <w:lang w:val="en-US" w:eastAsia="zh-CN"/>
        </w:rPr>
        <w:t>1</w:t>
      </w:r>
      <w:r>
        <w:rPr>
          <w:rFonts w:hint="default" w:ascii="Times New Roman" w:hAnsi="Times New Roman" w:cs="Times New Roman"/>
          <w:color w:val="auto"/>
          <w:lang w:val="en-US" w:eastAsia="zh-CN"/>
        </w:rPr>
        <w:t xml:space="preserve">   </w:t>
      </w:r>
      <w:r>
        <w:rPr>
          <w:rFonts w:hint="default" w:ascii="Times New Roman" w:hAnsi="Times New Roman" w:cs="Times New Roman"/>
          <w:color w:val="auto"/>
        </w:rPr>
        <w:t>华容县水土流失现状</w:t>
      </w:r>
    </w:p>
    <w:tbl>
      <w:tblPr>
        <w:tblStyle w:val="22"/>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 w:type="dxa"/>
          <w:bottom w:w="0" w:type="dxa"/>
          <w:right w:w="10" w:type="dxa"/>
        </w:tblCellMar>
      </w:tblPr>
      <w:tblGrid>
        <w:gridCol w:w="920"/>
        <w:gridCol w:w="1404"/>
        <w:gridCol w:w="3957"/>
        <w:gridCol w:w="205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 w:type="dxa"/>
            <w:bottom w:w="0" w:type="dxa"/>
            <w:right w:w="10" w:type="dxa"/>
          </w:tblCellMar>
        </w:tblPrEx>
        <w:trPr>
          <w:trHeight w:val="363" w:hRule="atLeast"/>
          <w:jc w:val="center"/>
        </w:trPr>
        <w:tc>
          <w:tcPr>
            <w:tcW w:w="3767" w:type="pct"/>
            <w:gridSpan w:val="3"/>
            <w:tcBorders>
              <w:tl2br w:val="nil"/>
              <w:tr2bl w:val="nil"/>
            </w:tcBorders>
            <w:shd w:val="clear" w:color="auto" w:fill="auto"/>
            <w:noWrap w:val="0"/>
            <w:vAlign w:val="center"/>
          </w:tcPr>
          <w:p>
            <w:pPr>
              <w:pStyle w:val="67"/>
              <w:jc w:val="center"/>
              <w:rPr>
                <w:rFonts w:hint="default" w:ascii="Times New Roman" w:hAnsi="Times New Roman" w:cs="Times New Roman"/>
                <w:b/>
                <w:bCs/>
                <w:color w:val="auto"/>
              </w:rPr>
            </w:pPr>
            <w:r>
              <w:rPr>
                <w:rFonts w:hint="default" w:ascii="Times New Roman" w:hAnsi="Times New Roman" w:cs="Times New Roman"/>
                <w:b/>
                <w:bCs/>
                <w:color w:val="auto"/>
              </w:rPr>
              <w:t>水土流失面积（km</w:t>
            </w:r>
            <w:r>
              <w:rPr>
                <w:rFonts w:hint="default" w:ascii="Times New Roman" w:hAnsi="Times New Roman" w:cs="Times New Roman"/>
                <w:b/>
                <w:bCs/>
                <w:color w:val="auto"/>
                <w:vertAlign w:val="superscript"/>
              </w:rPr>
              <w:t>2</w:t>
            </w:r>
            <w:r>
              <w:rPr>
                <w:rFonts w:hint="default" w:ascii="Times New Roman" w:hAnsi="Times New Roman" w:cs="Times New Roman"/>
                <w:b/>
                <w:bCs/>
                <w:color w:val="auto"/>
              </w:rPr>
              <w:t>）</w:t>
            </w:r>
          </w:p>
        </w:tc>
        <w:tc>
          <w:tcPr>
            <w:tcW w:w="1233" w:type="pct"/>
            <w:tcBorders>
              <w:tl2br w:val="nil"/>
              <w:tr2bl w:val="nil"/>
            </w:tcBorders>
            <w:shd w:val="clear" w:color="auto" w:fill="auto"/>
            <w:noWrap w:val="0"/>
            <w:vAlign w:val="center"/>
          </w:tcPr>
          <w:p>
            <w:pPr>
              <w:pStyle w:val="67"/>
              <w:jc w:val="center"/>
              <w:rPr>
                <w:rFonts w:hint="default" w:ascii="Times New Roman" w:hAnsi="Times New Roman" w:cs="Times New Roman"/>
                <w:b/>
                <w:bCs/>
                <w:color w:val="auto"/>
              </w:rPr>
            </w:pPr>
            <w:r>
              <w:rPr>
                <w:rFonts w:hint="default" w:ascii="Times New Roman" w:hAnsi="Times New Roman" w:cs="Times New Roman"/>
                <w:b/>
                <w:bCs/>
                <w:color w:val="auto"/>
              </w:rPr>
              <w:t>11.72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 w:type="dxa"/>
            <w:bottom w:w="0" w:type="dxa"/>
            <w:right w:w="10" w:type="dxa"/>
          </w:tblCellMar>
        </w:tblPrEx>
        <w:trPr>
          <w:trHeight w:val="363" w:hRule="atLeast"/>
          <w:jc w:val="center"/>
        </w:trPr>
        <w:tc>
          <w:tcPr>
            <w:tcW w:w="552" w:type="pct"/>
            <w:vMerge w:val="restart"/>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r>
              <w:rPr>
                <w:rFonts w:hint="default" w:ascii="Times New Roman" w:hAnsi="Times New Roman" w:cs="Times New Roman"/>
                <w:color w:val="auto"/>
              </w:rPr>
              <w:t>水土流失强度</w:t>
            </w:r>
          </w:p>
        </w:tc>
        <w:tc>
          <w:tcPr>
            <w:tcW w:w="3214" w:type="pct"/>
            <w:gridSpan w:val="2"/>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r>
              <w:rPr>
                <w:rFonts w:hint="default" w:ascii="Times New Roman" w:hAnsi="Times New Roman" w:cs="Times New Roman"/>
                <w:color w:val="auto"/>
              </w:rPr>
              <w:t>微度侵蚀面积（km</w:t>
            </w:r>
            <w:r>
              <w:rPr>
                <w:rFonts w:hint="default" w:ascii="Times New Roman" w:hAnsi="Times New Roman" w:cs="Times New Roman"/>
                <w:color w:val="auto"/>
                <w:vertAlign w:val="superscript"/>
              </w:rPr>
              <w:t>2</w:t>
            </w:r>
            <w:r>
              <w:rPr>
                <w:rFonts w:hint="default" w:ascii="Times New Roman" w:hAnsi="Times New Roman" w:cs="Times New Roman"/>
                <w:color w:val="auto"/>
              </w:rPr>
              <w:t>）</w:t>
            </w:r>
          </w:p>
        </w:tc>
        <w:tc>
          <w:tcPr>
            <w:tcW w:w="1233" w:type="pct"/>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 w:type="dxa"/>
            <w:bottom w:w="0" w:type="dxa"/>
            <w:right w:w="10" w:type="dxa"/>
          </w:tblCellMar>
        </w:tblPrEx>
        <w:trPr>
          <w:trHeight w:val="363" w:hRule="atLeast"/>
          <w:jc w:val="center"/>
        </w:trPr>
        <w:tc>
          <w:tcPr>
            <w:tcW w:w="552" w:type="pct"/>
            <w:vMerge w:val="continue"/>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p>
        </w:tc>
        <w:tc>
          <w:tcPr>
            <w:tcW w:w="842" w:type="pct"/>
            <w:vMerge w:val="restart"/>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r>
              <w:rPr>
                <w:rFonts w:hint="default" w:ascii="Times New Roman" w:hAnsi="Times New Roman" w:cs="Times New Roman"/>
                <w:color w:val="auto"/>
              </w:rPr>
              <w:t>轻度</w:t>
            </w:r>
          </w:p>
        </w:tc>
        <w:tc>
          <w:tcPr>
            <w:tcW w:w="2372" w:type="pct"/>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r>
              <w:rPr>
                <w:rFonts w:hint="default" w:ascii="Times New Roman" w:hAnsi="Times New Roman" w:cs="Times New Roman"/>
                <w:color w:val="auto"/>
              </w:rPr>
              <w:t>面积（km</w:t>
            </w:r>
            <w:r>
              <w:rPr>
                <w:rFonts w:hint="default" w:ascii="Times New Roman" w:hAnsi="Times New Roman" w:cs="Times New Roman"/>
                <w:color w:val="auto"/>
                <w:vertAlign w:val="superscript"/>
              </w:rPr>
              <w:t>2</w:t>
            </w:r>
            <w:r>
              <w:rPr>
                <w:rFonts w:hint="default" w:ascii="Times New Roman" w:hAnsi="Times New Roman" w:cs="Times New Roman"/>
                <w:color w:val="auto"/>
              </w:rPr>
              <w:t>）</w:t>
            </w:r>
          </w:p>
        </w:tc>
        <w:tc>
          <w:tcPr>
            <w:tcW w:w="1233" w:type="pct"/>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r>
              <w:rPr>
                <w:rFonts w:hint="default" w:ascii="Times New Roman" w:hAnsi="Times New Roman" w:cs="Times New Roman"/>
                <w:color w:val="auto"/>
              </w:rPr>
              <w:t>10.34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 w:type="dxa"/>
            <w:bottom w:w="0" w:type="dxa"/>
            <w:right w:w="10" w:type="dxa"/>
          </w:tblCellMar>
        </w:tblPrEx>
        <w:trPr>
          <w:trHeight w:val="363" w:hRule="atLeast"/>
          <w:jc w:val="center"/>
        </w:trPr>
        <w:tc>
          <w:tcPr>
            <w:tcW w:w="552" w:type="pct"/>
            <w:vMerge w:val="continue"/>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p>
        </w:tc>
        <w:tc>
          <w:tcPr>
            <w:tcW w:w="842" w:type="pct"/>
            <w:vMerge w:val="continue"/>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p>
        </w:tc>
        <w:tc>
          <w:tcPr>
            <w:tcW w:w="2372" w:type="pct"/>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r>
              <w:rPr>
                <w:rFonts w:hint="default" w:ascii="Times New Roman" w:hAnsi="Times New Roman" w:cs="Times New Roman"/>
                <w:color w:val="auto"/>
              </w:rPr>
              <w:t>占水土流失面积比重</w:t>
            </w:r>
          </w:p>
        </w:tc>
        <w:tc>
          <w:tcPr>
            <w:tcW w:w="1233" w:type="pct"/>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r>
              <w:rPr>
                <w:rFonts w:hint="default" w:ascii="Times New Roman" w:hAnsi="Times New Roman" w:cs="Times New Roman"/>
                <w:color w:val="auto"/>
              </w:rPr>
              <w:t>88.23%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 w:type="dxa"/>
            <w:bottom w:w="0" w:type="dxa"/>
            <w:right w:w="10" w:type="dxa"/>
          </w:tblCellMar>
        </w:tblPrEx>
        <w:trPr>
          <w:trHeight w:val="363" w:hRule="atLeast"/>
          <w:jc w:val="center"/>
        </w:trPr>
        <w:tc>
          <w:tcPr>
            <w:tcW w:w="552" w:type="pct"/>
            <w:vMerge w:val="continue"/>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p>
        </w:tc>
        <w:tc>
          <w:tcPr>
            <w:tcW w:w="842" w:type="pct"/>
            <w:vMerge w:val="restart"/>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r>
              <w:rPr>
                <w:rFonts w:hint="default" w:ascii="Times New Roman" w:hAnsi="Times New Roman" w:cs="Times New Roman"/>
                <w:color w:val="auto"/>
              </w:rPr>
              <w:t>中度</w:t>
            </w:r>
          </w:p>
        </w:tc>
        <w:tc>
          <w:tcPr>
            <w:tcW w:w="2372" w:type="pct"/>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r>
              <w:rPr>
                <w:rFonts w:hint="default" w:ascii="Times New Roman" w:hAnsi="Times New Roman" w:cs="Times New Roman"/>
                <w:color w:val="auto"/>
              </w:rPr>
              <w:t>面积（km</w:t>
            </w:r>
            <w:r>
              <w:rPr>
                <w:rFonts w:hint="default" w:ascii="Times New Roman" w:hAnsi="Times New Roman" w:cs="Times New Roman"/>
                <w:color w:val="auto"/>
                <w:vertAlign w:val="superscript"/>
              </w:rPr>
              <w:t>2</w:t>
            </w:r>
            <w:r>
              <w:rPr>
                <w:rFonts w:hint="default" w:ascii="Times New Roman" w:hAnsi="Times New Roman" w:cs="Times New Roman"/>
                <w:color w:val="auto"/>
              </w:rPr>
              <w:t>）</w:t>
            </w:r>
          </w:p>
        </w:tc>
        <w:tc>
          <w:tcPr>
            <w:tcW w:w="1233" w:type="pct"/>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r>
              <w:rPr>
                <w:rFonts w:hint="default" w:ascii="Times New Roman" w:hAnsi="Times New Roman" w:cs="Times New Roman"/>
                <w:color w:val="auto"/>
              </w:rPr>
              <w:t>1.36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 w:type="dxa"/>
            <w:bottom w:w="0" w:type="dxa"/>
            <w:right w:w="10" w:type="dxa"/>
          </w:tblCellMar>
        </w:tblPrEx>
        <w:trPr>
          <w:trHeight w:val="363" w:hRule="atLeast"/>
          <w:jc w:val="center"/>
        </w:trPr>
        <w:tc>
          <w:tcPr>
            <w:tcW w:w="552" w:type="pct"/>
            <w:vMerge w:val="continue"/>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p>
        </w:tc>
        <w:tc>
          <w:tcPr>
            <w:tcW w:w="842" w:type="pct"/>
            <w:vMerge w:val="continue"/>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p>
        </w:tc>
        <w:tc>
          <w:tcPr>
            <w:tcW w:w="2372" w:type="pct"/>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r>
              <w:rPr>
                <w:rFonts w:hint="default" w:ascii="Times New Roman" w:hAnsi="Times New Roman" w:cs="Times New Roman"/>
                <w:color w:val="auto"/>
              </w:rPr>
              <w:t>占水土流失面积比重</w:t>
            </w:r>
          </w:p>
        </w:tc>
        <w:tc>
          <w:tcPr>
            <w:tcW w:w="1233" w:type="pct"/>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r>
              <w:rPr>
                <w:rFonts w:hint="default" w:ascii="Times New Roman" w:hAnsi="Times New Roman" w:cs="Times New Roman"/>
                <w:color w:val="auto"/>
              </w:rPr>
              <w:t>11.60%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 w:type="dxa"/>
            <w:bottom w:w="0" w:type="dxa"/>
            <w:right w:w="10" w:type="dxa"/>
          </w:tblCellMar>
        </w:tblPrEx>
        <w:trPr>
          <w:trHeight w:val="363" w:hRule="atLeast"/>
          <w:jc w:val="center"/>
        </w:trPr>
        <w:tc>
          <w:tcPr>
            <w:tcW w:w="552" w:type="pct"/>
            <w:vMerge w:val="continue"/>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p>
        </w:tc>
        <w:tc>
          <w:tcPr>
            <w:tcW w:w="842" w:type="pct"/>
            <w:vMerge w:val="restart"/>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r>
              <w:rPr>
                <w:rFonts w:hint="default" w:ascii="Times New Roman" w:hAnsi="Times New Roman" w:cs="Times New Roman"/>
                <w:color w:val="auto"/>
              </w:rPr>
              <w:t>强烈</w:t>
            </w:r>
          </w:p>
        </w:tc>
        <w:tc>
          <w:tcPr>
            <w:tcW w:w="2372" w:type="pct"/>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r>
              <w:rPr>
                <w:rFonts w:hint="default" w:ascii="Times New Roman" w:hAnsi="Times New Roman" w:cs="Times New Roman"/>
                <w:color w:val="auto"/>
              </w:rPr>
              <w:t>面积（km</w:t>
            </w:r>
            <w:r>
              <w:rPr>
                <w:rFonts w:hint="default" w:ascii="Times New Roman" w:hAnsi="Times New Roman" w:cs="Times New Roman"/>
                <w:color w:val="auto"/>
                <w:vertAlign w:val="superscript"/>
              </w:rPr>
              <w:t>2</w:t>
            </w:r>
            <w:r>
              <w:rPr>
                <w:rFonts w:hint="default" w:ascii="Times New Roman" w:hAnsi="Times New Roman" w:cs="Times New Roman"/>
                <w:color w:val="auto"/>
              </w:rPr>
              <w:t>）</w:t>
            </w:r>
          </w:p>
        </w:tc>
        <w:tc>
          <w:tcPr>
            <w:tcW w:w="1233" w:type="pct"/>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r>
              <w:rPr>
                <w:rFonts w:hint="default" w:ascii="Times New Roman" w:hAnsi="Times New Roman" w:cs="Times New Roman"/>
                <w:color w:val="auto"/>
              </w:rPr>
              <w:t>0.01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 w:type="dxa"/>
            <w:bottom w:w="0" w:type="dxa"/>
            <w:right w:w="10" w:type="dxa"/>
          </w:tblCellMar>
        </w:tblPrEx>
        <w:trPr>
          <w:trHeight w:val="363" w:hRule="atLeast"/>
          <w:jc w:val="center"/>
        </w:trPr>
        <w:tc>
          <w:tcPr>
            <w:tcW w:w="552" w:type="pct"/>
            <w:vMerge w:val="continue"/>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p>
        </w:tc>
        <w:tc>
          <w:tcPr>
            <w:tcW w:w="842" w:type="pct"/>
            <w:vMerge w:val="continue"/>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p>
        </w:tc>
        <w:tc>
          <w:tcPr>
            <w:tcW w:w="2372" w:type="pct"/>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r>
              <w:rPr>
                <w:rFonts w:hint="default" w:ascii="Times New Roman" w:hAnsi="Times New Roman" w:cs="Times New Roman"/>
                <w:color w:val="auto"/>
              </w:rPr>
              <w:t>占水土流失面积比重</w:t>
            </w:r>
          </w:p>
        </w:tc>
        <w:tc>
          <w:tcPr>
            <w:tcW w:w="1233" w:type="pct"/>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r>
              <w:rPr>
                <w:rFonts w:hint="default" w:ascii="Times New Roman" w:hAnsi="Times New Roman" w:cs="Times New Roman"/>
                <w:color w:val="auto"/>
              </w:rPr>
              <w:t>0.09%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 w:type="dxa"/>
            <w:bottom w:w="0" w:type="dxa"/>
            <w:right w:w="10" w:type="dxa"/>
          </w:tblCellMar>
        </w:tblPrEx>
        <w:trPr>
          <w:trHeight w:val="363" w:hRule="atLeast"/>
          <w:jc w:val="center"/>
        </w:trPr>
        <w:tc>
          <w:tcPr>
            <w:tcW w:w="552" w:type="pct"/>
            <w:vMerge w:val="continue"/>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p>
        </w:tc>
        <w:tc>
          <w:tcPr>
            <w:tcW w:w="842" w:type="pct"/>
            <w:vMerge w:val="restart"/>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r>
              <w:rPr>
                <w:rFonts w:hint="default" w:ascii="Times New Roman" w:hAnsi="Times New Roman" w:cs="Times New Roman"/>
                <w:color w:val="auto"/>
              </w:rPr>
              <w:t>极强烈</w:t>
            </w:r>
          </w:p>
        </w:tc>
        <w:tc>
          <w:tcPr>
            <w:tcW w:w="2372" w:type="pct"/>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r>
              <w:rPr>
                <w:rFonts w:hint="default" w:ascii="Times New Roman" w:hAnsi="Times New Roman" w:cs="Times New Roman"/>
                <w:color w:val="auto"/>
              </w:rPr>
              <w:t>面积（km</w:t>
            </w:r>
            <w:r>
              <w:rPr>
                <w:rFonts w:hint="default" w:ascii="Times New Roman" w:hAnsi="Times New Roman" w:cs="Times New Roman"/>
                <w:color w:val="auto"/>
                <w:vertAlign w:val="superscript"/>
              </w:rPr>
              <w:t>2</w:t>
            </w:r>
            <w:r>
              <w:rPr>
                <w:rFonts w:hint="default" w:ascii="Times New Roman" w:hAnsi="Times New Roman" w:cs="Times New Roman"/>
                <w:color w:val="auto"/>
              </w:rPr>
              <w:t>）</w:t>
            </w:r>
          </w:p>
        </w:tc>
        <w:tc>
          <w:tcPr>
            <w:tcW w:w="1233" w:type="pct"/>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r>
              <w:rPr>
                <w:rFonts w:hint="default" w:ascii="Times New Roman" w:hAnsi="Times New Roman" w:cs="Times New Roman"/>
                <w:color w:val="auto"/>
              </w:rPr>
              <w:t>0.01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 w:type="dxa"/>
            <w:bottom w:w="0" w:type="dxa"/>
            <w:right w:w="10" w:type="dxa"/>
          </w:tblCellMar>
        </w:tblPrEx>
        <w:trPr>
          <w:trHeight w:val="363" w:hRule="atLeast"/>
          <w:jc w:val="center"/>
        </w:trPr>
        <w:tc>
          <w:tcPr>
            <w:tcW w:w="552" w:type="pct"/>
            <w:vMerge w:val="continue"/>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p>
        </w:tc>
        <w:tc>
          <w:tcPr>
            <w:tcW w:w="842" w:type="pct"/>
            <w:vMerge w:val="continue"/>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p>
        </w:tc>
        <w:tc>
          <w:tcPr>
            <w:tcW w:w="2372" w:type="pct"/>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r>
              <w:rPr>
                <w:rFonts w:hint="default" w:ascii="Times New Roman" w:hAnsi="Times New Roman" w:cs="Times New Roman"/>
                <w:color w:val="auto"/>
              </w:rPr>
              <w:t>占水土流失面积比重</w:t>
            </w:r>
          </w:p>
        </w:tc>
        <w:tc>
          <w:tcPr>
            <w:tcW w:w="1233" w:type="pct"/>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r>
              <w:rPr>
                <w:rFonts w:hint="default" w:ascii="Times New Roman" w:hAnsi="Times New Roman" w:cs="Times New Roman"/>
                <w:color w:val="auto"/>
              </w:rPr>
              <w:t>0.09%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 w:type="dxa"/>
            <w:bottom w:w="0" w:type="dxa"/>
            <w:right w:w="10" w:type="dxa"/>
          </w:tblCellMar>
        </w:tblPrEx>
        <w:trPr>
          <w:trHeight w:val="363" w:hRule="atLeast"/>
          <w:jc w:val="center"/>
        </w:trPr>
        <w:tc>
          <w:tcPr>
            <w:tcW w:w="552" w:type="pct"/>
            <w:vMerge w:val="continue"/>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p>
        </w:tc>
        <w:tc>
          <w:tcPr>
            <w:tcW w:w="842" w:type="pct"/>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r>
              <w:rPr>
                <w:rFonts w:hint="default" w:ascii="Times New Roman" w:hAnsi="Times New Roman" w:cs="Times New Roman"/>
                <w:color w:val="auto"/>
              </w:rPr>
              <w:t>剧烈</w:t>
            </w:r>
          </w:p>
        </w:tc>
        <w:tc>
          <w:tcPr>
            <w:tcW w:w="2372" w:type="pct"/>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r>
              <w:rPr>
                <w:rFonts w:hint="default" w:ascii="Times New Roman" w:hAnsi="Times New Roman" w:cs="Times New Roman"/>
                <w:color w:val="auto"/>
              </w:rPr>
              <w:t>面积（km</w:t>
            </w:r>
            <w:r>
              <w:rPr>
                <w:rFonts w:hint="default" w:ascii="Times New Roman" w:hAnsi="Times New Roman" w:cs="Times New Roman"/>
                <w:color w:val="auto"/>
                <w:vertAlign w:val="superscript"/>
              </w:rPr>
              <w:t>2</w:t>
            </w:r>
            <w:r>
              <w:rPr>
                <w:rFonts w:hint="default" w:ascii="Times New Roman" w:hAnsi="Times New Roman" w:cs="Times New Roman"/>
                <w:color w:val="auto"/>
              </w:rPr>
              <w:t>）</w:t>
            </w:r>
          </w:p>
        </w:tc>
        <w:tc>
          <w:tcPr>
            <w:tcW w:w="1233" w:type="pct"/>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r>
              <w:rPr>
                <w:rFonts w:hint="default" w:ascii="Times New Roman" w:hAnsi="Times New Roman" w:cs="Times New Roman"/>
                <w:color w:val="auto"/>
              </w:rPr>
              <w:t>0</w:t>
            </w:r>
          </w:p>
        </w:tc>
      </w:tr>
    </w:tbl>
    <w:p>
      <w:pPr>
        <w:pStyle w:val="65"/>
        <w:ind w:firstLine="480"/>
        <w:rPr>
          <w:rFonts w:hint="default" w:ascii="Times New Roman" w:hAnsi="Times New Roman" w:cs="Times New Roman"/>
          <w:color w:val="auto"/>
        </w:rPr>
      </w:pPr>
      <w:r>
        <w:rPr>
          <w:rFonts w:hint="default" w:ascii="Times New Roman" w:hAnsi="Times New Roman" w:cs="Times New Roman"/>
          <w:color w:val="auto"/>
        </w:rPr>
        <w:t>2）项目区水土流失现状</w:t>
      </w:r>
    </w:p>
    <w:p>
      <w:pPr>
        <w:pStyle w:val="65"/>
        <w:ind w:firstLine="480"/>
        <w:rPr>
          <w:rFonts w:hint="default" w:ascii="Times New Roman" w:hAnsi="Times New Roman" w:eastAsia="宋体" w:cs="Times New Roman"/>
          <w:color w:val="auto"/>
        </w:rPr>
      </w:pPr>
      <w:r>
        <w:rPr>
          <w:rFonts w:hint="default" w:ascii="Times New Roman" w:hAnsi="Times New Roman" w:cs="Times New Roman"/>
          <w:color w:val="auto"/>
        </w:rPr>
        <w:t>项目区侵蚀强度背景值：根据现场调查，植被主要作为水域及水利设施用地草地和其他草地，原生土壤侵蚀模数取500t/（km²·a）以下，属轻度流失。已造成水土流失的危害性调查：项目</w:t>
      </w:r>
      <w:r>
        <w:rPr>
          <w:rFonts w:hint="eastAsia" w:ascii="Times New Roman" w:hAnsi="Times New Roman" w:cs="Times New Roman"/>
          <w:color w:val="auto"/>
          <w:lang w:val="en-US" w:eastAsia="zh-CN"/>
        </w:rPr>
        <w:t>已完成工程建设</w:t>
      </w:r>
      <w:r>
        <w:rPr>
          <w:rFonts w:hint="default" w:ascii="Times New Roman" w:hAnsi="Times New Roman" w:cs="Times New Roman"/>
          <w:color w:val="auto"/>
        </w:rPr>
        <w:t>，未发生重大水土流失危害事件。依</w:t>
      </w:r>
      <w:r>
        <w:rPr>
          <w:rFonts w:hint="default" w:ascii="Times New Roman" w:hAnsi="Times New Roman" w:eastAsia="宋体" w:cs="Times New Roman"/>
          <w:color w:val="auto"/>
        </w:rPr>
        <w:t>据《土壤侵蚀分类分级标准》（SL190-2007），项目区属于以水力侵蚀为主的南方红壤平原区，容许土壤侵蚀模数为500t/（km²·a）。</w:t>
      </w:r>
    </w:p>
    <w:p>
      <w:pPr>
        <w:pStyle w:val="65"/>
        <w:ind w:firstLine="48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湖南东洞庭湖国家级自然保护区</w:t>
      </w:r>
    </w:p>
    <w:p>
      <w:pPr>
        <w:pStyle w:val="65"/>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东洞庭湖国家级自然保护区位于长江中下游荆江江段南侧，地处湖南省东北部岳阳市境内，地理坐标为29°0′0″～29°37′45.7″N，112°43′59.5″～113°13′13.4″E之间。自然保护区北起长江湘鄂两省主航道分界线，南至磊石山，东至京广铁路，西至与南县交界。管理范围包括整个东洞庭湖水域及其近周平原岗地。</w:t>
      </w:r>
    </w:p>
    <w:p>
      <w:pPr>
        <w:pStyle w:val="65"/>
        <w:ind w:firstLine="480"/>
        <w:rPr>
          <w:rFonts w:hint="eastAsia" w:ascii="Times New Roman" w:hAnsi="Times New Roman" w:cs="Times New Roman"/>
          <w:color w:val="auto"/>
          <w:lang w:eastAsia="zh-CN"/>
        </w:rPr>
      </w:pPr>
      <w:r>
        <w:rPr>
          <w:rFonts w:hint="default" w:ascii="Times New Roman" w:hAnsi="Times New Roman" w:eastAsia="宋体" w:cs="Times New Roman"/>
          <w:color w:val="auto"/>
        </w:rPr>
        <w:t>东洞庭湖国家级自然保护区成立于1982年，1992年成为我国首批加入《国际湿地公约》的六块国际重要湿地之一，1994年经国务院批准升格为国家级自然保护区，2018年经国务院（国办函[2018]19号）批准，调整了保护区范围与功能区划。保护区划分为核心区、缓冲区和实验区，保护区面积157627公顷，其中核心区面积33286公顷，缓冲区面积32369公顷，实验区面积91972公顷。东洞庭湖是世界自然基金会（WWF）确定的全球200个生物多样性热点地区之一，湿地生物资源丰富，是东北亚迁徙候鸟重要的越冬地和栖息地。保护区有鸟类356种，其中国家一级保护的有东方白</w:t>
      </w:r>
      <w:r>
        <w:rPr>
          <w:rFonts w:hint="default" w:ascii="Times New Roman" w:hAnsi="Times New Roman" w:cs="Times New Roman"/>
          <w:color w:val="auto"/>
        </w:rPr>
        <w:t>鹳、黑鹳、白鹤等18种，二级保护的64种；有维管束植物486种；鱼类117种，其中国家一级保护的有白鲟、中华鲟2种；两栖类12种，爬行类11种，哺乳类31种，其中国家一级保护2种，即江豚和目前中国最大的自然野化种群麋鹿。2021年，洞庭湖越冬水鸟创历史新高达到28.8万只，麋鹿达到200余头，已成为最大的自然野化种群和稳定的东洞庭湖亚群。长江江豚持续增加，达到120多头。候鸟的欢歌、麋鹿的倩影、江豚的微笑已成为湖南生态文明建设的新名片</w:t>
      </w:r>
      <w:r>
        <w:rPr>
          <w:rFonts w:hint="eastAsia" w:ascii="Times New Roman" w:hAnsi="Times New Roman" w:cs="Times New Roman"/>
          <w:color w:val="auto"/>
          <w:lang w:eastAsia="zh-CN"/>
        </w:rPr>
        <w:t>。</w:t>
      </w:r>
    </w:p>
    <w:p>
      <w:pPr>
        <w:pStyle w:val="65"/>
        <w:ind w:firstLine="480"/>
        <w:rPr>
          <w:rFonts w:hint="default" w:ascii="Times New Roman" w:hAnsi="Times New Roman" w:cs="Times New Roman"/>
          <w:color w:val="auto"/>
          <w:lang w:val="en-US" w:eastAsia="zh-CN"/>
        </w:rPr>
      </w:pPr>
      <w:r>
        <w:rPr>
          <w:rFonts w:hint="eastAsia" w:cs="Times New Roman"/>
          <w:color w:val="auto"/>
          <w:lang w:val="en-US" w:eastAsia="zh-CN"/>
        </w:rPr>
        <w:t>1）植被：</w:t>
      </w:r>
    </w:p>
    <w:p>
      <w:pPr>
        <w:pStyle w:val="65"/>
        <w:ind w:firstLine="480"/>
        <w:rPr>
          <w:rFonts w:hint="default" w:ascii="Times New Roman" w:hAnsi="Times New Roman" w:cs="Times New Roman"/>
          <w:color w:val="auto"/>
        </w:rPr>
      </w:pPr>
      <w:r>
        <w:rPr>
          <w:rFonts w:hint="default" w:ascii="Times New Roman" w:hAnsi="Times New Roman" w:cs="Times New Roman"/>
          <w:color w:val="auto"/>
        </w:rPr>
        <w:t>植被以湿地植物为主，自然保护区范围因有丘陵岗地，也包括部分丘陵岗地的森林、灌丛类型，划分为7个植被型组（针叶林、针阔混交林、阔叶林、灌草丛、草甸型、沼泽型、水生植物型），63个群系（包括季节性群系）。保护区有维管束植物169科、541属、865种。其中蕨类植物24科、40属、63种，裸子植物7科、17属、22种，被子植物138科、484属、780种。自然保护区865种植物中，分布于湿地区域即水体、洲滩、湖堤等冲积土上的湿地植物共451种。典型的水生植物55种，其中挺水植物28种，浮叶植物7种，漂浮植物6种，沉水植物14种。</w:t>
      </w:r>
    </w:p>
    <w:p>
      <w:pPr>
        <w:pStyle w:val="65"/>
        <w:ind w:firstLine="480"/>
        <w:rPr>
          <w:rFonts w:hint="default" w:ascii="Times New Roman" w:hAnsi="Times New Roman" w:eastAsia="宋体" w:cs="Times New Roman"/>
          <w:color w:val="auto"/>
          <w:lang w:val="en-US" w:eastAsia="zh-CN"/>
        </w:rPr>
      </w:pPr>
      <w:r>
        <w:rPr>
          <w:rFonts w:hint="eastAsia" w:cs="Times New Roman"/>
          <w:color w:val="auto"/>
          <w:lang w:val="en-US" w:eastAsia="zh-CN"/>
        </w:rPr>
        <w:t>2）动物</w:t>
      </w:r>
    </w:p>
    <w:p>
      <w:pPr>
        <w:pStyle w:val="65"/>
        <w:ind w:firstLine="480"/>
        <w:rPr>
          <w:rFonts w:hint="default" w:ascii="Times New Roman" w:hAnsi="Times New Roman" w:cs="Times New Roman"/>
          <w:color w:val="auto"/>
        </w:rPr>
      </w:pPr>
      <w:r>
        <w:rPr>
          <w:rFonts w:hint="default" w:ascii="Times New Roman" w:hAnsi="Times New Roman" w:cs="Times New Roman"/>
          <w:color w:val="auto"/>
        </w:rPr>
        <w:t>自然保护区有野生脊椎动物共有5纲37目110科534种。其中，鱼类7目19科117种；两栖类2目5科11种；爬行类3目8科25种；鸟类17/18目55/64科348种；哺乳类7目14科33种。保护区独特的水域湿地环境，决定了该区动物类群具有喜湿或半喜湿性特征。构成该区生物地理动物群的主体为水禽和鱼类，而绝大多数为迁徙性鸟类和洄游性鱼类，形成了复杂的区系特征，同时集中了许多珍稀濒危物种，且濒危物种还具有相当的数量，对于保持湿地生物多样性具有重要意义</w:t>
      </w:r>
    </w:p>
    <w:p>
      <w:pPr>
        <w:pStyle w:val="65"/>
        <w:ind w:firstLine="480"/>
        <w:rPr>
          <w:rFonts w:hint="default" w:ascii="Times New Roman" w:hAnsi="Times New Roman" w:cs="Times New Roman"/>
          <w:color w:val="auto"/>
        </w:rPr>
      </w:pPr>
      <w:r>
        <w:rPr>
          <w:rFonts w:hint="eastAsia" w:cs="Times New Roman"/>
          <w:color w:val="auto"/>
          <w:lang w:val="en-US" w:eastAsia="zh-CN"/>
        </w:rPr>
        <w:t>3）</w:t>
      </w:r>
      <w:r>
        <w:rPr>
          <w:rFonts w:hint="eastAsia" w:ascii="Times New Roman" w:hAnsi="Times New Roman" w:cs="Times New Roman"/>
          <w:color w:val="auto"/>
        </w:rPr>
        <w:t>景观资源</w:t>
      </w:r>
    </w:p>
    <w:p>
      <w:pPr>
        <w:pStyle w:val="65"/>
        <w:ind w:firstLine="480"/>
        <w:rPr>
          <w:rFonts w:hint="eastAsia" w:ascii="Times New Roman" w:hAnsi="Times New Roman" w:cs="Times New Roman"/>
          <w:color w:val="auto"/>
        </w:rPr>
      </w:pPr>
      <w:r>
        <w:rPr>
          <w:rFonts w:hint="eastAsia" w:ascii="Times New Roman" w:hAnsi="Times New Roman" w:cs="Times New Roman"/>
          <w:color w:val="auto"/>
        </w:rPr>
        <w:t>壮丽的湿地景观：洞庭湖纳湘江、资江、澧水、沅江四水，吞吐长江，浩浩荡荡，横无际涯，天水一色，云蒸霞蔚，气象万千，波澜壮阔的八百里洞庭胜景依稀呈现；秋冬时节，水退滩现，形成独特的湖中湖，各显峥嵘，条条水道将星罗棋布、大小不等、形状各异的湖泊连贯成串，形似一条壮观的超级项链；在一望无垠的水际洲滩上，自由翱翔的鸟群追风逐月，绵延不绝，潇湘八景之一的“平沙落雁”竞现眼前，令人心旷神怡，流连忘返。</w:t>
      </w:r>
    </w:p>
    <w:p>
      <w:pPr>
        <w:pStyle w:val="65"/>
        <w:ind w:firstLine="480"/>
        <w:rPr>
          <w:rFonts w:hint="eastAsia" w:ascii="Times New Roman" w:hAnsi="Times New Roman" w:eastAsia="宋体" w:cs="Times New Roman"/>
          <w:color w:val="auto"/>
          <w:szCs w:val="22"/>
          <w:lang w:val="en-US" w:eastAsia="zh-CN"/>
        </w:rPr>
      </w:pPr>
      <w:r>
        <w:rPr>
          <w:rFonts w:hint="default" w:ascii="Times New Roman" w:hAnsi="Times New Roman" w:cs="Times New Roman"/>
          <w:color w:val="auto"/>
        </w:rPr>
        <w:t>丰富的生物景观：洞庭湖宽广的湖面，在地壳不断沉降与隆起的造地运动作用下，逐渐形成了不同的地形地貌和多样的湿地生态环境，从而孕育了丰富的植被群落和水生生物资源，为食性不同的百余种水禽提供了取之不尽的食物，成为冬侯鸟栖息的乐园。每到秋风劲吹的季节，成千上万的游禽和涉禽，飞越万水千山，从遥远的西北利亚、东北、西北等繁殖地成群结队来到洞庭湖湖区越冬。其</w:t>
      </w:r>
      <w:r>
        <w:rPr>
          <w:rFonts w:hint="default" w:ascii="Times New Roman" w:hAnsi="Times New Roman" w:eastAsia="宋体" w:cs="Times New Roman"/>
          <w:color w:val="auto"/>
          <w:szCs w:val="22"/>
        </w:rPr>
        <w:t>数量之多，场面之壮观，品种之珍稀实属国内少有，为世人所瞩目。</w:t>
      </w:r>
    </w:p>
    <w:p>
      <w:pPr>
        <w:pStyle w:val="65"/>
        <w:ind w:firstLine="480"/>
        <w:rPr>
          <w:rFonts w:hint="default" w:ascii="Times New Roman" w:hAnsi="Times New Roman" w:eastAsia="宋体" w:cs="Times New Roman"/>
          <w:color w:val="auto"/>
          <w:szCs w:val="22"/>
        </w:rPr>
      </w:pPr>
      <w:r>
        <w:rPr>
          <w:rFonts w:hint="eastAsia" w:ascii="Times New Roman" w:hAnsi="Times New Roman" w:eastAsia="宋体" w:cs="Times New Roman"/>
          <w:color w:val="auto"/>
          <w:szCs w:val="22"/>
          <w:lang w:eastAsia="zh-CN"/>
        </w:rPr>
        <w:t>（</w:t>
      </w:r>
      <w:r>
        <w:rPr>
          <w:rFonts w:hint="eastAsia" w:ascii="Times New Roman" w:hAnsi="Times New Roman" w:eastAsia="宋体" w:cs="Times New Roman"/>
          <w:color w:val="auto"/>
          <w:szCs w:val="22"/>
          <w:lang w:val="en-US" w:eastAsia="zh-CN"/>
        </w:rPr>
        <w:t>7</w:t>
      </w:r>
      <w:r>
        <w:rPr>
          <w:rFonts w:hint="eastAsia" w:ascii="Times New Roman" w:hAnsi="Times New Roman" w:eastAsia="宋体" w:cs="Times New Roman"/>
          <w:color w:val="auto"/>
          <w:szCs w:val="22"/>
          <w:lang w:eastAsia="zh-CN"/>
        </w:rPr>
        <w:t>）</w:t>
      </w:r>
      <w:r>
        <w:rPr>
          <w:rFonts w:hint="default" w:ascii="Times New Roman" w:hAnsi="Times New Roman" w:eastAsia="宋体" w:cs="Times New Roman"/>
          <w:color w:val="auto"/>
          <w:szCs w:val="22"/>
          <w:lang w:val="en-US" w:eastAsia="zh-CN"/>
        </w:rPr>
        <w:t>区域生态环境</w:t>
      </w:r>
      <w:r>
        <w:rPr>
          <w:rFonts w:hint="default" w:ascii="Times New Roman" w:hAnsi="Times New Roman" w:eastAsia="宋体" w:cs="Times New Roman"/>
          <w:color w:val="auto"/>
          <w:szCs w:val="22"/>
        </w:rPr>
        <w:t>现状</w:t>
      </w:r>
    </w:p>
    <w:p>
      <w:pPr>
        <w:pStyle w:val="65"/>
        <w:ind w:firstLine="480"/>
        <w:rPr>
          <w:rFonts w:hint="default" w:ascii="Times New Roman" w:hAnsi="Times New Roman" w:eastAsia="宋体" w:cs="Times New Roman"/>
          <w:color w:val="auto"/>
          <w:szCs w:val="22"/>
          <w:lang w:eastAsia="zh-CN"/>
        </w:rPr>
      </w:pPr>
      <w:r>
        <w:rPr>
          <w:rFonts w:hint="default" w:ascii="Times New Roman" w:hAnsi="Times New Roman" w:eastAsia="宋体" w:cs="Times New Roman"/>
          <w:color w:val="auto"/>
          <w:szCs w:val="22"/>
        </w:rPr>
        <w:t>项目影响区域</w:t>
      </w:r>
      <w:r>
        <w:rPr>
          <w:rFonts w:hint="default" w:ascii="Times New Roman" w:hAnsi="Times New Roman" w:eastAsia="宋体" w:cs="Times New Roman"/>
          <w:color w:val="auto"/>
          <w:szCs w:val="22"/>
          <w:lang w:val="en-US" w:eastAsia="zh-CN"/>
        </w:rPr>
        <w:t>内生态系统为</w:t>
      </w:r>
      <w:r>
        <w:rPr>
          <w:rFonts w:hint="default" w:ascii="Times New Roman" w:hAnsi="Times New Roman" w:eastAsia="宋体" w:cs="Times New Roman"/>
          <w:color w:val="auto"/>
          <w:szCs w:val="22"/>
        </w:rPr>
        <w:t>以人工植被为主的农业生态系统</w:t>
      </w:r>
      <w:r>
        <w:rPr>
          <w:rFonts w:hint="default" w:ascii="Times New Roman" w:hAnsi="Times New Roman" w:eastAsia="宋体" w:cs="Times New Roman"/>
          <w:color w:val="auto"/>
          <w:szCs w:val="22"/>
          <w:lang w:val="en-US" w:eastAsia="zh-CN"/>
        </w:rPr>
        <w:t>以及</w:t>
      </w:r>
      <w:r>
        <w:rPr>
          <w:rFonts w:hint="default" w:ascii="Times New Roman" w:hAnsi="Times New Roman" w:eastAsia="宋体" w:cs="Times New Roman"/>
          <w:color w:val="auto"/>
          <w:szCs w:val="22"/>
        </w:rPr>
        <w:t>镇区等人工生态系统，主要种植农作物和经济作物。</w:t>
      </w:r>
      <w:r>
        <w:rPr>
          <w:rFonts w:hint="default" w:ascii="Times New Roman" w:hAnsi="Times New Roman" w:eastAsia="宋体" w:cs="Times New Roman"/>
          <w:color w:val="auto"/>
          <w:szCs w:val="22"/>
          <w:lang w:val="en-US" w:eastAsia="zh-CN"/>
        </w:rPr>
        <w:t>区域内用地主要为</w:t>
      </w:r>
      <w:r>
        <w:rPr>
          <w:rFonts w:hint="default" w:ascii="Times New Roman" w:hAnsi="Times New Roman" w:eastAsia="宋体" w:cs="Times New Roman"/>
          <w:color w:val="auto"/>
          <w:szCs w:val="22"/>
        </w:rPr>
        <w:t>荒地和农田，农田种植一季或两季成熟的农作物，</w:t>
      </w:r>
      <w:r>
        <w:rPr>
          <w:rFonts w:hint="default" w:ascii="Times New Roman" w:hAnsi="Times New Roman" w:eastAsia="宋体" w:cs="Times New Roman"/>
          <w:color w:val="auto"/>
          <w:szCs w:val="22"/>
          <w:lang w:val="en-US" w:eastAsia="zh-CN"/>
        </w:rPr>
        <w:t>主要为水稻、油菜</w:t>
      </w:r>
      <w:r>
        <w:rPr>
          <w:rFonts w:hint="eastAsia" w:ascii="Times New Roman" w:hAnsi="Times New Roman" w:cs="Times New Roman"/>
          <w:color w:val="auto"/>
          <w:szCs w:val="22"/>
          <w:lang w:val="en-US" w:eastAsia="zh-CN"/>
        </w:rPr>
        <w:t>、玉米</w:t>
      </w:r>
      <w:r>
        <w:rPr>
          <w:rFonts w:hint="default" w:ascii="Times New Roman" w:hAnsi="Times New Roman" w:eastAsia="宋体" w:cs="Times New Roman"/>
          <w:color w:val="auto"/>
          <w:szCs w:val="22"/>
          <w:lang w:val="en-US" w:eastAsia="zh-CN"/>
        </w:rPr>
        <w:t>等，</w:t>
      </w:r>
      <w:r>
        <w:rPr>
          <w:rFonts w:hint="default" w:ascii="Times New Roman" w:hAnsi="Times New Roman" w:eastAsia="宋体" w:cs="Times New Roman"/>
          <w:color w:val="auto"/>
          <w:szCs w:val="22"/>
        </w:rPr>
        <w:t>受人为干扰作用很大。调查范围内植被类型和植被群落结构都比较单一，以</w:t>
      </w:r>
      <w:r>
        <w:rPr>
          <w:rFonts w:hint="default" w:ascii="Times New Roman" w:hAnsi="Times New Roman" w:eastAsia="宋体" w:cs="Times New Roman"/>
          <w:color w:val="auto"/>
          <w:szCs w:val="22"/>
          <w:lang w:val="en-US" w:eastAsia="zh-CN"/>
        </w:rPr>
        <w:t>农业系统</w:t>
      </w:r>
      <w:r>
        <w:rPr>
          <w:rFonts w:hint="default" w:ascii="Times New Roman" w:hAnsi="Times New Roman" w:eastAsia="宋体" w:cs="Times New Roman"/>
          <w:color w:val="auto"/>
          <w:szCs w:val="22"/>
        </w:rPr>
        <w:t>为主，</w:t>
      </w:r>
      <w:r>
        <w:rPr>
          <w:rFonts w:hint="default" w:ascii="Times New Roman" w:hAnsi="Times New Roman" w:eastAsia="宋体" w:cs="Times New Roman"/>
          <w:color w:val="auto"/>
          <w:szCs w:val="22"/>
          <w:lang w:val="en-US" w:eastAsia="zh-CN"/>
        </w:rPr>
        <w:t>周边</w:t>
      </w:r>
      <w:r>
        <w:rPr>
          <w:rFonts w:hint="default" w:ascii="Times New Roman" w:hAnsi="Times New Roman" w:eastAsia="宋体" w:cs="Times New Roman"/>
          <w:color w:val="auto"/>
          <w:szCs w:val="22"/>
        </w:rPr>
        <w:t>林地也受到一定的人为干扰</w:t>
      </w:r>
      <w:r>
        <w:rPr>
          <w:rFonts w:hint="default" w:ascii="Times New Roman" w:hAnsi="Times New Roman" w:cs="Times New Roman"/>
          <w:color w:val="auto"/>
          <w:szCs w:val="22"/>
        </w:rPr>
        <w:t>。</w:t>
      </w:r>
      <w:r>
        <w:rPr>
          <w:rFonts w:hint="default" w:ascii="Times New Roman" w:hAnsi="Times New Roman" w:eastAsia="宋体" w:cs="Times New Roman"/>
          <w:color w:val="auto"/>
          <w:szCs w:val="22"/>
        </w:rPr>
        <w:t>动物均为常见的鸟类、昆虫、啮齿类以及爬行类动物。区域内无特殊生态保护系统和珍稀濒危保护动植物分布</w:t>
      </w:r>
      <w:r>
        <w:rPr>
          <w:rFonts w:hint="default" w:ascii="Times New Roman" w:hAnsi="Times New Roman" w:eastAsia="宋体" w:cs="Times New Roman"/>
          <w:color w:val="auto"/>
          <w:szCs w:val="22"/>
          <w:lang w:eastAsia="zh-CN"/>
        </w:rPr>
        <w:t>。</w:t>
      </w:r>
    </w:p>
    <w:p>
      <w:pPr>
        <w:pStyle w:val="65"/>
        <w:ind w:firstLine="480"/>
        <w:rPr>
          <w:rFonts w:hint="eastAsia" w:cs="Times New Roman"/>
          <w:color w:val="auto"/>
          <w:szCs w:val="22"/>
          <w:lang w:eastAsia="zh-CN"/>
        </w:rPr>
      </w:pPr>
      <w:r>
        <w:rPr>
          <w:rFonts w:hint="default" w:ascii="Times New Roman" w:hAnsi="Times New Roman" w:eastAsia="宋体" w:cs="Times New Roman"/>
          <w:color w:val="auto"/>
          <w:szCs w:val="22"/>
          <w:lang w:eastAsia="zh-CN"/>
        </w:rPr>
        <w:t>本项目位于涉及湖南东洞庭湖国家级自然保护区实验区，属于生态敏感区。评价区属于</w:t>
      </w:r>
      <w:r>
        <w:rPr>
          <w:rFonts w:hint="eastAsia" w:cs="Times New Roman"/>
          <w:color w:val="auto"/>
          <w:szCs w:val="22"/>
          <w:lang w:val="en-US" w:eastAsia="zh-CN"/>
        </w:rPr>
        <w:t>城镇</w:t>
      </w:r>
      <w:r>
        <w:rPr>
          <w:rFonts w:hint="default" w:ascii="Times New Roman" w:hAnsi="Times New Roman" w:eastAsia="宋体" w:cs="Times New Roman"/>
          <w:color w:val="auto"/>
          <w:szCs w:val="22"/>
          <w:lang w:eastAsia="zh-CN"/>
        </w:rPr>
        <w:t>生态系统</w:t>
      </w:r>
      <w:r>
        <w:rPr>
          <w:rFonts w:hint="eastAsia" w:cs="Times New Roman"/>
          <w:color w:val="auto"/>
          <w:szCs w:val="22"/>
          <w:lang w:eastAsia="zh-CN"/>
        </w:rPr>
        <w:t>；</w:t>
      </w:r>
      <w:r>
        <w:rPr>
          <w:rFonts w:hint="default" w:ascii="Times New Roman" w:hAnsi="Times New Roman" w:eastAsia="宋体" w:cs="Times New Roman"/>
          <w:color w:val="auto"/>
          <w:szCs w:val="22"/>
          <w:lang w:eastAsia="zh-CN"/>
        </w:rPr>
        <w:t>评价区为亚热带常绿阔叶林区，陆生自然植被以樟科、壳斗科、山茶科、山矾科、冬青科和禾本科刚竹属植物为主，湖盆植被以禾本科、菊科、莎草科、蓼科、睡莲科、香蒲科、杨柳科植物为主</w:t>
      </w:r>
      <w:r>
        <w:rPr>
          <w:rFonts w:hint="eastAsia" w:cs="Times New Roman"/>
          <w:color w:val="auto"/>
          <w:szCs w:val="22"/>
          <w:lang w:eastAsia="zh-CN"/>
        </w:rPr>
        <w:t>；</w:t>
      </w:r>
      <w:r>
        <w:rPr>
          <w:rFonts w:hint="default" w:ascii="Times New Roman" w:hAnsi="Times New Roman" w:eastAsia="宋体" w:cs="Times New Roman"/>
          <w:color w:val="auto"/>
          <w:szCs w:val="22"/>
          <w:lang w:eastAsia="zh-CN"/>
        </w:rPr>
        <w:t>评价区周边</w:t>
      </w:r>
      <w:r>
        <w:rPr>
          <w:rFonts w:hint="eastAsia" w:cs="Times New Roman"/>
          <w:color w:val="auto"/>
          <w:szCs w:val="22"/>
          <w:lang w:val="en-US" w:eastAsia="zh-CN"/>
        </w:rPr>
        <w:t>主要为城镇建设</w:t>
      </w:r>
      <w:r>
        <w:rPr>
          <w:rFonts w:hint="default" w:ascii="Times New Roman" w:hAnsi="Times New Roman" w:eastAsia="宋体" w:cs="Times New Roman"/>
          <w:color w:val="auto"/>
          <w:szCs w:val="22"/>
          <w:lang w:eastAsia="zh-CN"/>
        </w:rPr>
        <w:t>用地，受人类活动的影响，大型陆生野生动物少;评价区范围内无需要保护的自然遗迹分布</w:t>
      </w:r>
      <w:r>
        <w:rPr>
          <w:rFonts w:hint="eastAsia" w:cs="Times New Roman"/>
          <w:color w:val="auto"/>
          <w:szCs w:val="22"/>
          <w:lang w:eastAsia="zh-CN"/>
        </w:rPr>
        <w:t>。</w:t>
      </w:r>
    </w:p>
    <w:p>
      <w:pPr>
        <w:pStyle w:val="65"/>
        <w:ind w:left="0" w:leftChars="0" w:firstLine="0" w:firstLineChars="0"/>
        <w:jc w:val="center"/>
        <w:rPr>
          <w:rFonts w:hint="default" w:ascii="Times New Roman" w:hAnsi="Times New Roman" w:cs="Times New Roman"/>
          <w:color w:val="auto"/>
        </w:rPr>
      </w:pPr>
      <w:r>
        <w:rPr>
          <w:color w:val="auto"/>
        </w:rPr>
        <w:drawing>
          <wp:inline distT="0" distB="0" distL="114300" distR="114300">
            <wp:extent cx="5059680" cy="1885950"/>
            <wp:effectExtent l="0" t="0" r="762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55"/>
                    <a:stretch>
                      <a:fillRect/>
                    </a:stretch>
                  </pic:blipFill>
                  <pic:spPr>
                    <a:xfrm>
                      <a:off x="0" y="0"/>
                      <a:ext cx="5059680" cy="1885950"/>
                    </a:xfrm>
                    <a:prstGeom prst="rect">
                      <a:avLst/>
                    </a:prstGeom>
                    <a:noFill/>
                    <a:ln>
                      <a:noFill/>
                    </a:ln>
                  </pic:spPr>
                </pic:pic>
              </a:graphicData>
            </a:graphic>
          </wp:inline>
        </w:drawing>
      </w:r>
    </w:p>
    <w:p>
      <w:pPr>
        <w:pStyle w:val="65"/>
        <w:ind w:left="0" w:leftChars="0" w:firstLine="0" w:firstLineChars="0"/>
        <w:jc w:val="both"/>
        <w:rPr>
          <w:rFonts w:hint="eastAsia" w:ascii="Times New Roman" w:hAnsi="Times New Roman" w:eastAsia="宋体" w:cs="Times New Roman"/>
          <w:color w:val="auto"/>
          <w:lang w:eastAsia="zh-CN"/>
        </w:rPr>
      </w:pPr>
      <w:r>
        <w:rPr>
          <w:color w:val="auto"/>
        </w:rPr>
        <w:drawing>
          <wp:inline distT="0" distB="0" distL="114300" distR="114300">
            <wp:extent cx="5061585" cy="1844675"/>
            <wp:effectExtent l="0" t="0" r="5715" b="3175"/>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56"/>
                    <a:stretch>
                      <a:fillRect/>
                    </a:stretch>
                  </pic:blipFill>
                  <pic:spPr>
                    <a:xfrm>
                      <a:off x="0" y="0"/>
                      <a:ext cx="5061585" cy="1844675"/>
                    </a:xfrm>
                    <a:prstGeom prst="rect">
                      <a:avLst/>
                    </a:prstGeom>
                    <a:noFill/>
                    <a:ln>
                      <a:noFill/>
                    </a:ln>
                  </pic:spPr>
                </pic:pic>
              </a:graphicData>
            </a:graphic>
          </wp:inline>
        </w:drawing>
      </w:r>
    </w:p>
    <w:p>
      <w:pPr>
        <w:pStyle w:val="66"/>
        <w:keepNext w:val="0"/>
        <w:keepLines w:val="0"/>
        <w:pageBreakBefore w:val="0"/>
        <w:widowControl w:val="0"/>
        <w:kinsoku/>
        <w:wordWrap/>
        <w:overflowPunct/>
        <w:topLinePunct w:val="0"/>
        <w:autoSpaceDE/>
        <w:autoSpaceDN/>
        <w:bidi w:val="0"/>
        <w:adjustRightInd/>
        <w:snapToGrid/>
        <w:spacing w:beforeLines="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图3.1   区域内</w:t>
      </w:r>
      <w:r>
        <w:rPr>
          <w:rFonts w:hint="eastAsia" w:ascii="Times New Roman" w:hAnsi="Times New Roman" w:cs="Times New Roman"/>
          <w:color w:val="auto"/>
          <w:highlight w:val="none"/>
          <w:lang w:val="en-US" w:eastAsia="zh-CN"/>
        </w:rPr>
        <w:t>原有</w:t>
      </w:r>
      <w:r>
        <w:rPr>
          <w:rFonts w:hint="default" w:ascii="Times New Roman" w:hAnsi="Times New Roman" w:cs="Times New Roman"/>
          <w:color w:val="auto"/>
          <w:highlight w:val="none"/>
          <w:lang w:val="en-US" w:eastAsia="zh-CN"/>
        </w:rPr>
        <w:t>生态环境</w:t>
      </w:r>
      <w:r>
        <w:rPr>
          <w:rFonts w:hint="eastAsia" w:ascii="Times New Roman" w:hAnsi="Times New Roman" w:cs="Times New Roman"/>
          <w:color w:val="auto"/>
          <w:highlight w:val="none"/>
          <w:lang w:val="en-US" w:eastAsia="zh-CN"/>
        </w:rPr>
        <w:t>图</w:t>
      </w:r>
    </w:p>
    <w:p>
      <w:pPr>
        <w:pStyle w:val="61"/>
        <w:ind w:left="0" w:leftChars="0" w:firstLine="0" w:firstLineChars="0"/>
        <w:jc w:val="both"/>
        <w:rPr>
          <w:rFonts w:hint="default" w:ascii="Times New Roman" w:hAnsi="Times New Roman" w:eastAsia="宋体" w:cs="Times New Roman"/>
          <w:color w:val="auto"/>
          <w:lang w:val="en-US" w:eastAsia="zh-CN"/>
        </w:rPr>
      </w:pPr>
      <w:r>
        <w:rPr>
          <w:color w:val="auto"/>
        </w:rPr>
        <w:drawing>
          <wp:inline distT="0" distB="0" distL="114300" distR="114300">
            <wp:extent cx="2454275" cy="1943100"/>
            <wp:effectExtent l="0" t="0" r="3175" b="0"/>
            <wp:docPr id="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pic:cNvPicPr>
                      <a:picLocks noChangeAspect="1"/>
                    </pic:cNvPicPr>
                  </pic:nvPicPr>
                  <pic:blipFill>
                    <a:blip r:embed="rId57"/>
                    <a:stretch>
                      <a:fillRect/>
                    </a:stretch>
                  </pic:blipFill>
                  <pic:spPr>
                    <a:xfrm>
                      <a:off x="0" y="0"/>
                      <a:ext cx="2454275" cy="1943100"/>
                    </a:xfrm>
                    <a:prstGeom prst="rect">
                      <a:avLst/>
                    </a:prstGeom>
                    <a:noFill/>
                    <a:ln>
                      <a:noFill/>
                    </a:ln>
                  </pic:spPr>
                </pic:pic>
              </a:graphicData>
            </a:graphic>
          </wp:inline>
        </w:drawing>
      </w:r>
      <w:r>
        <w:rPr>
          <w:rFonts w:hint="eastAsia"/>
          <w:color w:val="auto"/>
          <w:lang w:val="en-US" w:eastAsia="zh-CN"/>
        </w:rPr>
        <w:t xml:space="preserve"> </w:t>
      </w:r>
      <w:r>
        <w:rPr>
          <w:rFonts w:hint="default" w:ascii="Times New Roman" w:hAnsi="Times New Roman" w:eastAsia="宋体" w:cs="Times New Roman"/>
          <w:color w:val="auto"/>
          <w:lang w:val="en-US" w:eastAsia="zh-CN"/>
        </w:rPr>
        <w:drawing>
          <wp:inline distT="0" distB="0" distL="114300" distR="114300">
            <wp:extent cx="2468880" cy="1937385"/>
            <wp:effectExtent l="0" t="0" r="7620" b="5715"/>
            <wp:docPr id="9" name="图片 9" descr="d73ac1489201b57a7a18208ef3e8c9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d73ac1489201b57a7a18208ef3e8c9d"/>
                    <pic:cNvPicPr>
                      <a:picLocks noChangeAspect="1"/>
                    </pic:cNvPicPr>
                  </pic:nvPicPr>
                  <pic:blipFill>
                    <a:blip r:embed="rId58"/>
                    <a:srcRect t="9466" r="6516" b="33581"/>
                    <a:stretch>
                      <a:fillRect/>
                    </a:stretch>
                  </pic:blipFill>
                  <pic:spPr>
                    <a:xfrm>
                      <a:off x="0" y="0"/>
                      <a:ext cx="2468880" cy="1937385"/>
                    </a:xfrm>
                    <a:prstGeom prst="rect">
                      <a:avLst/>
                    </a:prstGeom>
                  </pic:spPr>
                </pic:pic>
              </a:graphicData>
            </a:graphic>
          </wp:inline>
        </w:drawing>
      </w:r>
    </w:p>
    <w:p>
      <w:pPr>
        <w:pStyle w:val="66"/>
        <w:keepNext w:val="0"/>
        <w:keepLines w:val="0"/>
        <w:pageBreakBefore w:val="0"/>
        <w:widowControl w:val="0"/>
        <w:kinsoku/>
        <w:wordWrap/>
        <w:overflowPunct/>
        <w:topLinePunct w:val="0"/>
        <w:autoSpaceDE/>
        <w:autoSpaceDN/>
        <w:bidi w:val="0"/>
        <w:adjustRightInd/>
        <w:snapToGrid/>
        <w:spacing w:beforeLines="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图3.</w:t>
      </w:r>
      <w:r>
        <w:rPr>
          <w:rFonts w:hint="eastAsia" w:ascii="Times New Roman" w:hAnsi="Times New Roman" w:cs="Times New Roman"/>
          <w:color w:val="auto"/>
          <w:highlight w:val="none"/>
          <w:lang w:val="en-US" w:eastAsia="zh-CN"/>
        </w:rPr>
        <w:t>2</w:t>
      </w:r>
      <w:r>
        <w:rPr>
          <w:rFonts w:hint="default" w:ascii="Times New Roman" w:hAnsi="Times New Roman" w:cs="Times New Roman"/>
          <w:color w:val="auto"/>
          <w:highlight w:val="none"/>
          <w:lang w:val="en-US" w:eastAsia="zh-CN"/>
        </w:rPr>
        <w:t xml:space="preserve">   区域内生态环境</w:t>
      </w:r>
      <w:r>
        <w:rPr>
          <w:rFonts w:hint="eastAsia" w:ascii="Times New Roman" w:hAnsi="Times New Roman" w:cs="Times New Roman"/>
          <w:color w:val="auto"/>
          <w:highlight w:val="none"/>
          <w:lang w:val="en-US" w:eastAsia="zh-CN"/>
        </w:rPr>
        <w:t>现状图</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1）区域生态系统现状调查</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本项目生态评价区范围内分布的生态系统类型主要为农村生态系统。</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农村生态系统是城市居民与其环境相互作用而形成的统一整体，也是人类对自然环境的适应、加工、改造而建设起来的特殊的人工生态系统。农村生态系统不仅有生物组成要素(植物、动物和细菌、真菌、病毒)和非生物组成要素(光、热、水、大气等)，还包括人类和社会经济要素，是一种非常脆弱的生态系统，对其他生态系统有很大的依赖性。</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2）植物及植物多样性调查</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评价区植物分布现状：根据《中国植被》类型和区划解读《中华人民共和国植被图(1:1000000)》(中国科学院中国植被图编辑委员会，地址出版社，2007年):评价区范围属于亚热带常绿阔叶林区，陆生自然植被以樟科、壳斗科、山茶科、山矾科、冬青科和禾本科刚竹属植物为主，湖盆植被以禾本科、菊科、莎草科、蓼科、睡莲科、香蒲科、杨柳科植物为主。</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由于项目所在区域土地开发利用程度较高，区内基本不存在原生植被，地表覆盖物以景观植被为主，兼有草丛和少量林木。项目评价区属于城市生态系统，受人为因素影响非常大。</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评价区内植物多样性调查：东洞庭湖国家级自然保护区自然植被主要由湿生植物组成，植被类型依立地水分梯度变化呈圈带状成层分布格局。从陆地至水底依次出现的植被类型是:常绿阔叶林、落叶阔叶林、柳芦荻沼泽植被、苔草草甸、挺水植物、浮叶植物、沉水植物。同层植被组分比较一致，层间植物组分有较大差异。</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本本项目</w:t>
      </w:r>
      <w:r>
        <w:rPr>
          <w:rFonts w:hint="eastAsia" w:cs="Times New Roman"/>
          <w:bCs/>
          <w:color w:val="auto"/>
          <w:sz w:val="24"/>
          <w:szCs w:val="21"/>
          <w:highlight w:val="none"/>
          <w:u w:val="none"/>
          <w:lang w:val="en-US" w:eastAsia="zh-CN"/>
        </w:rPr>
        <w:t>目前</w:t>
      </w:r>
      <w:r>
        <w:rPr>
          <w:rFonts w:hint="eastAsia" w:ascii="Times New Roman" w:hAnsi="Times New Roman" w:eastAsia="宋体" w:cs="Times New Roman"/>
          <w:bCs/>
          <w:color w:val="auto"/>
          <w:sz w:val="24"/>
          <w:szCs w:val="21"/>
          <w:highlight w:val="none"/>
          <w:u w:val="none"/>
          <w:lang w:val="en-US" w:eastAsia="zh-CN"/>
        </w:rPr>
        <w:t>位于湖南东洞庭湖国家级自然保护区</w:t>
      </w:r>
      <w:r>
        <w:rPr>
          <w:rFonts w:hint="eastAsia" w:cs="Times New Roman"/>
          <w:bCs/>
          <w:color w:val="auto"/>
          <w:sz w:val="24"/>
          <w:szCs w:val="21"/>
          <w:highlight w:val="none"/>
          <w:u w:val="none"/>
          <w:lang w:val="en-US" w:eastAsia="zh-CN"/>
        </w:rPr>
        <w:t>实验区范围内</w:t>
      </w:r>
      <w:r>
        <w:rPr>
          <w:rFonts w:hint="eastAsia" w:ascii="Times New Roman" w:hAnsi="Times New Roman" w:eastAsia="宋体" w:cs="Times New Roman"/>
          <w:bCs/>
          <w:color w:val="auto"/>
          <w:sz w:val="24"/>
          <w:szCs w:val="21"/>
          <w:highlight w:val="none"/>
          <w:u w:val="none"/>
          <w:lang w:val="en-US" w:eastAsia="zh-CN"/>
        </w:rPr>
        <w:t>，生态评价范围内涉及该自然保护区。洞庭湖湿地植物随湖水深度变化形成不同的植物群落，从空间格局上呈现明显的带状分布特点,由水及陆的总趋势为:沉水植物群落→荫草群落→辣蓼+苔草群落→苔草群落→荻或芦苇群落→美洲黑杨或柳群落。根据《湖南东洞庭湖国家级自然保护区一植被分布图》(2013年12月)可知项目所在的保护区实验区范围内主要分布的植被为芦苇群落。</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评价区为岳阳市华容县较为典型的农村生态系统。植物现状以人工栽植的树木为主，主要乔木种类有:香樟Cinnamomum spp、广玉兰Magnolia grandiflora Linn、桂花Osmanthus fragrans(Thunb.) Lour、枫香iquidambarformosanaHance、水杉</w:t>
      </w:r>
      <w:r>
        <w:rPr>
          <w:rFonts w:hint="default" w:ascii="Times New Roman" w:hAnsi="Times New Roman" w:eastAsia="宋体" w:cs="Times New Roman"/>
          <w:bCs/>
          <w:color w:val="auto"/>
          <w:sz w:val="24"/>
          <w:szCs w:val="21"/>
          <w:highlight w:val="none"/>
          <w:u w:val="none"/>
          <w:lang w:val="en-US" w:eastAsia="zh-CN"/>
        </w:rPr>
        <w:t>Metasequoia glyptostroboides Hu &amp; W. C. Cheng</w:t>
      </w:r>
      <w:r>
        <w:rPr>
          <w:rFonts w:hint="eastAsia" w:ascii="Times New Roman" w:hAnsi="Times New Roman" w:eastAsia="宋体" w:cs="Times New Roman"/>
          <w:bCs/>
          <w:color w:val="auto"/>
          <w:sz w:val="24"/>
          <w:szCs w:val="21"/>
          <w:highlight w:val="none"/>
          <w:u w:val="none"/>
          <w:lang w:val="en-US" w:eastAsia="zh-CN"/>
        </w:rPr>
        <w:t>、加杨</w:t>
      </w:r>
      <w:r>
        <w:rPr>
          <w:rFonts w:hint="default" w:ascii="Times New Roman" w:hAnsi="Times New Roman" w:eastAsia="宋体" w:cs="Times New Roman"/>
          <w:bCs/>
          <w:color w:val="auto"/>
          <w:sz w:val="24"/>
          <w:szCs w:val="21"/>
          <w:highlight w:val="none"/>
          <w:u w:val="none"/>
          <w:lang w:val="en-US" w:eastAsia="zh-CN"/>
        </w:rPr>
        <w:t xml:space="preserve">Populus X canadensis Moench </w:t>
      </w:r>
      <w:r>
        <w:rPr>
          <w:rFonts w:hint="eastAsia" w:ascii="Times New Roman" w:hAnsi="Times New Roman" w:eastAsia="宋体" w:cs="Times New Roman"/>
          <w:bCs/>
          <w:color w:val="auto"/>
          <w:sz w:val="24"/>
          <w:szCs w:val="21"/>
          <w:highlight w:val="none"/>
          <w:u w:val="none"/>
          <w:lang w:val="en-US" w:eastAsia="zh-CN"/>
        </w:rPr>
        <w:t>、栾树Koelreuteria paniculata Laxm。</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主要灌木种类有:小叶女贞Ligustrumquihoui Carr、山茶Camellia japonica L、红继木 Loropetalum chinensis、栀子花Gardenia Ellis、杜鹃Rhododendron simsii Planch。</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根据《湖南植被》的分类原则和分类单位，采用“群落学—生态学”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原则，依据对评价区内植被的群落种类组成、外貌结构、生活型、建群种类、生态地理特征和动态特征调查统计分析，评价区主要植被分为天然植物群落和栽培植物群落两大类，其中自然植被可划分为 </w:t>
      </w:r>
      <w:r>
        <w:rPr>
          <w:rFonts w:hint="default" w:ascii="Times New Roman" w:hAnsi="Times New Roman" w:eastAsia="宋体" w:cs="Times New Roman"/>
          <w:bCs/>
          <w:color w:val="auto"/>
          <w:sz w:val="24"/>
          <w:szCs w:val="21"/>
          <w:highlight w:val="none"/>
          <w:u w:val="none"/>
          <w:lang w:val="en-US" w:eastAsia="zh-CN"/>
        </w:rPr>
        <w:t xml:space="preserve">2 </w:t>
      </w:r>
      <w:r>
        <w:rPr>
          <w:rFonts w:hint="eastAsia" w:ascii="Times New Roman" w:hAnsi="Times New Roman" w:eastAsia="宋体" w:cs="Times New Roman"/>
          <w:bCs/>
          <w:color w:val="auto"/>
          <w:sz w:val="24"/>
          <w:szCs w:val="21"/>
          <w:highlight w:val="none"/>
          <w:u w:val="none"/>
          <w:lang w:val="en-US" w:eastAsia="zh-CN"/>
        </w:rPr>
        <w:t>个植被型组、</w:t>
      </w:r>
      <w:r>
        <w:rPr>
          <w:rFonts w:hint="default" w:ascii="Times New Roman" w:hAnsi="Times New Roman" w:eastAsia="宋体" w:cs="Times New Roman"/>
          <w:bCs/>
          <w:color w:val="auto"/>
          <w:sz w:val="24"/>
          <w:szCs w:val="21"/>
          <w:highlight w:val="none"/>
          <w:u w:val="none"/>
          <w:lang w:val="en-US" w:eastAsia="zh-CN"/>
        </w:rPr>
        <w:t>3</w:t>
      </w:r>
      <w:r>
        <w:rPr>
          <w:rFonts w:hint="eastAsia" w:ascii="Times New Roman" w:hAnsi="Times New Roman" w:eastAsia="宋体" w:cs="Times New Roman"/>
          <w:bCs/>
          <w:color w:val="auto"/>
          <w:sz w:val="24"/>
          <w:szCs w:val="21"/>
          <w:highlight w:val="none"/>
          <w:u w:val="none"/>
          <w:lang w:val="en-US" w:eastAsia="zh-CN"/>
        </w:rPr>
        <w:t>个植被型、</w:t>
      </w:r>
      <w:r>
        <w:rPr>
          <w:rFonts w:hint="default" w:ascii="Times New Roman" w:hAnsi="Times New Roman" w:eastAsia="宋体" w:cs="Times New Roman"/>
          <w:bCs/>
          <w:color w:val="auto"/>
          <w:sz w:val="24"/>
          <w:szCs w:val="21"/>
          <w:highlight w:val="none"/>
          <w:u w:val="none"/>
          <w:lang w:val="en-US" w:eastAsia="zh-CN"/>
        </w:rPr>
        <w:t xml:space="preserve">13 </w:t>
      </w:r>
      <w:r>
        <w:rPr>
          <w:rFonts w:hint="eastAsia" w:ascii="Times New Roman" w:hAnsi="Times New Roman" w:eastAsia="宋体" w:cs="Times New Roman"/>
          <w:bCs/>
          <w:color w:val="auto"/>
          <w:sz w:val="24"/>
          <w:szCs w:val="21"/>
          <w:highlight w:val="none"/>
          <w:u w:val="none"/>
          <w:lang w:val="en-US" w:eastAsia="zh-CN"/>
        </w:rPr>
        <w:t xml:space="preserve">个群系；栽培植被可划分为 </w:t>
      </w:r>
      <w:r>
        <w:rPr>
          <w:rFonts w:hint="default" w:ascii="Times New Roman" w:hAnsi="Times New Roman" w:eastAsia="宋体" w:cs="Times New Roman"/>
          <w:bCs/>
          <w:color w:val="auto"/>
          <w:sz w:val="24"/>
          <w:szCs w:val="21"/>
          <w:highlight w:val="none"/>
          <w:u w:val="none"/>
          <w:lang w:val="en-US" w:eastAsia="zh-CN"/>
        </w:rPr>
        <w:t xml:space="preserve">1 </w:t>
      </w:r>
      <w:r>
        <w:rPr>
          <w:rFonts w:hint="eastAsia" w:ascii="Times New Roman" w:hAnsi="Times New Roman" w:eastAsia="宋体" w:cs="Times New Roman"/>
          <w:bCs/>
          <w:color w:val="auto"/>
          <w:sz w:val="24"/>
          <w:szCs w:val="21"/>
          <w:highlight w:val="none"/>
          <w:u w:val="none"/>
          <w:lang w:val="en-US" w:eastAsia="zh-CN"/>
        </w:rPr>
        <w:t>类、</w:t>
      </w:r>
      <w:r>
        <w:rPr>
          <w:rFonts w:hint="default" w:ascii="Times New Roman" w:hAnsi="Times New Roman" w:eastAsia="宋体" w:cs="Times New Roman"/>
          <w:bCs/>
          <w:color w:val="auto"/>
          <w:sz w:val="24"/>
          <w:szCs w:val="21"/>
          <w:highlight w:val="none"/>
          <w:u w:val="none"/>
          <w:lang w:val="en-US" w:eastAsia="zh-CN"/>
        </w:rPr>
        <w:t xml:space="preserve">1 </w:t>
      </w:r>
      <w:r>
        <w:rPr>
          <w:rFonts w:hint="eastAsia" w:ascii="Times New Roman" w:hAnsi="Times New Roman" w:eastAsia="宋体" w:cs="Times New Roman"/>
          <w:bCs/>
          <w:color w:val="auto"/>
          <w:sz w:val="24"/>
          <w:szCs w:val="21"/>
          <w:highlight w:val="none"/>
          <w:u w:val="none"/>
          <w:lang w:val="en-US" w:eastAsia="zh-CN"/>
        </w:rPr>
        <w:t>型、</w:t>
      </w:r>
      <w:r>
        <w:rPr>
          <w:rFonts w:hint="default" w:ascii="Times New Roman" w:hAnsi="Times New Roman" w:eastAsia="宋体" w:cs="Times New Roman"/>
          <w:bCs/>
          <w:color w:val="auto"/>
          <w:sz w:val="24"/>
          <w:szCs w:val="21"/>
          <w:highlight w:val="none"/>
          <w:u w:val="none"/>
          <w:lang w:val="en-US" w:eastAsia="zh-CN"/>
        </w:rPr>
        <w:t xml:space="preserve">2 </w:t>
      </w:r>
      <w:r>
        <w:rPr>
          <w:rFonts w:hint="eastAsia" w:ascii="Times New Roman" w:hAnsi="Times New Roman" w:eastAsia="宋体" w:cs="Times New Roman"/>
          <w:bCs/>
          <w:color w:val="auto"/>
          <w:sz w:val="24"/>
          <w:szCs w:val="21"/>
          <w:highlight w:val="none"/>
          <w:u w:val="none"/>
          <w:lang w:val="en-US" w:eastAsia="zh-CN"/>
        </w:rPr>
        <w:t xml:space="preserve">林（园）。自然植被较为简单以草甸和沼泽植被为主，有白茅草甸、狗牙根草甸、芦苇群落等；栽培植被仅有用材林型 </w:t>
      </w:r>
      <w:r>
        <w:rPr>
          <w:rFonts w:hint="default" w:ascii="Times New Roman" w:hAnsi="Times New Roman" w:eastAsia="宋体" w:cs="Times New Roman"/>
          <w:bCs/>
          <w:color w:val="auto"/>
          <w:sz w:val="24"/>
          <w:szCs w:val="21"/>
          <w:highlight w:val="none"/>
          <w:u w:val="none"/>
          <w:lang w:val="en-US" w:eastAsia="zh-CN"/>
        </w:rPr>
        <w:t xml:space="preserve">1 </w:t>
      </w:r>
      <w:r>
        <w:rPr>
          <w:rFonts w:hint="eastAsia" w:ascii="Times New Roman" w:hAnsi="Times New Roman" w:eastAsia="宋体" w:cs="Times New Roman"/>
          <w:bCs/>
          <w:color w:val="auto"/>
          <w:sz w:val="24"/>
          <w:szCs w:val="21"/>
          <w:highlight w:val="none"/>
          <w:u w:val="none"/>
          <w:lang w:val="en-US" w:eastAsia="zh-CN"/>
        </w:rPr>
        <w:t>种，包括水杉林和加杨林两种。具体植被类型分类见下表。</w:t>
      </w:r>
    </w:p>
    <w:p>
      <w:pPr>
        <w:pStyle w:val="66"/>
        <w:keepNext w:val="0"/>
        <w:keepLines w:val="0"/>
        <w:pageBreakBefore w:val="0"/>
        <w:widowControl w:val="0"/>
        <w:kinsoku/>
        <w:wordWrap/>
        <w:overflowPunct/>
        <w:topLinePunct w:val="0"/>
        <w:autoSpaceDE/>
        <w:autoSpaceDN/>
        <w:bidi w:val="0"/>
        <w:adjustRightInd/>
        <w:snapToGrid/>
        <w:spacing w:beforeLines="0"/>
        <w:textAlignment w:val="auto"/>
        <w:rPr>
          <w:rFonts w:hint="default" w:ascii="Times New Roman" w:hAnsi="Times New Roman" w:cs="Times New Roman"/>
          <w:color w:val="auto"/>
        </w:rPr>
      </w:pPr>
      <w:r>
        <w:rPr>
          <w:rFonts w:hint="eastAsia" w:cs="Times New Roman"/>
          <w:color w:val="auto"/>
          <w:lang w:val="en-US" w:eastAsia="zh-CN"/>
        </w:rPr>
        <w:t xml:space="preserve">表3-2  </w:t>
      </w:r>
      <w:r>
        <w:rPr>
          <w:rFonts w:hint="eastAsia" w:ascii="Times New Roman" w:hAnsi="Times New Roman" w:cs="Times New Roman"/>
          <w:color w:val="auto"/>
        </w:rPr>
        <w:t>评价区主要植被类型表</w:t>
      </w:r>
    </w:p>
    <w:p>
      <w:pPr>
        <w:wordWrap w:val="0"/>
        <w:spacing w:before="0" w:after="0" w:line="97" w:lineRule="auto"/>
        <w:ind w:firstLine="0"/>
        <w:jc w:val="both"/>
        <w:rPr>
          <w:rFonts w:hint="eastAsia" w:ascii="宋体" w:hAnsi="宋体" w:eastAsia="宋体"/>
          <w:color w:val="auto"/>
          <w:sz w:val="12"/>
        </w:rPr>
      </w:pPr>
    </w:p>
    <w:tbl>
      <w:tblPr>
        <w:tblStyle w:val="22"/>
        <w:tblW w:w="0" w:type="auto"/>
        <w:tblInd w:w="8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1" w:type="dxa"/>
          <w:bottom w:w="0" w:type="dxa"/>
          <w:right w:w="11" w:type="dxa"/>
        </w:tblCellMar>
      </w:tblPr>
      <w:tblGrid>
        <w:gridCol w:w="496"/>
        <w:gridCol w:w="1062"/>
        <w:gridCol w:w="968"/>
        <w:gridCol w:w="1413"/>
        <w:gridCol w:w="769"/>
        <w:gridCol w:w="456"/>
        <w:gridCol w:w="668"/>
        <w:gridCol w:w="809"/>
        <w:gridCol w:w="1048"/>
        <w:gridCol w:w="557"/>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397" w:hRule="atLeast"/>
        </w:trPr>
        <w:tc>
          <w:tcPr>
            <w:tcW w:w="4708" w:type="dxa"/>
            <w:gridSpan w:val="5"/>
            <w:tcBorders>
              <w:tl2br w:val="nil"/>
              <w:tr2bl w:val="nil"/>
            </w:tcBorders>
            <w:vAlign w:val="center"/>
          </w:tcPr>
          <w:p>
            <w:pPr>
              <w:pStyle w:val="67"/>
              <w:jc w:val="center"/>
              <w:rPr>
                <w:rFonts w:hint="eastAsia" w:ascii="Times New Roman" w:hAnsi="Times New Roman" w:cs="Times New Roman"/>
                <w:b/>
                <w:bCs/>
                <w:color w:val="auto"/>
              </w:rPr>
            </w:pPr>
            <w:r>
              <w:rPr>
                <w:rFonts w:hint="eastAsia" w:ascii="Times New Roman" w:hAnsi="Times New Roman" w:cs="Times New Roman"/>
                <w:b/>
                <w:bCs/>
                <w:color w:val="auto"/>
              </w:rPr>
              <w:t>自然植被</w:t>
            </w:r>
          </w:p>
        </w:tc>
        <w:tc>
          <w:tcPr>
            <w:tcW w:w="3538" w:type="dxa"/>
            <w:gridSpan w:val="5"/>
            <w:tcBorders>
              <w:tl2br w:val="nil"/>
              <w:tr2bl w:val="nil"/>
            </w:tcBorders>
            <w:vAlign w:val="center"/>
          </w:tcPr>
          <w:p>
            <w:pPr>
              <w:pStyle w:val="67"/>
              <w:jc w:val="center"/>
              <w:rPr>
                <w:rFonts w:hint="eastAsia" w:ascii="Times New Roman" w:hAnsi="Times New Roman" w:cs="Times New Roman"/>
                <w:b/>
                <w:bCs/>
                <w:color w:val="auto"/>
              </w:rPr>
            </w:pPr>
            <w:r>
              <w:rPr>
                <w:rFonts w:hint="eastAsia" w:ascii="Times New Roman" w:hAnsi="Times New Roman" w:cs="Times New Roman"/>
                <w:b/>
                <w:bCs/>
                <w:color w:val="auto"/>
              </w:rPr>
              <w:t>栽培植被</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397" w:hRule="atLeast"/>
        </w:trPr>
        <w:tc>
          <w:tcPr>
            <w:tcW w:w="496" w:type="dxa"/>
            <w:tcBorders>
              <w:tl2br w:val="nil"/>
              <w:tr2bl w:val="nil"/>
            </w:tcBorders>
            <w:vAlign w:val="center"/>
          </w:tcPr>
          <w:p>
            <w:pPr>
              <w:pStyle w:val="67"/>
              <w:jc w:val="center"/>
              <w:rPr>
                <w:rFonts w:hint="default" w:ascii="Times New Roman" w:hAnsi="Times New Roman" w:cs="Times New Roman"/>
                <w:b/>
                <w:bCs/>
                <w:color w:val="auto"/>
              </w:rPr>
            </w:pPr>
            <w:r>
              <w:rPr>
                <w:rFonts w:hint="eastAsia" w:ascii="Times New Roman" w:hAnsi="Times New Roman" w:cs="Times New Roman"/>
                <w:b/>
                <w:bCs/>
                <w:color w:val="auto"/>
              </w:rPr>
              <w:t>序号</w:t>
            </w:r>
          </w:p>
        </w:tc>
        <w:tc>
          <w:tcPr>
            <w:tcW w:w="1062" w:type="dxa"/>
            <w:tcBorders>
              <w:tl2br w:val="nil"/>
              <w:tr2bl w:val="nil"/>
            </w:tcBorders>
            <w:vAlign w:val="center"/>
          </w:tcPr>
          <w:p>
            <w:pPr>
              <w:pStyle w:val="67"/>
              <w:jc w:val="center"/>
              <w:rPr>
                <w:rFonts w:hint="default" w:ascii="Times New Roman" w:hAnsi="Times New Roman" w:cs="Times New Roman"/>
                <w:b/>
                <w:bCs/>
                <w:color w:val="auto"/>
              </w:rPr>
            </w:pPr>
            <w:r>
              <w:rPr>
                <w:rFonts w:hint="eastAsia" w:ascii="Times New Roman" w:hAnsi="Times New Roman" w:cs="Times New Roman"/>
                <w:b/>
                <w:bCs/>
                <w:color w:val="auto"/>
              </w:rPr>
              <w:t>植被型组</w:t>
            </w:r>
          </w:p>
        </w:tc>
        <w:tc>
          <w:tcPr>
            <w:tcW w:w="968" w:type="dxa"/>
            <w:tcBorders>
              <w:tl2br w:val="nil"/>
              <w:tr2bl w:val="nil"/>
            </w:tcBorders>
            <w:vAlign w:val="center"/>
          </w:tcPr>
          <w:p>
            <w:pPr>
              <w:pStyle w:val="67"/>
              <w:jc w:val="center"/>
              <w:rPr>
                <w:rFonts w:hint="default" w:ascii="Times New Roman" w:hAnsi="Times New Roman" w:cs="Times New Roman"/>
                <w:b/>
                <w:bCs/>
                <w:color w:val="auto"/>
              </w:rPr>
            </w:pPr>
            <w:r>
              <w:rPr>
                <w:rFonts w:hint="eastAsia" w:ascii="Times New Roman" w:hAnsi="Times New Roman" w:cs="Times New Roman"/>
                <w:b/>
                <w:bCs/>
                <w:color w:val="auto"/>
              </w:rPr>
              <w:t>植被型</w:t>
            </w:r>
          </w:p>
        </w:tc>
        <w:tc>
          <w:tcPr>
            <w:tcW w:w="1413" w:type="dxa"/>
            <w:tcBorders>
              <w:tl2br w:val="nil"/>
              <w:tr2bl w:val="nil"/>
            </w:tcBorders>
            <w:vAlign w:val="center"/>
          </w:tcPr>
          <w:p>
            <w:pPr>
              <w:pStyle w:val="67"/>
              <w:jc w:val="center"/>
              <w:rPr>
                <w:rFonts w:hint="default" w:ascii="Times New Roman" w:hAnsi="Times New Roman" w:cs="Times New Roman"/>
                <w:b/>
                <w:bCs/>
                <w:color w:val="auto"/>
              </w:rPr>
            </w:pPr>
            <w:r>
              <w:rPr>
                <w:rFonts w:hint="eastAsia" w:ascii="Times New Roman" w:hAnsi="Times New Roman" w:cs="Times New Roman"/>
                <w:b/>
                <w:bCs/>
                <w:color w:val="auto"/>
              </w:rPr>
              <w:t>群系</w:t>
            </w:r>
          </w:p>
        </w:tc>
        <w:tc>
          <w:tcPr>
            <w:tcW w:w="769" w:type="dxa"/>
            <w:tcBorders>
              <w:tl2br w:val="nil"/>
              <w:tr2bl w:val="nil"/>
            </w:tcBorders>
            <w:vAlign w:val="center"/>
          </w:tcPr>
          <w:p>
            <w:pPr>
              <w:pStyle w:val="67"/>
              <w:jc w:val="center"/>
              <w:rPr>
                <w:rFonts w:hint="default" w:ascii="Times New Roman" w:hAnsi="Times New Roman" w:cs="Times New Roman"/>
                <w:b/>
                <w:bCs/>
                <w:color w:val="auto"/>
              </w:rPr>
            </w:pPr>
            <w:r>
              <w:rPr>
                <w:rFonts w:hint="eastAsia" w:ascii="Times New Roman" w:hAnsi="Times New Roman" w:cs="Times New Roman"/>
                <w:b/>
                <w:bCs/>
                <w:color w:val="auto"/>
              </w:rPr>
              <w:t>起源</w:t>
            </w:r>
          </w:p>
        </w:tc>
        <w:tc>
          <w:tcPr>
            <w:tcW w:w="456" w:type="dxa"/>
            <w:tcBorders>
              <w:tl2br w:val="nil"/>
              <w:tr2bl w:val="nil"/>
            </w:tcBorders>
            <w:vAlign w:val="center"/>
          </w:tcPr>
          <w:p>
            <w:pPr>
              <w:pStyle w:val="67"/>
              <w:jc w:val="center"/>
              <w:rPr>
                <w:rFonts w:hint="default" w:ascii="Times New Roman" w:hAnsi="Times New Roman" w:cs="Times New Roman"/>
                <w:b/>
                <w:bCs/>
                <w:color w:val="auto"/>
              </w:rPr>
            </w:pPr>
            <w:r>
              <w:rPr>
                <w:rFonts w:hint="eastAsia" w:ascii="Times New Roman" w:hAnsi="Times New Roman" w:cs="Times New Roman"/>
                <w:b/>
                <w:bCs/>
                <w:color w:val="auto"/>
              </w:rPr>
              <w:t>序号</w:t>
            </w:r>
          </w:p>
        </w:tc>
        <w:tc>
          <w:tcPr>
            <w:tcW w:w="668" w:type="dxa"/>
            <w:tcBorders>
              <w:tl2br w:val="nil"/>
              <w:tr2bl w:val="nil"/>
            </w:tcBorders>
            <w:vAlign w:val="center"/>
          </w:tcPr>
          <w:p>
            <w:pPr>
              <w:pStyle w:val="67"/>
              <w:jc w:val="center"/>
              <w:rPr>
                <w:rFonts w:hint="default" w:ascii="Times New Roman" w:hAnsi="Times New Roman" w:cs="Times New Roman"/>
                <w:b/>
                <w:bCs/>
                <w:color w:val="auto"/>
              </w:rPr>
            </w:pPr>
            <w:r>
              <w:rPr>
                <w:rFonts w:hint="eastAsia" w:ascii="Times New Roman" w:hAnsi="Times New Roman" w:cs="Times New Roman"/>
                <w:b/>
                <w:bCs/>
                <w:color w:val="auto"/>
              </w:rPr>
              <w:t>类</w:t>
            </w:r>
          </w:p>
        </w:tc>
        <w:tc>
          <w:tcPr>
            <w:tcW w:w="809" w:type="dxa"/>
            <w:tcBorders>
              <w:tl2br w:val="nil"/>
              <w:tr2bl w:val="nil"/>
            </w:tcBorders>
            <w:vAlign w:val="center"/>
          </w:tcPr>
          <w:p>
            <w:pPr>
              <w:pStyle w:val="67"/>
              <w:jc w:val="center"/>
              <w:rPr>
                <w:rFonts w:hint="default" w:ascii="Times New Roman" w:hAnsi="Times New Roman" w:cs="Times New Roman"/>
                <w:b/>
                <w:bCs/>
                <w:color w:val="auto"/>
              </w:rPr>
            </w:pPr>
            <w:r>
              <w:rPr>
                <w:rFonts w:hint="eastAsia" w:ascii="Times New Roman" w:hAnsi="Times New Roman" w:cs="Times New Roman"/>
                <w:b/>
                <w:bCs/>
                <w:color w:val="auto"/>
              </w:rPr>
              <w:t>型</w:t>
            </w:r>
          </w:p>
        </w:tc>
        <w:tc>
          <w:tcPr>
            <w:tcW w:w="1048" w:type="dxa"/>
            <w:tcBorders>
              <w:tl2br w:val="nil"/>
              <w:tr2bl w:val="nil"/>
            </w:tcBorders>
            <w:vAlign w:val="center"/>
          </w:tcPr>
          <w:p>
            <w:pPr>
              <w:pStyle w:val="67"/>
              <w:jc w:val="center"/>
              <w:rPr>
                <w:rFonts w:hint="default" w:ascii="Times New Roman" w:hAnsi="Times New Roman" w:cs="Times New Roman"/>
                <w:b/>
                <w:bCs/>
                <w:color w:val="auto"/>
              </w:rPr>
            </w:pPr>
            <w:r>
              <w:rPr>
                <w:rFonts w:hint="eastAsia" w:ascii="Times New Roman" w:hAnsi="Times New Roman" w:cs="Times New Roman"/>
                <w:b/>
                <w:bCs/>
                <w:color w:val="auto"/>
              </w:rPr>
              <w:t>林</w:t>
            </w:r>
          </w:p>
          <w:p>
            <w:pPr>
              <w:pStyle w:val="67"/>
              <w:jc w:val="center"/>
              <w:rPr>
                <w:rFonts w:hint="default" w:ascii="Times New Roman" w:hAnsi="Times New Roman" w:cs="Times New Roman"/>
                <w:b/>
                <w:bCs/>
                <w:color w:val="auto"/>
              </w:rPr>
            </w:pPr>
            <w:r>
              <w:rPr>
                <w:rFonts w:hint="eastAsia" w:ascii="Times New Roman" w:hAnsi="Times New Roman" w:cs="Times New Roman"/>
                <w:b/>
                <w:bCs/>
                <w:color w:val="auto"/>
              </w:rPr>
              <w:t>（园）</w:t>
            </w:r>
          </w:p>
        </w:tc>
        <w:tc>
          <w:tcPr>
            <w:tcW w:w="557" w:type="dxa"/>
            <w:tcBorders>
              <w:tl2br w:val="nil"/>
              <w:tr2bl w:val="nil"/>
            </w:tcBorders>
            <w:vAlign w:val="center"/>
          </w:tcPr>
          <w:p>
            <w:pPr>
              <w:pStyle w:val="67"/>
              <w:jc w:val="center"/>
              <w:rPr>
                <w:rFonts w:hint="default" w:ascii="Times New Roman" w:hAnsi="Times New Roman" w:cs="Times New Roman"/>
                <w:b/>
                <w:bCs/>
                <w:color w:val="auto"/>
              </w:rPr>
            </w:pPr>
            <w:r>
              <w:rPr>
                <w:rFonts w:hint="eastAsia" w:ascii="Times New Roman" w:hAnsi="Times New Roman" w:cs="Times New Roman"/>
                <w:b/>
                <w:bCs/>
                <w:color w:val="auto"/>
              </w:rPr>
              <w:t>起源</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397" w:hRule="atLeast"/>
        </w:trPr>
        <w:tc>
          <w:tcPr>
            <w:tcW w:w="496"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1</w:t>
            </w:r>
          </w:p>
        </w:tc>
        <w:tc>
          <w:tcPr>
            <w:tcW w:w="1062" w:type="dxa"/>
            <w:vMerge w:val="restart"/>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草甸</w:t>
            </w:r>
          </w:p>
        </w:tc>
        <w:tc>
          <w:tcPr>
            <w:tcW w:w="968" w:type="dxa"/>
            <w:vMerge w:val="restart"/>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草甸</w:t>
            </w:r>
          </w:p>
        </w:tc>
        <w:tc>
          <w:tcPr>
            <w:tcW w:w="1413"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白茅草甸</w:t>
            </w:r>
          </w:p>
        </w:tc>
        <w:tc>
          <w:tcPr>
            <w:tcW w:w="769"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天然</w:t>
            </w:r>
          </w:p>
        </w:tc>
        <w:tc>
          <w:tcPr>
            <w:tcW w:w="456"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1</w:t>
            </w:r>
          </w:p>
        </w:tc>
        <w:tc>
          <w:tcPr>
            <w:tcW w:w="668" w:type="dxa"/>
            <w:vMerge w:val="restart"/>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木本</w:t>
            </w:r>
          </w:p>
          <w:p>
            <w:pPr>
              <w:pStyle w:val="67"/>
              <w:jc w:val="center"/>
              <w:rPr>
                <w:rFonts w:hint="default" w:ascii="Times New Roman" w:hAnsi="Times New Roman" w:cs="Times New Roman"/>
                <w:color w:val="auto"/>
              </w:rPr>
            </w:pPr>
            <w:r>
              <w:rPr>
                <w:rFonts w:hint="eastAsia" w:ascii="Times New Roman" w:hAnsi="Times New Roman" w:cs="Times New Roman"/>
                <w:color w:val="auto"/>
              </w:rPr>
              <w:t>类</w:t>
            </w:r>
          </w:p>
        </w:tc>
        <w:tc>
          <w:tcPr>
            <w:tcW w:w="809" w:type="dxa"/>
            <w:vMerge w:val="restart"/>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用材林</w:t>
            </w:r>
          </w:p>
          <w:p>
            <w:pPr>
              <w:pStyle w:val="67"/>
              <w:jc w:val="center"/>
              <w:rPr>
                <w:rFonts w:hint="default" w:ascii="Times New Roman" w:hAnsi="Times New Roman" w:cs="Times New Roman"/>
                <w:color w:val="auto"/>
              </w:rPr>
            </w:pPr>
            <w:r>
              <w:rPr>
                <w:rFonts w:hint="eastAsia" w:ascii="Times New Roman" w:hAnsi="Times New Roman" w:cs="Times New Roman"/>
                <w:color w:val="auto"/>
              </w:rPr>
              <w:t>型</w:t>
            </w:r>
          </w:p>
        </w:tc>
        <w:tc>
          <w:tcPr>
            <w:tcW w:w="1048"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水杉林</w:t>
            </w:r>
          </w:p>
        </w:tc>
        <w:tc>
          <w:tcPr>
            <w:tcW w:w="557"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人工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397" w:hRule="atLeast"/>
        </w:trPr>
        <w:tc>
          <w:tcPr>
            <w:tcW w:w="496"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2</w:t>
            </w:r>
          </w:p>
        </w:tc>
        <w:tc>
          <w:tcPr>
            <w:tcW w:w="1062" w:type="dxa"/>
            <w:vMerge w:val="continue"/>
            <w:tcBorders>
              <w:tl2br w:val="nil"/>
              <w:tr2bl w:val="nil"/>
            </w:tcBorders>
            <w:vAlign w:val="center"/>
          </w:tcPr>
          <w:p>
            <w:pPr>
              <w:pStyle w:val="67"/>
              <w:jc w:val="center"/>
              <w:rPr>
                <w:rFonts w:hint="default" w:ascii="Times New Roman" w:hAnsi="Times New Roman" w:cs="Times New Roman"/>
                <w:color w:val="auto"/>
              </w:rPr>
            </w:pPr>
          </w:p>
        </w:tc>
        <w:tc>
          <w:tcPr>
            <w:tcW w:w="968" w:type="dxa"/>
            <w:vMerge w:val="continue"/>
            <w:tcBorders>
              <w:tl2br w:val="nil"/>
              <w:tr2bl w:val="nil"/>
            </w:tcBorders>
            <w:vAlign w:val="center"/>
          </w:tcPr>
          <w:p>
            <w:pPr>
              <w:pStyle w:val="67"/>
              <w:jc w:val="center"/>
              <w:rPr>
                <w:rFonts w:hint="default" w:ascii="Times New Roman" w:hAnsi="Times New Roman" w:cs="Times New Roman"/>
                <w:color w:val="auto"/>
              </w:rPr>
            </w:pPr>
          </w:p>
        </w:tc>
        <w:tc>
          <w:tcPr>
            <w:tcW w:w="1413"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芒草甸</w:t>
            </w:r>
          </w:p>
        </w:tc>
        <w:tc>
          <w:tcPr>
            <w:tcW w:w="769"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天然</w:t>
            </w:r>
          </w:p>
        </w:tc>
        <w:tc>
          <w:tcPr>
            <w:tcW w:w="456"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2</w:t>
            </w:r>
          </w:p>
        </w:tc>
        <w:tc>
          <w:tcPr>
            <w:tcW w:w="668" w:type="dxa"/>
            <w:vMerge w:val="continue"/>
            <w:tcBorders>
              <w:tl2br w:val="nil"/>
              <w:tr2bl w:val="nil"/>
            </w:tcBorders>
            <w:vAlign w:val="center"/>
          </w:tcPr>
          <w:p>
            <w:pPr>
              <w:pStyle w:val="67"/>
              <w:jc w:val="center"/>
              <w:rPr>
                <w:rFonts w:hint="default" w:ascii="Times New Roman" w:hAnsi="Times New Roman" w:cs="Times New Roman"/>
                <w:color w:val="auto"/>
              </w:rPr>
            </w:pPr>
          </w:p>
        </w:tc>
        <w:tc>
          <w:tcPr>
            <w:tcW w:w="809" w:type="dxa"/>
            <w:vMerge w:val="continue"/>
            <w:tcBorders>
              <w:tl2br w:val="nil"/>
              <w:tr2bl w:val="nil"/>
            </w:tcBorders>
            <w:vAlign w:val="center"/>
          </w:tcPr>
          <w:p>
            <w:pPr>
              <w:pStyle w:val="67"/>
              <w:jc w:val="center"/>
              <w:rPr>
                <w:rFonts w:hint="default" w:ascii="Times New Roman" w:hAnsi="Times New Roman" w:cs="Times New Roman"/>
                <w:color w:val="auto"/>
              </w:rPr>
            </w:pPr>
          </w:p>
        </w:tc>
        <w:tc>
          <w:tcPr>
            <w:tcW w:w="1048"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加杨林</w:t>
            </w:r>
          </w:p>
        </w:tc>
        <w:tc>
          <w:tcPr>
            <w:tcW w:w="557"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人工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397" w:hRule="atLeast"/>
        </w:trPr>
        <w:tc>
          <w:tcPr>
            <w:tcW w:w="496"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3</w:t>
            </w:r>
          </w:p>
        </w:tc>
        <w:tc>
          <w:tcPr>
            <w:tcW w:w="1062" w:type="dxa"/>
            <w:vMerge w:val="continue"/>
            <w:tcBorders>
              <w:tl2br w:val="nil"/>
              <w:tr2bl w:val="nil"/>
            </w:tcBorders>
            <w:vAlign w:val="center"/>
          </w:tcPr>
          <w:p>
            <w:pPr>
              <w:pStyle w:val="67"/>
              <w:jc w:val="center"/>
              <w:rPr>
                <w:rFonts w:hint="default" w:ascii="Times New Roman" w:hAnsi="Times New Roman" w:cs="Times New Roman"/>
                <w:color w:val="auto"/>
              </w:rPr>
            </w:pPr>
          </w:p>
        </w:tc>
        <w:tc>
          <w:tcPr>
            <w:tcW w:w="968" w:type="dxa"/>
            <w:vMerge w:val="continue"/>
            <w:tcBorders>
              <w:tl2br w:val="nil"/>
              <w:tr2bl w:val="nil"/>
            </w:tcBorders>
            <w:vAlign w:val="center"/>
          </w:tcPr>
          <w:p>
            <w:pPr>
              <w:pStyle w:val="67"/>
              <w:jc w:val="center"/>
              <w:rPr>
                <w:rFonts w:hint="default" w:ascii="Times New Roman" w:hAnsi="Times New Roman" w:cs="Times New Roman"/>
                <w:color w:val="auto"/>
              </w:rPr>
            </w:pPr>
          </w:p>
        </w:tc>
        <w:tc>
          <w:tcPr>
            <w:tcW w:w="1413"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狗牙根草甸</w:t>
            </w:r>
          </w:p>
        </w:tc>
        <w:tc>
          <w:tcPr>
            <w:tcW w:w="769"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天然</w:t>
            </w:r>
          </w:p>
        </w:tc>
        <w:tc>
          <w:tcPr>
            <w:tcW w:w="456" w:type="dxa"/>
            <w:tcBorders>
              <w:tl2br w:val="nil"/>
              <w:tr2bl w:val="nil"/>
            </w:tcBorders>
            <w:vAlign w:val="center"/>
          </w:tcPr>
          <w:p>
            <w:pPr>
              <w:pStyle w:val="67"/>
              <w:jc w:val="center"/>
              <w:rPr>
                <w:rFonts w:hint="eastAsia" w:ascii="Times New Roman" w:hAnsi="Times New Roman" w:cs="Times New Roman"/>
                <w:color w:val="auto"/>
              </w:rPr>
            </w:pPr>
          </w:p>
        </w:tc>
        <w:tc>
          <w:tcPr>
            <w:tcW w:w="668" w:type="dxa"/>
            <w:tcBorders>
              <w:tl2br w:val="nil"/>
              <w:tr2bl w:val="nil"/>
            </w:tcBorders>
            <w:vAlign w:val="center"/>
          </w:tcPr>
          <w:p>
            <w:pPr>
              <w:pStyle w:val="67"/>
              <w:jc w:val="center"/>
              <w:rPr>
                <w:rFonts w:hint="eastAsia" w:ascii="Times New Roman" w:hAnsi="Times New Roman" w:cs="Times New Roman"/>
                <w:color w:val="auto"/>
              </w:rPr>
            </w:pPr>
          </w:p>
        </w:tc>
        <w:tc>
          <w:tcPr>
            <w:tcW w:w="809" w:type="dxa"/>
            <w:tcBorders>
              <w:tl2br w:val="nil"/>
              <w:tr2bl w:val="nil"/>
            </w:tcBorders>
            <w:vAlign w:val="center"/>
          </w:tcPr>
          <w:p>
            <w:pPr>
              <w:pStyle w:val="67"/>
              <w:jc w:val="center"/>
              <w:rPr>
                <w:rFonts w:hint="eastAsia" w:ascii="Times New Roman" w:hAnsi="Times New Roman" w:cs="Times New Roman"/>
                <w:color w:val="auto"/>
              </w:rPr>
            </w:pPr>
          </w:p>
        </w:tc>
        <w:tc>
          <w:tcPr>
            <w:tcW w:w="1048" w:type="dxa"/>
            <w:tcBorders>
              <w:tl2br w:val="nil"/>
              <w:tr2bl w:val="nil"/>
            </w:tcBorders>
            <w:vAlign w:val="center"/>
          </w:tcPr>
          <w:p>
            <w:pPr>
              <w:pStyle w:val="67"/>
              <w:jc w:val="center"/>
              <w:rPr>
                <w:rFonts w:hint="eastAsia" w:ascii="Times New Roman" w:hAnsi="Times New Roman" w:cs="Times New Roman"/>
                <w:color w:val="auto"/>
              </w:rPr>
            </w:pPr>
          </w:p>
        </w:tc>
        <w:tc>
          <w:tcPr>
            <w:tcW w:w="557" w:type="dxa"/>
            <w:tcBorders>
              <w:tl2br w:val="nil"/>
              <w:tr2bl w:val="nil"/>
            </w:tcBorders>
            <w:vAlign w:val="center"/>
          </w:tcPr>
          <w:p>
            <w:pPr>
              <w:pStyle w:val="67"/>
              <w:jc w:val="center"/>
              <w:rPr>
                <w:rFonts w:hint="eastAsia" w:ascii="Times New Roman" w:hAnsi="Times New Roman" w:cs="Times New Roman"/>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397" w:hRule="atLeast"/>
        </w:trPr>
        <w:tc>
          <w:tcPr>
            <w:tcW w:w="496"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4</w:t>
            </w:r>
          </w:p>
        </w:tc>
        <w:tc>
          <w:tcPr>
            <w:tcW w:w="1062" w:type="dxa"/>
            <w:vMerge w:val="continue"/>
            <w:tcBorders>
              <w:tl2br w:val="nil"/>
              <w:tr2bl w:val="nil"/>
            </w:tcBorders>
            <w:vAlign w:val="center"/>
          </w:tcPr>
          <w:p>
            <w:pPr>
              <w:pStyle w:val="67"/>
              <w:jc w:val="center"/>
              <w:rPr>
                <w:rFonts w:hint="default" w:ascii="Times New Roman" w:hAnsi="Times New Roman" w:cs="Times New Roman"/>
                <w:color w:val="auto"/>
              </w:rPr>
            </w:pPr>
          </w:p>
        </w:tc>
        <w:tc>
          <w:tcPr>
            <w:tcW w:w="968" w:type="dxa"/>
            <w:vMerge w:val="continue"/>
            <w:tcBorders>
              <w:tl2br w:val="nil"/>
              <w:tr2bl w:val="nil"/>
            </w:tcBorders>
            <w:vAlign w:val="center"/>
          </w:tcPr>
          <w:p>
            <w:pPr>
              <w:pStyle w:val="67"/>
              <w:jc w:val="center"/>
              <w:rPr>
                <w:rFonts w:hint="default" w:ascii="Times New Roman" w:hAnsi="Times New Roman" w:cs="Times New Roman"/>
                <w:color w:val="auto"/>
              </w:rPr>
            </w:pPr>
          </w:p>
        </w:tc>
        <w:tc>
          <w:tcPr>
            <w:tcW w:w="1413"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灰化薹草草甸</w:t>
            </w:r>
          </w:p>
        </w:tc>
        <w:tc>
          <w:tcPr>
            <w:tcW w:w="769"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天然</w:t>
            </w:r>
          </w:p>
        </w:tc>
        <w:tc>
          <w:tcPr>
            <w:tcW w:w="456" w:type="dxa"/>
            <w:tcBorders>
              <w:tl2br w:val="nil"/>
              <w:tr2bl w:val="nil"/>
            </w:tcBorders>
            <w:vAlign w:val="center"/>
          </w:tcPr>
          <w:p>
            <w:pPr>
              <w:pStyle w:val="67"/>
              <w:jc w:val="center"/>
              <w:rPr>
                <w:rFonts w:hint="eastAsia" w:ascii="Times New Roman" w:hAnsi="Times New Roman" w:cs="Times New Roman"/>
                <w:color w:val="auto"/>
              </w:rPr>
            </w:pPr>
          </w:p>
        </w:tc>
        <w:tc>
          <w:tcPr>
            <w:tcW w:w="668" w:type="dxa"/>
            <w:tcBorders>
              <w:tl2br w:val="nil"/>
              <w:tr2bl w:val="nil"/>
            </w:tcBorders>
            <w:vAlign w:val="center"/>
          </w:tcPr>
          <w:p>
            <w:pPr>
              <w:pStyle w:val="67"/>
              <w:jc w:val="center"/>
              <w:rPr>
                <w:rFonts w:hint="eastAsia" w:ascii="Times New Roman" w:hAnsi="Times New Roman" w:cs="Times New Roman"/>
                <w:color w:val="auto"/>
              </w:rPr>
            </w:pPr>
          </w:p>
        </w:tc>
        <w:tc>
          <w:tcPr>
            <w:tcW w:w="809" w:type="dxa"/>
            <w:tcBorders>
              <w:tl2br w:val="nil"/>
              <w:tr2bl w:val="nil"/>
            </w:tcBorders>
            <w:vAlign w:val="center"/>
          </w:tcPr>
          <w:p>
            <w:pPr>
              <w:pStyle w:val="67"/>
              <w:jc w:val="center"/>
              <w:rPr>
                <w:rFonts w:hint="eastAsia" w:ascii="Times New Roman" w:hAnsi="Times New Roman" w:cs="Times New Roman"/>
                <w:color w:val="auto"/>
              </w:rPr>
            </w:pPr>
          </w:p>
        </w:tc>
        <w:tc>
          <w:tcPr>
            <w:tcW w:w="1048" w:type="dxa"/>
            <w:tcBorders>
              <w:tl2br w:val="nil"/>
              <w:tr2bl w:val="nil"/>
            </w:tcBorders>
            <w:vAlign w:val="center"/>
          </w:tcPr>
          <w:p>
            <w:pPr>
              <w:pStyle w:val="67"/>
              <w:jc w:val="center"/>
              <w:rPr>
                <w:rFonts w:hint="eastAsia" w:ascii="Times New Roman" w:hAnsi="Times New Roman" w:cs="Times New Roman"/>
                <w:color w:val="auto"/>
              </w:rPr>
            </w:pPr>
          </w:p>
        </w:tc>
        <w:tc>
          <w:tcPr>
            <w:tcW w:w="557" w:type="dxa"/>
            <w:tcBorders>
              <w:tl2br w:val="nil"/>
              <w:tr2bl w:val="nil"/>
            </w:tcBorders>
            <w:vAlign w:val="center"/>
          </w:tcPr>
          <w:p>
            <w:pPr>
              <w:pStyle w:val="67"/>
              <w:jc w:val="center"/>
              <w:rPr>
                <w:rFonts w:hint="eastAsia" w:ascii="Times New Roman" w:hAnsi="Times New Roman" w:cs="Times New Roman"/>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397" w:hRule="atLeast"/>
        </w:trPr>
        <w:tc>
          <w:tcPr>
            <w:tcW w:w="496"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5</w:t>
            </w:r>
          </w:p>
        </w:tc>
        <w:tc>
          <w:tcPr>
            <w:tcW w:w="1062" w:type="dxa"/>
            <w:vMerge w:val="continue"/>
            <w:tcBorders>
              <w:tl2br w:val="nil"/>
              <w:tr2bl w:val="nil"/>
            </w:tcBorders>
            <w:vAlign w:val="center"/>
          </w:tcPr>
          <w:p>
            <w:pPr>
              <w:pStyle w:val="67"/>
              <w:jc w:val="center"/>
              <w:rPr>
                <w:rFonts w:hint="default" w:ascii="Times New Roman" w:hAnsi="Times New Roman" w:cs="Times New Roman"/>
                <w:color w:val="auto"/>
              </w:rPr>
            </w:pPr>
          </w:p>
        </w:tc>
        <w:tc>
          <w:tcPr>
            <w:tcW w:w="968" w:type="dxa"/>
            <w:vMerge w:val="continue"/>
            <w:tcBorders>
              <w:tl2br w:val="nil"/>
              <w:tr2bl w:val="nil"/>
            </w:tcBorders>
            <w:vAlign w:val="center"/>
          </w:tcPr>
          <w:p>
            <w:pPr>
              <w:pStyle w:val="67"/>
              <w:jc w:val="center"/>
              <w:rPr>
                <w:rFonts w:hint="default" w:ascii="Times New Roman" w:hAnsi="Times New Roman" w:cs="Times New Roman"/>
                <w:color w:val="auto"/>
              </w:rPr>
            </w:pPr>
          </w:p>
        </w:tc>
        <w:tc>
          <w:tcPr>
            <w:tcW w:w="1413"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牛毛毡草甸</w:t>
            </w:r>
          </w:p>
        </w:tc>
        <w:tc>
          <w:tcPr>
            <w:tcW w:w="769"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天然</w:t>
            </w:r>
          </w:p>
        </w:tc>
        <w:tc>
          <w:tcPr>
            <w:tcW w:w="456" w:type="dxa"/>
            <w:tcBorders>
              <w:tl2br w:val="nil"/>
              <w:tr2bl w:val="nil"/>
            </w:tcBorders>
            <w:vAlign w:val="center"/>
          </w:tcPr>
          <w:p>
            <w:pPr>
              <w:pStyle w:val="67"/>
              <w:jc w:val="center"/>
              <w:rPr>
                <w:rFonts w:hint="eastAsia" w:ascii="Times New Roman" w:hAnsi="Times New Roman" w:cs="Times New Roman"/>
                <w:color w:val="auto"/>
              </w:rPr>
            </w:pPr>
          </w:p>
        </w:tc>
        <w:tc>
          <w:tcPr>
            <w:tcW w:w="668" w:type="dxa"/>
            <w:tcBorders>
              <w:tl2br w:val="nil"/>
              <w:tr2bl w:val="nil"/>
            </w:tcBorders>
            <w:vAlign w:val="center"/>
          </w:tcPr>
          <w:p>
            <w:pPr>
              <w:pStyle w:val="67"/>
              <w:jc w:val="center"/>
              <w:rPr>
                <w:rFonts w:hint="eastAsia" w:ascii="Times New Roman" w:hAnsi="Times New Roman" w:cs="Times New Roman"/>
                <w:color w:val="auto"/>
              </w:rPr>
            </w:pPr>
          </w:p>
        </w:tc>
        <w:tc>
          <w:tcPr>
            <w:tcW w:w="809" w:type="dxa"/>
            <w:tcBorders>
              <w:tl2br w:val="nil"/>
              <w:tr2bl w:val="nil"/>
            </w:tcBorders>
            <w:vAlign w:val="center"/>
          </w:tcPr>
          <w:p>
            <w:pPr>
              <w:pStyle w:val="67"/>
              <w:jc w:val="center"/>
              <w:rPr>
                <w:rFonts w:hint="eastAsia" w:ascii="Times New Roman" w:hAnsi="Times New Roman" w:cs="Times New Roman"/>
                <w:color w:val="auto"/>
              </w:rPr>
            </w:pPr>
          </w:p>
        </w:tc>
        <w:tc>
          <w:tcPr>
            <w:tcW w:w="1048" w:type="dxa"/>
            <w:tcBorders>
              <w:tl2br w:val="nil"/>
              <w:tr2bl w:val="nil"/>
            </w:tcBorders>
            <w:vAlign w:val="center"/>
          </w:tcPr>
          <w:p>
            <w:pPr>
              <w:pStyle w:val="67"/>
              <w:jc w:val="center"/>
              <w:rPr>
                <w:rFonts w:hint="eastAsia" w:ascii="Times New Roman" w:hAnsi="Times New Roman" w:cs="Times New Roman"/>
                <w:color w:val="auto"/>
              </w:rPr>
            </w:pPr>
          </w:p>
        </w:tc>
        <w:tc>
          <w:tcPr>
            <w:tcW w:w="557" w:type="dxa"/>
            <w:tcBorders>
              <w:tl2br w:val="nil"/>
              <w:tr2bl w:val="nil"/>
            </w:tcBorders>
            <w:vAlign w:val="center"/>
          </w:tcPr>
          <w:p>
            <w:pPr>
              <w:pStyle w:val="67"/>
              <w:jc w:val="center"/>
              <w:rPr>
                <w:rFonts w:hint="eastAsia" w:ascii="Times New Roman" w:hAnsi="Times New Roman" w:cs="Times New Roman"/>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397" w:hRule="atLeast"/>
        </w:trPr>
        <w:tc>
          <w:tcPr>
            <w:tcW w:w="496"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6</w:t>
            </w:r>
          </w:p>
        </w:tc>
        <w:tc>
          <w:tcPr>
            <w:tcW w:w="1062" w:type="dxa"/>
            <w:vMerge w:val="continue"/>
            <w:tcBorders>
              <w:tl2br w:val="nil"/>
              <w:tr2bl w:val="nil"/>
            </w:tcBorders>
            <w:vAlign w:val="center"/>
          </w:tcPr>
          <w:p>
            <w:pPr>
              <w:pStyle w:val="67"/>
              <w:jc w:val="center"/>
              <w:rPr>
                <w:rFonts w:hint="default" w:ascii="Times New Roman" w:hAnsi="Times New Roman" w:cs="Times New Roman"/>
                <w:color w:val="auto"/>
              </w:rPr>
            </w:pPr>
          </w:p>
        </w:tc>
        <w:tc>
          <w:tcPr>
            <w:tcW w:w="968" w:type="dxa"/>
            <w:vMerge w:val="continue"/>
            <w:tcBorders>
              <w:tl2br w:val="nil"/>
              <w:tr2bl w:val="nil"/>
            </w:tcBorders>
            <w:vAlign w:val="center"/>
          </w:tcPr>
          <w:p>
            <w:pPr>
              <w:pStyle w:val="67"/>
              <w:jc w:val="center"/>
              <w:rPr>
                <w:rFonts w:hint="default" w:ascii="Times New Roman" w:hAnsi="Times New Roman" w:cs="Times New Roman"/>
                <w:color w:val="auto"/>
              </w:rPr>
            </w:pPr>
          </w:p>
        </w:tc>
        <w:tc>
          <w:tcPr>
            <w:tcW w:w="1413"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紫云英草甸</w:t>
            </w:r>
          </w:p>
        </w:tc>
        <w:tc>
          <w:tcPr>
            <w:tcW w:w="769"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天然</w:t>
            </w:r>
          </w:p>
        </w:tc>
        <w:tc>
          <w:tcPr>
            <w:tcW w:w="456" w:type="dxa"/>
            <w:tcBorders>
              <w:tl2br w:val="nil"/>
              <w:tr2bl w:val="nil"/>
            </w:tcBorders>
            <w:vAlign w:val="center"/>
          </w:tcPr>
          <w:p>
            <w:pPr>
              <w:pStyle w:val="67"/>
              <w:jc w:val="center"/>
              <w:rPr>
                <w:rFonts w:hint="eastAsia" w:ascii="Times New Roman" w:hAnsi="Times New Roman" w:cs="Times New Roman"/>
                <w:color w:val="auto"/>
              </w:rPr>
            </w:pPr>
          </w:p>
        </w:tc>
        <w:tc>
          <w:tcPr>
            <w:tcW w:w="668" w:type="dxa"/>
            <w:tcBorders>
              <w:tl2br w:val="nil"/>
              <w:tr2bl w:val="nil"/>
            </w:tcBorders>
            <w:vAlign w:val="center"/>
          </w:tcPr>
          <w:p>
            <w:pPr>
              <w:pStyle w:val="67"/>
              <w:jc w:val="center"/>
              <w:rPr>
                <w:rFonts w:hint="eastAsia" w:ascii="Times New Roman" w:hAnsi="Times New Roman" w:cs="Times New Roman"/>
                <w:color w:val="auto"/>
              </w:rPr>
            </w:pPr>
          </w:p>
        </w:tc>
        <w:tc>
          <w:tcPr>
            <w:tcW w:w="809" w:type="dxa"/>
            <w:tcBorders>
              <w:tl2br w:val="nil"/>
              <w:tr2bl w:val="nil"/>
            </w:tcBorders>
            <w:vAlign w:val="center"/>
          </w:tcPr>
          <w:p>
            <w:pPr>
              <w:pStyle w:val="67"/>
              <w:jc w:val="center"/>
              <w:rPr>
                <w:rFonts w:hint="eastAsia" w:ascii="Times New Roman" w:hAnsi="Times New Roman" w:cs="Times New Roman"/>
                <w:color w:val="auto"/>
              </w:rPr>
            </w:pPr>
          </w:p>
        </w:tc>
        <w:tc>
          <w:tcPr>
            <w:tcW w:w="1048" w:type="dxa"/>
            <w:tcBorders>
              <w:tl2br w:val="nil"/>
              <w:tr2bl w:val="nil"/>
            </w:tcBorders>
            <w:vAlign w:val="center"/>
          </w:tcPr>
          <w:p>
            <w:pPr>
              <w:pStyle w:val="67"/>
              <w:jc w:val="center"/>
              <w:rPr>
                <w:rFonts w:hint="eastAsia" w:ascii="Times New Roman" w:hAnsi="Times New Roman" w:cs="Times New Roman"/>
                <w:color w:val="auto"/>
              </w:rPr>
            </w:pPr>
          </w:p>
        </w:tc>
        <w:tc>
          <w:tcPr>
            <w:tcW w:w="557" w:type="dxa"/>
            <w:tcBorders>
              <w:tl2br w:val="nil"/>
              <w:tr2bl w:val="nil"/>
            </w:tcBorders>
            <w:vAlign w:val="center"/>
          </w:tcPr>
          <w:p>
            <w:pPr>
              <w:pStyle w:val="67"/>
              <w:jc w:val="center"/>
              <w:rPr>
                <w:rFonts w:hint="eastAsia" w:ascii="Times New Roman" w:hAnsi="Times New Roman" w:cs="Times New Roman"/>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397" w:hRule="atLeast"/>
        </w:trPr>
        <w:tc>
          <w:tcPr>
            <w:tcW w:w="496"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7</w:t>
            </w:r>
          </w:p>
        </w:tc>
        <w:tc>
          <w:tcPr>
            <w:tcW w:w="1062" w:type="dxa"/>
            <w:vMerge w:val="continue"/>
            <w:tcBorders>
              <w:tl2br w:val="nil"/>
              <w:tr2bl w:val="nil"/>
            </w:tcBorders>
            <w:vAlign w:val="center"/>
          </w:tcPr>
          <w:p>
            <w:pPr>
              <w:pStyle w:val="67"/>
              <w:jc w:val="center"/>
              <w:rPr>
                <w:rFonts w:hint="default" w:ascii="Times New Roman" w:hAnsi="Times New Roman" w:cs="Times New Roman"/>
                <w:color w:val="auto"/>
              </w:rPr>
            </w:pPr>
          </w:p>
        </w:tc>
        <w:tc>
          <w:tcPr>
            <w:tcW w:w="968" w:type="dxa"/>
            <w:vMerge w:val="continue"/>
            <w:tcBorders>
              <w:tl2br w:val="nil"/>
              <w:tr2bl w:val="nil"/>
            </w:tcBorders>
            <w:vAlign w:val="center"/>
          </w:tcPr>
          <w:p>
            <w:pPr>
              <w:pStyle w:val="67"/>
              <w:jc w:val="center"/>
              <w:rPr>
                <w:rFonts w:hint="default" w:ascii="Times New Roman" w:hAnsi="Times New Roman" w:cs="Times New Roman"/>
                <w:color w:val="auto"/>
              </w:rPr>
            </w:pPr>
          </w:p>
        </w:tc>
        <w:tc>
          <w:tcPr>
            <w:tcW w:w="1413"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北美苍耳草甸</w:t>
            </w:r>
          </w:p>
        </w:tc>
        <w:tc>
          <w:tcPr>
            <w:tcW w:w="769"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外来</w:t>
            </w:r>
          </w:p>
          <w:p>
            <w:pPr>
              <w:pStyle w:val="67"/>
              <w:jc w:val="center"/>
              <w:rPr>
                <w:rFonts w:hint="default" w:ascii="Times New Roman" w:hAnsi="Times New Roman" w:cs="Times New Roman"/>
                <w:color w:val="auto"/>
              </w:rPr>
            </w:pPr>
            <w:r>
              <w:rPr>
                <w:rFonts w:hint="eastAsia" w:ascii="Times New Roman" w:hAnsi="Times New Roman" w:cs="Times New Roman"/>
                <w:color w:val="auto"/>
              </w:rPr>
              <w:t>逸生</w:t>
            </w:r>
          </w:p>
        </w:tc>
        <w:tc>
          <w:tcPr>
            <w:tcW w:w="456" w:type="dxa"/>
            <w:tcBorders>
              <w:tl2br w:val="nil"/>
              <w:tr2bl w:val="nil"/>
            </w:tcBorders>
            <w:vAlign w:val="center"/>
          </w:tcPr>
          <w:p>
            <w:pPr>
              <w:pStyle w:val="67"/>
              <w:jc w:val="center"/>
              <w:rPr>
                <w:rFonts w:hint="eastAsia" w:ascii="Times New Roman" w:hAnsi="Times New Roman" w:cs="Times New Roman"/>
                <w:color w:val="auto"/>
              </w:rPr>
            </w:pPr>
          </w:p>
        </w:tc>
        <w:tc>
          <w:tcPr>
            <w:tcW w:w="668" w:type="dxa"/>
            <w:tcBorders>
              <w:tl2br w:val="nil"/>
              <w:tr2bl w:val="nil"/>
            </w:tcBorders>
            <w:vAlign w:val="center"/>
          </w:tcPr>
          <w:p>
            <w:pPr>
              <w:pStyle w:val="67"/>
              <w:jc w:val="center"/>
              <w:rPr>
                <w:rFonts w:hint="eastAsia" w:ascii="Times New Roman" w:hAnsi="Times New Roman" w:cs="Times New Roman"/>
                <w:color w:val="auto"/>
              </w:rPr>
            </w:pPr>
          </w:p>
        </w:tc>
        <w:tc>
          <w:tcPr>
            <w:tcW w:w="809" w:type="dxa"/>
            <w:tcBorders>
              <w:tl2br w:val="nil"/>
              <w:tr2bl w:val="nil"/>
            </w:tcBorders>
            <w:vAlign w:val="center"/>
          </w:tcPr>
          <w:p>
            <w:pPr>
              <w:pStyle w:val="67"/>
              <w:jc w:val="center"/>
              <w:rPr>
                <w:rFonts w:hint="eastAsia" w:ascii="Times New Roman" w:hAnsi="Times New Roman" w:cs="Times New Roman"/>
                <w:color w:val="auto"/>
              </w:rPr>
            </w:pPr>
          </w:p>
        </w:tc>
        <w:tc>
          <w:tcPr>
            <w:tcW w:w="1048" w:type="dxa"/>
            <w:tcBorders>
              <w:tl2br w:val="nil"/>
              <w:tr2bl w:val="nil"/>
            </w:tcBorders>
            <w:vAlign w:val="center"/>
          </w:tcPr>
          <w:p>
            <w:pPr>
              <w:pStyle w:val="67"/>
              <w:jc w:val="center"/>
              <w:rPr>
                <w:rFonts w:hint="eastAsia" w:ascii="Times New Roman" w:hAnsi="Times New Roman" w:cs="Times New Roman"/>
                <w:color w:val="auto"/>
              </w:rPr>
            </w:pPr>
          </w:p>
        </w:tc>
        <w:tc>
          <w:tcPr>
            <w:tcW w:w="557" w:type="dxa"/>
            <w:tcBorders>
              <w:tl2br w:val="nil"/>
              <w:tr2bl w:val="nil"/>
            </w:tcBorders>
            <w:vAlign w:val="center"/>
          </w:tcPr>
          <w:p>
            <w:pPr>
              <w:pStyle w:val="67"/>
              <w:jc w:val="center"/>
              <w:rPr>
                <w:rFonts w:hint="eastAsia" w:ascii="Times New Roman" w:hAnsi="Times New Roman" w:cs="Times New Roman"/>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397" w:hRule="atLeast"/>
        </w:trPr>
        <w:tc>
          <w:tcPr>
            <w:tcW w:w="496"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8</w:t>
            </w:r>
          </w:p>
        </w:tc>
        <w:tc>
          <w:tcPr>
            <w:tcW w:w="1062" w:type="dxa"/>
            <w:vMerge w:val="restart"/>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沼泽和水生植被</w:t>
            </w:r>
          </w:p>
        </w:tc>
        <w:tc>
          <w:tcPr>
            <w:tcW w:w="968" w:type="dxa"/>
            <w:vMerge w:val="restart"/>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沼泽</w:t>
            </w:r>
          </w:p>
        </w:tc>
        <w:tc>
          <w:tcPr>
            <w:tcW w:w="1413"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旱柳群落</w:t>
            </w:r>
          </w:p>
        </w:tc>
        <w:tc>
          <w:tcPr>
            <w:tcW w:w="769"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天然</w:t>
            </w:r>
          </w:p>
        </w:tc>
        <w:tc>
          <w:tcPr>
            <w:tcW w:w="456" w:type="dxa"/>
            <w:tcBorders>
              <w:tl2br w:val="nil"/>
              <w:tr2bl w:val="nil"/>
            </w:tcBorders>
            <w:vAlign w:val="center"/>
          </w:tcPr>
          <w:p>
            <w:pPr>
              <w:pStyle w:val="67"/>
              <w:jc w:val="center"/>
              <w:rPr>
                <w:rFonts w:hint="eastAsia" w:ascii="Times New Roman" w:hAnsi="Times New Roman" w:cs="Times New Roman"/>
                <w:color w:val="auto"/>
              </w:rPr>
            </w:pPr>
          </w:p>
        </w:tc>
        <w:tc>
          <w:tcPr>
            <w:tcW w:w="668" w:type="dxa"/>
            <w:tcBorders>
              <w:tl2br w:val="nil"/>
              <w:tr2bl w:val="nil"/>
            </w:tcBorders>
            <w:vAlign w:val="center"/>
          </w:tcPr>
          <w:p>
            <w:pPr>
              <w:pStyle w:val="67"/>
              <w:jc w:val="center"/>
              <w:rPr>
                <w:rFonts w:hint="eastAsia" w:ascii="Times New Roman" w:hAnsi="Times New Roman" w:cs="Times New Roman"/>
                <w:color w:val="auto"/>
              </w:rPr>
            </w:pPr>
          </w:p>
        </w:tc>
        <w:tc>
          <w:tcPr>
            <w:tcW w:w="809" w:type="dxa"/>
            <w:tcBorders>
              <w:tl2br w:val="nil"/>
              <w:tr2bl w:val="nil"/>
            </w:tcBorders>
            <w:vAlign w:val="center"/>
          </w:tcPr>
          <w:p>
            <w:pPr>
              <w:pStyle w:val="67"/>
              <w:jc w:val="center"/>
              <w:rPr>
                <w:rFonts w:hint="eastAsia" w:ascii="Times New Roman" w:hAnsi="Times New Roman" w:cs="Times New Roman"/>
                <w:color w:val="auto"/>
              </w:rPr>
            </w:pPr>
          </w:p>
        </w:tc>
        <w:tc>
          <w:tcPr>
            <w:tcW w:w="1048" w:type="dxa"/>
            <w:tcBorders>
              <w:tl2br w:val="nil"/>
              <w:tr2bl w:val="nil"/>
            </w:tcBorders>
            <w:vAlign w:val="center"/>
          </w:tcPr>
          <w:p>
            <w:pPr>
              <w:pStyle w:val="67"/>
              <w:jc w:val="center"/>
              <w:rPr>
                <w:rFonts w:hint="eastAsia" w:ascii="Times New Roman" w:hAnsi="Times New Roman" w:cs="Times New Roman"/>
                <w:color w:val="auto"/>
              </w:rPr>
            </w:pPr>
          </w:p>
        </w:tc>
        <w:tc>
          <w:tcPr>
            <w:tcW w:w="557" w:type="dxa"/>
            <w:tcBorders>
              <w:tl2br w:val="nil"/>
              <w:tr2bl w:val="nil"/>
            </w:tcBorders>
            <w:vAlign w:val="center"/>
          </w:tcPr>
          <w:p>
            <w:pPr>
              <w:pStyle w:val="67"/>
              <w:jc w:val="center"/>
              <w:rPr>
                <w:rFonts w:hint="eastAsia" w:ascii="Times New Roman" w:hAnsi="Times New Roman" w:cs="Times New Roman"/>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397" w:hRule="atLeast"/>
        </w:trPr>
        <w:tc>
          <w:tcPr>
            <w:tcW w:w="496"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9</w:t>
            </w:r>
          </w:p>
        </w:tc>
        <w:tc>
          <w:tcPr>
            <w:tcW w:w="1062" w:type="dxa"/>
            <w:vMerge w:val="continue"/>
            <w:tcBorders>
              <w:tl2br w:val="nil"/>
              <w:tr2bl w:val="nil"/>
            </w:tcBorders>
            <w:vAlign w:val="center"/>
          </w:tcPr>
          <w:p>
            <w:pPr>
              <w:pStyle w:val="67"/>
              <w:jc w:val="center"/>
              <w:rPr>
                <w:rFonts w:hint="default" w:ascii="Times New Roman" w:hAnsi="Times New Roman" w:cs="Times New Roman"/>
                <w:color w:val="auto"/>
              </w:rPr>
            </w:pPr>
          </w:p>
        </w:tc>
        <w:tc>
          <w:tcPr>
            <w:tcW w:w="968" w:type="dxa"/>
            <w:vMerge w:val="continue"/>
            <w:tcBorders>
              <w:tl2br w:val="nil"/>
              <w:tr2bl w:val="nil"/>
            </w:tcBorders>
            <w:vAlign w:val="center"/>
          </w:tcPr>
          <w:p>
            <w:pPr>
              <w:pStyle w:val="67"/>
              <w:jc w:val="center"/>
              <w:rPr>
                <w:rFonts w:hint="default" w:ascii="Times New Roman" w:hAnsi="Times New Roman" w:cs="Times New Roman"/>
                <w:color w:val="auto"/>
              </w:rPr>
            </w:pPr>
          </w:p>
        </w:tc>
        <w:tc>
          <w:tcPr>
            <w:tcW w:w="1413"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芦苇群落</w:t>
            </w:r>
          </w:p>
        </w:tc>
        <w:tc>
          <w:tcPr>
            <w:tcW w:w="769"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天然</w:t>
            </w:r>
          </w:p>
        </w:tc>
        <w:tc>
          <w:tcPr>
            <w:tcW w:w="456" w:type="dxa"/>
            <w:tcBorders>
              <w:tl2br w:val="nil"/>
              <w:tr2bl w:val="nil"/>
            </w:tcBorders>
            <w:vAlign w:val="center"/>
          </w:tcPr>
          <w:p>
            <w:pPr>
              <w:pStyle w:val="67"/>
              <w:jc w:val="center"/>
              <w:rPr>
                <w:rFonts w:hint="eastAsia" w:ascii="Times New Roman" w:hAnsi="Times New Roman" w:cs="Times New Roman"/>
                <w:color w:val="auto"/>
              </w:rPr>
            </w:pPr>
          </w:p>
        </w:tc>
        <w:tc>
          <w:tcPr>
            <w:tcW w:w="668" w:type="dxa"/>
            <w:tcBorders>
              <w:tl2br w:val="nil"/>
              <w:tr2bl w:val="nil"/>
            </w:tcBorders>
            <w:vAlign w:val="center"/>
          </w:tcPr>
          <w:p>
            <w:pPr>
              <w:pStyle w:val="67"/>
              <w:jc w:val="center"/>
              <w:rPr>
                <w:rFonts w:hint="eastAsia" w:ascii="Times New Roman" w:hAnsi="Times New Roman" w:cs="Times New Roman"/>
                <w:color w:val="auto"/>
              </w:rPr>
            </w:pPr>
          </w:p>
        </w:tc>
        <w:tc>
          <w:tcPr>
            <w:tcW w:w="809" w:type="dxa"/>
            <w:tcBorders>
              <w:tl2br w:val="nil"/>
              <w:tr2bl w:val="nil"/>
            </w:tcBorders>
            <w:vAlign w:val="center"/>
          </w:tcPr>
          <w:p>
            <w:pPr>
              <w:pStyle w:val="67"/>
              <w:jc w:val="center"/>
              <w:rPr>
                <w:rFonts w:hint="eastAsia" w:ascii="Times New Roman" w:hAnsi="Times New Roman" w:cs="Times New Roman"/>
                <w:color w:val="auto"/>
              </w:rPr>
            </w:pPr>
          </w:p>
        </w:tc>
        <w:tc>
          <w:tcPr>
            <w:tcW w:w="1048" w:type="dxa"/>
            <w:tcBorders>
              <w:tl2br w:val="nil"/>
              <w:tr2bl w:val="nil"/>
            </w:tcBorders>
            <w:vAlign w:val="center"/>
          </w:tcPr>
          <w:p>
            <w:pPr>
              <w:pStyle w:val="67"/>
              <w:jc w:val="center"/>
              <w:rPr>
                <w:rFonts w:hint="eastAsia" w:ascii="Times New Roman" w:hAnsi="Times New Roman" w:cs="Times New Roman"/>
                <w:color w:val="auto"/>
              </w:rPr>
            </w:pPr>
          </w:p>
        </w:tc>
        <w:tc>
          <w:tcPr>
            <w:tcW w:w="557" w:type="dxa"/>
            <w:tcBorders>
              <w:tl2br w:val="nil"/>
              <w:tr2bl w:val="nil"/>
            </w:tcBorders>
            <w:vAlign w:val="center"/>
          </w:tcPr>
          <w:p>
            <w:pPr>
              <w:pStyle w:val="67"/>
              <w:jc w:val="center"/>
              <w:rPr>
                <w:rFonts w:hint="eastAsia" w:ascii="Times New Roman" w:hAnsi="Times New Roman" w:cs="Times New Roman"/>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397" w:hRule="atLeast"/>
        </w:trPr>
        <w:tc>
          <w:tcPr>
            <w:tcW w:w="496"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10</w:t>
            </w:r>
          </w:p>
        </w:tc>
        <w:tc>
          <w:tcPr>
            <w:tcW w:w="1062" w:type="dxa"/>
            <w:vMerge w:val="continue"/>
            <w:tcBorders>
              <w:tl2br w:val="nil"/>
              <w:tr2bl w:val="nil"/>
            </w:tcBorders>
            <w:vAlign w:val="center"/>
          </w:tcPr>
          <w:p>
            <w:pPr>
              <w:pStyle w:val="67"/>
              <w:jc w:val="center"/>
              <w:rPr>
                <w:rFonts w:hint="default" w:ascii="Times New Roman" w:hAnsi="Times New Roman" w:cs="Times New Roman"/>
                <w:color w:val="auto"/>
              </w:rPr>
            </w:pPr>
          </w:p>
        </w:tc>
        <w:tc>
          <w:tcPr>
            <w:tcW w:w="968" w:type="dxa"/>
            <w:vMerge w:val="continue"/>
            <w:tcBorders>
              <w:tl2br w:val="nil"/>
              <w:tr2bl w:val="nil"/>
            </w:tcBorders>
            <w:vAlign w:val="center"/>
          </w:tcPr>
          <w:p>
            <w:pPr>
              <w:pStyle w:val="67"/>
              <w:jc w:val="center"/>
              <w:rPr>
                <w:rFonts w:hint="default" w:ascii="Times New Roman" w:hAnsi="Times New Roman" w:cs="Times New Roman"/>
                <w:color w:val="auto"/>
              </w:rPr>
            </w:pPr>
          </w:p>
        </w:tc>
        <w:tc>
          <w:tcPr>
            <w:tcW w:w="1413"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南荻群落</w:t>
            </w:r>
          </w:p>
        </w:tc>
        <w:tc>
          <w:tcPr>
            <w:tcW w:w="769"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天然</w:t>
            </w:r>
          </w:p>
        </w:tc>
        <w:tc>
          <w:tcPr>
            <w:tcW w:w="456" w:type="dxa"/>
            <w:tcBorders>
              <w:tl2br w:val="nil"/>
              <w:tr2bl w:val="nil"/>
            </w:tcBorders>
            <w:vAlign w:val="center"/>
          </w:tcPr>
          <w:p>
            <w:pPr>
              <w:pStyle w:val="67"/>
              <w:jc w:val="center"/>
              <w:rPr>
                <w:rFonts w:hint="eastAsia" w:ascii="Times New Roman" w:hAnsi="Times New Roman" w:cs="Times New Roman"/>
                <w:color w:val="auto"/>
              </w:rPr>
            </w:pPr>
          </w:p>
        </w:tc>
        <w:tc>
          <w:tcPr>
            <w:tcW w:w="668" w:type="dxa"/>
            <w:tcBorders>
              <w:tl2br w:val="nil"/>
              <w:tr2bl w:val="nil"/>
            </w:tcBorders>
            <w:vAlign w:val="center"/>
          </w:tcPr>
          <w:p>
            <w:pPr>
              <w:pStyle w:val="67"/>
              <w:jc w:val="center"/>
              <w:rPr>
                <w:rFonts w:hint="eastAsia" w:ascii="Times New Roman" w:hAnsi="Times New Roman" w:cs="Times New Roman"/>
                <w:color w:val="auto"/>
              </w:rPr>
            </w:pPr>
          </w:p>
        </w:tc>
        <w:tc>
          <w:tcPr>
            <w:tcW w:w="809" w:type="dxa"/>
            <w:tcBorders>
              <w:tl2br w:val="nil"/>
              <w:tr2bl w:val="nil"/>
            </w:tcBorders>
            <w:vAlign w:val="center"/>
          </w:tcPr>
          <w:p>
            <w:pPr>
              <w:pStyle w:val="67"/>
              <w:jc w:val="center"/>
              <w:rPr>
                <w:rFonts w:hint="eastAsia" w:ascii="Times New Roman" w:hAnsi="Times New Roman" w:cs="Times New Roman"/>
                <w:color w:val="auto"/>
              </w:rPr>
            </w:pPr>
          </w:p>
        </w:tc>
        <w:tc>
          <w:tcPr>
            <w:tcW w:w="1048" w:type="dxa"/>
            <w:tcBorders>
              <w:tl2br w:val="nil"/>
              <w:tr2bl w:val="nil"/>
            </w:tcBorders>
            <w:vAlign w:val="center"/>
          </w:tcPr>
          <w:p>
            <w:pPr>
              <w:pStyle w:val="67"/>
              <w:jc w:val="center"/>
              <w:rPr>
                <w:rFonts w:hint="eastAsia" w:ascii="Times New Roman" w:hAnsi="Times New Roman" w:cs="Times New Roman"/>
                <w:color w:val="auto"/>
              </w:rPr>
            </w:pPr>
          </w:p>
        </w:tc>
        <w:tc>
          <w:tcPr>
            <w:tcW w:w="557" w:type="dxa"/>
            <w:tcBorders>
              <w:tl2br w:val="nil"/>
              <w:tr2bl w:val="nil"/>
            </w:tcBorders>
            <w:vAlign w:val="center"/>
          </w:tcPr>
          <w:p>
            <w:pPr>
              <w:pStyle w:val="67"/>
              <w:jc w:val="center"/>
              <w:rPr>
                <w:rFonts w:hint="eastAsia" w:ascii="Times New Roman" w:hAnsi="Times New Roman" w:cs="Times New Roman"/>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397" w:hRule="atLeast"/>
        </w:trPr>
        <w:tc>
          <w:tcPr>
            <w:tcW w:w="496"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11</w:t>
            </w:r>
          </w:p>
        </w:tc>
        <w:tc>
          <w:tcPr>
            <w:tcW w:w="1062" w:type="dxa"/>
            <w:vMerge w:val="continue"/>
            <w:tcBorders>
              <w:tl2br w:val="nil"/>
              <w:tr2bl w:val="nil"/>
            </w:tcBorders>
            <w:vAlign w:val="center"/>
          </w:tcPr>
          <w:p>
            <w:pPr>
              <w:pStyle w:val="67"/>
              <w:jc w:val="center"/>
              <w:rPr>
                <w:rFonts w:hint="default" w:ascii="Times New Roman" w:hAnsi="Times New Roman" w:cs="Times New Roman"/>
                <w:color w:val="auto"/>
              </w:rPr>
            </w:pPr>
          </w:p>
        </w:tc>
        <w:tc>
          <w:tcPr>
            <w:tcW w:w="968" w:type="dxa"/>
            <w:vMerge w:val="restart"/>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水生植</w:t>
            </w:r>
          </w:p>
          <w:p>
            <w:pPr>
              <w:pStyle w:val="67"/>
              <w:jc w:val="center"/>
              <w:rPr>
                <w:rFonts w:hint="default" w:ascii="Times New Roman" w:hAnsi="Times New Roman" w:cs="Times New Roman"/>
                <w:color w:val="auto"/>
              </w:rPr>
            </w:pPr>
            <w:r>
              <w:rPr>
                <w:rFonts w:hint="eastAsia" w:ascii="Times New Roman" w:hAnsi="Times New Roman" w:cs="Times New Roman"/>
                <w:color w:val="auto"/>
              </w:rPr>
              <w:t>被</w:t>
            </w:r>
          </w:p>
        </w:tc>
        <w:tc>
          <w:tcPr>
            <w:tcW w:w="1413"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黑藻群落</w:t>
            </w:r>
          </w:p>
        </w:tc>
        <w:tc>
          <w:tcPr>
            <w:tcW w:w="769"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天然</w:t>
            </w:r>
          </w:p>
        </w:tc>
        <w:tc>
          <w:tcPr>
            <w:tcW w:w="456" w:type="dxa"/>
            <w:tcBorders>
              <w:tl2br w:val="nil"/>
              <w:tr2bl w:val="nil"/>
            </w:tcBorders>
            <w:vAlign w:val="center"/>
          </w:tcPr>
          <w:p>
            <w:pPr>
              <w:pStyle w:val="67"/>
              <w:jc w:val="center"/>
              <w:rPr>
                <w:rFonts w:hint="eastAsia" w:ascii="Times New Roman" w:hAnsi="Times New Roman" w:cs="Times New Roman"/>
                <w:color w:val="auto"/>
              </w:rPr>
            </w:pPr>
          </w:p>
        </w:tc>
        <w:tc>
          <w:tcPr>
            <w:tcW w:w="668" w:type="dxa"/>
            <w:tcBorders>
              <w:tl2br w:val="nil"/>
              <w:tr2bl w:val="nil"/>
            </w:tcBorders>
            <w:vAlign w:val="center"/>
          </w:tcPr>
          <w:p>
            <w:pPr>
              <w:pStyle w:val="67"/>
              <w:jc w:val="center"/>
              <w:rPr>
                <w:rFonts w:hint="eastAsia" w:ascii="Times New Roman" w:hAnsi="Times New Roman" w:cs="Times New Roman"/>
                <w:color w:val="auto"/>
              </w:rPr>
            </w:pPr>
          </w:p>
        </w:tc>
        <w:tc>
          <w:tcPr>
            <w:tcW w:w="809" w:type="dxa"/>
            <w:tcBorders>
              <w:tl2br w:val="nil"/>
              <w:tr2bl w:val="nil"/>
            </w:tcBorders>
            <w:vAlign w:val="center"/>
          </w:tcPr>
          <w:p>
            <w:pPr>
              <w:pStyle w:val="67"/>
              <w:jc w:val="center"/>
              <w:rPr>
                <w:rFonts w:hint="eastAsia" w:ascii="Times New Roman" w:hAnsi="Times New Roman" w:cs="Times New Roman"/>
                <w:color w:val="auto"/>
              </w:rPr>
            </w:pPr>
          </w:p>
        </w:tc>
        <w:tc>
          <w:tcPr>
            <w:tcW w:w="1048" w:type="dxa"/>
            <w:tcBorders>
              <w:tl2br w:val="nil"/>
              <w:tr2bl w:val="nil"/>
            </w:tcBorders>
            <w:vAlign w:val="center"/>
          </w:tcPr>
          <w:p>
            <w:pPr>
              <w:pStyle w:val="67"/>
              <w:jc w:val="center"/>
              <w:rPr>
                <w:rFonts w:hint="eastAsia" w:ascii="Times New Roman" w:hAnsi="Times New Roman" w:cs="Times New Roman"/>
                <w:color w:val="auto"/>
              </w:rPr>
            </w:pPr>
          </w:p>
        </w:tc>
        <w:tc>
          <w:tcPr>
            <w:tcW w:w="557" w:type="dxa"/>
            <w:tcBorders>
              <w:tl2br w:val="nil"/>
              <w:tr2bl w:val="nil"/>
            </w:tcBorders>
            <w:vAlign w:val="center"/>
          </w:tcPr>
          <w:p>
            <w:pPr>
              <w:pStyle w:val="67"/>
              <w:jc w:val="center"/>
              <w:rPr>
                <w:rFonts w:hint="eastAsia" w:ascii="Times New Roman" w:hAnsi="Times New Roman" w:cs="Times New Roman"/>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397" w:hRule="atLeast"/>
        </w:trPr>
        <w:tc>
          <w:tcPr>
            <w:tcW w:w="496"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12</w:t>
            </w:r>
          </w:p>
        </w:tc>
        <w:tc>
          <w:tcPr>
            <w:tcW w:w="1062" w:type="dxa"/>
            <w:vMerge w:val="continue"/>
            <w:tcBorders>
              <w:tl2br w:val="nil"/>
              <w:tr2bl w:val="nil"/>
            </w:tcBorders>
            <w:vAlign w:val="center"/>
          </w:tcPr>
          <w:p>
            <w:pPr>
              <w:pStyle w:val="67"/>
              <w:jc w:val="center"/>
              <w:rPr>
                <w:rFonts w:hint="default" w:ascii="Times New Roman" w:hAnsi="Times New Roman" w:cs="Times New Roman"/>
                <w:color w:val="auto"/>
              </w:rPr>
            </w:pPr>
          </w:p>
        </w:tc>
        <w:tc>
          <w:tcPr>
            <w:tcW w:w="968" w:type="dxa"/>
            <w:vMerge w:val="continue"/>
            <w:tcBorders>
              <w:tl2br w:val="nil"/>
              <w:tr2bl w:val="nil"/>
            </w:tcBorders>
            <w:vAlign w:val="center"/>
          </w:tcPr>
          <w:p>
            <w:pPr>
              <w:pStyle w:val="67"/>
              <w:jc w:val="center"/>
              <w:rPr>
                <w:rFonts w:hint="default" w:ascii="Times New Roman" w:hAnsi="Times New Roman" w:cs="Times New Roman"/>
                <w:color w:val="auto"/>
              </w:rPr>
            </w:pPr>
          </w:p>
        </w:tc>
        <w:tc>
          <w:tcPr>
            <w:tcW w:w="1413"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菹草群落</w:t>
            </w:r>
          </w:p>
        </w:tc>
        <w:tc>
          <w:tcPr>
            <w:tcW w:w="769"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天然</w:t>
            </w:r>
          </w:p>
        </w:tc>
        <w:tc>
          <w:tcPr>
            <w:tcW w:w="456" w:type="dxa"/>
            <w:tcBorders>
              <w:tl2br w:val="nil"/>
              <w:tr2bl w:val="nil"/>
            </w:tcBorders>
            <w:vAlign w:val="center"/>
          </w:tcPr>
          <w:p>
            <w:pPr>
              <w:pStyle w:val="67"/>
              <w:jc w:val="center"/>
              <w:rPr>
                <w:rFonts w:hint="eastAsia" w:ascii="Times New Roman" w:hAnsi="Times New Roman" w:cs="Times New Roman"/>
                <w:color w:val="auto"/>
              </w:rPr>
            </w:pPr>
          </w:p>
        </w:tc>
        <w:tc>
          <w:tcPr>
            <w:tcW w:w="668" w:type="dxa"/>
            <w:tcBorders>
              <w:tl2br w:val="nil"/>
              <w:tr2bl w:val="nil"/>
            </w:tcBorders>
            <w:vAlign w:val="center"/>
          </w:tcPr>
          <w:p>
            <w:pPr>
              <w:pStyle w:val="67"/>
              <w:jc w:val="center"/>
              <w:rPr>
                <w:rFonts w:hint="eastAsia" w:ascii="Times New Roman" w:hAnsi="Times New Roman" w:cs="Times New Roman"/>
                <w:color w:val="auto"/>
              </w:rPr>
            </w:pPr>
          </w:p>
        </w:tc>
        <w:tc>
          <w:tcPr>
            <w:tcW w:w="809" w:type="dxa"/>
            <w:tcBorders>
              <w:tl2br w:val="nil"/>
              <w:tr2bl w:val="nil"/>
            </w:tcBorders>
            <w:vAlign w:val="center"/>
          </w:tcPr>
          <w:p>
            <w:pPr>
              <w:pStyle w:val="67"/>
              <w:jc w:val="center"/>
              <w:rPr>
                <w:rFonts w:hint="eastAsia" w:ascii="Times New Roman" w:hAnsi="Times New Roman" w:cs="Times New Roman"/>
                <w:color w:val="auto"/>
              </w:rPr>
            </w:pPr>
          </w:p>
        </w:tc>
        <w:tc>
          <w:tcPr>
            <w:tcW w:w="1048" w:type="dxa"/>
            <w:tcBorders>
              <w:tl2br w:val="nil"/>
              <w:tr2bl w:val="nil"/>
            </w:tcBorders>
            <w:vAlign w:val="center"/>
          </w:tcPr>
          <w:p>
            <w:pPr>
              <w:pStyle w:val="67"/>
              <w:jc w:val="center"/>
              <w:rPr>
                <w:rFonts w:hint="eastAsia" w:ascii="Times New Roman" w:hAnsi="Times New Roman" w:cs="Times New Roman"/>
                <w:color w:val="auto"/>
              </w:rPr>
            </w:pPr>
          </w:p>
        </w:tc>
        <w:tc>
          <w:tcPr>
            <w:tcW w:w="557" w:type="dxa"/>
            <w:tcBorders>
              <w:tl2br w:val="nil"/>
              <w:tr2bl w:val="nil"/>
            </w:tcBorders>
            <w:vAlign w:val="center"/>
          </w:tcPr>
          <w:p>
            <w:pPr>
              <w:pStyle w:val="67"/>
              <w:jc w:val="center"/>
              <w:rPr>
                <w:rFonts w:hint="eastAsia" w:ascii="Times New Roman" w:hAnsi="Times New Roman" w:cs="Times New Roman"/>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784" w:hRule="atLeast"/>
        </w:trPr>
        <w:tc>
          <w:tcPr>
            <w:tcW w:w="496"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13</w:t>
            </w:r>
          </w:p>
        </w:tc>
        <w:tc>
          <w:tcPr>
            <w:tcW w:w="1062" w:type="dxa"/>
            <w:vMerge w:val="continue"/>
            <w:tcBorders>
              <w:tl2br w:val="nil"/>
              <w:tr2bl w:val="nil"/>
            </w:tcBorders>
            <w:vAlign w:val="center"/>
          </w:tcPr>
          <w:p>
            <w:pPr>
              <w:pStyle w:val="67"/>
              <w:jc w:val="center"/>
              <w:rPr>
                <w:rFonts w:hint="default" w:ascii="Times New Roman" w:hAnsi="Times New Roman" w:cs="Times New Roman"/>
                <w:color w:val="auto"/>
              </w:rPr>
            </w:pPr>
          </w:p>
        </w:tc>
        <w:tc>
          <w:tcPr>
            <w:tcW w:w="968" w:type="dxa"/>
            <w:vMerge w:val="continue"/>
            <w:tcBorders>
              <w:tl2br w:val="nil"/>
              <w:tr2bl w:val="nil"/>
            </w:tcBorders>
            <w:vAlign w:val="center"/>
          </w:tcPr>
          <w:p>
            <w:pPr>
              <w:pStyle w:val="67"/>
              <w:jc w:val="center"/>
              <w:rPr>
                <w:rFonts w:hint="eastAsia" w:ascii="Times New Roman" w:hAnsi="Times New Roman" w:cs="Times New Roman"/>
                <w:color w:val="auto"/>
              </w:rPr>
            </w:pPr>
          </w:p>
        </w:tc>
        <w:tc>
          <w:tcPr>
            <w:tcW w:w="1413" w:type="dxa"/>
            <w:tcBorders>
              <w:tl2br w:val="nil"/>
              <w:tr2bl w:val="nil"/>
            </w:tcBorders>
            <w:vAlign w:val="center"/>
          </w:tcPr>
          <w:p>
            <w:pPr>
              <w:pStyle w:val="67"/>
              <w:jc w:val="center"/>
              <w:rPr>
                <w:rFonts w:hint="eastAsia" w:ascii="Times New Roman" w:hAnsi="Times New Roman" w:cs="Times New Roman"/>
                <w:color w:val="auto"/>
              </w:rPr>
            </w:pPr>
            <w:r>
              <w:rPr>
                <w:rFonts w:hint="eastAsia" w:ascii="Times New Roman" w:hAnsi="Times New Roman" w:cs="Times New Roman"/>
                <w:color w:val="auto"/>
              </w:rPr>
              <w:t>空心莲子草群</w:t>
            </w:r>
          </w:p>
          <w:p>
            <w:pPr>
              <w:pStyle w:val="67"/>
              <w:jc w:val="center"/>
              <w:rPr>
                <w:rFonts w:hint="default" w:ascii="Times New Roman" w:hAnsi="Times New Roman" w:cs="Times New Roman"/>
                <w:color w:val="auto"/>
              </w:rPr>
            </w:pPr>
            <w:r>
              <w:rPr>
                <w:rFonts w:hint="eastAsia" w:ascii="Times New Roman" w:hAnsi="Times New Roman" w:cs="Times New Roman"/>
                <w:color w:val="auto"/>
              </w:rPr>
              <w:t>落</w:t>
            </w:r>
          </w:p>
        </w:tc>
        <w:tc>
          <w:tcPr>
            <w:tcW w:w="769"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外来</w:t>
            </w:r>
          </w:p>
          <w:p>
            <w:pPr>
              <w:pStyle w:val="67"/>
              <w:jc w:val="center"/>
              <w:rPr>
                <w:rFonts w:hint="default" w:ascii="Times New Roman" w:hAnsi="Times New Roman" w:cs="Times New Roman"/>
                <w:color w:val="auto"/>
              </w:rPr>
            </w:pPr>
            <w:r>
              <w:rPr>
                <w:rFonts w:hint="eastAsia" w:ascii="Times New Roman" w:hAnsi="Times New Roman" w:cs="Times New Roman"/>
                <w:color w:val="auto"/>
              </w:rPr>
              <w:t>逸生</w:t>
            </w:r>
          </w:p>
        </w:tc>
        <w:tc>
          <w:tcPr>
            <w:tcW w:w="456" w:type="dxa"/>
            <w:tcBorders>
              <w:tl2br w:val="nil"/>
              <w:tr2bl w:val="nil"/>
            </w:tcBorders>
            <w:vAlign w:val="center"/>
          </w:tcPr>
          <w:p>
            <w:pPr>
              <w:pStyle w:val="67"/>
              <w:jc w:val="center"/>
              <w:rPr>
                <w:rFonts w:hint="eastAsia" w:ascii="Times New Roman" w:hAnsi="Times New Roman" w:cs="Times New Roman"/>
                <w:color w:val="auto"/>
              </w:rPr>
            </w:pPr>
          </w:p>
        </w:tc>
        <w:tc>
          <w:tcPr>
            <w:tcW w:w="668" w:type="dxa"/>
            <w:tcBorders>
              <w:tl2br w:val="nil"/>
              <w:tr2bl w:val="nil"/>
            </w:tcBorders>
            <w:vAlign w:val="center"/>
          </w:tcPr>
          <w:p>
            <w:pPr>
              <w:pStyle w:val="67"/>
              <w:jc w:val="center"/>
              <w:rPr>
                <w:rFonts w:hint="eastAsia" w:ascii="Times New Roman" w:hAnsi="Times New Roman" w:cs="Times New Roman"/>
                <w:color w:val="auto"/>
              </w:rPr>
            </w:pPr>
          </w:p>
        </w:tc>
        <w:tc>
          <w:tcPr>
            <w:tcW w:w="809" w:type="dxa"/>
            <w:tcBorders>
              <w:tl2br w:val="nil"/>
              <w:tr2bl w:val="nil"/>
            </w:tcBorders>
            <w:vAlign w:val="center"/>
          </w:tcPr>
          <w:p>
            <w:pPr>
              <w:pStyle w:val="67"/>
              <w:jc w:val="center"/>
              <w:rPr>
                <w:rFonts w:hint="eastAsia" w:ascii="Times New Roman" w:hAnsi="Times New Roman" w:cs="Times New Roman"/>
                <w:color w:val="auto"/>
              </w:rPr>
            </w:pPr>
          </w:p>
        </w:tc>
        <w:tc>
          <w:tcPr>
            <w:tcW w:w="1048" w:type="dxa"/>
            <w:tcBorders>
              <w:tl2br w:val="nil"/>
              <w:tr2bl w:val="nil"/>
            </w:tcBorders>
            <w:vAlign w:val="center"/>
          </w:tcPr>
          <w:p>
            <w:pPr>
              <w:pStyle w:val="67"/>
              <w:jc w:val="center"/>
              <w:rPr>
                <w:rFonts w:hint="eastAsia" w:ascii="Times New Roman" w:hAnsi="Times New Roman" w:cs="Times New Roman"/>
                <w:color w:val="auto"/>
              </w:rPr>
            </w:pPr>
          </w:p>
        </w:tc>
        <w:tc>
          <w:tcPr>
            <w:tcW w:w="557" w:type="dxa"/>
            <w:tcBorders>
              <w:tl2br w:val="nil"/>
              <w:tr2bl w:val="nil"/>
            </w:tcBorders>
            <w:vAlign w:val="center"/>
          </w:tcPr>
          <w:p>
            <w:pPr>
              <w:pStyle w:val="67"/>
              <w:jc w:val="center"/>
              <w:rPr>
                <w:rFonts w:hint="eastAsia" w:ascii="Times New Roman" w:hAnsi="Times New Roman" w:cs="Times New Roman"/>
                <w:color w:val="auto"/>
              </w:rPr>
            </w:pPr>
          </w:p>
        </w:tc>
      </w:tr>
    </w:tbl>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 xml:space="preserve"> </w:t>
      </w:r>
      <w:r>
        <w:rPr>
          <w:rFonts w:hint="eastAsia" w:ascii="Times New Roman" w:hAnsi="Times New Roman" w:eastAsia="宋体" w:cs="Times New Roman"/>
          <w:bCs/>
          <w:color w:val="auto"/>
          <w:sz w:val="24"/>
          <w:szCs w:val="21"/>
          <w:highlight w:val="none"/>
          <w:u w:val="none"/>
          <w:lang w:val="en-US" w:eastAsia="zh-CN"/>
        </w:rPr>
        <w:t>植物群落特征分析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 xml:space="preserve">）草甸型组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①白茅草甸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白茅广泛分布于低山带平原河岸草地、沙质草甸、荒漠与海滨；中国各地均有分布。白茅是湖区内的常见草本，常分布在地势较高、排水较好的洲滩高地和边缘，面积可达几公顷。常与南荻群落和芒群落镶嵌分布</w:t>
      </w:r>
      <w:r>
        <w:rPr>
          <w:rFonts w:hint="eastAsia" w:cs="Times New Roman"/>
          <w:bCs/>
          <w:color w:val="auto"/>
          <w:sz w:val="24"/>
          <w:szCs w:val="21"/>
          <w:highlight w:val="none"/>
          <w:u w:val="none"/>
          <w:lang w:val="en-US" w:eastAsia="zh-CN"/>
        </w:rPr>
        <w:t>，</w:t>
      </w:r>
      <w:r>
        <w:rPr>
          <w:rFonts w:hint="eastAsia" w:ascii="Times New Roman" w:hAnsi="Times New Roman" w:eastAsia="宋体" w:cs="Times New Roman"/>
          <w:bCs/>
          <w:color w:val="auto"/>
          <w:sz w:val="24"/>
          <w:szCs w:val="21"/>
          <w:highlight w:val="none"/>
          <w:u w:val="none"/>
          <w:lang w:val="en-US" w:eastAsia="zh-CN"/>
        </w:rPr>
        <w:t xml:space="preserve">或成片分布在疏林下。群落外貌淡绿色，秋冬季地上部常为枯黄色，生长紧密，高可达 </w:t>
      </w:r>
      <w:r>
        <w:rPr>
          <w:rFonts w:hint="default" w:ascii="Times New Roman" w:hAnsi="Times New Roman" w:eastAsia="宋体" w:cs="Times New Roman"/>
          <w:bCs/>
          <w:color w:val="auto"/>
          <w:sz w:val="24"/>
          <w:szCs w:val="21"/>
          <w:highlight w:val="none"/>
          <w:u w:val="none"/>
          <w:lang w:val="en-US" w:eastAsia="zh-CN"/>
        </w:rPr>
        <w:t>1 m</w:t>
      </w:r>
      <w:r>
        <w:rPr>
          <w:rFonts w:hint="eastAsia" w:ascii="Times New Roman" w:hAnsi="Times New Roman" w:eastAsia="宋体" w:cs="Times New Roman"/>
          <w:bCs/>
          <w:color w:val="auto"/>
          <w:sz w:val="24"/>
          <w:szCs w:val="21"/>
          <w:highlight w:val="none"/>
          <w:u w:val="none"/>
          <w:lang w:val="en-US" w:eastAsia="zh-CN"/>
        </w:rPr>
        <w:t>。</w:t>
      </w:r>
    </w:p>
    <w:p>
      <w:pPr>
        <w:keepNext w:val="0"/>
        <w:keepLines w:val="0"/>
        <w:widowControl/>
        <w:suppressLineNumbers w:val="0"/>
        <w:jc w:val="left"/>
        <w:rPr>
          <w:color w:val="auto"/>
        </w:rPr>
      </w:pPr>
    </w:p>
    <w:p>
      <w:pPr>
        <w:adjustRightInd w:val="0"/>
        <w:snapToGrid w:val="0"/>
        <w:spacing w:line="360" w:lineRule="auto"/>
        <w:jc w:val="left"/>
        <w:rPr>
          <w:rFonts w:hint="eastAsia" w:ascii="Times New Roman" w:hAnsi="Times New Roman" w:eastAsia="宋体" w:cs="Times New Roman"/>
          <w:bCs/>
          <w:color w:val="auto"/>
          <w:sz w:val="24"/>
          <w:szCs w:val="21"/>
          <w:highlight w:val="none"/>
          <w:u w:val="none"/>
          <w:lang w:val="en-US" w:eastAsia="zh-CN"/>
        </w:rPr>
      </w:pPr>
      <w:r>
        <w:rPr>
          <w:color w:val="auto"/>
        </w:rPr>
        <w:drawing>
          <wp:inline distT="0" distB="0" distL="114300" distR="114300">
            <wp:extent cx="5274310" cy="1742440"/>
            <wp:effectExtent l="0" t="0" r="2540" b="10160"/>
            <wp:docPr id="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pic:cNvPicPr>
                      <a:picLocks noChangeAspect="1"/>
                    </pic:cNvPicPr>
                  </pic:nvPicPr>
                  <pic:blipFill>
                    <a:blip r:embed="rId59"/>
                    <a:stretch>
                      <a:fillRect/>
                    </a:stretch>
                  </pic:blipFill>
                  <pic:spPr>
                    <a:xfrm>
                      <a:off x="0" y="0"/>
                      <a:ext cx="5274310" cy="1742440"/>
                    </a:xfrm>
                    <a:prstGeom prst="rect">
                      <a:avLst/>
                    </a:prstGeom>
                    <a:noFill/>
                    <a:ln>
                      <a:noFill/>
                    </a:ln>
                  </pic:spPr>
                </pic:pic>
              </a:graphicData>
            </a:graphic>
          </wp:inline>
        </w:drawing>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fldChar w:fldCharType="begin"/>
      </w:r>
      <w:r>
        <w:rPr>
          <w:rFonts w:hint="eastAsia" w:ascii="Times New Roman" w:hAnsi="Times New Roman" w:eastAsia="宋体" w:cs="Times New Roman"/>
          <w:bCs/>
          <w:color w:val="auto"/>
          <w:sz w:val="24"/>
          <w:szCs w:val="21"/>
          <w:highlight w:val="none"/>
          <w:u w:val="none"/>
          <w:lang w:val="en-US" w:eastAsia="zh-CN"/>
        </w:rPr>
        <w:instrText xml:space="preserve"> = 2 \* GB3 \* MERGEFORMAT </w:instrText>
      </w:r>
      <w:r>
        <w:rPr>
          <w:rFonts w:hint="eastAsia" w:ascii="Times New Roman" w:hAnsi="Times New Roman" w:eastAsia="宋体" w:cs="Times New Roman"/>
          <w:bCs/>
          <w:color w:val="auto"/>
          <w:sz w:val="24"/>
          <w:szCs w:val="21"/>
          <w:highlight w:val="none"/>
          <w:u w:val="none"/>
          <w:lang w:val="en-US" w:eastAsia="zh-CN"/>
        </w:rPr>
        <w:fldChar w:fldCharType="separate"/>
      </w:r>
      <w:r>
        <w:rPr>
          <w:rFonts w:hint="eastAsia" w:ascii="Times New Roman" w:hAnsi="Times New Roman" w:eastAsia="宋体" w:cs="Times New Roman"/>
          <w:bCs/>
          <w:color w:val="auto"/>
          <w:sz w:val="24"/>
          <w:szCs w:val="21"/>
          <w:highlight w:val="none"/>
          <w:u w:val="none"/>
          <w:lang w:val="en-US" w:eastAsia="zh-CN"/>
        </w:rPr>
        <w:t>②</w:t>
      </w:r>
      <w:r>
        <w:rPr>
          <w:rFonts w:hint="eastAsia" w:ascii="Times New Roman" w:hAnsi="Times New Roman" w:eastAsia="宋体" w:cs="Times New Roman"/>
          <w:bCs/>
          <w:color w:val="auto"/>
          <w:sz w:val="24"/>
          <w:szCs w:val="21"/>
          <w:highlight w:val="none"/>
          <w:u w:val="none"/>
          <w:lang w:val="en-US" w:eastAsia="zh-CN"/>
        </w:rPr>
        <w:fldChar w:fldCharType="end"/>
      </w:r>
      <w:r>
        <w:rPr>
          <w:rFonts w:hint="eastAsia" w:ascii="Times New Roman" w:hAnsi="Times New Roman" w:eastAsia="宋体" w:cs="Times New Roman"/>
          <w:bCs/>
          <w:color w:val="auto"/>
          <w:sz w:val="24"/>
          <w:szCs w:val="21"/>
          <w:highlight w:val="none"/>
          <w:u w:val="none"/>
          <w:lang w:val="en-US" w:eastAsia="zh-CN"/>
        </w:rPr>
        <w:t xml:space="preserve">芒草甸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芒是禾本科芒属多年生苇状草本。叶片线形，下面疏生柔毛及被白粉，边缘粗糙，圆锥花序直立，小穗披针形，黄色有光泽，遍布于海拔</w:t>
      </w:r>
      <w:r>
        <w:rPr>
          <w:rFonts w:hint="default" w:ascii="Times New Roman" w:hAnsi="Times New Roman" w:eastAsia="宋体" w:cs="Times New Roman"/>
          <w:bCs/>
          <w:color w:val="auto"/>
          <w:sz w:val="24"/>
          <w:szCs w:val="21"/>
          <w:highlight w:val="none"/>
          <w:u w:val="none"/>
          <w:lang w:val="en-US" w:eastAsia="zh-CN"/>
        </w:rPr>
        <w:t>1800</w:t>
      </w:r>
      <w:r>
        <w:rPr>
          <w:rFonts w:hint="eastAsia" w:ascii="Times New Roman" w:hAnsi="Times New Roman" w:eastAsia="宋体" w:cs="Times New Roman"/>
          <w:bCs/>
          <w:color w:val="auto"/>
          <w:sz w:val="24"/>
          <w:szCs w:val="21"/>
          <w:highlight w:val="none"/>
          <w:u w:val="none"/>
          <w:lang w:val="en-US" w:eastAsia="zh-CN"/>
        </w:rPr>
        <w:t>米以下的山地、丘陵和荒坡原野，常组成优势群落。广泛分布于评价区堤坝两侧。芒草对重金属污染土壤有修复作用；芒草对土地沙化环境具有改善作用。</w:t>
      </w:r>
    </w:p>
    <w:p>
      <w:pPr>
        <w:keepNext w:val="0"/>
        <w:keepLines w:val="0"/>
        <w:widowControl/>
        <w:suppressLineNumbers w:val="0"/>
        <w:jc w:val="left"/>
        <w:rPr>
          <w:rFonts w:ascii="仿宋" w:hAnsi="仿宋" w:eastAsia="仿宋" w:cs="仿宋"/>
          <w:color w:val="auto"/>
          <w:kern w:val="0"/>
          <w:sz w:val="27"/>
          <w:szCs w:val="27"/>
          <w:lang w:val="en-US" w:eastAsia="zh-CN" w:bidi="ar"/>
        </w:rPr>
      </w:pPr>
      <w:r>
        <w:rPr>
          <w:color w:val="auto"/>
        </w:rPr>
        <w:drawing>
          <wp:inline distT="0" distB="0" distL="114300" distR="114300">
            <wp:extent cx="5271770" cy="1861820"/>
            <wp:effectExtent l="0" t="0" r="5080" b="5080"/>
            <wp:docPr id="4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2"/>
                    <pic:cNvPicPr>
                      <a:picLocks noChangeAspect="1"/>
                    </pic:cNvPicPr>
                  </pic:nvPicPr>
                  <pic:blipFill>
                    <a:blip r:embed="rId60"/>
                    <a:stretch>
                      <a:fillRect/>
                    </a:stretch>
                  </pic:blipFill>
                  <pic:spPr>
                    <a:xfrm>
                      <a:off x="0" y="0"/>
                      <a:ext cx="5271770" cy="1861820"/>
                    </a:xfrm>
                    <a:prstGeom prst="rect">
                      <a:avLst/>
                    </a:prstGeom>
                    <a:noFill/>
                    <a:ln>
                      <a:noFill/>
                    </a:ln>
                  </pic:spPr>
                </pic:pic>
              </a:graphicData>
            </a:graphic>
          </wp:inline>
        </w:drawing>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③狗牙根草甸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狗牙根是禾本科狗牙根属多年生草本植物，广泛分布于热带、亚热带和温带地区，中国黄河流域以南各地均有狗牙根，北至新疆亦有野生狗牙根。狗牙根适合在温暖潮湿和温暖半干早地区生长，极耐热耐旱，耐践踏，但抗寒性差，也不耐阴，根系浅，喜在排水良好的肥沃土壤中生长，在轻度盐碱地上也生长较快，且侵占力强，如果疏于管理，两三年内就会完全侵占草坪。狗牙根多生长于村庄附近、道旁河岸、荒地山坡。以根茎、匍匐茎繁殖为主，也可种子繁殖。根茎蔓延力很强，广铺地面，是良好的固堤保土植物。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于评价区荒地、护堤、河滩广泛分布</w:t>
      </w:r>
    </w:p>
    <w:p>
      <w:pPr>
        <w:adjustRightInd w:val="0"/>
        <w:snapToGrid w:val="0"/>
        <w:spacing w:line="360" w:lineRule="auto"/>
        <w:jc w:val="left"/>
        <w:rPr>
          <w:rFonts w:hint="eastAsia" w:ascii="Times New Roman" w:hAnsi="Times New Roman" w:eastAsia="宋体" w:cs="Times New Roman"/>
          <w:bCs/>
          <w:color w:val="auto"/>
          <w:sz w:val="24"/>
          <w:szCs w:val="21"/>
          <w:highlight w:val="none"/>
          <w:u w:val="none"/>
          <w:lang w:val="en-US" w:eastAsia="zh-CN"/>
        </w:rPr>
      </w:pPr>
      <w:r>
        <w:rPr>
          <w:color w:val="auto"/>
        </w:rPr>
        <w:drawing>
          <wp:inline distT="0" distB="0" distL="114300" distR="114300">
            <wp:extent cx="5268595" cy="1841500"/>
            <wp:effectExtent l="0" t="0" r="8255" b="6350"/>
            <wp:docPr id="5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3"/>
                    <pic:cNvPicPr>
                      <a:picLocks noChangeAspect="1"/>
                    </pic:cNvPicPr>
                  </pic:nvPicPr>
                  <pic:blipFill>
                    <a:blip r:embed="rId61"/>
                    <a:stretch>
                      <a:fillRect/>
                    </a:stretch>
                  </pic:blipFill>
                  <pic:spPr>
                    <a:xfrm>
                      <a:off x="0" y="0"/>
                      <a:ext cx="5268595" cy="1841500"/>
                    </a:xfrm>
                    <a:prstGeom prst="rect">
                      <a:avLst/>
                    </a:prstGeom>
                    <a:noFill/>
                    <a:ln>
                      <a:noFill/>
                    </a:ln>
                  </pic:spPr>
                </pic:pic>
              </a:graphicData>
            </a:graphic>
          </wp:inline>
        </w:drawing>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④灰化薹草草甸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灰化薹草是莎草科、薹草属多年生草本植物。根状茎短，具长的匍匐茎。生长在湖边、沼泽或湿地。灰化薹草薹草主要进行无性繁殖，依靠根状茎上的腋芽萌发成新株。灰化薹草具有发达的须根，其盘根错节，与土粒相互吸附，构成厚达 </w:t>
      </w:r>
      <w:r>
        <w:rPr>
          <w:rFonts w:hint="default" w:ascii="Times New Roman" w:hAnsi="Times New Roman" w:eastAsia="宋体" w:cs="Times New Roman"/>
          <w:bCs/>
          <w:color w:val="auto"/>
          <w:sz w:val="24"/>
          <w:szCs w:val="21"/>
          <w:highlight w:val="none"/>
          <w:u w:val="none"/>
          <w:lang w:val="en-US" w:eastAsia="zh-CN"/>
        </w:rPr>
        <w:t xml:space="preserve">15-20 </w:t>
      </w:r>
      <w:r>
        <w:rPr>
          <w:rFonts w:hint="eastAsia" w:ascii="Times New Roman" w:hAnsi="Times New Roman" w:eastAsia="宋体" w:cs="Times New Roman"/>
          <w:bCs/>
          <w:color w:val="auto"/>
          <w:sz w:val="24"/>
          <w:szCs w:val="21"/>
          <w:highlight w:val="none"/>
          <w:u w:val="none"/>
          <w:lang w:val="en-US" w:eastAsia="zh-CN"/>
        </w:rPr>
        <w:t xml:space="preserve">厘米的生草根层，坚实不易耕耙，正是由于这一庞大的须根，吸附着沼泽草甸土有限的速效养分，繁殖生长。灰化薹草是洞庭湖滨地区良等野生牧草，幼嫩时，牛、羊、鹅均喜食，除放牧外，因其粗蛋白质含量较高。可刈割、晒制于草、粉碎作为配合饲料的填充剂，也可青贮和作发酵饲料。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该草甸在湖区广泛分布，评价区藕池河河滩广泛分布。</w:t>
      </w:r>
    </w:p>
    <w:p>
      <w:pPr>
        <w:keepNext w:val="0"/>
        <w:keepLines w:val="0"/>
        <w:widowControl/>
        <w:suppressLineNumbers w:val="0"/>
        <w:jc w:val="left"/>
        <w:rPr>
          <w:color w:val="auto"/>
        </w:rPr>
      </w:pPr>
      <w:r>
        <w:rPr>
          <w:color w:val="auto"/>
        </w:rPr>
        <w:drawing>
          <wp:inline distT="0" distB="0" distL="114300" distR="114300">
            <wp:extent cx="5268595" cy="1825625"/>
            <wp:effectExtent l="0" t="0" r="8255" b="3175"/>
            <wp:docPr id="5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4"/>
                    <pic:cNvPicPr>
                      <a:picLocks noChangeAspect="1"/>
                    </pic:cNvPicPr>
                  </pic:nvPicPr>
                  <pic:blipFill>
                    <a:blip r:embed="rId62"/>
                    <a:stretch>
                      <a:fillRect/>
                    </a:stretch>
                  </pic:blipFill>
                  <pic:spPr>
                    <a:xfrm>
                      <a:off x="0" y="0"/>
                      <a:ext cx="5268595" cy="1825625"/>
                    </a:xfrm>
                    <a:prstGeom prst="rect">
                      <a:avLst/>
                    </a:prstGeom>
                    <a:noFill/>
                    <a:ln>
                      <a:noFill/>
                    </a:ln>
                  </pic:spPr>
                </pic:pic>
              </a:graphicData>
            </a:graphic>
          </wp:inline>
        </w:drawing>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⑤牛毛毡草甸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牛毛毡为多年生莎草科湿生性草本，喜酸性黏土、潮湿环境。一般生于海拔 </w:t>
      </w:r>
      <w:r>
        <w:rPr>
          <w:rFonts w:hint="default" w:ascii="Times New Roman" w:hAnsi="Times New Roman" w:eastAsia="宋体" w:cs="Times New Roman"/>
          <w:bCs/>
          <w:color w:val="auto"/>
          <w:sz w:val="24"/>
          <w:szCs w:val="21"/>
          <w:highlight w:val="none"/>
          <w:u w:val="none"/>
          <w:lang w:val="en-US" w:eastAsia="zh-CN"/>
        </w:rPr>
        <w:t xml:space="preserve">0-3000 m </w:t>
      </w:r>
      <w:r>
        <w:rPr>
          <w:rFonts w:hint="eastAsia" w:ascii="Times New Roman" w:hAnsi="Times New Roman" w:eastAsia="宋体" w:cs="Times New Roman"/>
          <w:bCs/>
          <w:color w:val="auto"/>
          <w:sz w:val="24"/>
          <w:szCs w:val="21"/>
          <w:highlight w:val="none"/>
          <w:u w:val="none"/>
          <w:lang w:val="en-US" w:eastAsia="zh-CN"/>
        </w:rPr>
        <w:t>的稻田、池塘边、河滩地及渠边等湿地。生长的适温为</w:t>
      </w:r>
      <w:r>
        <w:rPr>
          <w:rFonts w:hint="default" w:ascii="Times New Roman" w:hAnsi="Times New Roman" w:eastAsia="宋体" w:cs="Times New Roman"/>
          <w:bCs/>
          <w:color w:val="auto"/>
          <w:sz w:val="24"/>
          <w:szCs w:val="21"/>
          <w:highlight w:val="none"/>
          <w:u w:val="none"/>
          <w:lang w:val="en-US" w:eastAsia="zh-CN"/>
        </w:rPr>
        <w:t>22-26 ℃</w:t>
      </w:r>
      <w:r>
        <w:rPr>
          <w:rFonts w:hint="eastAsia" w:ascii="Times New Roman" w:hAnsi="Times New Roman" w:eastAsia="宋体" w:cs="Times New Roman"/>
          <w:bCs/>
          <w:color w:val="auto"/>
          <w:sz w:val="24"/>
          <w:szCs w:val="21"/>
          <w:highlight w:val="none"/>
          <w:u w:val="none"/>
          <w:lang w:val="en-US" w:eastAsia="zh-CN"/>
        </w:rPr>
        <w:t>。牛毛毡喜欢浅水和潮湿的环境，当有充足的光照时也能生长在</w:t>
      </w:r>
      <w:r>
        <w:rPr>
          <w:rFonts w:hint="default" w:ascii="Times New Roman" w:hAnsi="Times New Roman" w:eastAsia="宋体" w:cs="Times New Roman"/>
          <w:bCs/>
          <w:color w:val="auto"/>
          <w:sz w:val="24"/>
          <w:szCs w:val="21"/>
          <w:highlight w:val="none"/>
          <w:u w:val="none"/>
          <w:lang w:val="en-US" w:eastAsia="zh-CN"/>
        </w:rPr>
        <w:t>80</w:t>
      </w:r>
      <w:r>
        <w:rPr>
          <w:rFonts w:hint="eastAsia" w:ascii="Times New Roman" w:hAnsi="Times New Roman" w:eastAsia="宋体" w:cs="Times New Roman"/>
          <w:bCs/>
          <w:color w:val="auto"/>
          <w:sz w:val="24"/>
          <w:szCs w:val="21"/>
          <w:highlight w:val="none"/>
          <w:u w:val="none"/>
          <w:lang w:val="en-US" w:eastAsia="zh-CN"/>
        </w:rPr>
        <w:t>～</w:t>
      </w:r>
      <w:r>
        <w:rPr>
          <w:rFonts w:hint="default" w:ascii="Times New Roman" w:hAnsi="Times New Roman" w:eastAsia="宋体" w:cs="Times New Roman"/>
          <w:bCs/>
          <w:color w:val="auto"/>
          <w:sz w:val="24"/>
          <w:szCs w:val="21"/>
          <w:highlight w:val="none"/>
          <w:u w:val="none"/>
          <w:lang w:val="en-US" w:eastAsia="zh-CN"/>
        </w:rPr>
        <w:t xml:space="preserve">100 cm </w:t>
      </w:r>
      <w:r>
        <w:rPr>
          <w:rFonts w:hint="eastAsia" w:ascii="Times New Roman" w:hAnsi="Times New Roman" w:eastAsia="宋体" w:cs="Times New Roman"/>
          <w:bCs/>
          <w:color w:val="auto"/>
          <w:sz w:val="24"/>
          <w:szCs w:val="21"/>
          <w:highlight w:val="none"/>
          <w:u w:val="none"/>
          <w:lang w:val="en-US" w:eastAsia="zh-CN"/>
        </w:rPr>
        <w:t xml:space="preserve">的深水中。牛毛毡高发于 </w:t>
      </w:r>
      <w:r>
        <w:rPr>
          <w:rFonts w:hint="default" w:ascii="Times New Roman" w:hAnsi="Times New Roman" w:eastAsia="宋体" w:cs="Times New Roman"/>
          <w:bCs/>
          <w:color w:val="auto"/>
          <w:sz w:val="24"/>
          <w:szCs w:val="21"/>
          <w:highlight w:val="none"/>
          <w:u w:val="none"/>
          <w:lang w:val="en-US" w:eastAsia="zh-CN"/>
        </w:rPr>
        <w:t>6</w:t>
      </w:r>
      <w:r>
        <w:rPr>
          <w:rFonts w:hint="eastAsia" w:ascii="Times New Roman" w:hAnsi="Times New Roman" w:eastAsia="宋体" w:cs="Times New Roman"/>
          <w:bCs/>
          <w:color w:val="auto"/>
          <w:sz w:val="24"/>
          <w:szCs w:val="21"/>
          <w:highlight w:val="none"/>
          <w:u w:val="none"/>
          <w:lang w:val="en-US" w:eastAsia="zh-CN"/>
        </w:rPr>
        <w:t>～</w:t>
      </w:r>
      <w:r>
        <w:rPr>
          <w:rFonts w:hint="default" w:ascii="Times New Roman" w:hAnsi="Times New Roman" w:eastAsia="宋体" w:cs="Times New Roman"/>
          <w:bCs/>
          <w:color w:val="auto"/>
          <w:sz w:val="24"/>
          <w:szCs w:val="21"/>
          <w:highlight w:val="none"/>
          <w:u w:val="none"/>
          <w:lang w:val="en-US" w:eastAsia="zh-CN"/>
        </w:rPr>
        <w:t xml:space="preserve">7 </w:t>
      </w:r>
      <w:r>
        <w:rPr>
          <w:rFonts w:hint="eastAsia" w:ascii="Times New Roman" w:hAnsi="Times New Roman" w:eastAsia="宋体" w:cs="Times New Roman"/>
          <w:bCs/>
          <w:color w:val="auto"/>
          <w:sz w:val="24"/>
          <w:szCs w:val="21"/>
          <w:highlight w:val="none"/>
          <w:u w:val="none"/>
          <w:lang w:val="en-US" w:eastAsia="zh-CN"/>
        </w:rPr>
        <w:t xml:space="preserve">月，对水稻危害非常严重，在早晚稻田中甚至可以单独造成严重危害，与其它杂草形成坚不可摧的杂草群落，是稻田的噩梦。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该草甸于评价区农田和河岸区域内广泛分布，于农田中影响作物产量，但在河岸堤坝及河滩范围则有保持水土的作用。</w:t>
      </w:r>
    </w:p>
    <w:p>
      <w:pPr>
        <w:adjustRightInd w:val="0"/>
        <w:snapToGrid w:val="0"/>
        <w:spacing w:line="360" w:lineRule="auto"/>
        <w:jc w:val="left"/>
        <w:rPr>
          <w:color w:val="auto"/>
        </w:rPr>
      </w:pPr>
      <w:r>
        <w:rPr>
          <w:color w:val="auto"/>
        </w:rPr>
        <w:drawing>
          <wp:inline distT="0" distB="0" distL="114300" distR="114300">
            <wp:extent cx="5268595" cy="1727200"/>
            <wp:effectExtent l="0" t="0" r="8255" b="6350"/>
            <wp:docPr id="5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
                    <pic:cNvPicPr>
                      <a:picLocks noChangeAspect="1"/>
                    </pic:cNvPicPr>
                  </pic:nvPicPr>
                  <pic:blipFill>
                    <a:blip r:embed="rId63"/>
                    <a:stretch>
                      <a:fillRect/>
                    </a:stretch>
                  </pic:blipFill>
                  <pic:spPr>
                    <a:xfrm>
                      <a:off x="0" y="0"/>
                      <a:ext cx="5268595" cy="1727200"/>
                    </a:xfrm>
                    <a:prstGeom prst="rect">
                      <a:avLst/>
                    </a:prstGeom>
                    <a:noFill/>
                    <a:ln>
                      <a:noFill/>
                    </a:ln>
                  </pic:spPr>
                </pic:pic>
              </a:graphicData>
            </a:graphic>
          </wp:inline>
        </w:drawing>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⑥紫云英草甸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紫云英别名翘摇、红花草等，是豆科黄芪属的二年生草本植物。紫云英富硒，含有丰富的蛋白质，可用做牲畜饲料，其嫩梢可供蔬食；泌蜜量大且蜂蜜品质好，是重要的蜜源植物；也是优良的观花植物，可应用于公园、花坛、花镜中；具有固氮能力，可固定空气中氮，植株腐解时，产生大量的氮素，维持农田生态系统中的氮循环；紫云英以全草、根及种子入药，具有一定的药用价值。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本种于评价区荒地及河滩广泛分布。</w:t>
      </w:r>
    </w:p>
    <w:p>
      <w:pPr>
        <w:adjustRightInd w:val="0"/>
        <w:snapToGrid w:val="0"/>
        <w:spacing w:line="360" w:lineRule="auto"/>
        <w:jc w:val="left"/>
        <w:rPr>
          <w:color w:val="auto"/>
        </w:rPr>
      </w:pPr>
      <w:r>
        <w:rPr>
          <w:color w:val="auto"/>
        </w:rPr>
        <w:drawing>
          <wp:inline distT="0" distB="0" distL="114300" distR="114300">
            <wp:extent cx="5273040" cy="1730375"/>
            <wp:effectExtent l="0" t="0" r="3810" b="3175"/>
            <wp:docPr id="5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6"/>
                    <pic:cNvPicPr>
                      <a:picLocks noChangeAspect="1"/>
                    </pic:cNvPicPr>
                  </pic:nvPicPr>
                  <pic:blipFill>
                    <a:blip r:embed="rId64"/>
                    <a:stretch>
                      <a:fillRect/>
                    </a:stretch>
                  </pic:blipFill>
                  <pic:spPr>
                    <a:xfrm>
                      <a:off x="0" y="0"/>
                      <a:ext cx="5273040" cy="1730375"/>
                    </a:xfrm>
                    <a:prstGeom prst="rect">
                      <a:avLst/>
                    </a:prstGeom>
                    <a:noFill/>
                    <a:ln>
                      <a:noFill/>
                    </a:ln>
                  </pic:spPr>
                </pic:pic>
              </a:graphicData>
            </a:graphic>
          </wp:inline>
        </w:drawing>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fldChar w:fldCharType="begin"/>
      </w:r>
      <w:r>
        <w:rPr>
          <w:rFonts w:hint="eastAsia" w:ascii="Times New Roman" w:hAnsi="Times New Roman" w:eastAsia="宋体" w:cs="Times New Roman"/>
          <w:bCs/>
          <w:color w:val="auto"/>
          <w:sz w:val="24"/>
          <w:szCs w:val="21"/>
          <w:highlight w:val="none"/>
          <w:u w:val="none"/>
          <w:lang w:val="en-US" w:eastAsia="zh-CN"/>
        </w:rPr>
        <w:instrText xml:space="preserve"> = 7 \* GB3 \* MERGEFORMAT </w:instrText>
      </w:r>
      <w:r>
        <w:rPr>
          <w:rFonts w:hint="eastAsia" w:ascii="Times New Roman" w:hAnsi="Times New Roman" w:eastAsia="宋体" w:cs="Times New Roman"/>
          <w:bCs/>
          <w:color w:val="auto"/>
          <w:sz w:val="24"/>
          <w:szCs w:val="21"/>
          <w:highlight w:val="none"/>
          <w:u w:val="none"/>
          <w:lang w:val="en-US" w:eastAsia="zh-CN"/>
        </w:rPr>
        <w:fldChar w:fldCharType="separate"/>
      </w:r>
      <w:r>
        <w:rPr>
          <w:rFonts w:hint="eastAsia" w:ascii="Times New Roman" w:hAnsi="Times New Roman" w:eastAsia="宋体" w:cs="Times New Roman"/>
          <w:bCs/>
          <w:color w:val="auto"/>
          <w:sz w:val="24"/>
          <w:szCs w:val="21"/>
          <w:highlight w:val="none"/>
          <w:u w:val="none"/>
          <w:lang w:val="en-US" w:eastAsia="zh-CN"/>
        </w:rPr>
        <w:t>⑦</w:t>
      </w:r>
      <w:r>
        <w:rPr>
          <w:rFonts w:hint="eastAsia" w:ascii="Times New Roman" w:hAnsi="Times New Roman" w:eastAsia="宋体" w:cs="Times New Roman"/>
          <w:bCs/>
          <w:color w:val="auto"/>
          <w:sz w:val="24"/>
          <w:szCs w:val="21"/>
          <w:highlight w:val="none"/>
          <w:u w:val="none"/>
          <w:lang w:val="en-US" w:eastAsia="zh-CN"/>
        </w:rPr>
        <w:fldChar w:fldCharType="end"/>
      </w:r>
      <w:r>
        <w:rPr>
          <w:rFonts w:hint="eastAsia" w:ascii="Times New Roman" w:hAnsi="Times New Roman" w:eastAsia="宋体" w:cs="Times New Roman"/>
          <w:bCs/>
          <w:color w:val="auto"/>
          <w:sz w:val="24"/>
          <w:szCs w:val="21"/>
          <w:highlight w:val="none"/>
          <w:u w:val="none"/>
          <w:lang w:val="en-US" w:eastAsia="zh-CN"/>
        </w:rPr>
        <w:t xml:space="preserve">北美苍耳草甸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北美苍耳是菊科苍耳属一年生草本植物，具有适应性强、繁殖能力强、生命力顽强等特点，因此是重要危险性外来杂草。北美苍耳成熟时种子外形成木质化总苞，总苞具有喙状针刺，以此粘附在人及动物身上进行远距离传播，本种一旦入侵成功会迅速占据大量生态位，对本土物种产生极其严重的排挤性危害。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该草甸类型为外来逸生，现已广泛分布于评价区草地。</w:t>
      </w:r>
    </w:p>
    <w:p>
      <w:pPr>
        <w:adjustRightInd w:val="0"/>
        <w:snapToGrid w:val="0"/>
        <w:spacing w:line="360" w:lineRule="auto"/>
        <w:jc w:val="left"/>
        <w:rPr>
          <w:rFonts w:hint="eastAsia" w:ascii="Times New Roman" w:hAnsi="Times New Roman" w:eastAsia="宋体" w:cs="Times New Roman"/>
          <w:bCs/>
          <w:color w:val="auto"/>
          <w:sz w:val="24"/>
          <w:szCs w:val="21"/>
          <w:highlight w:val="none"/>
          <w:u w:val="none"/>
          <w:lang w:val="en-US" w:eastAsia="zh-CN"/>
        </w:rPr>
      </w:pPr>
      <w:r>
        <w:rPr>
          <w:color w:val="auto"/>
        </w:rPr>
        <w:drawing>
          <wp:inline distT="0" distB="0" distL="114300" distR="114300">
            <wp:extent cx="5273040" cy="1896745"/>
            <wp:effectExtent l="0" t="0" r="3810" b="8255"/>
            <wp:docPr id="6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7"/>
                    <pic:cNvPicPr>
                      <a:picLocks noChangeAspect="1"/>
                    </pic:cNvPicPr>
                  </pic:nvPicPr>
                  <pic:blipFill>
                    <a:blip r:embed="rId65"/>
                    <a:stretch>
                      <a:fillRect/>
                    </a:stretch>
                  </pic:blipFill>
                  <pic:spPr>
                    <a:xfrm>
                      <a:off x="0" y="0"/>
                      <a:ext cx="5273040" cy="1896745"/>
                    </a:xfrm>
                    <a:prstGeom prst="rect">
                      <a:avLst/>
                    </a:prstGeom>
                    <a:noFill/>
                    <a:ln>
                      <a:noFill/>
                    </a:ln>
                  </pic:spPr>
                </pic:pic>
              </a:graphicData>
            </a:graphic>
          </wp:inline>
        </w:drawing>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w:t>
      </w:r>
      <w:r>
        <w:rPr>
          <w:rFonts w:hint="eastAsia" w:cs="Times New Roman"/>
          <w:bCs/>
          <w:color w:val="auto"/>
          <w:sz w:val="24"/>
          <w:szCs w:val="21"/>
          <w:highlight w:val="none"/>
          <w:u w:val="none"/>
          <w:lang w:val="en-US" w:eastAsia="zh-CN"/>
        </w:rPr>
        <w:t>2</w:t>
      </w:r>
      <w:r>
        <w:rPr>
          <w:rFonts w:hint="eastAsia" w:ascii="Times New Roman" w:hAnsi="Times New Roman" w:eastAsia="宋体" w:cs="Times New Roman"/>
          <w:bCs/>
          <w:color w:val="auto"/>
          <w:sz w:val="24"/>
          <w:szCs w:val="21"/>
          <w:highlight w:val="none"/>
          <w:u w:val="none"/>
          <w:lang w:val="en-US" w:eastAsia="zh-CN"/>
        </w:rPr>
        <w:t xml:space="preserve">）沼泽和水生植物型组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cs="Times New Roman"/>
          <w:bCs/>
          <w:color w:val="auto"/>
          <w:sz w:val="24"/>
          <w:szCs w:val="21"/>
          <w:highlight w:val="none"/>
          <w:u w:val="none"/>
          <w:lang w:val="en-US" w:eastAsia="zh-CN"/>
        </w:rPr>
        <w:t>1）沼泽</w:t>
      </w:r>
      <w:r>
        <w:rPr>
          <w:rFonts w:hint="eastAsia" w:ascii="Times New Roman" w:hAnsi="Times New Roman" w:eastAsia="宋体" w:cs="Times New Roman"/>
          <w:bCs/>
          <w:color w:val="auto"/>
          <w:sz w:val="24"/>
          <w:szCs w:val="21"/>
          <w:highlight w:val="none"/>
          <w:u w:val="none"/>
          <w:lang w:val="en-US" w:eastAsia="zh-CN"/>
        </w:rPr>
        <w:t>植被</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①旱柳群落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旱柳是杨柳科柳属的乔木植物，产于中国的东北、华北平原、西北黄土高原，西至甘肃、青海，南至淮河流域以及浙江、江苏。喜光，耐寒，湿地，旱地皆能生长，适宜在湿润而排水良好的土壤生长。旱柳为耐湿植物，能够一定程度上作为防风固沙的生态屏障，对于保护琥珀周边地区的生态环境具有重要意义；此外，旱柳发达的根系能够有效地固定土壤，减少水土流失。尤其是在湖岸带，旱柳能稳固岸边土壤，防止因波浪侵蚀导致的岸线后退，根系还能够吸收并分解水中的一些有害物质，如重金属离子和过量的营养盐（氮、磷等），从而有助于减轻湖泊的富营养化问题。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该群落主要分布于评价区南侧藕池河河岸，为人工栽培，作防护林。林地潮湿，涨水时节林下常被水淹没。群落外貌较整齐，季相明显。群落郁闭度约</w:t>
      </w:r>
      <w:r>
        <w:rPr>
          <w:rFonts w:hint="default" w:ascii="Times New Roman" w:hAnsi="Times New Roman" w:eastAsia="宋体" w:cs="Times New Roman"/>
          <w:bCs/>
          <w:color w:val="auto"/>
          <w:sz w:val="24"/>
          <w:szCs w:val="21"/>
          <w:highlight w:val="none"/>
          <w:u w:val="none"/>
          <w:lang w:val="en-US" w:eastAsia="zh-CN"/>
        </w:rPr>
        <w:t>0.8</w:t>
      </w:r>
      <w:r>
        <w:rPr>
          <w:rFonts w:hint="eastAsia" w:ascii="Times New Roman" w:hAnsi="Times New Roman" w:eastAsia="宋体" w:cs="Times New Roman"/>
          <w:bCs/>
          <w:color w:val="auto"/>
          <w:sz w:val="24"/>
          <w:szCs w:val="21"/>
          <w:highlight w:val="none"/>
          <w:u w:val="none"/>
          <w:lang w:val="en-US" w:eastAsia="zh-CN"/>
        </w:rPr>
        <w:t xml:space="preserve">，乔木层以旱柳为单优种，林下灌木偶见粉团蔷薇，林下草本层主要有南荻、益母草、百球藨草、蛇床等。 </w:t>
      </w:r>
    </w:p>
    <w:p>
      <w:pPr>
        <w:adjustRightInd w:val="0"/>
        <w:snapToGrid w:val="0"/>
        <w:spacing w:line="360" w:lineRule="auto"/>
        <w:jc w:val="left"/>
        <w:rPr>
          <w:color w:val="auto"/>
        </w:rPr>
      </w:pPr>
      <w:r>
        <w:rPr>
          <w:color w:val="auto"/>
        </w:rPr>
        <w:drawing>
          <wp:inline distT="0" distB="0" distL="114300" distR="114300">
            <wp:extent cx="5199380" cy="1809115"/>
            <wp:effectExtent l="0" t="0" r="1270" b="635"/>
            <wp:docPr id="6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8"/>
                    <pic:cNvPicPr>
                      <a:picLocks noChangeAspect="1"/>
                    </pic:cNvPicPr>
                  </pic:nvPicPr>
                  <pic:blipFill>
                    <a:blip r:embed="rId66"/>
                    <a:stretch>
                      <a:fillRect/>
                    </a:stretch>
                  </pic:blipFill>
                  <pic:spPr>
                    <a:xfrm>
                      <a:off x="0" y="0"/>
                      <a:ext cx="5199380" cy="1809115"/>
                    </a:xfrm>
                    <a:prstGeom prst="rect">
                      <a:avLst/>
                    </a:prstGeom>
                    <a:noFill/>
                    <a:ln>
                      <a:noFill/>
                    </a:ln>
                  </pic:spPr>
                </pic:pic>
              </a:graphicData>
            </a:graphic>
          </wp:inline>
        </w:drawing>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②芦苇群落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芦苇是禾本科芦苇属的多年生草本植物，分布在中国各地，常见于江河湖泽、池塘沟渠沿岸和低湿地。芦苇的繁殖能力强，在适宜条件下，无论是种子、根状茎和地上茎都可栽种。芦苇花序雄伟美观，常用作湖边、河岸低湿处的观赏植物，有固堤、护坡、控制杂草的作用，杆为造纸原料或作编席织帘及建棚材料，根状茎供药用。芦苇还是湿地沼泽环境中重要的组成部分，且芦苇湿地的生态价值具有</w:t>
      </w:r>
      <w:r>
        <w:rPr>
          <w:rFonts w:hint="default" w:ascii="Times New Roman" w:hAnsi="Times New Roman" w:eastAsia="宋体" w:cs="Times New Roman"/>
          <w:bCs/>
          <w:color w:val="auto"/>
          <w:sz w:val="24"/>
          <w:szCs w:val="21"/>
          <w:highlight w:val="none"/>
          <w:u w:val="none"/>
          <w:lang w:val="en-US" w:eastAsia="zh-CN"/>
        </w:rPr>
        <w:t>“</w:t>
      </w:r>
      <w:r>
        <w:rPr>
          <w:rFonts w:hint="eastAsia" w:ascii="Times New Roman" w:hAnsi="Times New Roman" w:eastAsia="宋体" w:cs="Times New Roman"/>
          <w:bCs/>
          <w:color w:val="auto"/>
          <w:sz w:val="24"/>
          <w:szCs w:val="21"/>
          <w:highlight w:val="none"/>
          <w:u w:val="none"/>
          <w:lang w:val="en-US" w:eastAsia="zh-CN"/>
        </w:rPr>
        <w:t>第二森林</w:t>
      </w:r>
      <w:r>
        <w:rPr>
          <w:rFonts w:hint="default" w:ascii="Times New Roman" w:hAnsi="Times New Roman" w:eastAsia="宋体" w:cs="Times New Roman"/>
          <w:bCs/>
          <w:color w:val="auto"/>
          <w:sz w:val="24"/>
          <w:szCs w:val="21"/>
          <w:highlight w:val="none"/>
          <w:u w:val="none"/>
          <w:lang w:val="en-US" w:eastAsia="zh-CN"/>
        </w:rPr>
        <w:t>”</w:t>
      </w:r>
      <w:r>
        <w:rPr>
          <w:rFonts w:hint="eastAsia" w:ascii="Times New Roman" w:hAnsi="Times New Roman" w:eastAsia="宋体" w:cs="Times New Roman"/>
          <w:bCs/>
          <w:color w:val="auto"/>
          <w:sz w:val="24"/>
          <w:szCs w:val="21"/>
          <w:highlight w:val="none"/>
          <w:u w:val="none"/>
          <w:lang w:val="en-US" w:eastAsia="zh-CN"/>
        </w:rPr>
        <w:t xml:space="preserve">之美誉，在净化水源、调节气候和保护生物多样性等方面具有其他植物不可替代的作用。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该群落广泛分布于评价区荒地、农田田埂、藕池河河岸、堤坝。群落总盖度约</w:t>
      </w:r>
      <w:r>
        <w:rPr>
          <w:rFonts w:hint="default" w:ascii="Times New Roman" w:hAnsi="Times New Roman" w:eastAsia="宋体" w:cs="Times New Roman"/>
          <w:bCs/>
          <w:color w:val="auto"/>
          <w:sz w:val="24"/>
          <w:szCs w:val="21"/>
          <w:highlight w:val="none"/>
          <w:u w:val="none"/>
          <w:lang w:val="en-US" w:eastAsia="zh-CN"/>
        </w:rPr>
        <w:t>90%</w:t>
      </w:r>
      <w:r>
        <w:rPr>
          <w:rFonts w:hint="eastAsia" w:ascii="Times New Roman" w:hAnsi="Times New Roman" w:eastAsia="宋体" w:cs="Times New Roman"/>
          <w:bCs/>
          <w:color w:val="auto"/>
          <w:sz w:val="24"/>
          <w:szCs w:val="21"/>
          <w:highlight w:val="none"/>
          <w:u w:val="none"/>
          <w:lang w:val="en-US" w:eastAsia="zh-CN"/>
        </w:rPr>
        <w:t>，平均高度约</w:t>
      </w:r>
      <w:r>
        <w:rPr>
          <w:rFonts w:hint="default" w:ascii="Times New Roman" w:hAnsi="Times New Roman" w:eastAsia="宋体" w:cs="Times New Roman"/>
          <w:bCs/>
          <w:color w:val="auto"/>
          <w:sz w:val="24"/>
          <w:szCs w:val="21"/>
          <w:highlight w:val="none"/>
          <w:u w:val="none"/>
          <w:lang w:val="en-US" w:eastAsia="zh-CN"/>
        </w:rPr>
        <w:t>2m</w:t>
      </w:r>
      <w:r>
        <w:rPr>
          <w:rFonts w:hint="eastAsia" w:ascii="Times New Roman" w:hAnsi="Times New Roman" w:eastAsia="宋体" w:cs="Times New Roman"/>
          <w:bCs/>
          <w:color w:val="auto"/>
          <w:sz w:val="24"/>
          <w:szCs w:val="21"/>
          <w:highlight w:val="none"/>
          <w:u w:val="none"/>
          <w:lang w:val="en-US" w:eastAsia="zh-CN"/>
        </w:rPr>
        <w:t xml:space="preserve">。群落可分三层，第一层主要为芦苇，第二层主要有蛇床、益母草等，第三层主要有野老鹳、南苜蓿、救荒野豌豆、旋花等。 </w:t>
      </w:r>
    </w:p>
    <w:p>
      <w:pPr>
        <w:pStyle w:val="21"/>
        <w:ind w:left="0" w:leftChars="0" w:firstLine="0" w:firstLineChars="0"/>
        <w:rPr>
          <w:rFonts w:hint="eastAsia"/>
          <w:color w:val="auto"/>
          <w:lang w:val="en-US" w:eastAsia="zh-CN"/>
        </w:rPr>
      </w:pPr>
      <w:r>
        <w:rPr>
          <w:color w:val="auto"/>
        </w:rPr>
        <w:drawing>
          <wp:inline distT="0" distB="0" distL="114300" distR="114300">
            <wp:extent cx="5269865" cy="1863090"/>
            <wp:effectExtent l="0" t="0" r="6985" b="3810"/>
            <wp:docPr id="6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9"/>
                    <pic:cNvPicPr>
                      <a:picLocks noChangeAspect="1"/>
                    </pic:cNvPicPr>
                  </pic:nvPicPr>
                  <pic:blipFill>
                    <a:blip r:embed="rId67"/>
                    <a:stretch>
                      <a:fillRect/>
                    </a:stretch>
                  </pic:blipFill>
                  <pic:spPr>
                    <a:xfrm>
                      <a:off x="0" y="0"/>
                      <a:ext cx="5269865" cy="1863090"/>
                    </a:xfrm>
                    <a:prstGeom prst="rect">
                      <a:avLst/>
                    </a:prstGeom>
                    <a:noFill/>
                    <a:ln>
                      <a:noFill/>
                    </a:ln>
                  </pic:spPr>
                </pic:pic>
              </a:graphicData>
            </a:graphic>
          </wp:inline>
        </w:drawing>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③南荻群系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南荻是禾本科、芒属多年生高大竹状草本植物。南荻产于中国长江中下游以南各省；生于江洲湖滩上，海拔</w:t>
      </w:r>
      <w:r>
        <w:rPr>
          <w:rFonts w:hint="default" w:ascii="Times New Roman" w:hAnsi="Times New Roman" w:eastAsia="宋体" w:cs="Times New Roman"/>
          <w:bCs/>
          <w:color w:val="auto"/>
          <w:sz w:val="24"/>
          <w:szCs w:val="21"/>
          <w:highlight w:val="none"/>
          <w:u w:val="none"/>
          <w:lang w:val="en-US" w:eastAsia="zh-CN"/>
        </w:rPr>
        <w:t>30-40 m</w:t>
      </w:r>
      <w:r>
        <w:rPr>
          <w:rFonts w:hint="eastAsia" w:ascii="Times New Roman" w:hAnsi="Times New Roman" w:eastAsia="宋体" w:cs="Times New Roman"/>
          <w:bCs/>
          <w:color w:val="auto"/>
          <w:sz w:val="24"/>
          <w:szCs w:val="21"/>
          <w:highlight w:val="none"/>
          <w:u w:val="none"/>
          <w:lang w:val="en-US" w:eastAsia="zh-CN"/>
        </w:rPr>
        <w:t>。南获的根状茎强壮，容易扩散繁殖，植株散生，分藥也多，而且生长迅速，植物纤维长且品质良好。大面积的南获可以调节气候，涵养水源，形成良好的湿地生态环境，为鸟类提供栖息、觅食、繁殖的家园。</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评价区内南荻群落主要生长于藕池河两岸河滩，面积较大，为天然群落。该群落以南荻为单一优势种，群落总盖度约为</w:t>
      </w:r>
      <w:r>
        <w:rPr>
          <w:rFonts w:hint="default" w:ascii="Times New Roman" w:hAnsi="Times New Roman" w:eastAsia="宋体" w:cs="Times New Roman"/>
          <w:bCs/>
          <w:color w:val="auto"/>
          <w:sz w:val="24"/>
          <w:szCs w:val="21"/>
          <w:highlight w:val="none"/>
          <w:u w:val="none"/>
          <w:lang w:val="en-US" w:eastAsia="zh-CN"/>
        </w:rPr>
        <w:t>85%</w:t>
      </w:r>
      <w:r>
        <w:rPr>
          <w:rFonts w:hint="eastAsia" w:ascii="Times New Roman" w:hAnsi="Times New Roman" w:eastAsia="宋体" w:cs="Times New Roman"/>
          <w:bCs/>
          <w:color w:val="auto"/>
          <w:sz w:val="24"/>
          <w:szCs w:val="21"/>
          <w:highlight w:val="none"/>
          <w:u w:val="none"/>
          <w:lang w:val="en-US" w:eastAsia="zh-CN"/>
        </w:rPr>
        <w:t>，平均高度</w:t>
      </w:r>
      <w:r>
        <w:rPr>
          <w:rFonts w:hint="default" w:ascii="Times New Roman" w:hAnsi="Times New Roman" w:eastAsia="宋体" w:cs="Times New Roman"/>
          <w:bCs/>
          <w:color w:val="auto"/>
          <w:sz w:val="24"/>
          <w:szCs w:val="21"/>
          <w:highlight w:val="none"/>
          <w:u w:val="none"/>
          <w:lang w:val="en-US" w:eastAsia="zh-CN"/>
        </w:rPr>
        <w:t>1.5m</w:t>
      </w:r>
      <w:r>
        <w:rPr>
          <w:rFonts w:hint="eastAsia" w:ascii="Times New Roman" w:hAnsi="Times New Roman" w:eastAsia="宋体" w:cs="Times New Roman"/>
          <w:bCs/>
          <w:color w:val="auto"/>
          <w:sz w:val="24"/>
          <w:szCs w:val="21"/>
          <w:highlight w:val="none"/>
          <w:u w:val="none"/>
          <w:lang w:val="en-US" w:eastAsia="zh-CN"/>
        </w:rPr>
        <w:t xml:space="preserve">，伴生草本主要有牛筋草、益母草、双穗雀稗等。 </w:t>
      </w:r>
    </w:p>
    <w:p>
      <w:pPr>
        <w:pStyle w:val="21"/>
        <w:ind w:left="0" w:leftChars="0" w:firstLine="0" w:firstLineChars="0"/>
        <w:rPr>
          <w:rFonts w:hint="eastAsia"/>
          <w:color w:val="auto"/>
          <w:lang w:val="en-US" w:eastAsia="zh-CN"/>
        </w:rPr>
      </w:pPr>
      <w:r>
        <w:rPr>
          <w:color w:val="auto"/>
        </w:rPr>
        <w:drawing>
          <wp:inline distT="0" distB="0" distL="114300" distR="114300">
            <wp:extent cx="5267325" cy="1799590"/>
            <wp:effectExtent l="0" t="0" r="9525" b="10160"/>
            <wp:docPr id="6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10"/>
                    <pic:cNvPicPr>
                      <a:picLocks noChangeAspect="1"/>
                    </pic:cNvPicPr>
                  </pic:nvPicPr>
                  <pic:blipFill>
                    <a:blip r:embed="rId68"/>
                    <a:stretch>
                      <a:fillRect/>
                    </a:stretch>
                  </pic:blipFill>
                  <pic:spPr>
                    <a:xfrm>
                      <a:off x="0" y="0"/>
                      <a:ext cx="5267325" cy="1799590"/>
                    </a:xfrm>
                    <a:prstGeom prst="rect">
                      <a:avLst/>
                    </a:prstGeom>
                    <a:noFill/>
                    <a:ln>
                      <a:noFill/>
                    </a:ln>
                  </pic:spPr>
                </pic:pic>
              </a:graphicData>
            </a:graphic>
          </wp:inline>
        </w:drawing>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cs="Times New Roman"/>
          <w:bCs/>
          <w:color w:val="auto"/>
          <w:sz w:val="24"/>
          <w:szCs w:val="21"/>
          <w:highlight w:val="none"/>
          <w:u w:val="none"/>
          <w:lang w:val="en-US" w:eastAsia="zh-CN"/>
        </w:rPr>
        <w:t>2）</w:t>
      </w:r>
      <w:r>
        <w:rPr>
          <w:rFonts w:hint="eastAsia" w:ascii="Times New Roman" w:hAnsi="Times New Roman" w:eastAsia="宋体" w:cs="Times New Roman"/>
          <w:bCs/>
          <w:color w:val="auto"/>
          <w:sz w:val="24"/>
          <w:szCs w:val="21"/>
          <w:highlight w:val="none"/>
          <w:u w:val="none"/>
          <w:lang w:val="en-US" w:eastAsia="zh-CN"/>
        </w:rPr>
        <w:t>水生植被</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① 黑藻群落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黑藻是水鳖科黑藻属多年生沉水草本。喜光照充足的环境，喜温暖，耐寒冷，在 </w:t>
      </w:r>
      <w:r>
        <w:rPr>
          <w:rFonts w:hint="default" w:ascii="Times New Roman" w:hAnsi="Times New Roman" w:eastAsia="宋体" w:cs="Times New Roman"/>
          <w:bCs/>
          <w:color w:val="auto"/>
          <w:sz w:val="24"/>
          <w:szCs w:val="21"/>
          <w:highlight w:val="none"/>
          <w:u w:val="none"/>
          <w:lang w:val="en-US" w:eastAsia="zh-CN"/>
        </w:rPr>
        <w:t>15-30℃</w:t>
      </w:r>
      <w:r>
        <w:rPr>
          <w:rFonts w:hint="eastAsia" w:ascii="Times New Roman" w:hAnsi="Times New Roman" w:eastAsia="宋体" w:cs="Times New Roman"/>
          <w:bCs/>
          <w:color w:val="auto"/>
          <w:sz w:val="24"/>
          <w:szCs w:val="21"/>
          <w:highlight w:val="none"/>
          <w:u w:val="none"/>
          <w:lang w:val="en-US" w:eastAsia="zh-CN"/>
        </w:rPr>
        <w:t xml:space="preserve">的温度范围内生长良好，越冬温度不宜低于 </w:t>
      </w:r>
      <w:r>
        <w:rPr>
          <w:rFonts w:hint="default" w:ascii="Times New Roman" w:hAnsi="Times New Roman" w:eastAsia="宋体" w:cs="Times New Roman"/>
          <w:bCs/>
          <w:color w:val="auto"/>
          <w:sz w:val="24"/>
          <w:szCs w:val="21"/>
          <w:highlight w:val="none"/>
          <w:u w:val="none"/>
          <w:lang w:val="en-US" w:eastAsia="zh-CN"/>
        </w:rPr>
        <w:t>4℃</w:t>
      </w:r>
      <w:r>
        <w:rPr>
          <w:rFonts w:hint="eastAsia" w:ascii="Times New Roman" w:hAnsi="Times New Roman" w:eastAsia="宋体" w:cs="Times New Roman"/>
          <w:bCs/>
          <w:color w:val="auto"/>
          <w:sz w:val="24"/>
          <w:szCs w:val="21"/>
          <w:highlight w:val="none"/>
          <w:u w:val="none"/>
          <w:lang w:val="en-US" w:eastAsia="zh-CN"/>
        </w:rPr>
        <w:t xml:space="preserve">。该种植物适合室内水体绿化，是装饰水族箱的良好材料，常作为中景、背景草使用。全草可做猪饲料，亦可作为绿肥使用；亦能入药，具利尿祛湿之功效。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现场调查结果显示，黑藻群落广泛分布于评价区北侧农田、原养虾池的静态水域中。群落以黑藻本种为单一优势种，伴生物种主要有水马齿、菹草等。 </w:t>
      </w:r>
    </w:p>
    <w:p>
      <w:pPr>
        <w:adjustRightInd w:val="0"/>
        <w:snapToGrid w:val="0"/>
        <w:spacing w:line="360" w:lineRule="auto"/>
        <w:jc w:val="left"/>
        <w:rPr>
          <w:rFonts w:hint="default" w:ascii="Times New Roman" w:hAnsi="Times New Roman" w:eastAsia="宋体" w:cs="Times New Roman"/>
          <w:bCs/>
          <w:color w:val="auto"/>
          <w:sz w:val="24"/>
          <w:szCs w:val="21"/>
          <w:highlight w:val="none"/>
          <w:u w:val="none"/>
          <w:lang w:val="en-US" w:eastAsia="zh-CN"/>
        </w:rPr>
      </w:pPr>
      <w:r>
        <w:rPr>
          <w:color w:val="auto"/>
        </w:rPr>
        <w:drawing>
          <wp:inline distT="0" distB="0" distL="114300" distR="114300">
            <wp:extent cx="5274310" cy="1909445"/>
            <wp:effectExtent l="0" t="0" r="2540" b="14605"/>
            <wp:docPr id="6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11"/>
                    <pic:cNvPicPr>
                      <a:picLocks noChangeAspect="1"/>
                    </pic:cNvPicPr>
                  </pic:nvPicPr>
                  <pic:blipFill>
                    <a:blip r:embed="rId69"/>
                    <a:stretch>
                      <a:fillRect/>
                    </a:stretch>
                  </pic:blipFill>
                  <pic:spPr>
                    <a:xfrm>
                      <a:off x="0" y="0"/>
                      <a:ext cx="5274310" cy="1909445"/>
                    </a:xfrm>
                    <a:prstGeom prst="rect">
                      <a:avLst/>
                    </a:prstGeom>
                    <a:noFill/>
                    <a:ln>
                      <a:noFill/>
                    </a:ln>
                  </pic:spPr>
                </pic:pic>
              </a:graphicData>
            </a:graphic>
          </wp:inline>
        </w:drawing>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 xml:space="preserve">② </w:t>
      </w:r>
      <w:r>
        <w:rPr>
          <w:rFonts w:hint="eastAsia" w:ascii="Times New Roman" w:hAnsi="Times New Roman" w:eastAsia="宋体" w:cs="Times New Roman"/>
          <w:bCs/>
          <w:color w:val="auto"/>
          <w:sz w:val="24"/>
          <w:szCs w:val="21"/>
          <w:highlight w:val="none"/>
          <w:u w:val="none"/>
          <w:lang w:val="en-US" w:eastAsia="zh-CN"/>
        </w:rPr>
        <w:t xml:space="preserve">菹草群落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菹草眼为子菜科眼子菜属的多年生沉水草本植物。常生于池塘、湖泊、溪流中，水体多呈微酸至中性。广泛生长在湖沼、池塘、河沟和稻田。菹草的生长时期与大多数水生植物有所不同，冬、春生长良好，对水域的富营养化有较强的适应能力。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根据现场调查结果显示，该群落主要分布于评价区北侧农田沟渠的流动水域中，群落物种多样性较为单一，以菹草为主。</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p>
    <w:p>
      <w:pPr>
        <w:adjustRightInd w:val="0"/>
        <w:snapToGrid w:val="0"/>
        <w:spacing w:line="360" w:lineRule="auto"/>
        <w:jc w:val="left"/>
        <w:rPr>
          <w:rFonts w:hint="eastAsia" w:ascii="Times New Roman" w:hAnsi="Times New Roman" w:eastAsia="宋体" w:cs="Times New Roman"/>
          <w:bCs/>
          <w:color w:val="auto"/>
          <w:sz w:val="24"/>
          <w:szCs w:val="21"/>
          <w:highlight w:val="none"/>
          <w:u w:val="none"/>
          <w:lang w:val="en-US" w:eastAsia="zh-CN"/>
        </w:rPr>
      </w:pPr>
      <w:r>
        <w:rPr>
          <w:color w:val="auto"/>
        </w:rPr>
        <w:drawing>
          <wp:inline distT="0" distB="0" distL="114300" distR="114300">
            <wp:extent cx="5267325" cy="1724025"/>
            <wp:effectExtent l="0" t="0" r="9525" b="9525"/>
            <wp:docPr id="7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12"/>
                    <pic:cNvPicPr>
                      <a:picLocks noChangeAspect="1"/>
                    </pic:cNvPicPr>
                  </pic:nvPicPr>
                  <pic:blipFill>
                    <a:blip r:embed="rId70"/>
                    <a:stretch>
                      <a:fillRect/>
                    </a:stretch>
                  </pic:blipFill>
                  <pic:spPr>
                    <a:xfrm>
                      <a:off x="0" y="0"/>
                      <a:ext cx="5267325" cy="1724025"/>
                    </a:xfrm>
                    <a:prstGeom prst="rect">
                      <a:avLst/>
                    </a:prstGeom>
                    <a:noFill/>
                    <a:ln>
                      <a:noFill/>
                    </a:ln>
                  </pic:spPr>
                </pic:pic>
              </a:graphicData>
            </a:graphic>
          </wp:inline>
        </w:drawing>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黑藻、菹草等原生水生植物在东洞庭湖国家级自然保护区湿地生态系统扮演至关重要的角色。在水质净化方面，黑藻能够吸收水体中的营养物质，如氮、磷等，有助于减少水体富营养化现象，其根系和茎叶可以减缓水流速度，帮助稳定底泥，防止沉积物再悬浮，从而保持水质清晰；在环境适应性方面，耐寒性强，能够在冬季存活，保证了湿地植被的连续性和稳定性；在生态保护方面促进了湿地生物多样性的提高，它不仅是许多水生动物的食物来源，还为微生物和其他小型生物提供了生存空间。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 xml:space="preserve">③ </w:t>
      </w:r>
      <w:r>
        <w:rPr>
          <w:rFonts w:hint="eastAsia" w:ascii="Times New Roman" w:hAnsi="Times New Roman" w:eastAsia="宋体" w:cs="Times New Roman"/>
          <w:bCs/>
          <w:color w:val="auto"/>
          <w:sz w:val="24"/>
          <w:szCs w:val="21"/>
          <w:highlight w:val="none"/>
          <w:u w:val="none"/>
          <w:lang w:val="en-US" w:eastAsia="zh-CN"/>
        </w:rPr>
        <w:t xml:space="preserve">空心莲子草群落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空心莲子草为苋科莲子草属多年生草本植物，喜旱莲子草原产巴西，引种我国后，逸为野生，现已成为恶性入侵杂草。该群落于评价区内广泛分布。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空心莲子草在湿地生态系统中的影响是双重的，既有正面作用也存在极其显著的负面影响。正面影响主要体现在水质净化、土壤保持和碳汇功能上；负面影响主要有，生态入侵、农业与水资源管理问题以及给当地的生态环境管理和经济发展带来负担。</w:t>
      </w:r>
    </w:p>
    <w:p>
      <w:pPr>
        <w:pStyle w:val="21"/>
        <w:ind w:left="0" w:leftChars="0" w:firstLine="0" w:firstLineChars="0"/>
        <w:rPr>
          <w:rFonts w:hint="eastAsia" w:ascii="Times New Roman" w:hAnsi="Times New Roman" w:eastAsia="宋体" w:cs="Times New Roman"/>
          <w:bCs/>
          <w:color w:val="auto"/>
          <w:sz w:val="24"/>
          <w:szCs w:val="21"/>
          <w:highlight w:val="none"/>
          <w:u w:val="none"/>
          <w:lang w:val="en-US" w:eastAsia="zh-CN"/>
        </w:rPr>
      </w:pPr>
      <w:r>
        <w:rPr>
          <w:color w:val="auto"/>
        </w:rPr>
        <w:drawing>
          <wp:inline distT="0" distB="0" distL="114300" distR="114300">
            <wp:extent cx="5273040" cy="1798955"/>
            <wp:effectExtent l="0" t="0" r="3810" b="10795"/>
            <wp:docPr id="7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13"/>
                    <pic:cNvPicPr>
                      <a:picLocks noChangeAspect="1"/>
                    </pic:cNvPicPr>
                  </pic:nvPicPr>
                  <pic:blipFill>
                    <a:blip r:embed="rId71"/>
                    <a:stretch>
                      <a:fillRect/>
                    </a:stretch>
                  </pic:blipFill>
                  <pic:spPr>
                    <a:xfrm>
                      <a:off x="0" y="0"/>
                      <a:ext cx="5273040" cy="1798955"/>
                    </a:xfrm>
                    <a:prstGeom prst="rect">
                      <a:avLst/>
                    </a:prstGeom>
                    <a:noFill/>
                    <a:ln>
                      <a:noFill/>
                    </a:ln>
                  </pic:spPr>
                </pic:pic>
              </a:graphicData>
            </a:graphic>
          </wp:inline>
        </w:drawing>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w:t>
      </w:r>
      <w:r>
        <w:rPr>
          <w:rFonts w:hint="eastAsia" w:cs="Times New Roman"/>
          <w:bCs/>
          <w:color w:val="auto"/>
          <w:sz w:val="24"/>
          <w:szCs w:val="21"/>
          <w:highlight w:val="none"/>
          <w:u w:val="none"/>
          <w:lang w:val="en-US" w:eastAsia="zh-CN"/>
        </w:rPr>
        <w:t>3</w:t>
      </w:r>
      <w:r>
        <w:rPr>
          <w:rFonts w:hint="eastAsia" w:ascii="Times New Roman" w:hAnsi="Times New Roman" w:eastAsia="宋体" w:cs="Times New Roman"/>
          <w:bCs/>
          <w:color w:val="auto"/>
          <w:sz w:val="24"/>
          <w:szCs w:val="21"/>
          <w:highlight w:val="none"/>
          <w:u w:val="none"/>
          <w:lang w:val="en-US" w:eastAsia="zh-CN"/>
        </w:rPr>
        <w:t xml:space="preserve">）木本类（栽培植被）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①</w:t>
      </w:r>
      <w:r>
        <w:rPr>
          <w:rFonts w:hint="eastAsia" w:ascii="Times New Roman" w:hAnsi="Times New Roman" w:eastAsia="宋体" w:cs="Times New Roman"/>
          <w:bCs/>
          <w:color w:val="auto"/>
          <w:sz w:val="24"/>
          <w:szCs w:val="21"/>
          <w:highlight w:val="none"/>
          <w:u w:val="none"/>
          <w:lang w:val="en-US" w:eastAsia="zh-CN"/>
        </w:rPr>
        <w:t xml:space="preserve">加杨林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加杨是杨柳科、杨属的大乔木，高可达</w:t>
      </w:r>
      <w:r>
        <w:rPr>
          <w:rFonts w:hint="default" w:ascii="Times New Roman" w:hAnsi="Times New Roman" w:eastAsia="宋体" w:cs="Times New Roman"/>
          <w:bCs/>
          <w:color w:val="auto"/>
          <w:sz w:val="24"/>
          <w:szCs w:val="21"/>
          <w:highlight w:val="none"/>
          <w:u w:val="none"/>
          <w:lang w:val="en-US" w:eastAsia="zh-CN"/>
        </w:rPr>
        <w:t>30</w:t>
      </w:r>
      <w:r>
        <w:rPr>
          <w:rFonts w:hint="eastAsia" w:ascii="Times New Roman" w:hAnsi="Times New Roman" w:eastAsia="宋体" w:cs="Times New Roman"/>
          <w:bCs/>
          <w:color w:val="auto"/>
          <w:sz w:val="24"/>
          <w:szCs w:val="21"/>
          <w:highlight w:val="none"/>
          <w:u w:val="none"/>
          <w:lang w:val="en-US" w:eastAsia="zh-CN"/>
        </w:rPr>
        <w:t xml:space="preserve">多米。加杨原产于加拿大，现于中国各省广泛分布。喜温暖湿润气候，喜光，耐寒，喜湿润而排水良好的冲积土，对水涝、盐碱和薄土地均有一定的适应能力。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现场调查结果显示，该群落主要分布于藕池河两岸，在农田水渠也有少量分布，乔木层以加杨为主，伴生有旱柳，群落盖度约为</w:t>
      </w:r>
      <w:r>
        <w:rPr>
          <w:rFonts w:hint="default" w:ascii="Times New Roman" w:hAnsi="Times New Roman" w:eastAsia="宋体" w:cs="Times New Roman"/>
          <w:bCs/>
          <w:color w:val="auto"/>
          <w:sz w:val="24"/>
          <w:szCs w:val="21"/>
          <w:highlight w:val="none"/>
          <w:u w:val="none"/>
          <w:lang w:val="en-US" w:eastAsia="zh-CN"/>
        </w:rPr>
        <w:t>80%</w:t>
      </w:r>
      <w:r>
        <w:rPr>
          <w:rFonts w:hint="eastAsia" w:ascii="Times New Roman" w:hAnsi="Times New Roman" w:eastAsia="宋体" w:cs="Times New Roman"/>
          <w:bCs/>
          <w:color w:val="auto"/>
          <w:sz w:val="24"/>
          <w:szCs w:val="21"/>
          <w:highlight w:val="none"/>
          <w:u w:val="none"/>
          <w:lang w:val="en-US" w:eastAsia="zh-CN"/>
        </w:rPr>
        <w:t>，平均高度</w:t>
      </w:r>
      <w:r>
        <w:rPr>
          <w:rFonts w:hint="default" w:ascii="Times New Roman" w:hAnsi="Times New Roman" w:eastAsia="宋体" w:cs="Times New Roman"/>
          <w:bCs/>
          <w:color w:val="auto"/>
          <w:sz w:val="24"/>
          <w:szCs w:val="21"/>
          <w:highlight w:val="none"/>
          <w:u w:val="none"/>
          <w:lang w:val="en-US" w:eastAsia="zh-CN"/>
        </w:rPr>
        <w:t>10 m</w:t>
      </w:r>
      <w:r>
        <w:rPr>
          <w:rFonts w:hint="eastAsia" w:ascii="Times New Roman" w:hAnsi="Times New Roman" w:eastAsia="宋体" w:cs="Times New Roman"/>
          <w:bCs/>
          <w:color w:val="auto"/>
          <w:sz w:val="24"/>
          <w:szCs w:val="21"/>
          <w:highlight w:val="none"/>
          <w:u w:val="none"/>
          <w:lang w:val="en-US" w:eastAsia="zh-CN"/>
        </w:rPr>
        <w:t xml:space="preserve">；草本层主要有益母草、荔枝草、蓼子草和风花菜等。 </w:t>
      </w:r>
    </w:p>
    <w:p>
      <w:pPr>
        <w:adjustRightInd w:val="0"/>
        <w:snapToGrid w:val="0"/>
        <w:spacing w:line="360" w:lineRule="auto"/>
        <w:ind w:firstLine="420" w:firstLineChars="200"/>
        <w:jc w:val="left"/>
        <w:rPr>
          <w:color w:val="auto"/>
        </w:rPr>
      </w:pPr>
      <w:r>
        <w:rPr>
          <w:color w:val="auto"/>
        </w:rPr>
        <w:drawing>
          <wp:inline distT="0" distB="0" distL="114300" distR="114300">
            <wp:extent cx="4905375" cy="3476625"/>
            <wp:effectExtent l="0" t="0" r="9525" b="9525"/>
            <wp:docPr id="7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14"/>
                    <pic:cNvPicPr>
                      <a:picLocks noChangeAspect="1"/>
                    </pic:cNvPicPr>
                  </pic:nvPicPr>
                  <pic:blipFill>
                    <a:blip r:embed="rId72"/>
                    <a:stretch>
                      <a:fillRect/>
                    </a:stretch>
                  </pic:blipFill>
                  <pic:spPr>
                    <a:xfrm>
                      <a:off x="0" y="0"/>
                      <a:ext cx="4905375" cy="3476625"/>
                    </a:xfrm>
                    <a:prstGeom prst="rect">
                      <a:avLst/>
                    </a:prstGeom>
                    <a:noFill/>
                    <a:ln>
                      <a:noFill/>
                    </a:ln>
                  </pic:spPr>
                </pic:pic>
              </a:graphicData>
            </a:graphic>
          </wp:inline>
        </w:drawing>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②</w:t>
      </w:r>
      <w:r>
        <w:rPr>
          <w:rFonts w:hint="eastAsia" w:ascii="Times New Roman" w:hAnsi="Times New Roman" w:eastAsia="宋体" w:cs="Times New Roman"/>
          <w:bCs/>
          <w:color w:val="auto"/>
          <w:sz w:val="24"/>
          <w:szCs w:val="21"/>
          <w:highlight w:val="none"/>
          <w:u w:val="none"/>
          <w:lang w:val="en-US" w:eastAsia="zh-CN"/>
        </w:rPr>
        <w:t xml:space="preserve">水杉林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水杉树原产地是在中国湖北省，分布的地区环境都是比较湿润多雨的，之后在中国各地广泛移栽种植。水杉喜温暖湿润气候；喜深厚肥沃的酸性土；不耐旱，对土壤干旱较敏感，对二氧化硫等有害气体的抗性较弱。水杉木材质轻软，生长较快，纹理直，结构比较粗壮，早晚材硬度区别大，不耐水湿，是很好的工业原料，可供房屋及安置、板料、电杆、家具及木纤维工业原料使用。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现场调查结果表明，水杉林在评价区内分布面积较小，主要作为评价区居民区的四旁树。 </w:t>
      </w:r>
      <w:r>
        <w:rPr>
          <w:color w:val="auto"/>
        </w:rPr>
        <w:drawing>
          <wp:inline distT="0" distB="0" distL="114300" distR="114300">
            <wp:extent cx="5273040" cy="1869440"/>
            <wp:effectExtent l="0" t="0" r="3810" b="16510"/>
            <wp:docPr id="7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15"/>
                    <pic:cNvPicPr>
                      <a:picLocks noChangeAspect="1"/>
                    </pic:cNvPicPr>
                  </pic:nvPicPr>
                  <pic:blipFill>
                    <a:blip r:embed="rId73"/>
                    <a:stretch>
                      <a:fillRect/>
                    </a:stretch>
                  </pic:blipFill>
                  <pic:spPr>
                    <a:xfrm>
                      <a:off x="0" y="0"/>
                      <a:ext cx="5273040" cy="1869440"/>
                    </a:xfrm>
                    <a:prstGeom prst="rect">
                      <a:avLst/>
                    </a:prstGeom>
                    <a:noFill/>
                    <a:ln>
                      <a:noFill/>
                    </a:ln>
                  </pic:spPr>
                </pic:pic>
              </a:graphicData>
            </a:graphic>
          </wp:inline>
        </w:drawing>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在</w:t>
      </w:r>
      <w:r>
        <w:rPr>
          <w:rFonts w:hint="default" w:ascii="Times New Roman" w:hAnsi="Times New Roman" w:eastAsia="宋体" w:cs="Times New Roman"/>
          <w:bCs/>
          <w:color w:val="auto"/>
          <w:sz w:val="24"/>
          <w:szCs w:val="21"/>
          <w:highlight w:val="none"/>
          <w:u w:val="none"/>
          <w:lang w:val="en-US" w:eastAsia="zh-CN"/>
        </w:rPr>
        <w:t>20</w:t>
      </w:r>
      <w:r>
        <w:rPr>
          <w:rFonts w:hint="eastAsia" w:ascii="Times New Roman" w:hAnsi="Times New Roman" w:eastAsia="宋体" w:cs="Times New Roman"/>
          <w:bCs/>
          <w:color w:val="auto"/>
          <w:sz w:val="24"/>
          <w:szCs w:val="21"/>
          <w:highlight w:val="none"/>
          <w:u w:val="none"/>
          <w:lang w:val="en-US" w:eastAsia="zh-CN"/>
        </w:rPr>
        <w:t xml:space="preserve">世纪中后期，随着对湖区生态保护重视程度的增加，加杨、水杉开始在洞庭湖周边广泛种植。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加杨和水杉的结合种植，充分利用了各自的优势。加杨的快速生长特性有助于短期内建立植被覆盖，而水杉则能在长期内提供更加稳定的生态环境。两者共同种植不仅能增强湖泊周边的生态稳定性，还能提高整个区域的生物多样性和美观度，促进生态系统的健康与可持续发展。</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通过厂址现场实地调查和有关资料的记载，评价区内无珍稀古树名木和保护植物，项目位于城镇建成区腹地，远离野生植物生长范围，不会对项目范围内野生植物造成直接或间接的影响。</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3）动物多样性调查</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自然保护区实验区毗邻的岳阳楼区地块土地开发利用程度较高，周边为受人类活动的影响非常大，评价区内无大型陆生野生动物。评价范围内野生动物主要分布在东洞庭湖自然保护区内部核心区和缓冲区，本次位于东洞庭湖自然保护区实验区范围内（</w:t>
      </w:r>
      <w:r>
        <w:rPr>
          <w:rFonts w:hint="eastAsia" w:cs="Times New Roman"/>
          <w:bCs/>
          <w:color w:val="auto"/>
          <w:sz w:val="24"/>
          <w:szCs w:val="21"/>
          <w:highlight w:val="none"/>
          <w:u w:val="none"/>
          <w:lang w:val="en-US" w:eastAsia="zh-CN"/>
        </w:rPr>
        <w:t>自然保护区整合优化后</w:t>
      </w:r>
      <w:r>
        <w:rPr>
          <w:rFonts w:hint="eastAsia" w:ascii="Times New Roman" w:hAnsi="Times New Roman" w:eastAsia="宋体" w:cs="Times New Roman"/>
          <w:bCs/>
          <w:color w:val="auto"/>
          <w:sz w:val="24"/>
          <w:szCs w:val="21"/>
          <w:highlight w:val="none"/>
          <w:u w:val="none"/>
          <w:lang w:val="en-US" w:eastAsia="zh-CN"/>
        </w:rPr>
        <w:t>的自然保护区</w:t>
      </w:r>
      <w:r>
        <w:rPr>
          <w:rFonts w:hint="eastAsia" w:cs="Times New Roman"/>
          <w:bCs/>
          <w:color w:val="auto"/>
          <w:sz w:val="24"/>
          <w:szCs w:val="21"/>
          <w:highlight w:val="none"/>
          <w:u w:val="none"/>
          <w:lang w:val="en-US" w:eastAsia="zh-CN"/>
        </w:rPr>
        <w:t>边界</w:t>
      </w:r>
      <w:r>
        <w:rPr>
          <w:rFonts w:hint="eastAsia" w:ascii="Times New Roman" w:hAnsi="Times New Roman" w:eastAsia="宋体" w:cs="Times New Roman"/>
          <w:bCs/>
          <w:color w:val="auto"/>
          <w:sz w:val="24"/>
          <w:szCs w:val="21"/>
          <w:highlight w:val="none"/>
          <w:u w:val="none"/>
          <w:lang w:val="en-US" w:eastAsia="zh-CN"/>
        </w:rPr>
        <w:t>外）。</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①</w:t>
      </w:r>
      <w:r>
        <w:rPr>
          <w:rFonts w:hint="eastAsia" w:ascii="Times New Roman" w:hAnsi="Times New Roman" w:eastAsia="宋体" w:cs="Times New Roman"/>
          <w:bCs/>
          <w:color w:val="auto"/>
          <w:sz w:val="24"/>
          <w:szCs w:val="21"/>
          <w:highlight w:val="none"/>
          <w:u w:val="none"/>
          <w:lang w:val="en-US" w:eastAsia="zh-CN"/>
        </w:rPr>
        <w:t xml:space="preserve">兽类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通过实地调查和参考相关资料</w:t>
      </w:r>
      <w:r>
        <w:rPr>
          <w:rFonts w:hint="eastAsia" w:cs="Times New Roman"/>
          <w:bCs/>
          <w:color w:val="auto"/>
          <w:sz w:val="24"/>
          <w:szCs w:val="21"/>
          <w:highlight w:val="none"/>
          <w:u w:val="none"/>
          <w:lang w:val="en-US" w:eastAsia="zh-CN"/>
        </w:rPr>
        <w:t>——</w:t>
      </w:r>
      <w:r>
        <w:rPr>
          <w:rFonts w:hint="eastAsia" w:ascii="Times New Roman" w:hAnsi="Times New Roman" w:eastAsia="宋体" w:cs="宋体"/>
          <w:bCs/>
          <w:color w:val="auto"/>
          <w:sz w:val="24"/>
          <w:szCs w:val="21"/>
          <w:lang w:val="en-US" w:eastAsia="zh-CN"/>
        </w:rPr>
        <w:t>《</w:t>
      </w:r>
      <w:r>
        <w:rPr>
          <w:rFonts w:hint="default" w:ascii="Times New Roman" w:hAnsi="Times New Roman" w:eastAsia="宋体" w:cs="宋体"/>
          <w:bCs/>
          <w:color w:val="auto"/>
          <w:sz w:val="24"/>
          <w:szCs w:val="21"/>
          <w:lang w:val="en-US" w:eastAsia="zh-CN"/>
        </w:rPr>
        <w:t>华容县团洲垸决口灾后农村居民集中安置房项目</w:t>
      </w:r>
      <w:r>
        <w:rPr>
          <w:rFonts w:hint="eastAsia" w:ascii="Times New Roman" w:hAnsi="Times New Roman" w:eastAsia="宋体" w:cs="宋体"/>
          <w:bCs/>
          <w:color w:val="auto"/>
          <w:sz w:val="24"/>
          <w:szCs w:val="21"/>
          <w:lang w:val="en-US" w:eastAsia="zh-CN"/>
        </w:rPr>
        <w:t>对湖南东洞庭湖国家级自然保护区生物多样性影响评价报告》</w:t>
      </w:r>
      <w:r>
        <w:rPr>
          <w:rFonts w:hint="eastAsia" w:ascii="Times New Roman" w:hAnsi="Times New Roman" w:eastAsia="宋体" w:cs="Times New Roman"/>
          <w:bCs/>
          <w:color w:val="auto"/>
          <w:sz w:val="24"/>
          <w:szCs w:val="21"/>
          <w:highlight w:val="none"/>
          <w:u w:val="none"/>
          <w:lang w:val="en-US" w:eastAsia="zh-CN"/>
        </w:rPr>
        <w:t>，评价区</w:t>
      </w:r>
      <w:r>
        <w:rPr>
          <w:rFonts w:hint="eastAsia" w:cs="Times New Roman"/>
          <w:bCs/>
          <w:color w:val="auto"/>
          <w:sz w:val="24"/>
          <w:szCs w:val="21"/>
          <w:highlight w:val="none"/>
          <w:u w:val="none"/>
          <w:lang w:val="en-US" w:eastAsia="zh-CN"/>
        </w:rPr>
        <w:t>范围内</w:t>
      </w:r>
      <w:r>
        <w:rPr>
          <w:rFonts w:hint="eastAsia" w:ascii="Times New Roman" w:hAnsi="Times New Roman" w:eastAsia="宋体" w:cs="Times New Roman"/>
          <w:bCs/>
          <w:color w:val="auto"/>
          <w:sz w:val="24"/>
          <w:szCs w:val="21"/>
          <w:highlight w:val="none"/>
          <w:u w:val="none"/>
          <w:lang w:val="en-US" w:eastAsia="zh-CN"/>
        </w:rPr>
        <w:t>共记录哺乳动物</w:t>
      </w:r>
      <w:r>
        <w:rPr>
          <w:rFonts w:hint="default" w:ascii="Times New Roman" w:hAnsi="Times New Roman" w:eastAsia="宋体" w:cs="Times New Roman"/>
          <w:bCs/>
          <w:color w:val="auto"/>
          <w:sz w:val="24"/>
          <w:szCs w:val="21"/>
          <w:highlight w:val="none"/>
          <w:u w:val="none"/>
          <w:lang w:val="en-US" w:eastAsia="zh-CN"/>
        </w:rPr>
        <w:t>7</w:t>
      </w:r>
      <w:r>
        <w:rPr>
          <w:rFonts w:hint="eastAsia" w:ascii="Times New Roman" w:hAnsi="Times New Roman" w:eastAsia="宋体" w:cs="Times New Roman"/>
          <w:bCs/>
          <w:color w:val="auto"/>
          <w:sz w:val="24"/>
          <w:szCs w:val="21"/>
          <w:highlight w:val="none"/>
          <w:u w:val="none"/>
          <w:lang w:val="en-US" w:eastAsia="zh-CN"/>
        </w:rPr>
        <w:t>种，隶属于</w:t>
      </w:r>
      <w:r>
        <w:rPr>
          <w:rFonts w:hint="default" w:ascii="Times New Roman" w:hAnsi="Times New Roman" w:eastAsia="宋体" w:cs="Times New Roman"/>
          <w:bCs/>
          <w:color w:val="auto"/>
          <w:sz w:val="24"/>
          <w:szCs w:val="21"/>
          <w:highlight w:val="none"/>
          <w:u w:val="none"/>
          <w:lang w:val="en-US" w:eastAsia="zh-CN"/>
        </w:rPr>
        <w:t>5</w:t>
      </w:r>
      <w:r>
        <w:rPr>
          <w:rFonts w:hint="eastAsia" w:ascii="Times New Roman" w:hAnsi="Times New Roman" w:eastAsia="宋体" w:cs="Times New Roman"/>
          <w:bCs/>
          <w:color w:val="auto"/>
          <w:sz w:val="24"/>
          <w:szCs w:val="21"/>
          <w:highlight w:val="none"/>
          <w:u w:val="none"/>
          <w:lang w:val="en-US" w:eastAsia="zh-CN"/>
        </w:rPr>
        <w:t>目</w:t>
      </w:r>
      <w:r>
        <w:rPr>
          <w:rFonts w:hint="default" w:ascii="Times New Roman" w:hAnsi="Times New Roman" w:eastAsia="宋体" w:cs="Times New Roman"/>
          <w:bCs/>
          <w:color w:val="auto"/>
          <w:sz w:val="24"/>
          <w:szCs w:val="21"/>
          <w:highlight w:val="none"/>
          <w:u w:val="none"/>
          <w:lang w:val="en-US" w:eastAsia="zh-CN"/>
        </w:rPr>
        <w:t>6</w:t>
      </w:r>
      <w:r>
        <w:rPr>
          <w:rFonts w:hint="eastAsia" w:ascii="Times New Roman" w:hAnsi="Times New Roman" w:eastAsia="宋体" w:cs="Times New Roman"/>
          <w:bCs/>
          <w:color w:val="auto"/>
          <w:sz w:val="24"/>
          <w:szCs w:val="21"/>
          <w:highlight w:val="none"/>
          <w:u w:val="none"/>
          <w:lang w:val="en-US" w:eastAsia="zh-CN"/>
        </w:rPr>
        <w:t>科。其中劳亚食虫目</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科</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种，兔形目</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科</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种，啮齿目</w:t>
      </w:r>
      <w:r>
        <w:rPr>
          <w:rFonts w:hint="default" w:ascii="Times New Roman" w:hAnsi="Times New Roman" w:eastAsia="宋体" w:cs="Times New Roman"/>
          <w:bCs/>
          <w:color w:val="auto"/>
          <w:sz w:val="24"/>
          <w:szCs w:val="21"/>
          <w:highlight w:val="none"/>
          <w:u w:val="none"/>
          <w:lang w:val="en-US" w:eastAsia="zh-CN"/>
        </w:rPr>
        <w:t xml:space="preserve">2 </w:t>
      </w:r>
      <w:r>
        <w:rPr>
          <w:rFonts w:hint="eastAsia" w:ascii="Times New Roman" w:hAnsi="Times New Roman" w:eastAsia="宋体" w:cs="Times New Roman"/>
          <w:bCs/>
          <w:color w:val="auto"/>
          <w:sz w:val="24"/>
          <w:szCs w:val="21"/>
          <w:highlight w:val="none"/>
          <w:u w:val="none"/>
          <w:lang w:val="en-US" w:eastAsia="zh-CN"/>
        </w:rPr>
        <w:t>科</w:t>
      </w:r>
      <w:r>
        <w:rPr>
          <w:rFonts w:hint="default" w:ascii="Times New Roman" w:hAnsi="Times New Roman" w:eastAsia="宋体" w:cs="Times New Roman"/>
          <w:bCs/>
          <w:color w:val="auto"/>
          <w:sz w:val="24"/>
          <w:szCs w:val="21"/>
          <w:highlight w:val="none"/>
          <w:u w:val="none"/>
          <w:lang w:val="en-US" w:eastAsia="zh-CN"/>
        </w:rPr>
        <w:t>3</w:t>
      </w:r>
      <w:r>
        <w:rPr>
          <w:rFonts w:hint="eastAsia" w:ascii="Times New Roman" w:hAnsi="Times New Roman" w:eastAsia="宋体" w:cs="Times New Roman"/>
          <w:bCs/>
          <w:color w:val="auto"/>
          <w:sz w:val="24"/>
          <w:szCs w:val="21"/>
          <w:highlight w:val="none"/>
          <w:u w:val="none"/>
          <w:lang w:val="en-US" w:eastAsia="zh-CN"/>
        </w:rPr>
        <w:t>种，食肉目</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科</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种，翼手目</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科</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 xml:space="preserve">种。统计得出，有 </w:t>
      </w:r>
      <w:r>
        <w:rPr>
          <w:rFonts w:hint="default" w:ascii="Times New Roman" w:hAnsi="Times New Roman" w:eastAsia="宋体" w:cs="Times New Roman"/>
          <w:bCs/>
          <w:color w:val="auto"/>
          <w:sz w:val="24"/>
          <w:szCs w:val="21"/>
          <w:highlight w:val="none"/>
          <w:u w:val="none"/>
          <w:lang w:val="en-US" w:eastAsia="zh-CN"/>
        </w:rPr>
        <w:t xml:space="preserve">3 </w:t>
      </w:r>
      <w:r>
        <w:rPr>
          <w:rFonts w:hint="eastAsia" w:ascii="Times New Roman" w:hAnsi="Times New Roman" w:eastAsia="宋体" w:cs="Times New Roman"/>
          <w:bCs/>
          <w:color w:val="auto"/>
          <w:sz w:val="24"/>
          <w:szCs w:val="21"/>
          <w:highlight w:val="none"/>
          <w:u w:val="none"/>
          <w:lang w:val="en-US" w:eastAsia="zh-CN"/>
        </w:rPr>
        <w:t xml:space="preserve">种哺乳动物被列入《湖南省地方种重点保护野生动物名录》，即隐纹花鼠、东北刺猬、黄鼬。所有物种受威胁等级均为无危。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②</w:t>
      </w:r>
      <w:r>
        <w:rPr>
          <w:rFonts w:hint="eastAsia" w:ascii="Times New Roman" w:hAnsi="Times New Roman" w:eastAsia="宋体" w:cs="Times New Roman"/>
          <w:bCs/>
          <w:color w:val="auto"/>
          <w:sz w:val="24"/>
          <w:szCs w:val="21"/>
          <w:highlight w:val="none"/>
          <w:u w:val="none"/>
          <w:lang w:val="en-US" w:eastAsia="zh-CN"/>
        </w:rPr>
        <w:t>鸟类</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根据实地调查、访问调查和查阅有关文献，评价区共记录鸟类</w:t>
      </w:r>
      <w:r>
        <w:rPr>
          <w:rFonts w:hint="default" w:ascii="Times New Roman" w:hAnsi="Times New Roman" w:eastAsia="宋体" w:cs="Times New Roman"/>
          <w:bCs/>
          <w:color w:val="auto"/>
          <w:sz w:val="24"/>
          <w:szCs w:val="21"/>
          <w:highlight w:val="none"/>
          <w:u w:val="none"/>
          <w:lang w:val="en-US" w:eastAsia="zh-CN"/>
        </w:rPr>
        <w:t>56</w:t>
      </w:r>
      <w:r>
        <w:rPr>
          <w:rFonts w:hint="eastAsia" w:ascii="Times New Roman" w:hAnsi="Times New Roman" w:eastAsia="宋体" w:cs="Times New Roman"/>
          <w:bCs/>
          <w:color w:val="auto"/>
          <w:sz w:val="24"/>
          <w:szCs w:val="21"/>
          <w:highlight w:val="none"/>
          <w:u w:val="none"/>
          <w:lang w:val="en-US" w:eastAsia="zh-CN"/>
        </w:rPr>
        <w:t>种，隶属</w:t>
      </w:r>
      <w:r>
        <w:rPr>
          <w:rFonts w:hint="default" w:ascii="Times New Roman" w:hAnsi="Times New Roman" w:eastAsia="宋体" w:cs="Times New Roman"/>
          <w:bCs/>
          <w:color w:val="auto"/>
          <w:sz w:val="24"/>
          <w:szCs w:val="21"/>
          <w:highlight w:val="none"/>
          <w:u w:val="none"/>
          <w:lang w:val="en-US" w:eastAsia="zh-CN"/>
        </w:rPr>
        <w:t>11</w:t>
      </w:r>
      <w:r>
        <w:rPr>
          <w:rFonts w:hint="eastAsia" w:ascii="Times New Roman" w:hAnsi="Times New Roman" w:eastAsia="宋体" w:cs="Times New Roman"/>
          <w:bCs/>
          <w:color w:val="auto"/>
          <w:sz w:val="24"/>
          <w:szCs w:val="21"/>
          <w:highlight w:val="none"/>
          <w:u w:val="none"/>
          <w:lang w:val="en-US" w:eastAsia="zh-CN"/>
        </w:rPr>
        <w:t>目</w:t>
      </w:r>
      <w:r>
        <w:rPr>
          <w:rFonts w:hint="default" w:ascii="Times New Roman" w:hAnsi="Times New Roman" w:eastAsia="宋体" w:cs="Times New Roman"/>
          <w:bCs/>
          <w:color w:val="auto"/>
          <w:sz w:val="24"/>
          <w:szCs w:val="21"/>
          <w:highlight w:val="none"/>
          <w:u w:val="none"/>
          <w:lang w:val="en-US" w:eastAsia="zh-CN"/>
        </w:rPr>
        <w:t>30</w:t>
      </w:r>
      <w:r>
        <w:rPr>
          <w:rFonts w:hint="eastAsia" w:ascii="Times New Roman" w:hAnsi="Times New Roman" w:eastAsia="宋体" w:cs="Times New Roman"/>
          <w:bCs/>
          <w:color w:val="auto"/>
          <w:sz w:val="24"/>
          <w:szCs w:val="21"/>
          <w:highlight w:val="none"/>
          <w:u w:val="none"/>
          <w:lang w:val="en-US" w:eastAsia="zh-CN"/>
        </w:rPr>
        <w:t>科，其中雁形目</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科</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种、鹈形目</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科</w:t>
      </w:r>
      <w:r>
        <w:rPr>
          <w:rFonts w:hint="default" w:ascii="Times New Roman" w:hAnsi="Times New Roman" w:eastAsia="宋体" w:cs="Times New Roman"/>
          <w:bCs/>
          <w:color w:val="auto"/>
          <w:sz w:val="24"/>
          <w:szCs w:val="21"/>
          <w:highlight w:val="none"/>
          <w:u w:val="none"/>
          <w:lang w:val="en-US" w:eastAsia="zh-CN"/>
        </w:rPr>
        <w:t>6</w:t>
      </w:r>
      <w:r>
        <w:rPr>
          <w:rFonts w:hint="eastAsia" w:ascii="Times New Roman" w:hAnsi="Times New Roman" w:eastAsia="宋体" w:cs="Times New Roman"/>
          <w:bCs/>
          <w:color w:val="auto"/>
          <w:sz w:val="24"/>
          <w:szCs w:val="21"/>
          <w:highlight w:val="none"/>
          <w:u w:val="none"/>
          <w:lang w:val="en-US" w:eastAsia="zh-CN"/>
        </w:rPr>
        <w:t>种、䴙䴘目</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科</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 xml:space="preserve">种、鹤形目 </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科</w:t>
      </w:r>
      <w:r>
        <w:rPr>
          <w:rFonts w:hint="default" w:ascii="Times New Roman" w:hAnsi="Times New Roman" w:eastAsia="宋体" w:cs="Times New Roman"/>
          <w:bCs/>
          <w:color w:val="auto"/>
          <w:sz w:val="24"/>
          <w:szCs w:val="21"/>
          <w:highlight w:val="none"/>
          <w:u w:val="none"/>
          <w:lang w:val="en-US" w:eastAsia="zh-CN"/>
        </w:rPr>
        <w:t>2</w:t>
      </w:r>
      <w:r>
        <w:rPr>
          <w:rFonts w:hint="eastAsia" w:ascii="Times New Roman" w:hAnsi="Times New Roman" w:eastAsia="宋体" w:cs="Times New Roman"/>
          <w:bCs/>
          <w:color w:val="auto"/>
          <w:sz w:val="24"/>
          <w:szCs w:val="21"/>
          <w:highlight w:val="none"/>
          <w:u w:val="none"/>
          <w:lang w:val="en-US" w:eastAsia="zh-CN"/>
        </w:rPr>
        <w:t>种、鸻形目</w:t>
      </w:r>
      <w:r>
        <w:rPr>
          <w:rFonts w:hint="default" w:ascii="Times New Roman" w:hAnsi="Times New Roman" w:eastAsia="宋体" w:cs="Times New Roman"/>
          <w:bCs/>
          <w:color w:val="auto"/>
          <w:sz w:val="24"/>
          <w:szCs w:val="21"/>
          <w:highlight w:val="none"/>
          <w:u w:val="none"/>
          <w:lang w:val="en-US" w:eastAsia="zh-CN"/>
        </w:rPr>
        <w:t>2</w:t>
      </w:r>
      <w:r>
        <w:rPr>
          <w:rFonts w:hint="eastAsia" w:ascii="Times New Roman" w:hAnsi="Times New Roman" w:eastAsia="宋体" w:cs="Times New Roman"/>
          <w:bCs/>
          <w:color w:val="auto"/>
          <w:sz w:val="24"/>
          <w:szCs w:val="21"/>
          <w:highlight w:val="none"/>
          <w:u w:val="none"/>
          <w:lang w:val="en-US" w:eastAsia="zh-CN"/>
        </w:rPr>
        <w:t>科</w:t>
      </w:r>
      <w:r>
        <w:rPr>
          <w:rFonts w:hint="default" w:ascii="Times New Roman" w:hAnsi="Times New Roman" w:eastAsia="宋体" w:cs="Times New Roman"/>
          <w:bCs/>
          <w:color w:val="auto"/>
          <w:sz w:val="24"/>
          <w:szCs w:val="21"/>
          <w:highlight w:val="none"/>
          <w:u w:val="none"/>
          <w:lang w:val="en-US" w:eastAsia="zh-CN"/>
        </w:rPr>
        <w:t>3</w:t>
      </w:r>
      <w:r>
        <w:rPr>
          <w:rFonts w:hint="eastAsia" w:ascii="Times New Roman" w:hAnsi="Times New Roman" w:eastAsia="宋体" w:cs="Times New Roman"/>
          <w:bCs/>
          <w:color w:val="auto"/>
          <w:sz w:val="24"/>
          <w:szCs w:val="21"/>
          <w:highlight w:val="none"/>
          <w:u w:val="none"/>
          <w:lang w:val="en-US" w:eastAsia="zh-CN"/>
        </w:rPr>
        <w:t>种、鸡形目</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科</w:t>
      </w:r>
      <w:r>
        <w:rPr>
          <w:rFonts w:hint="default" w:ascii="Times New Roman" w:hAnsi="Times New Roman" w:eastAsia="宋体" w:cs="Times New Roman"/>
          <w:bCs/>
          <w:color w:val="auto"/>
          <w:sz w:val="24"/>
          <w:szCs w:val="21"/>
          <w:highlight w:val="none"/>
          <w:u w:val="none"/>
          <w:lang w:val="en-US" w:eastAsia="zh-CN"/>
        </w:rPr>
        <w:t>2</w:t>
      </w:r>
      <w:r>
        <w:rPr>
          <w:rFonts w:hint="eastAsia" w:ascii="Times New Roman" w:hAnsi="Times New Roman" w:eastAsia="宋体" w:cs="Times New Roman"/>
          <w:bCs/>
          <w:color w:val="auto"/>
          <w:sz w:val="24"/>
          <w:szCs w:val="21"/>
          <w:highlight w:val="none"/>
          <w:u w:val="none"/>
          <w:lang w:val="en-US" w:eastAsia="zh-CN"/>
        </w:rPr>
        <w:t>种、鹃形目</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科</w:t>
      </w:r>
      <w:r>
        <w:rPr>
          <w:rFonts w:hint="default" w:ascii="Times New Roman" w:hAnsi="Times New Roman" w:eastAsia="宋体" w:cs="Times New Roman"/>
          <w:bCs/>
          <w:color w:val="auto"/>
          <w:sz w:val="24"/>
          <w:szCs w:val="21"/>
          <w:highlight w:val="none"/>
          <w:u w:val="none"/>
          <w:lang w:val="en-US" w:eastAsia="zh-CN"/>
        </w:rPr>
        <w:t>2</w:t>
      </w:r>
      <w:r>
        <w:rPr>
          <w:rFonts w:hint="eastAsia" w:ascii="Times New Roman" w:hAnsi="Times New Roman" w:eastAsia="宋体" w:cs="Times New Roman"/>
          <w:bCs/>
          <w:color w:val="auto"/>
          <w:sz w:val="24"/>
          <w:szCs w:val="21"/>
          <w:highlight w:val="none"/>
          <w:u w:val="none"/>
          <w:lang w:val="en-US" w:eastAsia="zh-CN"/>
        </w:rPr>
        <w:t>种、佛法僧目</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 xml:space="preserve">科 </w:t>
      </w:r>
      <w:r>
        <w:rPr>
          <w:rFonts w:hint="default" w:ascii="Times New Roman" w:hAnsi="Times New Roman" w:eastAsia="宋体" w:cs="Times New Roman"/>
          <w:bCs/>
          <w:color w:val="auto"/>
          <w:sz w:val="24"/>
          <w:szCs w:val="21"/>
          <w:highlight w:val="none"/>
          <w:u w:val="none"/>
          <w:lang w:val="en-US" w:eastAsia="zh-CN"/>
        </w:rPr>
        <w:t>2</w:t>
      </w:r>
      <w:r>
        <w:rPr>
          <w:rFonts w:hint="eastAsia" w:ascii="Times New Roman" w:hAnsi="Times New Roman" w:eastAsia="宋体" w:cs="Times New Roman"/>
          <w:bCs/>
          <w:color w:val="auto"/>
          <w:sz w:val="24"/>
          <w:szCs w:val="21"/>
          <w:highlight w:val="none"/>
          <w:u w:val="none"/>
          <w:lang w:val="en-US" w:eastAsia="zh-CN"/>
        </w:rPr>
        <w:t>种、鸽形目</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科</w:t>
      </w:r>
      <w:r>
        <w:rPr>
          <w:rFonts w:hint="default" w:ascii="Times New Roman" w:hAnsi="Times New Roman" w:eastAsia="宋体" w:cs="Times New Roman"/>
          <w:bCs/>
          <w:color w:val="auto"/>
          <w:sz w:val="24"/>
          <w:szCs w:val="21"/>
          <w:highlight w:val="none"/>
          <w:u w:val="none"/>
          <w:lang w:val="en-US" w:eastAsia="zh-CN"/>
        </w:rPr>
        <w:t>2</w:t>
      </w:r>
      <w:r>
        <w:rPr>
          <w:rFonts w:hint="eastAsia" w:ascii="Times New Roman" w:hAnsi="Times New Roman" w:eastAsia="宋体" w:cs="Times New Roman"/>
          <w:bCs/>
          <w:color w:val="auto"/>
          <w:sz w:val="24"/>
          <w:szCs w:val="21"/>
          <w:highlight w:val="none"/>
          <w:u w:val="none"/>
          <w:lang w:val="en-US" w:eastAsia="zh-CN"/>
        </w:rPr>
        <w:t>种、犀鸟目</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科</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种、雀形目</w:t>
      </w:r>
      <w:r>
        <w:rPr>
          <w:rFonts w:hint="default" w:ascii="Times New Roman" w:hAnsi="Times New Roman" w:eastAsia="宋体" w:cs="Times New Roman"/>
          <w:bCs/>
          <w:color w:val="auto"/>
          <w:sz w:val="24"/>
          <w:szCs w:val="21"/>
          <w:highlight w:val="none"/>
          <w:u w:val="none"/>
          <w:lang w:val="en-US" w:eastAsia="zh-CN"/>
        </w:rPr>
        <w:t>19</w:t>
      </w:r>
      <w:r>
        <w:rPr>
          <w:rFonts w:hint="eastAsia" w:ascii="Times New Roman" w:hAnsi="Times New Roman" w:eastAsia="宋体" w:cs="Times New Roman"/>
          <w:bCs/>
          <w:color w:val="auto"/>
          <w:sz w:val="24"/>
          <w:szCs w:val="21"/>
          <w:highlight w:val="none"/>
          <w:u w:val="none"/>
          <w:lang w:val="en-US" w:eastAsia="zh-CN"/>
        </w:rPr>
        <w:t>科</w:t>
      </w:r>
      <w:r>
        <w:rPr>
          <w:rFonts w:hint="default" w:ascii="Times New Roman" w:hAnsi="Times New Roman" w:eastAsia="宋体" w:cs="Times New Roman"/>
          <w:bCs/>
          <w:color w:val="auto"/>
          <w:sz w:val="24"/>
          <w:szCs w:val="21"/>
          <w:highlight w:val="none"/>
          <w:u w:val="none"/>
          <w:lang w:val="en-US" w:eastAsia="zh-CN"/>
        </w:rPr>
        <w:t>34</w:t>
      </w:r>
      <w:r>
        <w:rPr>
          <w:rFonts w:hint="eastAsia" w:ascii="Times New Roman" w:hAnsi="Times New Roman" w:eastAsia="宋体" w:cs="Times New Roman"/>
          <w:bCs/>
          <w:color w:val="auto"/>
          <w:sz w:val="24"/>
          <w:szCs w:val="21"/>
          <w:highlight w:val="none"/>
          <w:u w:val="none"/>
          <w:lang w:val="en-US" w:eastAsia="zh-CN"/>
        </w:rPr>
        <w:t>种。有小䴙䴘、白鹭、苍鹭等</w:t>
      </w:r>
      <w:r>
        <w:rPr>
          <w:rFonts w:hint="default" w:ascii="Times New Roman" w:hAnsi="Times New Roman" w:eastAsia="宋体" w:cs="Times New Roman"/>
          <w:bCs/>
          <w:color w:val="auto"/>
          <w:sz w:val="24"/>
          <w:szCs w:val="21"/>
          <w:highlight w:val="none"/>
          <w:u w:val="none"/>
          <w:lang w:val="en-US" w:eastAsia="zh-CN"/>
        </w:rPr>
        <w:t>27</w:t>
      </w:r>
      <w:r>
        <w:rPr>
          <w:rFonts w:hint="eastAsia" w:ascii="Times New Roman" w:hAnsi="Times New Roman" w:eastAsia="宋体" w:cs="Times New Roman"/>
          <w:bCs/>
          <w:color w:val="auto"/>
          <w:sz w:val="24"/>
          <w:szCs w:val="21"/>
          <w:highlight w:val="none"/>
          <w:u w:val="none"/>
          <w:lang w:val="en-US" w:eastAsia="zh-CN"/>
        </w:rPr>
        <w:t xml:space="preserve">种鸟类被列入《湖南省地方重点保护野生动物名录》。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③</w:t>
      </w:r>
      <w:r>
        <w:rPr>
          <w:rFonts w:hint="eastAsia" w:ascii="Times New Roman" w:hAnsi="Times New Roman" w:eastAsia="宋体" w:cs="Times New Roman"/>
          <w:bCs/>
          <w:color w:val="auto"/>
          <w:sz w:val="24"/>
          <w:szCs w:val="21"/>
          <w:highlight w:val="none"/>
          <w:u w:val="none"/>
          <w:lang w:val="en-US" w:eastAsia="zh-CN"/>
        </w:rPr>
        <w:t xml:space="preserve">爬行类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根据实地调查、访问调查及查阅文献得知，评价区共记录爬行动物</w:t>
      </w:r>
      <w:r>
        <w:rPr>
          <w:rFonts w:hint="default" w:ascii="Times New Roman" w:hAnsi="Times New Roman" w:eastAsia="宋体" w:cs="Times New Roman"/>
          <w:bCs/>
          <w:color w:val="auto"/>
          <w:sz w:val="24"/>
          <w:szCs w:val="21"/>
          <w:highlight w:val="none"/>
          <w:u w:val="none"/>
          <w:lang w:val="en-US" w:eastAsia="zh-CN"/>
        </w:rPr>
        <w:t>10</w:t>
      </w:r>
      <w:r>
        <w:rPr>
          <w:rFonts w:hint="eastAsia" w:ascii="Times New Roman" w:hAnsi="Times New Roman" w:eastAsia="宋体" w:cs="Times New Roman"/>
          <w:bCs/>
          <w:color w:val="auto"/>
          <w:sz w:val="24"/>
          <w:szCs w:val="21"/>
          <w:highlight w:val="none"/>
          <w:u w:val="none"/>
          <w:lang w:val="en-US" w:eastAsia="zh-CN"/>
        </w:rPr>
        <w:t>种，隶属于</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目</w:t>
      </w:r>
      <w:r>
        <w:rPr>
          <w:rFonts w:hint="default" w:ascii="Times New Roman" w:hAnsi="Times New Roman" w:eastAsia="宋体" w:cs="Times New Roman"/>
          <w:bCs/>
          <w:color w:val="auto"/>
          <w:sz w:val="24"/>
          <w:szCs w:val="21"/>
          <w:highlight w:val="none"/>
          <w:u w:val="none"/>
          <w:lang w:val="en-US" w:eastAsia="zh-CN"/>
        </w:rPr>
        <w:t>6</w:t>
      </w:r>
      <w:r>
        <w:rPr>
          <w:rFonts w:hint="eastAsia" w:ascii="Times New Roman" w:hAnsi="Times New Roman" w:eastAsia="宋体" w:cs="Times New Roman"/>
          <w:bCs/>
          <w:color w:val="auto"/>
          <w:sz w:val="24"/>
          <w:szCs w:val="21"/>
          <w:highlight w:val="none"/>
          <w:u w:val="none"/>
          <w:lang w:val="en-US" w:eastAsia="zh-CN"/>
        </w:rPr>
        <w:t>科。其中，壁虎科</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种、蜥蜴科</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种、石龙子科</w:t>
      </w:r>
      <w:r>
        <w:rPr>
          <w:rFonts w:hint="default" w:ascii="Times New Roman" w:hAnsi="Times New Roman" w:eastAsia="宋体" w:cs="Times New Roman"/>
          <w:bCs/>
          <w:color w:val="auto"/>
          <w:sz w:val="24"/>
          <w:szCs w:val="21"/>
          <w:highlight w:val="none"/>
          <w:u w:val="none"/>
          <w:lang w:val="en-US" w:eastAsia="zh-CN"/>
        </w:rPr>
        <w:t>2</w:t>
      </w:r>
      <w:r>
        <w:rPr>
          <w:rFonts w:hint="eastAsia" w:ascii="Times New Roman" w:hAnsi="Times New Roman" w:eastAsia="宋体" w:cs="Times New Roman"/>
          <w:bCs/>
          <w:color w:val="auto"/>
          <w:sz w:val="24"/>
          <w:szCs w:val="21"/>
          <w:highlight w:val="none"/>
          <w:u w:val="none"/>
          <w:lang w:val="en-US" w:eastAsia="zh-CN"/>
        </w:rPr>
        <w:t>种、游蛇科</w:t>
      </w:r>
      <w:r>
        <w:rPr>
          <w:rFonts w:hint="default" w:ascii="Times New Roman" w:hAnsi="Times New Roman" w:eastAsia="宋体" w:cs="Times New Roman"/>
          <w:bCs/>
          <w:color w:val="auto"/>
          <w:sz w:val="24"/>
          <w:szCs w:val="21"/>
          <w:highlight w:val="none"/>
          <w:u w:val="none"/>
          <w:lang w:val="en-US" w:eastAsia="zh-CN"/>
        </w:rPr>
        <w:t>4</w:t>
      </w:r>
      <w:r>
        <w:rPr>
          <w:rFonts w:hint="eastAsia" w:ascii="Times New Roman" w:hAnsi="Times New Roman" w:eastAsia="宋体" w:cs="Times New Roman"/>
          <w:bCs/>
          <w:color w:val="auto"/>
          <w:sz w:val="24"/>
          <w:szCs w:val="21"/>
          <w:highlight w:val="none"/>
          <w:u w:val="none"/>
          <w:lang w:val="en-US" w:eastAsia="zh-CN"/>
        </w:rPr>
        <w:t>种、水蛇科</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种和蝰科</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种，以游蛇科种类占优势。在评价区记录的</w:t>
      </w:r>
      <w:r>
        <w:rPr>
          <w:rFonts w:hint="default" w:ascii="Times New Roman" w:hAnsi="Times New Roman" w:eastAsia="宋体" w:cs="Times New Roman"/>
          <w:bCs/>
          <w:color w:val="auto"/>
          <w:sz w:val="24"/>
          <w:szCs w:val="21"/>
          <w:highlight w:val="none"/>
          <w:u w:val="none"/>
          <w:lang w:val="en-US" w:eastAsia="zh-CN"/>
        </w:rPr>
        <w:t>10</w:t>
      </w:r>
      <w:r>
        <w:rPr>
          <w:rFonts w:hint="eastAsia" w:ascii="Times New Roman" w:hAnsi="Times New Roman" w:eastAsia="宋体" w:cs="Times New Roman"/>
          <w:bCs/>
          <w:color w:val="auto"/>
          <w:sz w:val="24"/>
          <w:szCs w:val="21"/>
          <w:highlight w:val="none"/>
          <w:u w:val="none"/>
          <w:lang w:val="en-US" w:eastAsia="zh-CN"/>
        </w:rPr>
        <w:t xml:space="preserve">种爬行动物均属于湖南省地方重点保护陆生野生动物。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④两栖类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根据实地调查、访问调查及查阅相关文献得知，评价区内共记录两栖动物</w:t>
      </w:r>
      <w:r>
        <w:rPr>
          <w:rFonts w:hint="default" w:ascii="Times New Roman" w:hAnsi="Times New Roman" w:eastAsia="宋体" w:cs="Times New Roman"/>
          <w:bCs/>
          <w:color w:val="auto"/>
          <w:sz w:val="24"/>
          <w:szCs w:val="21"/>
          <w:highlight w:val="none"/>
          <w:u w:val="none"/>
          <w:lang w:val="en-US" w:eastAsia="zh-CN"/>
        </w:rPr>
        <w:t xml:space="preserve">7 </w:t>
      </w:r>
      <w:r>
        <w:rPr>
          <w:rFonts w:hint="eastAsia" w:ascii="Times New Roman" w:hAnsi="Times New Roman" w:eastAsia="宋体" w:cs="Times New Roman"/>
          <w:bCs/>
          <w:color w:val="auto"/>
          <w:sz w:val="24"/>
          <w:szCs w:val="21"/>
          <w:highlight w:val="none"/>
          <w:u w:val="none"/>
          <w:lang w:val="en-US" w:eastAsia="zh-CN"/>
        </w:rPr>
        <w:t>种，隶属于</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目</w:t>
      </w:r>
      <w:r>
        <w:rPr>
          <w:rFonts w:hint="default" w:ascii="Times New Roman" w:hAnsi="Times New Roman" w:eastAsia="宋体" w:cs="Times New Roman"/>
          <w:bCs/>
          <w:color w:val="auto"/>
          <w:sz w:val="24"/>
          <w:szCs w:val="21"/>
          <w:highlight w:val="none"/>
          <w:u w:val="none"/>
          <w:lang w:val="en-US" w:eastAsia="zh-CN"/>
        </w:rPr>
        <w:t>4</w:t>
      </w:r>
      <w:r>
        <w:rPr>
          <w:rFonts w:hint="eastAsia" w:ascii="Times New Roman" w:hAnsi="Times New Roman" w:eastAsia="宋体" w:cs="Times New Roman"/>
          <w:bCs/>
          <w:color w:val="auto"/>
          <w:sz w:val="24"/>
          <w:szCs w:val="21"/>
          <w:highlight w:val="none"/>
          <w:u w:val="none"/>
          <w:lang w:val="en-US" w:eastAsia="zh-CN"/>
        </w:rPr>
        <w:t>科。其中，蟾蜍科</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种、蛙科</w:t>
      </w:r>
      <w:r>
        <w:rPr>
          <w:rFonts w:hint="default" w:ascii="Times New Roman" w:hAnsi="Times New Roman" w:eastAsia="宋体" w:cs="Times New Roman"/>
          <w:bCs/>
          <w:color w:val="auto"/>
          <w:sz w:val="24"/>
          <w:szCs w:val="21"/>
          <w:highlight w:val="none"/>
          <w:u w:val="none"/>
          <w:lang w:val="en-US" w:eastAsia="zh-CN"/>
        </w:rPr>
        <w:t>3</w:t>
      </w:r>
      <w:r>
        <w:rPr>
          <w:rFonts w:hint="eastAsia" w:ascii="Times New Roman" w:hAnsi="Times New Roman" w:eastAsia="宋体" w:cs="Times New Roman"/>
          <w:bCs/>
          <w:color w:val="auto"/>
          <w:sz w:val="24"/>
          <w:szCs w:val="21"/>
          <w:highlight w:val="none"/>
          <w:u w:val="none"/>
          <w:lang w:val="en-US" w:eastAsia="zh-CN"/>
        </w:rPr>
        <w:t>种、姬蛙科</w:t>
      </w:r>
      <w:r>
        <w:rPr>
          <w:rFonts w:hint="default" w:ascii="Times New Roman" w:hAnsi="Times New Roman" w:eastAsia="宋体" w:cs="Times New Roman"/>
          <w:bCs/>
          <w:color w:val="auto"/>
          <w:sz w:val="24"/>
          <w:szCs w:val="21"/>
          <w:highlight w:val="none"/>
          <w:u w:val="none"/>
          <w:lang w:val="en-US" w:eastAsia="zh-CN"/>
        </w:rPr>
        <w:t>2</w:t>
      </w:r>
      <w:r>
        <w:rPr>
          <w:rFonts w:hint="eastAsia" w:ascii="Times New Roman" w:hAnsi="Times New Roman" w:eastAsia="宋体" w:cs="Times New Roman"/>
          <w:bCs/>
          <w:color w:val="auto"/>
          <w:sz w:val="24"/>
          <w:szCs w:val="21"/>
          <w:highlight w:val="none"/>
          <w:u w:val="none"/>
          <w:lang w:val="en-US" w:eastAsia="zh-CN"/>
        </w:rPr>
        <w:t>种和叉舌蛙科</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种。记录的</w:t>
      </w:r>
      <w:r>
        <w:rPr>
          <w:rFonts w:hint="default" w:ascii="Times New Roman" w:hAnsi="Times New Roman" w:eastAsia="宋体" w:cs="Times New Roman"/>
          <w:bCs/>
          <w:color w:val="auto"/>
          <w:sz w:val="24"/>
          <w:szCs w:val="21"/>
          <w:highlight w:val="none"/>
          <w:u w:val="none"/>
          <w:lang w:val="en-US" w:eastAsia="zh-CN"/>
        </w:rPr>
        <w:t>3</w:t>
      </w:r>
      <w:r>
        <w:rPr>
          <w:rFonts w:hint="eastAsia" w:ascii="Times New Roman" w:hAnsi="Times New Roman" w:eastAsia="宋体" w:cs="Times New Roman"/>
          <w:bCs/>
          <w:color w:val="auto"/>
          <w:sz w:val="24"/>
          <w:szCs w:val="21"/>
          <w:highlight w:val="none"/>
          <w:u w:val="none"/>
          <w:lang w:val="en-US" w:eastAsia="zh-CN"/>
        </w:rPr>
        <w:t xml:space="preserve">种两栖动物，均属于湖南省地方重点保护野生动物，即黑斑侧褶蛙、小弧斑姬蛙、饰纹姬蛙。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fldChar w:fldCharType="begin"/>
      </w:r>
      <w:r>
        <w:rPr>
          <w:rFonts w:hint="eastAsia" w:ascii="Times New Roman" w:hAnsi="Times New Roman" w:eastAsia="宋体" w:cs="Times New Roman"/>
          <w:bCs/>
          <w:color w:val="auto"/>
          <w:sz w:val="24"/>
          <w:szCs w:val="21"/>
          <w:highlight w:val="none"/>
          <w:u w:val="none"/>
          <w:lang w:val="en-US" w:eastAsia="zh-CN"/>
        </w:rPr>
        <w:instrText xml:space="preserve"> = 5 \* GB3 \* MERGEFORMAT </w:instrText>
      </w:r>
      <w:r>
        <w:rPr>
          <w:rFonts w:hint="eastAsia" w:ascii="Times New Roman" w:hAnsi="Times New Roman" w:eastAsia="宋体" w:cs="Times New Roman"/>
          <w:bCs/>
          <w:color w:val="auto"/>
          <w:sz w:val="24"/>
          <w:szCs w:val="21"/>
          <w:highlight w:val="none"/>
          <w:u w:val="none"/>
          <w:lang w:val="en-US" w:eastAsia="zh-CN"/>
        </w:rPr>
        <w:fldChar w:fldCharType="separate"/>
      </w:r>
      <w:r>
        <w:rPr>
          <w:rFonts w:hint="eastAsia" w:ascii="Times New Roman" w:hAnsi="Times New Roman" w:eastAsia="宋体" w:cs="Times New Roman"/>
          <w:bCs/>
          <w:color w:val="auto"/>
          <w:sz w:val="24"/>
          <w:szCs w:val="21"/>
          <w:highlight w:val="none"/>
          <w:u w:val="none"/>
          <w:lang w:val="en-US" w:eastAsia="zh-CN"/>
        </w:rPr>
        <w:t>⑤</w:t>
      </w:r>
      <w:r>
        <w:rPr>
          <w:rFonts w:hint="eastAsia" w:ascii="Times New Roman" w:hAnsi="Times New Roman" w:eastAsia="宋体" w:cs="Times New Roman"/>
          <w:bCs/>
          <w:color w:val="auto"/>
          <w:sz w:val="24"/>
          <w:szCs w:val="21"/>
          <w:highlight w:val="none"/>
          <w:u w:val="none"/>
          <w:lang w:val="en-US" w:eastAsia="zh-CN"/>
        </w:rPr>
        <w:fldChar w:fldCharType="end"/>
      </w:r>
      <w:r>
        <w:rPr>
          <w:rFonts w:hint="eastAsia" w:ascii="Times New Roman" w:hAnsi="Times New Roman" w:eastAsia="宋体" w:cs="Times New Roman"/>
          <w:bCs/>
          <w:color w:val="auto"/>
          <w:sz w:val="24"/>
          <w:szCs w:val="21"/>
          <w:highlight w:val="none"/>
          <w:u w:val="none"/>
          <w:lang w:val="en-US" w:eastAsia="zh-CN"/>
        </w:rPr>
        <w:t xml:space="preserve">鱼类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根据实地调查、访问调查及查阅相关文献得知，工程评价区共记录鱼类</w:t>
      </w:r>
      <w:r>
        <w:rPr>
          <w:rFonts w:hint="default" w:ascii="Times New Roman" w:hAnsi="Times New Roman" w:eastAsia="宋体" w:cs="Times New Roman"/>
          <w:bCs/>
          <w:color w:val="auto"/>
          <w:sz w:val="24"/>
          <w:szCs w:val="21"/>
          <w:highlight w:val="none"/>
          <w:u w:val="none"/>
          <w:lang w:val="en-US" w:eastAsia="zh-CN"/>
        </w:rPr>
        <w:t xml:space="preserve">15 </w:t>
      </w:r>
      <w:r>
        <w:rPr>
          <w:rFonts w:hint="eastAsia" w:ascii="Times New Roman" w:hAnsi="Times New Roman" w:eastAsia="宋体" w:cs="Times New Roman"/>
          <w:bCs/>
          <w:color w:val="auto"/>
          <w:sz w:val="24"/>
          <w:szCs w:val="21"/>
          <w:highlight w:val="none"/>
          <w:u w:val="none"/>
          <w:lang w:val="en-US" w:eastAsia="zh-CN"/>
        </w:rPr>
        <w:t>种，隶属于</w:t>
      </w:r>
      <w:r>
        <w:rPr>
          <w:rFonts w:hint="default" w:ascii="Times New Roman" w:hAnsi="Times New Roman" w:eastAsia="宋体" w:cs="Times New Roman"/>
          <w:bCs/>
          <w:color w:val="auto"/>
          <w:sz w:val="24"/>
          <w:szCs w:val="21"/>
          <w:highlight w:val="none"/>
          <w:u w:val="none"/>
          <w:lang w:val="en-US" w:eastAsia="zh-CN"/>
        </w:rPr>
        <w:t>4</w:t>
      </w:r>
      <w:r>
        <w:rPr>
          <w:rFonts w:hint="eastAsia" w:ascii="Times New Roman" w:hAnsi="Times New Roman" w:eastAsia="宋体" w:cs="Times New Roman"/>
          <w:bCs/>
          <w:color w:val="auto"/>
          <w:sz w:val="24"/>
          <w:szCs w:val="21"/>
          <w:highlight w:val="none"/>
          <w:u w:val="none"/>
          <w:lang w:val="en-US" w:eastAsia="zh-CN"/>
        </w:rPr>
        <w:t>目</w:t>
      </w:r>
      <w:r>
        <w:rPr>
          <w:rFonts w:hint="default" w:ascii="Times New Roman" w:hAnsi="Times New Roman" w:eastAsia="宋体" w:cs="Times New Roman"/>
          <w:bCs/>
          <w:color w:val="auto"/>
          <w:sz w:val="24"/>
          <w:szCs w:val="21"/>
          <w:highlight w:val="none"/>
          <w:u w:val="none"/>
          <w:lang w:val="en-US" w:eastAsia="zh-CN"/>
        </w:rPr>
        <w:t>6</w:t>
      </w:r>
      <w:r>
        <w:rPr>
          <w:rFonts w:hint="eastAsia" w:ascii="Times New Roman" w:hAnsi="Times New Roman" w:eastAsia="宋体" w:cs="Times New Roman"/>
          <w:bCs/>
          <w:color w:val="auto"/>
          <w:sz w:val="24"/>
          <w:szCs w:val="21"/>
          <w:highlight w:val="none"/>
          <w:u w:val="none"/>
          <w:lang w:val="en-US" w:eastAsia="zh-CN"/>
        </w:rPr>
        <w:t>科，其中鲤形目鱼类最多，共</w:t>
      </w:r>
      <w:r>
        <w:rPr>
          <w:rFonts w:hint="default" w:ascii="Times New Roman" w:hAnsi="Times New Roman" w:eastAsia="宋体" w:cs="Times New Roman"/>
          <w:bCs/>
          <w:color w:val="auto"/>
          <w:sz w:val="24"/>
          <w:szCs w:val="21"/>
          <w:highlight w:val="none"/>
          <w:u w:val="none"/>
          <w:lang w:val="en-US" w:eastAsia="zh-CN"/>
        </w:rPr>
        <w:t>2</w:t>
      </w:r>
      <w:r>
        <w:rPr>
          <w:rFonts w:hint="eastAsia" w:ascii="Times New Roman" w:hAnsi="Times New Roman" w:eastAsia="宋体" w:cs="Times New Roman"/>
          <w:bCs/>
          <w:color w:val="auto"/>
          <w:sz w:val="24"/>
          <w:szCs w:val="21"/>
          <w:highlight w:val="none"/>
          <w:u w:val="none"/>
          <w:lang w:val="en-US" w:eastAsia="zh-CN"/>
        </w:rPr>
        <w:t>科</w:t>
      </w:r>
      <w:r>
        <w:rPr>
          <w:rFonts w:hint="default" w:ascii="Times New Roman" w:hAnsi="Times New Roman" w:eastAsia="宋体" w:cs="Times New Roman"/>
          <w:bCs/>
          <w:color w:val="auto"/>
          <w:sz w:val="24"/>
          <w:szCs w:val="21"/>
          <w:highlight w:val="none"/>
          <w:u w:val="none"/>
          <w:lang w:val="en-US" w:eastAsia="zh-CN"/>
        </w:rPr>
        <w:t>11</w:t>
      </w:r>
      <w:r>
        <w:rPr>
          <w:rFonts w:hint="eastAsia" w:ascii="Times New Roman" w:hAnsi="Times New Roman" w:eastAsia="宋体" w:cs="Times New Roman"/>
          <w:bCs/>
          <w:color w:val="auto"/>
          <w:sz w:val="24"/>
          <w:szCs w:val="21"/>
          <w:highlight w:val="none"/>
          <w:u w:val="none"/>
          <w:lang w:val="en-US" w:eastAsia="zh-CN"/>
        </w:rPr>
        <w:t>种，占评价区鱼类总数的</w:t>
      </w:r>
      <w:r>
        <w:rPr>
          <w:rFonts w:hint="default" w:ascii="Times New Roman" w:hAnsi="Times New Roman" w:eastAsia="宋体" w:cs="Times New Roman"/>
          <w:bCs/>
          <w:color w:val="auto"/>
          <w:sz w:val="24"/>
          <w:szCs w:val="21"/>
          <w:highlight w:val="none"/>
          <w:u w:val="none"/>
          <w:lang w:val="en-US" w:eastAsia="zh-CN"/>
        </w:rPr>
        <w:t>73.33%</w:t>
      </w:r>
      <w:r>
        <w:rPr>
          <w:rFonts w:hint="eastAsia" w:ascii="Times New Roman" w:hAnsi="Times New Roman" w:eastAsia="宋体" w:cs="Times New Roman"/>
          <w:bCs/>
          <w:color w:val="auto"/>
          <w:sz w:val="24"/>
          <w:szCs w:val="21"/>
          <w:highlight w:val="none"/>
          <w:u w:val="none"/>
          <w:lang w:val="en-US" w:eastAsia="zh-CN"/>
        </w:rPr>
        <w:t>；鲈形目次之，共</w:t>
      </w:r>
      <w:r>
        <w:rPr>
          <w:rFonts w:hint="default" w:ascii="Times New Roman" w:hAnsi="Times New Roman" w:eastAsia="宋体" w:cs="Times New Roman"/>
          <w:bCs/>
          <w:color w:val="auto"/>
          <w:sz w:val="24"/>
          <w:szCs w:val="21"/>
          <w:highlight w:val="none"/>
          <w:u w:val="none"/>
          <w:lang w:val="en-US" w:eastAsia="zh-CN"/>
        </w:rPr>
        <w:t>2</w:t>
      </w:r>
      <w:r>
        <w:rPr>
          <w:rFonts w:hint="eastAsia" w:ascii="Times New Roman" w:hAnsi="Times New Roman" w:eastAsia="宋体" w:cs="Times New Roman"/>
          <w:bCs/>
          <w:color w:val="auto"/>
          <w:sz w:val="24"/>
          <w:szCs w:val="21"/>
          <w:highlight w:val="none"/>
          <w:u w:val="none"/>
          <w:lang w:val="en-US" w:eastAsia="zh-CN"/>
        </w:rPr>
        <w:t>科</w:t>
      </w:r>
      <w:r>
        <w:rPr>
          <w:rFonts w:hint="default" w:ascii="Times New Roman" w:hAnsi="Times New Roman" w:eastAsia="宋体" w:cs="Times New Roman"/>
          <w:bCs/>
          <w:color w:val="auto"/>
          <w:sz w:val="24"/>
          <w:szCs w:val="21"/>
          <w:highlight w:val="none"/>
          <w:u w:val="none"/>
          <w:lang w:val="en-US" w:eastAsia="zh-CN"/>
        </w:rPr>
        <w:t>2</w:t>
      </w:r>
      <w:r>
        <w:rPr>
          <w:rFonts w:hint="eastAsia" w:ascii="Times New Roman" w:hAnsi="Times New Roman" w:eastAsia="宋体" w:cs="Times New Roman"/>
          <w:bCs/>
          <w:color w:val="auto"/>
          <w:sz w:val="24"/>
          <w:szCs w:val="21"/>
          <w:highlight w:val="none"/>
          <w:u w:val="none"/>
          <w:lang w:val="en-US" w:eastAsia="zh-CN"/>
        </w:rPr>
        <w:t>种，占评价区鱼类总数的</w:t>
      </w:r>
      <w:r>
        <w:rPr>
          <w:rFonts w:hint="default" w:ascii="Times New Roman" w:hAnsi="Times New Roman" w:eastAsia="宋体" w:cs="Times New Roman"/>
          <w:bCs/>
          <w:color w:val="auto"/>
          <w:sz w:val="24"/>
          <w:szCs w:val="21"/>
          <w:highlight w:val="none"/>
          <w:u w:val="none"/>
          <w:lang w:val="en-US" w:eastAsia="zh-CN"/>
        </w:rPr>
        <w:t>13.33%</w:t>
      </w:r>
      <w:r>
        <w:rPr>
          <w:rFonts w:hint="eastAsia" w:ascii="Times New Roman" w:hAnsi="Times New Roman" w:eastAsia="宋体" w:cs="Times New Roman"/>
          <w:bCs/>
          <w:color w:val="auto"/>
          <w:sz w:val="24"/>
          <w:szCs w:val="21"/>
          <w:highlight w:val="none"/>
          <w:u w:val="none"/>
          <w:lang w:val="en-US" w:eastAsia="zh-CN"/>
        </w:rPr>
        <w:t>；合鳃鱼目和鲇形目各</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种，各占评价区鱼类总数的</w:t>
      </w:r>
      <w:r>
        <w:rPr>
          <w:rFonts w:hint="default" w:ascii="Times New Roman" w:hAnsi="Times New Roman" w:eastAsia="宋体" w:cs="Times New Roman"/>
          <w:bCs/>
          <w:color w:val="auto"/>
          <w:sz w:val="24"/>
          <w:szCs w:val="21"/>
          <w:highlight w:val="none"/>
          <w:u w:val="none"/>
          <w:lang w:val="en-US" w:eastAsia="zh-CN"/>
        </w:rPr>
        <w:t>6.67%</w:t>
      </w:r>
      <w:r>
        <w:rPr>
          <w:rFonts w:hint="eastAsia" w:ascii="Times New Roman" w:hAnsi="Times New Roman" w:eastAsia="宋体" w:cs="Times New Roman"/>
          <w:bCs/>
          <w:color w:val="auto"/>
          <w:sz w:val="24"/>
          <w:szCs w:val="21"/>
          <w:highlight w:val="none"/>
          <w:u w:val="none"/>
          <w:lang w:val="en-US" w:eastAsia="zh-CN"/>
        </w:rPr>
        <w:t>。</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东洞庭湖实验区内的野生动物主要由常见的小型和庭院动物构成，常见的物种有白头鹎、八哥、小云雀、戴胜、普通翠鸟、普通秧鸡、白鹃鸰、红嘴蓝鹊、普通秧鸡、中华大蟾蜍等。本项目评价区内无珍稀濒危陆生野生动物，且不涉及上述野生脊椎动物分布。</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4）自然遗迹调查</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本项目评价区内无需要保护的自然遗迹分布。</w:t>
      </w:r>
    </w:p>
    <w:bookmarkEnd w:id="247"/>
    <w:bookmarkEnd w:id="248"/>
    <w:bookmarkEnd w:id="249"/>
    <w:bookmarkEnd w:id="250"/>
    <w:bookmarkEnd w:id="251"/>
    <w:bookmarkEnd w:id="252"/>
    <w:bookmarkEnd w:id="253"/>
    <w:bookmarkEnd w:id="259"/>
    <w:bookmarkEnd w:id="260"/>
    <w:p>
      <w:pPr>
        <w:keepNext/>
        <w:keepLines/>
        <w:widowControl w:val="0"/>
        <w:adjustRightInd w:val="0"/>
        <w:snapToGrid w:val="0"/>
        <w:spacing w:before="0" w:after="0" w:line="360" w:lineRule="auto"/>
        <w:jc w:val="both"/>
        <w:outlineLvl w:val="1"/>
        <w:rPr>
          <w:rFonts w:hint="eastAsia" w:ascii="Times New Roman" w:hAnsi="Times New Roman" w:eastAsia="宋体" w:cs="Times New Roman"/>
          <w:b/>
          <w:bCs/>
          <w:color w:val="auto"/>
          <w:kern w:val="2"/>
          <w:sz w:val="28"/>
          <w:szCs w:val="28"/>
          <w:lang w:val="en-US" w:eastAsia="zh-CN" w:bidi="ar-SA"/>
        </w:rPr>
      </w:pPr>
      <w:bookmarkStart w:id="261" w:name="_Toc26818"/>
      <w:bookmarkStart w:id="262" w:name="_Toc7462"/>
      <w:bookmarkStart w:id="263" w:name="_Toc13004"/>
      <w:bookmarkStart w:id="264" w:name="_Toc6054"/>
      <w:bookmarkStart w:id="265" w:name="_Toc31479"/>
      <w:bookmarkStart w:id="266" w:name="_Toc3826"/>
      <w:r>
        <w:rPr>
          <w:rFonts w:hint="eastAsia" w:ascii="Times New Roman" w:hAnsi="Times New Roman" w:eastAsia="宋体" w:cs="Times New Roman"/>
          <w:b/>
          <w:bCs/>
          <w:color w:val="auto"/>
          <w:kern w:val="2"/>
          <w:sz w:val="28"/>
          <w:szCs w:val="28"/>
          <w:lang w:val="en-US" w:eastAsia="zh-CN" w:bidi="ar-SA"/>
        </w:rPr>
        <w:t>3</w:t>
      </w:r>
      <w:r>
        <w:rPr>
          <w:rFonts w:hint="default" w:ascii="Times New Roman" w:hAnsi="Times New Roman" w:eastAsia="宋体" w:cs="Times New Roman"/>
          <w:b/>
          <w:bCs/>
          <w:color w:val="auto"/>
          <w:kern w:val="2"/>
          <w:sz w:val="28"/>
          <w:szCs w:val="28"/>
          <w:lang w:val="en-US" w:eastAsia="zh-CN" w:bidi="ar-SA"/>
        </w:rPr>
        <w:t>.</w:t>
      </w:r>
      <w:r>
        <w:rPr>
          <w:rFonts w:hint="eastAsia" w:ascii="Times New Roman" w:hAnsi="Times New Roman" w:eastAsia="宋体" w:cs="Times New Roman"/>
          <w:b/>
          <w:bCs/>
          <w:color w:val="auto"/>
          <w:kern w:val="2"/>
          <w:sz w:val="28"/>
          <w:szCs w:val="28"/>
          <w:lang w:val="en-US" w:eastAsia="zh-CN" w:bidi="ar-SA"/>
        </w:rPr>
        <w:t>3湖南东洞庭湖国家级自然保护区</w:t>
      </w:r>
      <w:bookmarkEnd w:id="261"/>
      <w:bookmarkEnd w:id="262"/>
    </w:p>
    <w:p>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color w:val="auto"/>
          <w:kern w:val="2"/>
          <w:sz w:val="24"/>
          <w:szCs w:val="24"/>
          <w:lang w:val="en-US" w:eastAsia="zh-CN" w:bidi="ar-SA"/>
        </w:rPr>
      </w:pPr>
      <w:r>
        <w:rPr>
          <w:rFonts w:hint="eastAsia" w:ascii="Times New Roman" w:hAnsi="Times New Roman" w:eastAsia="宋体" w:cs="Times New Roman"/>
          <w:b/>
          <w:color w:val="auto"/>
          <w:kern w:val="2"/>
          <w:sz w:val="24"/>
          <w:szCs w:val="24"/>
          <w:lang w:val="en-US" w:eastAsia="zh-CN" w:bidi="ar-SA"/>
        </w:rPr>
        <w:t>3.3.1本项目与保护区位置关系</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rPr>
      </w:pPr>
      <w:r>
        <w:rPr>
          <w:rFonts w:hint="eastAsia" w:ascii="Times New Roman" w:hAnsi="Times New Roman" w:eastAsia="宋体" w:cs="Times New Roman"/>
          <w:bCs/>
          <w:color w:val="auto"/>
          <w:sz w:val="24"/>
          <w:szCs w:val="21"/>
          <w:highlight w:val="none"/>
          <w:u w:val="none"/>
        </w:rPr>
        <w:t>位于东洞庭湖国家级自然保护区内，项目建设</w:t>
      </w:r>
      <w:r>
        <w:rPr>
          <w:rFonts w:hint="eastAsia" w:ascii="Times New Roman" w:hAnsi="Times New Roman" w:eastAsia="宋体" w:cs="Times New Roman"/>
          <w:bCs/>
          <w:color w:val="auto"/>
          <w:sz w:val="24"/>
          <w:szCs w:val="21"/>
          <w:highlight w:val="none"/>
          <w:u w:val="none"/>
          <w:lang w:val="en-US" w:eastAsia="zh-CN"/>
        </w:rPr>
        <w:t>位于保护区的实验区范围内，</w:t>
      </w:r>
      <w:r>
        <w:rPr>
          <w:rFonts w:hint="eastAsia" w:ascii="Times New Roman" w:hAnsi="Times New Roman" w:eastAsia="宋体" w:cs="Times New Roman"/>
          <w:bCs/>
          <w:color w:val="auto"/>
          <w:sz w:val="24"/>
          <w:szCs w:val="21"/>
          <w:highlight w:val="none"/>
          <w:u w:val="none"/>
        </w:rPr>
        <w:t>不涉及保护区的核心区和缓冲区，离核心区最近距离约</w:t>
      </w:r>
      <w:r>
        <w:rPr>
          <w:rFonts w:hint="eastAsia" w:ascii="Times New Roman" w:hAnsi="Times New Roman" w:eastAsia="宋体" w:cs="Times New Roman"/>
          <w:bCs/>
          <w:color w:val="auto"/>
          <w:sz w:val="24"/>
          <w:szCs w:val="21"/>
          <w:highlight w:val="none"/>
          <w:u w:val="none"/>
          <w:lang w:val="en-US" w:eastAsia="zh-CN"/>
        </w:rPr>
        <w:t>8.</w:t>
      </w:r>
      <w:r>
        <w:rPr>
          <w:rFonts w:hint="eastAsia"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rPr>
        <w:t>km，离缓冲区最近距离约</w:t>
      </w:r>
      <w:r>
        <w:rPr>
          <w:rFonts w:hint="eastAsia" w:ascii="Times New Roman" w:hAnsi="Times New Roman" w:eastAsia="宋体" w:cs="Times New Roman"/>
          <w:bCs/>
          <w:color w:val="auto"/>
          <w:sz w:val="24"/>
          <w:szCs w:val="21"/>
          <w:highlight w:val="none"/>
          <w:u w:val="none"/>
          <w:lang w:val="en-US" w:eastAsia="zh-CN"/>
        </w:rPr>
        <w:t>7.</w:t>
      </w:r>
      <w:r>
        <w:rPr>
          <w:rFonts w:hint="eastAsia" w:cs="Times New Roman"/>
          <w:bCs/>
          <w:color w:val="auto"/>
          <w:sz w:val="24"/>
          <w:szCs w:val="21"/>
          <w:highlight w:val="none"/>
          <w:u w:val="none"/>
          <w:lang w:val="en-US" w:eastAsia="zh-CN"/>
        </w:rPr>
        <w:t>4</w:t>
      </w:r>
      <w:r>
        <w:rPr>
          <w:rFonts w:hint="eastAsia" w:ascii="Times New Roman" w:hAnsi="Times New Roman" w:eastAsia="宋体" w:cs="Times New Roman"/>
          <w:bCs/>
          <w:color w:val="auto"/>
          <w:sz w:val="24"/>
          <w:szCs w:val="21"/>
          <w:highlight w:val="none"/>
          <w:u w:val="none"/>
        </w:rPr>
        <w:t>km。</w:t>
      </w:r>
      <w:r>
        <w:rPr>
          <w:rFonts w:hint="eastAsia" w:ascii="Times New Roman" w:hAnsi="Times New Roman" w:eastAsia="宋体" w:cs="Times New Roman"/>
          <w:bCs/>
          <w:color w:val="auto"/>
          <w:sz w:val="24"/>
          <w:szCs w:val="21"/>
          <w:highlight w:val="none"/>
          <w:u w:val="none"/>
          <w:lang w:val="en-US" w:eastAsia="zh-CN"/>
        </w:rPr>
        <w:t>东</w:t>
      </w:r>
      <w:r>
        <w:rPr>
          <w:rFonts w:hint="eastAsia" w:ascii="Times New Roman" w:hAnsi="Times New Roman" w:cs="Times New Roman"/>
          <w:bCs/>
          <w:color w:val="auto"/>
          <w:sz w:val="24"/>
          <w:szCs w:val="21"/>
          <w:highlight w:val="none"/>
          <w:u w:val="none"/>
          <w:lang w:val="en-US" w:eastAsia="zh-CN"/>
        </w:rPr>
        <w:t>洞庭湖自然保护区方案调整后，本项目处于保护区实验区边界之外（距离</w:t>
      </w:r>
      <w:r>
        <w:rPr>
          <w:rFonts w:hint="eastAsia" w:cs="Times New Roman"/>
          <w:bCs/>
          <w:color w:val="auto"/>
          <w:sz w:val="24"/>
          <w:szCs w:val="21"/>
          <w:highlight w:val="none"/>
          <w:u w:val="none"/>
          <w:lang w:val="en-US" w:eastAsia="zh-CN"/>
        </w:rPr>
        <w:t>整合优化</w:t>
      </w:r>
      <w:r>
        <w:rPr>
          <w:rFonts w:hint="eastAsia" w:ascii="Times New Roman" w:hAnsi="Times New Roman" w:cs="Times New Roman"/>
          <w:bCs/>
          <w:color w:val="auto"/>
          <w:sz w:val="24"/>
          <w:szCs w:val="21"/>
          <w:highlight w:val="none"/>
          <w:u w:val="none"/>
          <w:lang w:val="en-US" w:eastAsia="zh-CN"/>
        </w:rPr>
        <w:t>后</w:t>
      </w:r>
      <w:r>
        <w:rPr>
          <w:rFonts w:hint="eastAsia" w:cs="Times New Roman"/>
          <w:bCs/>
          <w:color w:val="auto"/>
          <w:sz w:val="24"/>
          <w:szCs w:val="21"/>
          <w:highlight w:val="none"/>
          <w:u w:val="none"/>
          <w:lang w:val="en-US" w:eastAsia="zh-CN"/>
        </w:rPr>
        <w:t>湖南东洞庭湖国家级自然保护区</w:t>
      </w:r>
      <w:r>
        <w:rPr>
          <w:rFonts w:hint="eastAsia" w:ascii="Times New Roman" w:hAnsi="Times New Roman" w:cs="Times New Roman"/>
          <w:bCs/>
          <w:color w:val="auto"/>
          <w:sz w:val="24"/>
          <w:szCs w:val="21"/>
          <w:highlight w:val="none"/>
          <w:u w:val="none"/>
          <w:lang w:val="en-US" w:eastAsia="zh-CN"/>
        </w:rPr>
        <w:t>约1.</w:t>
      </w:r>
      <w:r>
        <w:rPr>
          <w:rFonts w:hint="eastAsia" w:cs="Times New Roman"/>
          <w:bCs/>
          <w:color w:val="auto"/>
          <w:sz w:val="24"/>
          <w:szCs w:val="21"/>
          <w:highlight w:val="none"/>
          <w:u w:val="none"/>
          <w:lang w:val="en-US" w:eastAsia="zh-CN"/>
        </w:rPr>
        <w:t>3</w:t>
      </w:r>
      <w:r>
        <w:rPr>
          <w:rFonts w:hint="eastAsia" w:ascii="Times New Roman" w:hAnsi="Times New Roman" w:cs="Times New Roman"/>
          <w:bCs/>
          <w:color w:val="auto"/>
          <w:sz w:val="24"/>
          <w:szCs w:val="21"/>
          <w:highlight w:val="none"/>
          <w:u w:val="none"/>
          <w:lang w:val="en-US" w:eastAsia="zh-CN"/>
        </w:rPr>
        <w:t>km）。</w:t>
      </w:r>
    </w:p>
    <w:p>
      <w:pPr>
        <w:pStyle w:val="53"/>
        <w:adjustRightInd w:val="0"/>
        <w:snapToGrid w:val="0"/>
        <w:spacing w:line="360" w:lineRule="auto"/>
        <w:ind w:left="0" w:leftChars="0" w:firstLine="0" w:firstLineChars="0"/>
        <w:rPr>
          <w:rFonts w:hint="default" w:ascii="Times New Roman" w:hAnsi="Times New Roman" w:cs="Times New Roman"/>
          <w:b/>
          <w:color w:val="auto"/>
          <w:sz w:val="24"/>
          <w:szCs w:val="21"/>
          <w:lang w:val="en-US" w:eastAsia="zh-CN"/>
        </w:rPr>
      </w:pPr>
      <w:r>
        <w:rPr>
          <w:rFonts w:hint="eastAsia" w:ascii="Times New Roman" w:hAnsi="Times New Roman" w:cs="Times New Roman"/>
          <w:b/>
          <w:color w:val="auto"/>
          <w:sz w:val="24"/>
          <w:szCs w:val="21"/>
          <w:lang w:val="en-US" w:eastAsia="zh-CN"/>
        </w:rPr>
        <w:t>3.3.2保护区功能区划</w:t>
      </w:r>
    </w:p>
    <w:p>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rPr>
      </w:pPr>
      <w:r>
        <w:rPr>
          <w:rFonts w:hint="eastAsia" w:ascii="Times New Roman" w:hAnsi="Times New Roman" w:cs="Times New Roman"/>
          <w:bCs/>
          <w:color w:val="auto"/>
          <w:sz w:val="24"/>
          <w:szCs w:val="21"/>
          <w:highlight w:val="none"/>
          <w:u w:val="none"/>
        </w:rPr>
        <w:t>东洞庭湖是洞庭湖湖系中最大的湖泊，年平均过湖水量达3126亿立方米。常年湖容量178亿立方米，水深4-22m，最大水位落差为17.76m，ph6.8-8.6。它的地貌呈沟港纵横的湿地景观。土壤为湖沼土和河沼土。年平均气温为17℃，湖水年平均温度17.5℃，总降水量1200-1330mm，无霜期258-275天</w:t>
      </w:r>
      <w:r>
        <w:rPr>
          <w:rFonts w:hint="eastAsia" w:ascii="Times New Roman" w:hAnsi="Times New Roman" w:cs="Times New Roman"/>
          <w:bCs/>
          <w:color w:val="auto"/>
          <w:sz w:val="24"/>
          <w:szCs w:val="21"/>
          <w:highlight w:val="none"/>
          <w:u w:val="none"/>
          <w:lang w:eastAsia="zh-CN"/>
        </w:rPr>
        <w:t>。</w:t>
      </w:r>
      <w:r>
        <w:rPr>
          <w:rFonts w:hint="eastAsia" w:ascii="Times New Roman" w:hAnsi="Times New Roman" w:cs="Times New Roman"/>
          <w:bCs/>
          <w:color w:val="auto"/>
          <w:sz w:val="24"/>
          <w:szCs w:val="21"/>
          <w:highlight w:val="none"/>
          <w:u w:val="none"/>
        </w:rPr>
        <w:t>东洞庭湖既是我国湿地水禽的重要越冬地，也是重要繁殖地、停歇地。栖息的雁鸭类、鸻鹬类等水鸟达数十万羽。</w:t>
      </w:r>
    </w:p>
    <w:p>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lang w:eastAsia="zh-CN"/>
        </w:rPr>
      </w:pPr>
      <w:r>
        <w:rPr>
          <w:rFonts w:hint="eastAsia" w:ascii="Times New Roman" w:hAnsi="Times New Roman" w:cs="Times New Roman"/>
          <w:bCs/>
          <w:color w:val="auto"/>
          <w:sz w:val="24"/>
          <w:szCs w:val="21"/>
          <w:highlight w:val="none"/>
          <w:u w:val="none"/>
          <w:lang w:eastAsia="zh-CN"/>
        </w:rPr>
        <w:t>（</w:t>
      </w:r>
      <w:r>
        <w:rPr>
          <w:rFonts w:hint="eastAsia" w:ascii="Times New Roman" w:hAnsi="Times New Roman" w:cs="Times New Roman"/>
          <w:bCs/>
          <w:color w:val="auto"/>
          <w:sz w:val="24"/>
          <w:szCs w:val="21"/>
          <w:highlight w:val="none"/>
          <w:u w:val="none"/>
          <w:lang w:val="en-US" w:eastAsia="zh-CN"/>
        </w:rPr>
        <w:t>1</w:t>
      </w:r>
      <w:r>
        <w:rPr>
          <w:rFonts w:hint="eastAsia" w:ascii="Times New Roman" w:hAnsi="Times New Roman" w:cs="Times New Roman"/>
          <w:bCs/>
          <w:color w:val="auto"/>
          <w:sz w:val="24"/>
          <w:szCs w:val="21"/>
          <w:highlight w:val="none"/>
          <w:u w:val="none"/>
          <w:lang w:eastAsia="zh-CN"/>
        </w:rPr>
        <w:t>）功能区划概况</w:t>
      </w:r>
    </w:p>
    <w:p>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lang w:val="en-US" w:eastAsia="zh-CN"/>
        </w:rPr>
      </w:pPr>
      <w:r>
        <w:rPr>
          <w:rFonts w:hint="eastAsia" w:ascii="Times New Roman" w:hAnsi="Times New Roman" w:cs="Times New Roman"/>
          <w:bCs/>
          <w:color w:val="auto"/>
          <w:sz w:val="24"/>
          <w:szCs w:val="21"/>
          <w:highlight w:val="none"/>
          <w:u w:val="none"/>
          <w:lang w:val="en-US" w:eastAsia="zh-CN"/>
        </w:rPr>
        <w:t>东洞庭湖国家级自然保护区功能区划分情况为:</w:t>
      </w:r>
    </w:p>
    <w:p>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lang w:val="en-US" w:eastAsia="zh-CN"/>
        </w:rPr>
      </w:pPr>
      <w:r>
        <w:rPr>
          <w:rFonts w:hint="eastAsia" w:ascii="Times New Roman" w:hAnsi="Times New Roman" w:cs="Times New Roman"/>
          <w:bCs/>
          <w:color w:val="auto"/>
          <w:sz w:val="24"/>
          <w:szCs w:val="21"/>
          <w:highlight w:val="none"/>
          <w:u w:val="none"/>
          <w:lang w:val="en-US" w:eastAsia="zh-CN"/>
        </w:rPr>
        <w:t>①核心区。湿地生态系统完整，生物资源丰富，白鹤、黑鹤、东方白鹤、小天鹅、鸿雁等珍稀濒危鸟类集中栖息的地段，面积</w:t>
      </w:r>
      <w:r>
        <w:rPr>
          <w:rFonts w:hint="eastAsia" w:cs="Times New Roman"/>
          <w:bCs/>
          <w:color w:val="auto"/>
          <w:sz w:val="24"/>
          <w:szCs w:val="21"/>
          <w:highlight w:val="none"/>
          <w:u w:val="none"/>
          <w:lang w:val="en-US" w:eastAsia="zh-CN"/>
        </w:rPr>
        <w:t>3.3286x104hm²。</w:t>
      </w:r>
    </w:p>
    <w:p>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lang w:val="en-US" w:eastAsia="zh-CN"/>
        </w:rPr>
      </w:pPr>
      <w:r>
        <w:rPr>
          <w:rFonts w:hint="eastAsia" w:ascii="Times New Roman" w:hAnsi="Times New Roman" w:cs="Times New Roman"/>
          <w:bCs/>
          <w:color w:val="auto"/>
          <w:sz w:val="24"/>
          <w:szCs w:val="21"/>
          <w:highlight w:val="none"/>
          <w:u w:val="none"/>
          <w:lang w:val="en-US" w:eastAsia="zh-CN"/>
        </w:rPr>
        <w:t>将湿地生态系统完整、生物资源丰富、白鹤、黑鹳、东方白鹳、小天鹅、鸿雁等珍稀濒危鸟类集中栖息的地段作为核心区，总面积2.90万hm2。依据功能区划原则，又将保护区核心区分为3大块。即大小西湖-君山后湖核心区:从大小西湖、三坝、四坝至君山后湖包括黑嘴在内的定权发证区域，面积1.60万hm2;红旗湖核心区:上、下红旗湖、天鹅段定权发证区域，面积0.80万hm2:春风湖核心区:包括春风湖及其大片洲滩在内的0.50万hm2定权发证区域。核心区内，实行封闭式管理，严格控制外界人员随意进入或从事捕鱼、放牧等生产经营活动，并对湖水水位进行严格的管理和调控。</w:t>
      </w:r>
    </w:p>
    <w:p>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lang w:val="en-US" w:eastAsia="zh-CN"/>
        </w:rPr>
      </w:pPr>
      <w:r>
        <w:rPr>
          <w:rFonts w:hint="eastAsia" w:ascii="Times New Roman" w:hAnsi="Times New Roman" w:cs="Times New Roman"/>
          <w:bCs/>
          <w:color w:val="auto"/>
          <w:sz w:val="24"/>
          <w:szCs w:val="21"/>
          <w:highlight w:val="none"/>
          <w:u w:val="none"/>
          <w:lang w:val="en-US" w:eastAsia="zh-CN"/>
        </w:rPr>
        <w:fldChar w:fldCharType="begin"/>
      </w:r>
      <w:r>
        <w:rPr>
          <w:rFonts w:hint="eastAsia" w:ascii="Times New Roman" w:hAnsi="Times New Roman" w:cs="Times New Roman"/>
          <w:bCs/>
          <w:color w:val="auto"/>
          <w:sz w:val="24"/>
          <w:szCs w:val="21"/>
          <w:highlight w:val="none"/>
          <w:u w:val="none"/>
          <w:lang w:val="en-US" w:eastAsia="zh-CN"/>
        </w:rPr>
        <w:instrText xml:space="preserve"> = 2 \* GB3 \* MERGEFORMAT </w:instrText>
      </w:r>
      <w:r>
        <w:rPr>
          <w:rFonts w:hint="eastAsia" w:ascii="Times New Roman" w:hAnsi="Times New Roman" w:cs="Times New Roman"/>
          <w:bCs/>
          <w:color w:val="auto"/>
          <w:sz w:val="24"/>
          <w:szCs w:val="21"/>
          <w:highlight w:val="none"/>
          <w:u w:val="none"/>
          <w:lang w:val="en-US" w:eastAsia="zh-CN"/>
        </w:rPr>
        <w:fldChar w:fldCharType="separate"/>
      </w:r>
      <w:r>
        <w:rPr>
          <w:rFonts w:hint="eastAsia" w:ascii="Times New Roman" w:hAnsi="Times New Roman" w:cs="Times New Roman"/>
          <w:bCs/>
          <w:color w:val="auto"/>
          <w:sz w:val="24"/>
          <w:szCs w:val="21"/>
          <w:highlight w:val="none"/>
          <w:u w:val="none"/>
          <w:lang w:val="en-US" w:eastAsia="zh-CN"/>
        </w:rPr>
        <w:t>②</w:t>
      </w:r>
      <w:r>
        <w:rPr>
          <w:rFonts w:hint="eastAsia" w:ascii="Times New Roman" w:hAnsi="Times New Roman" w:cs="Times New Roman"/>
          <w:bCs/>
          <w:color w:val="auto"/>
          <w:sz w:val="24"/>
          <w:szCs w:val="21"/>
          <w:highlight w:val="none"/>
          <w:u w:val="none"/>
          <w:lang w:val="en-US" w:eastAsia="zh-CN"/>
        </w:rPr>
        <w:fldChar w:fldCharType="end"/>
      </w:r>
      <w:r>
        <w:rPr>
          <w:rFonts w:hint="eastAsia" w:ascii="Times New Roman" w:hAnsi="Times New Roman" w:cs="Times New Roman"/>
          <w:bCs/>
          <w:color w:val="auto"/>
          <w:sz w:val="24"/>
          <w:szCs w:val="21"/>
          <w:highlight w:val="none"/>
          <w:u w:val="none"/>
          <w:lang w:val="en-US" w:eastAsia="zh-CN"/>
        </w:rPr>
        <w:t>缓冲区。核心区外围所有东洞庭湖区域，面积3.</w:t>
      </w:r>
      <w:r>
        <w:rPr>
          <w:rFonts w:hint="eastAsia" w:cs="Times New Roman"/>
          <w:bCs/>
          <w:color w:val="auto"/>
          <w:sz w:val="24"/>
          <w:szCs w:val="21"/>
          <w:highlight w:val="none"/>
          <w:u w:val="none"/>
          <w:lang w:val="en-US" w:eastAsia="zh-CN"/>
        </w:rPr>
        <w:t>2369</w:t>
      </w:r>
      <w:r>
        <w:rPr>
          <w:rFonts w:hint="eastAsia" w:ascii="Times New Roman" w:hAnsi="Times New Roman" w:cs="Times New Roman"/>
          <w:bCs/>
          <w:color w:val="auto"/>
          <w:sz w:val="24"/>
          <w:szCs w:val="21"/>
          <w:highlight w:val="none"/>
          <w:u w:val="none"/>
          <w:lang w:val="en-US" w:eastAsia="zh-CN"/>
        </w:rPr>
        <w:t>x10</w:t>
      </w:r>
      <w:r>
        <w:rPr>
          <w:rFonts w:hint="eastAsia" w:ascii="Times New Roman" w:hAnsi="Times New Roman" w:cs="Times New Roman"/>
          <w:bCs/>
          <w:color w:val="auto"/>
          <w:sz w:val="24"/>
          <w:szCs w:val="21"/>
          <w:highlight w:val="none"/>
          <w:u w:val="none"/>
          <w:vertAlign w:val="superscript"/>
          <w:lang w:val="en-US" w:eastAsia="zh-CN"/>
        </w:rPr>
        <w:t>4</w:t>
      </w:r>
      <w:r>
        <w:rPr>
          <w:rFonts w:hint="eastAsia" w:ascii="Times New Roman" w:hAnsi="Times New Roman" w:cs="Times New Roman"/>
          <w:bCs/>
          <w:color w:val="auto"/>
          <w:sz w:val="24"/>
          <w:szCs w:val="21"/>
          <w:highlight w:val="none"/>
          <w:u w:val="none"/>
          <w:lang w:val="en-US" w:eastAsia="zh-CN"/>
        </w:rPr>
        <w:t>hm²。</w:t>
      </w:r>
    </w:p>
    <w:p>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lang w:val="en-US" w:eastAsia="zh-CN"/>
        </w:rPr>
      </w:pPr>
      <w:r>
        <w:rPr>
          <w:rFonts w:hint="eastAsia" w:ascii="Times New Roman" w:hAnsi="Times New Roman" w:cs="Times New Roman"/>
          <w:bCs/>
          <w:color w:val="auto"/>
          <w:sz w:val="24"/>
          <w:szCs w:val="21"/>
          <w:highlight w:val="none"/>
          <w:u w:val="none"/>
          <w:lang w:val="en-US" w:eastAsia="zh-CN"/>
        </w:rPr>
        <w:fldChar w:fldCharType="begin"/>
      </w:r>
      <w:r>
        <w:rPr>
          <w:rFonts w:hint="eastAsia" w:ascii="Times New Roman" w:hAnsi="Times New Roman" w:cs="Times New Roman"/>
          <w:bCs/>
          <w:color w:val="auto"/>
          <w:sz w:val="24"/>
          <w:szCs w:val="21"/>
          <w:highlight w:val="none"/>
          <w:u w:val="none"/>
          <w:lang w:val="en-US" w:eastAsia="zh-CN"/>
        </w:rPr>
        <w:instrText xml:space="preserve"> = 3 \* GB3 \* MERGEFORMAT </w:instrText>
      </w:r>
      <w:r>
        <w:rPr>
          <w:rFonts w:hint="eastAsia" w:ascii="Times New Roman" w:hAnsi="Times New Roman" w:cs="Times New Roman"/>
          <w:bCs/>
          <w:color w:val="auto"/>
          <w:sz w:val="24"/>
          <w:szCs w:val="21"/>
          <w:highlight w:val="none"/>
          <w:u w:val="none"/>
          <w:lang w:val="en-US" w:eastAsia="zh-CN"/>
        </w:rPr>
        <w:fldChar w:fldCharType="separate"/>
      </w:r>
      <w:r>
        <w:rPr>
          <w:rFonts w:hint="eastAsia" w:ascii="Times New Roman" w:hAnsi="Times New Roman" w:cs="Times New Roman"/>
          <w:bCs/>
          <w:color w:val="auto"/>
          <w:sz w:val="24"/>
          <w:szCs w:val="21"/>
          <w:highlight w:val="none"/>
          <w:u w:val="none"/>
          <w:lang w:val="en-US" w:eastAsia="zh-CN"/>
        </w:rPr>
        <w:t>③</w:t>
      </w:r>
      <w:r>
        <w:rPr>
          <w:rFonts w:hint="eastAsia" w:ascii="Times New Roman" w:hAnsi="Times New Roman" w:cs="Times New Roman"/>
          <w:bCs/>
          <w:color w:val="auto"/>
          <w:sz w:val="24"/>
          <w:szCs w:val="21"/>
          <w:highlight w:val="none"/>
          <w:u w:val="none"/>
          <w:lang w:val="en-US" w:eastAsia="zh-CN"/>
        </w:rPr>
        <w:fldChar w:fldCharType="end"/>
      </w:r>
      <w:r>
        <w:rPr>
          <w:rFonts w:hint="eastAsia" w:ascii="Times New Roman" w:hAnsi="Times New Roman" w:cs="Times New Roman"/>
          <w:bCs/>
          <w:color w:val="auto"/>
          <w:sz w:val="24"/>
          <w:szCs w:val="21"/>
          <w:highlight w:val="none"/>
          <w:u w:val="none"/>
          <w:lang w:val="en-US" w:eastAsia="zh-CN"/>
        </w:rPr>
        <w:t>实验区。保护区区界以内缓冲区以外的广大区域，包括采桑湖、团湖、方台湖、南湖、芭蕉湖等在内的烷内湖泊和农业用地，面积</w:t>
      </w:r>
      <w:r>
        <w:rPr>
          <w:rFonts w:hint="eastAsia" w:cs="Times New Roman"/>
          <w:bCs/>
          <w:color w:val="auto"/>
          <w:sz w:val="24"/>
          <w:szCs w:val="21"/>
          <w:highlight w:val="none"/>
          <w:u w:val="none"/>
          <w:lang w:val="en-US" w:eastAsia="zh-CN"/>
        </w:rPr>
        <w:t>9.1972</w:t>
      </w:r>
      <w:r>
        <w:rPr>
          <w:rFonts w:hint="eastAsia" w:ascii="Times New Roman" w:hAnsi="Times New Roman" w:cs="Times New Roman"/>
          <w:bCs/>
          <w:color w:val="auto"/>
          <w:sz w:val="24"/>
          <w:szCs w:val="21"/>
          <w:highlight w:val="none"/>
          <w:u w:val="none"/>
          <w:lang w:val="en-US" w:eastAsia="zh-CN"/>
        </w:rPr>
        <w:t>x104hm²。</w:t>
      </w:r>
    </w:p>
    <w:p>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lang w:val="en-US" w:eastAsia="zh-CN"/>
        </w:rPr>
      </w:pPr>
      <w:r>
        <w:rPr>
          <w:rFonts w:hint="eastAsia" w:ascii="Times New Roman" w:hAnsi="Times New Roman" w:cs="Times New Roman"/>
          <w:bCs/>
          <w:color w:val="auto"/>
          <w:sz w:val="24"/>
          <w:szCs w:val="21"/>
          <w:highlight w:val="none"/>
          <w:u w:val="none"/>
          <w:lang w:val="en-US" w:eastAsia="zh-CN"/>
        </w:rPr>
        <w:t>在缓冲区和实验区内，保护区将依法取缔各种非法渔具，全面禁止偷猎或毒杀珍禽的违法活动。</w:t>
      </w:r>
    </w:p>
    <w:p>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lang w:val="en-US" w:eastAsia="zh-CN"/>
        </w:rPr>
      </w:pPr>
      <w:r>
        <w:rPr>
          <w:rFonts w:hint="eastAsia" w:ascii="Times New Roman" w:hAnsi="Times New Roman" w:cs="Times New Roman"/>
          <w:bCs/>
          <w:color w:val="auto"/>
          <w:sz w:val="24"/>
          <w:szCs w:val="21"/>
          <w:highlight w:val="none"/>
          <w:u w:val="none"/>
          <w:lang w:val="en-US" w:eastAsia="zh-CN"/>
        </w:rPr>
        <w:t>保护区的核心区和缓冲区，是珍稀濒危野生动物的主要栖息地，又是湿地生态系统的典型区域。在该范围内以保护为主，除开展科研、调查活动外，尽量减少人为影响和干扰，绝对禁止在该区域开展经营活动和一切生产活动。</w:t>
      </w:r>
    </w:p>
    <w:p>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lang w:val="en-US" w:eastAsia="zh-CN"/>
        </w:rPr>
      </w:pPr>
      <w:r>
        <w:rPr>
          <w:rFonts w:hint="eastAsia" w:ascii="Times New Roman" w:hAnsi="Times New Roman" w:cs="Times New Roman"/>
          <w:bCs/>
          <w:color w:val="auto"/>
          <w:sz w:val="24"/>
          <w:szCs w:val="21"/>
          <w:highlight w:val="none"/>
          <w:u w:val="none"/>
          <w:lang w:val="en-US" w:eastAsia="zh-CN"/>
        </w:rPr>
        <w:t>实验区实际上应该为可持续发展示范区，且实验区内在有利于保护的基础上，该区域内可以开展自然资源的合理利用，特别是应开展非消耗性资源利用，如开展生态旅游业(观鸟、观荷花等)，以减少人们对自然资源的直接消耗和过分依赖。</w:t>
      </w:r>
    </w:p>
    <w:p>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lang w:eastAsia="zh-CN"/>
        </w:rPr>
      </w:pPr>
      <w:r>
        <w:rPr>
          <w:rFonts w:hint="eastAsia" w:ascii="Times New Roman" w:hAnsi="Times New Roman" w:cs="Times New Roman"/>
          <w:bCs/>
          <w:color w:val="auto"/>
          <w:sz w:val="24"/>
          <w:szCs w:val="21"/>
          <w:highlight w:val="none"/>
          <w:u w:val="none"/>
          <w:lang w:eastAsia="zh-CN"/>
        </w:rPr>
        <w:t>（</w:t>
      </w:r>
      <w:r>
        <w:rPr>
          <w:rFonts w:hint="eastAsia" w:ascii="Times New Roman" w:hAnsi="Times New Roman" w:cs="Times New Roman"/>
          <w:bCs/>
          <w:color w:val="auto"/>
          <w:sz w:val="24"/>
          <w:szCs w:val="21"/>
          <w:highlight w:val="none"/>
          <w:u w:val="none"/>
          <w:lang w:val="en-US" w:eastAsia="zh-CN"/>
        </w:rPr>
        <w:t>2</w:t>
      </w:r>
      <w:r>
        <w:rPr>
          <w:rFonts w:hint="eastAsia" w:ascii="Times New Roman" w:hAnsi="Times New Roman" w:cs="Times New Roman"/>
          <w:bCs/>
          <w:color w:val="auto"/>
          <w:sz w:val="24"/>
          <w:szCs w:val="21"/>
          <w:highlight w:val="none"/>
          <w:u w:val="none"/>
          <w:lang w:eastAsia="zh-CN"/>
        </w:rPr>
        <w:t>）功能区划</w:t>
      </w:r>
      <w:r>
        <w:rPr>
          <w:rFonts w:hint="eastAsia" w:cs="Times New Roman"/>
          <w:bCs/>
          <w:color w:val="auto"/>
          <w:sz w:val="24"/>
          <w:szCs w:val="21"/>
          <w:highlight w:val="none"/>
          <w:u w:val="none"/>
          <w:lang w:val="en-US" w:eastAsia="zh-CN"/>
        </w:rPr>
        <w:t>拟</w:t>
      </w:r>
      <w:r>
        <w:rPr>
          <w:rFonts w:hint="eastAsia" w:ascii="Times New Roman" w:hAnsi="Times New Roman" w:cs="Times New Roman"/>
          <w:bCs/>
          <w:color w:val="auto"/>
          <w:sz w:val="24"/>
          <w:szCs w:val="21"/>
          <w:highlight w:val="none"/>
          <w:u w:val="none"/>
          <w:lang w:val="en-US" w:eastAsia="zh-CN"/>
        </w:rPr>
        <w:t>调整</w:t>
      </w:r>
      <w:r>
        <w:rPr>
          <w:rFonts w:hint="eastAsia" w:ascii="Times New Roman" w:hAnsi="Times New Roman" w:cs="Times New Roman"/>
          <w:bCs/>
          <w:color w:val="auto"/>
          <w:sz w:val="24"/>
          <w:szCs w:val="21"/>
          <w:highlight w:val="none"/>
          <w:u w:val="none"/>
          <w:lang w:eastAsia="zh-CN"/>
        </w:rPr>
        <w:t>概况</w:t>
      </w:r>
    </w:p>
    <w:p>
      <w:pPr>
        <w:pStyle w:val="65"/>
        <w:ind w:firstLine="480"/>
        <w:rPr>
          <w:rFonts w:hint="default" w:ascii="Times New Roman" w:hAnsi="Times New Roman" w:cs="Times New Roman"/>
          <w:color w:val="auto"/>
        </w:rPr>
      </w:pPr>
      <w:r>
        <w:rPr>
          <w:rFonts w:hint="default" w:ascii="Times New Roman" w:hAnsi="Times New Roman" w:cs="Times New Roman"/>
          <w:color w:val="auto"/>
        </w:rPr>
        <w:t>东洞庭湖国家级自然保护区位于长江中下游荆江江段南侧，地处湖南省东北部岳阳市境内，地理坐标为29°0′0″～29°37′45.7″N，112°43′59.5″～113°13′13.4″E之间。自然保护区北起长江湘鄂两省主航道分界线，南至磊石山，东至京广铁路，西至与南县交界。管理范围包括整个东洞庭湖水域及其近周平原岗地。</w:t>
      </w:r>
    </w:p>
    <w:p>
      <w:pPr>
        <w:pStyle w:val="65"/>
        <w:ind w:firstLine="480"/>
        <w:rPr>
          <w:rFonts w:hint="eastAsia" w:ascii="Times New Roman" w:hAnsi="Times New Roman" w:cs="Times New Roman"/>
          <w:color w:val="auto"/>
          <w:lang w:eastAsia="zh-CN"/>
        </w:rPr>
      </w:pPr>
      <w:r>
        <w:rPr>
          <w:rFonts w:hint="default" w:ascii="Times New Roman" w:hAnsi="Times New Roman" w:cs="Times New Roman"/>
          <w:color w:val="auto"/>
        </w:rPr>
        <w:t>东洞庭湖国家级自然保护区成立于1982年，1992年成为我国首批加入《国际湿地公约》的六块国际重要湿地之一，1994年经国务院批准升格为国家级自然保护区，2018年经国务院（国办函[2018]19号）批准，调整了保护区范围与功能区划。保护区划分为核心区、缓冲区和实验区，保护区面积157627公顷，其中核心区面积33286公顷，缓冲区面积32369公顷，实验区面积91972公顷。东洞庭湖是世界自然基金会（WWF）确定的全球200个生物多样性热点地区之一，湿地生物资源丰富，是东北亚迁徙候鸟重要的越冬地和栖息地。保护区有鸟类356种，其中国家一级保护的有东方白鹳、黑鹳、白鹤等18种，二级保护的64种；有维管束植物486种；鱼类117种，其中国家一级保护的有白鲟、中华鲟2种；两栖类12种，爬行类11种，哺乳类31种，其中国家一级保护2种，即江豚和目前中国最大的自然野化种群麋鹿。2021年，洞庭湖越冬水鸟创历史新高达到28.8万只，麋鹿达到200余头，已成为最大的自然野化种群和稳定的东洞庭湖亚群。长江江豚持续增加，达到120多头。候鸟的欢歌、麋鹿的倩影、江豚的微笑已成为湖南生态文明建设的新名片</w:t>
      </w:r>
      <w:r>
        <w:rPr>
          <w:rFonts w:hint="eastAsia" w:ascii="Times New Roman" w:hAnsi="Times New Roman" w:cs="Times New Roman"/>
          <w:color w:val="auto"/>
          <w:lang w:eastAsia="zh-CN"/>
        </w:rPr>
        <w:t>。</w:t>
      </w:r>
    </w:p>
    <w:p>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lang w:val="en-US" w:eastAsia="zh-CN"/>
        </w:rPr>
      </w:pPr>
      <w:r>
        <w:rPr>
          <w:rFonts w:hint="eastAsia" w:ascii="Times New Roman" w:hAnsi="Times New Roman" w:cs="Times New Roman"/>
          <w:bCs/>
          <w:color w:val="auto"/>
          <w:sz w:val="24"/>
          <w:szCs w:val="21"/>
          <w:highlight w:val="none"/>
          <w:u w:val="none"/>
          <w:lang w:val="en-US" w:eastAsia="zh-CN"/>
        </w:rPr>
        <w:t>1）规划拟调整概况</w:t>
      </w:r>
    </w:p>
    <w:p>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lang w:val="en-US" w:eastAsia="zh-CN"/>
        </w:rPr>
      </w:pPr>
      <w:r>
        <w:rPr>
          <w:rFonts w:hint="eastAsia" w:ascii="Times New Roman" w:hAnsi="Times New Roman" w:cs="Times New Roman"/>
          <w:bCs/>
          <w:color w:val="auto"/>
          <w:sz w:val="24"/>
          <w:szCs w:val="21"/>
          <w:highlight w:val="none"/>
          <w:u w:val="none"/>
          <w:lang w:val="en-US" w:eastAsia="zh-CN"/>
        </w:rPr>
        <w:t>东洞庭湖自然保护区现正在整合优化，关于湖南东洞庭湖国家级自然保护区整合优化方案情况已</w:t>
      </w:r>
      <w:r>
        <w:rPr>
          <w:rFonts w:hint="eastAsia" w:cs="Times New Roman"/>
          <w:bCs/>
          <w:color w:val="auto"/>
          <w:sz w:val="24"/>
          <w:szCs w:val="21"/>
          <w:highlight w:val="none"/>
          <w:u w:val="none"/>
          <w:lang w:val="en-US" w:eastAsia="zh-CN"/>
        </w:rPr>
        <w:t>于2023年3月</w:t>
      </w:r>
      <w:r>
        <w:rPr>
          <w:rFonts w:hint="eastAsia" w:ascii="Times New Roman" w:hAnsi="Times New Roman" w:cs="Times New Roman"/>
          <w:bCs/>
          <w:color w:val="auto"/>
          <w:sz w:val="24"/>
          <w:szCs w:val="21"/>
          <w:highlight w:val="none"/>
          <w:u w:val="none"/>
          <w:lang w:val="en-US" w:eastAsia="zh-CN"/>
        </w:rPr>
        <w:t>在岳阳市林业局网站进行公示，目前</w:t>
      </w:r>
      <w:r>
        <w:rPr>
          <w:rFonts w:hint="eastAsia" w:cs="Times New Roman"/>
          <w:bCs/>
          <w:color w:val="auto"/>
          <w:sz w:val="24"/>
          <w:szCs w:val="21"/>
          <w:highlight w:val="none"/>
          <w:u w:val="none"/>
          <w:lang w:val="en-US" w:eastAsia="zh-CN"/>
        </w:rPr>
        <w:t>整合优化方案及新的自然保护区规划正在积极编制中</w:t>
      </w:r>
      <w:r>
        <w:rPr>
          <w:rFonts w:hint="eastAsia" w:ascii="Times New Roman" w:hAnsi="Times New Roman" w:cs="Times New Roman"/>
          <w:bCs/>
          <w:color w:val="auto"/>
          <w:sz w:val="24"/>
          <w:szCs w:val="21"/>
          <w:highlight w:val="none"/>
          <w:u w:val="none"/>
          <w:lang w:val="en-US" w:eastAsia="zh-CN"/>
        </w:rPr>
        <w:t>，未正式发布。此次范围调整只涉及将部分实验区部分区域调出保护区</w:t>
      </w:r>
      <w:r>
        <w:rPr>
          <w:rFonts w:hint="eastAsia" w:cs="Times New Roman"/>
          <w:bCs/>
          <w:color w:val="auto"/>
          <w:sz w:val="24"/>
          <w:szCs w:val="21"/>
          <w:highlight w:val="none"/>
          <w:u w:val="none"/>
          <w:lang w:val="en-US" w:eastAsia="zh-CN"/>
        </w:rPr>
        <w:t>；</w:t>
      </w:r>
      <w:r>
        <w:rPr>
          <w:rFonts w:hint="eastAsia" w:ascii="Times New Roman" w:hAnsi="Times New Roman" w:cs="Times New Roman"/>
          <w:bCs/>
          <w:color w:val="auto"/>
          <w:sz w:val="24"/>
          <w:szCs w:val="21"/>
          <w:highlight w:val="none"/>
          <w:u w:val="none"/>
          <w:lang w:val="en-US" w:eastAsia="zh-CN"/>
        </w:rPr>
        <w:t>功能区调整拟将部分实验区调整为</w:t>
      </w:r>
      <w:r>
        <w:rPr>
          <w:rFonts w:hint="eastAsia" w:cs="Times New Roman"/>
          <w:bCs/>
          <w:color w:val="auto"/>
          <w:sz w:val="24"/>
          <w:szCs w:val="21"/>
          <w:highlight w:val="none"/>
          <w:u w:val="none"/>
          <w:lang w:val="en-US" w:eastAsia="zh-CN"/>
        </w:rPr>
        <w:t>一般狗控制区</w:t>
      </w:r>
      <w:r>
        <w:rPr>
          <w:rFonts w:hint="eastAsia" w:ascii="Times New Roman" w:hAnsi="Times New Roman" w:cs="Times New Roman"/>
          <w:bCs/>
          <w:color w:val="auto"/>
          <w:sz w:val="24"/>
          <w:szCs w:val="21"/>
          <w:highlight w:val="none"/>
          <w:u w:val="none"/>
          <w:lang w:val="en-US" w:eastAsia="zh-CN"/>
        </w:rPr>
        <w:t>，并将</w:t>
      </w:r>
      <w:r>
        <w:rPr>
          <w:rFonts w:hint="eastAsia" w:cs="Times New Roman"/>
          <w:bCs/>
          <w:color w:val="auto"/>
          <w:sz w:val="24"/>
          <w:szCs w:val="21"/>
          <w:highlight w:val="none"/>
          <w:u w:val="none"/>
          <w:lang w:val="en-US" w:eastAsia="zh-CN"/>
        </w:rPr>
        <w:t>原有核心区以及</w:t>
      </w:r>
      <w:r>
        <w:rPr>
          <w:rFonts w:hint="eastAsia" w:ascii="Times New Roman" w:hAnsi="Times New Roman" w:cs="Times New Roman"/>
          <w:bCs/>
          <w:color w:val="auto"/>
          <w:sz w:val="24"/>
          <w:szCs w:val="21"/>
          <w:highlight w:val="none"/>
          <w:u w:val="none"/>
          <w:lang w:val="en-US" w:eastAsia="zh-CN"/>
        </w:rPr>
        <w:t>部分缓冲区调整为</w:t>
      </w:r>
      <w:r>
        <w:rPr>
          <w:rFonts w:hint="eastAsia" w:cs="Times New Roman"/>
          <w:bCs/>
          <w:color w:val="auto"/>
          <w:sz w:val="24"/>
          <w:szCs w:val="21"/>
          <w:highlight w:val="none"/>
          <w:u w:val="none"/>
          <w:lang w:val="en-US" w:eastAsia="zh-CN"/>
        </w:rPr>
        <w:t>核心保护区</w:t>
      </w:r>
      <w:r>
        <w:rPr>
          <w:rFonts w:hint="eastAsia" w:ascii="Times New Roman" w:hAnsi="Times New Roman" w:cs="Times New Roman"/>
          <w:bCs/>
          <w:color w:val="auto"/>
          <w:sz w:val="24"/>
          <w:szCs w:val="21"/>
          <w:highlight w:val="none"/>
          <w:u w:val="none"/>
          <w:lang w:val="en-US" w:eastAsia="zh-CN"/>
        </w:rPr>
        <w:t>。</w:t>
      </w:r>
    </w:p>
    <w:p>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lang w:val="en-US" w:eastAsia="zh-CN"/>
        </w:rPr>
      </w:pPr>
      <w:r>
        <w:rPr>
          <w:rFonts w:hint="eastAsia" w:ascii="Times New Roman" w:hAnsi="Times New Roman" w:cs="Times New Roman"/>
          <w:bCs/>
          <w:color w:val="auto"/>
          <w:sz w:val="24"/>
          <w:szCs w:val="21"/>
          <w:highlight w:val="none"/>
          <w:u w:val="none"/>
          <w:lang w:val="en-US" w:eastAsia="zh-CN"/>
        </w:rPr>
        <w:t>2）调整范围</w:t>
      </w:r>
    </w:p>
    <w:p>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lang w:val="en-US" w:eastAsia="zh-CN"/>
        </w:rPr>
      </w:pPr>
      <w:r>
        <w:rPr>
          <w:rFonts w:hint="eastAsia" w:ascii="Times New Roman" w:hAnsi="Times New Roman" w:cs="Times New Roman"/>
          <w:bCs/>
          <w:color w:val="auto"/>
          <w:sz w:val="24"/>
          <w:szCs w:val="21"/>
          <w:highlight w:val="none"/>
          <w:u w:val="none"/>
          <w:lang w:val="en-US" w:eastAsia="zh-CN"/>
        </w:rPr>
        <w:t>拟将</w:t>
      </w:r>
      <w:r>
        <w:rPr>
          <w:rFonts w:hint="eastAsia" w:cs="Times New Roman"/>
          <w:bCs/>
          <w:color w:val="auto"/>
          <w:sz w:val="24"/>
          <w:szCs w:val="21"/>
          <w:highlight w:val="none"/>
          <w:u w:val="none"/>
          <w:lang w:val="en-US" w:eastAsia="zh-CN"/>
        </w:rPr>
        <w:t>部分</w:t>
      </w:r>
      <w:r>
        <w:rPr>
          <w:rFonts w:hint="eastAsia" w:ascii="Times New Roman" w:hAnsi="Times New Roman" w:cs="Times New Roman"/>
          <w:bCs/>
          <w:color w:val="auto"/>
          <w:sz w:val="24"/>
          <w:szCs w:val="21"/>
          <w:highlight w:val="none"/>
          <w:u w:val="none"/>
          <w:lang w:val="en-US" w:eastAsia="zh-CN"/>
        </w:rPr>
        <w:t>实验区地块调出自然保护区范围。由于历史原因，这些区域（详见附图）早在80年代被划入了自然保护区，被划为自然保护区的实验区进行保护管理。由于人口密集，工农业聚集，管理难度极大，基本不具各自然保护区实验区的保护意义。通过组织专家进行实地调查发现，该区域近洞庭湖大堤区域大部分为城市集镇，城区周边区域则多为平原、农田村庄。</w:t>
      </w:r>
    </w:p>
    <w:p>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lang w:val="en-US" w:eastAsia="zh-CN"/>
        </w:rPr>
      </w:pPr>
      <w:r>
        <w:rPr>
          <w:rFonts w:hint="eastAsia" w:ascii="Times New Roman" w:hAnsi="Times New Roman" w:cs="Times New Roman"/>
          <w:bCs/>
          <w:color w:val="auto"/>
          <w:sz w:val="24"/>
          <w:szCs w:val="21"/>
          <w:highlight w:val="none"/>
          <w:u w:val="none"/>
          <w:lang w:val="en-US" w:eastAsia="zh-CN"/>
        </w:rPr>
        <w:t>湖南东洞庭湖国家级自然保护区调整后范围为地理坐标在N29</w:t>
      </w:r>
      <w:r>
        <w:rPr>
          <w:rFonts w:hint="eastAsia" w:ascii="微软雅黑" w:hAnsi="微软雅黑" w:eastAsia="微软雅黑" w:cs="微软雅黑"/>
          <w:bCs/>
          <w:color w:val="auto"/>
          <w:sz w:val="24"/>
          <w:szCs w:val="21"/>
          <w:highlight w:val="none"/>
          <w:u w:val="none"/>
          <w:lang w:val="en-US" w:eastAsia="zh-CN"/>
        </w:rPr>
        <w:t>⁰</w:t>
      </w:r>
      <w:r>
        <w:rPr>
          <w:rFonts w:hint="eastAsia" w:ascii="Times New Roman" w:hAnsi="Times New Roman" w:cs="Times New Roman"/>
          <w:bCs/>
          <w:color w:val="auto"/>
          <w:sz w:val="24"/>
          <w:szCs w:val="21"/>
          <w:highlight w:val="none"/>
          <w:u w:val="none"/>
          <w:lang w:val="en-US" w:eastAsia="zh-CN"/>
        </w:rPr>
        <w:t>0'0"-29</w:t>
      </w:r>
      <w:r>
        <w:rPr>
          <w:rFonts w:hint="eastAsia" w:ascii="微软雅黑" w:hAnsi="微软雅黑" w:eastAsia="微软雅黑" w:cs="微软雅黑"/>
          <w:bCs/>
          <w:color w:val="auto"/>
          <w:sz w:val="24"/>
          <w:szCs w:val="21"/>
          <w:highlight w:val="none"/>
          <w:u w:val="none"/>
          <w:lang w:val="en-US" w:eastAsia="zh-CN"/>
        </w:rPr>
        <w:t>⁰</w:t>
      </w:r>
      <w:r>
        <w:rPr>
          <w:rFonts w:hint="eastAsia" w:ascii="Times New Roman" w:hAnsi="Times New Roman" w:cs="Times New Roman"/>
          <w:bCs/>
          <w:color w:val="auto"/>
          <w:sz w:val="24"/>
          <w:szCs w:val="21"/>
          <w:highlight w:val="none"/>
          <w:u w:val="none"/>
          <w:lang w:val="en-US" w:eastAsia="zh-CN"/>
        </w:rPr>
        <w:t>37'45.7"，E112</w:t>
      </w:r>
      <w:r>
        <w:rPr>
          <w:rFonts w:hint="eastAsia" w:ascii="微软雅黑" w:hAnsi="微软雅黑" w:eastAsia="微软雅黑" w:cs="微软雅黑"/>
          <w:bCs/>
          <w:color w:val="auto"/>
          <w:sz w:val="24"/>
          <w:szCs w:val="21"/>
          <w:highlight w:val="none"/>
          <w:u w:val="none"/>
          <w:lang w:val="en-US" w:eastAsia="zh-CN"/>
        </w:rPr>
        <w:t>⁰</w:t>
      </w:r>
      <w:r>
        <w:rPr>
          <w:rFonts w:hint="eastAsia" w:ascii="Times New Roman" w:hAnsi="Times New Roman" w:cs="Times New Roman"/>
          <w:bCs/>
          <w:color w:val="auto"/>
          <w:sz w:val="24"/>
          <w:szCs w:val="21"/>
          <w:highlight w:val="none"/>
          <w:u w:val="none"/>
          <w:lang w:val="en-US" w:eastAsia="zh-CN"/>
        </w:rPr>
        <w:t>43'59.5"-113</w:t>
      </w:r>
      <w:r>
        <w:rPr>
          <w:rFonts w:hint="eastAsia" w:ascii="微软雅黑" w:hAnsi="微软雅黑" w:eastAsia="微软雅黑" w:cs="微软雅黑"/>
          <w:bCs/>
          <w:color w:val="auto"/>
          <w:sz w:val="24"/>
          <w:szCs w:val="21"/>
          <w:highlight w:val="none"/>
          <w:u w:val="none"/>
          <w:lang w:val="en-US" w:eastAsia="zh-CN"/>
        </w:rPr>
        <w:t>⁰</w:t>
      </w:r>
      <w:r>
        <w:rPr>
          <w:rFonts w:hint="eastAsia" w:ascii="Times New Roman" w:hAnsi="Times New Roman" w:cs="Times New Roman"/>
          <w:bCs/>
          <w:color w:val="auto"/>
          <w:sz w:val="24"/>
          <w:szCs w:val="21"/>
          <w:highlight w:val="none"/>
          <w:u w:val="none"/>
          <w:lang w:val="en-US" w:eastAsia="zh-CN"/>
        </w:rPr>
        <w:t>13'13.4"之间，自然保护区北起长江湘鄂两省主航道分界线，南至汨罗磊石山，东至京广铁路，西与南县交界。东西宽约50公里，南北长70公里，总面积</w:t>
      </w:r>
      <w:r>
        <w:rPr>
          <w:rFonts w:hint="eastAsia" w:cs="Times New Roman"/>
          <w:bCs/>
          <w:color w:val="auto"/>
          <w:sz w:val="24"/>
          <w:szCs w:val="21"/>
          <w:highlight w:val="none"/>
          <w:u w:val="none"/>
          <w:lang w:val="en-US" w:eastAsia="zh-CN"/>
        </w:rPr>
        <w:t>101152.28</w:t>
      </w:r>
      <w:r>
        <w:rPr>
          <w:rFonts w:hint="eastAsia" w:ascii="Times New Roman" w:hAnsi="Times New Roman" w:cs="Times New Roman"/>
          <w:bCs/>
          <w:color w:val="auto"/>
          <w:sz w:val="24"/>
          <w:szCs w:val="21"/>
          <w:highlight w:val="none"/>
          <w:u w:val="none"/>
          <w:lang w:val="en-US" w:eastAsia="zh-CN"/>
        </w:rPr>
        <w:t>公顷，东洞庭湖自然保护区方案调整后，本项目正好处于</w:t>
      </w:r>
      <w:r>
        <w:rPr>
          <w:rFonts w:hint="eastAsia" w:cs="Times New Roman"/>
          <w:bCs/>
          <w:color w:val="auto"/>
          <w:sz w:val="24"/>
          <w:szCs w:val="21"/>
          <w:highlight w:val="none"/>
          <w:u w:val="none"/>
          <w:lang w:val="en-US" w:eastAsia="zh-CN"/>
        </w:rPr>
        <w:t>湖南东洞庭湖自然保护区一般控制区</w:t>
      </w:r>
      <w:r>
        <w:rPr>
          <w:rFonts w:hint="eastAsia" w:ascii="Times New Roman" w:hAnsi="Times New Roman" w:cs="Times New Roman"/>
          <w:bCs/>
          <w:color w:val="auto"/>
          <w:sz w:val="24"/>
          <w:szCs w:val="21"/>
          <w:highlight w:val="none"/>
          <w:u w:val="none"/>
          <w:lang w:val="en-US" w:eastAsia="zh-CN"/>
        </w:rPr>
        <w:t>边界之外（距离</w:t>
      </w:r>
      <w:r>
        <w:rPr>
          <w:rFonts w:hint="eastAsia" w:cs="Times New Roman"/>
          <w:bCs/>
          <w:color w:val="auto"/>
          <w:sz w:val="24"/>
          <w:szCs w:val="21"/>
          <w:highlight w:val="none"/>
          <w:u w:val="none"/>
          <w:lang w:val="en-US" w:eastAsia="zh-CN"/>
        </w:rPr>
        <w:t>湖南东洞庭湖国家级自然保护区</w:t>
      </w:r>
      <w:r>
        <w:rPr>
          <w:rFonts w:hint="eastAsia" w:ascii="Times New Roman" w:hAnsi="Times New Roman" w:cs="Times New Roman"/>
          <w:bCs/>
          <w:color w:val="auto"/>
          <w:sz w:val="24"/>
          <w:szCs w:val="21"/>
          <w:highlight w:val="none"/>
          <w:u w:val="none"/>
          <w:lang w:val="en-US" w:eastAsia="zh-CN"/>
        </w:rPr>
        <w:t>约1.</w:t>
      </w:r>
      <w:r>
        <w:rPr>
          <w:rFonts w:hint="eastAsia" w:cs="Times New Roman"/>
          <w:bCs/>
          <w:color w:val="auto"/>
          <w:sz w:val="24"/>
          <w:szCs w:val="21"/>
          <w:highlight w:val="none"/>
          <w:u w:val="none"/>
          <w:lang w:val="en-US" w:eastAsia="zh-CN"/>
        </w:rPr>
        <w:t>3</w:t>
      </w:r>
      <w:r>
        <w:rPr>
          <w:rFonts w:hint="eastAsia" w:ascii="Times New Roman" w:hAnsi="Times New Roman" w:cs="Times New Roman"/>
          <w:bCs/>
          <w:color w:val="auto"/>
          <w:sz w:val="24"/>
          <w:szCs w:val="21"/>
          <w:highlight w:val="none"/>
          <w:u w:val="none"/>
          <w:lang w:val="en-US" w:eastAsia="zh-CN"/>
        </w:rPr>
        <w:t>km），由于调整规划目前仍</w:t>
      </w:r>
      <w:r>
        <w:rPr>
          <w:rFonts w:hint="eastAsia" w:cs="Times New Roman"/>
          <w:bCs/>
          <w:color w:val="auto"/>
          <w:sz w:val="24"/>
          <w:szCs w:val="21"/>
          <w:highlight w:val="none"/>
          <w:u w:val="none"/>
          <w:lang w:val="en-US" w:eastAsia="zh-CN"/>
        </w:rPr>
        <w:t>未正式发布</w:t>
      </w:r>
      <w:r>
        <w:rPr>
          <w:rFonts w:hint="eastAsia" w:ascii="Times New Roman" w:hAnsi="Times New Roman" w:cs="Times New Roman"/>
          <w:bCs/>
          <w:color w:val="auto"/>
          <w:sz w:val="24"/>
          <w:szCs w:val="21"/>
          <w:highlight w:val="none"/>
          <w:u w:val="none"/>
          <w:lang w:val="en-US" w:eastAsia="zh-CN"/>
        </w:rPr>
        <w:t>，故本报告仍以原有功能区划为准。</w:t>
      </w:r>
    </w:p>
    <w:p>
      <w:pPr>
        <w:pStyle w:val="66"/>
        <w:keepNext w:val="0"/>
        <w:keepLines w:val="0"/>
        <w:pageBreakBefore w:val="0"/>
        <w:widowControl w:val="0"/>
        <w:kinsoku/>
        <w:wordWrap/>
        <w:overflowPunct/>
        <w:topLinePunct w:val="0"/>
        <w:autoSpaceDE/>
        <w:autoSpaceDN/>
        <w:bidi w:val="0"/>
        <w:adjustRightInd/>
        <w:snapToGrid/>
        <w:spacing w:beforeLines="0"/>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表3-3 湖南东洞庭湖国家级自然保护区整合优化方案拟调整基本情况</w:t>
      </w:r>
    </w:p>
    <w:tbl>
      <w:tblPr>
        <w:tblStyle w:val="22"/>
        <w:tblW w:w="0" w:type="auto"/>
        <w:tblInd w:w="4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 w:type="dxa"/>
          <w:bottom w:w="0" w:type="dxa"/>
          <w:right w:w="10" w:type="dxa"/>
        </w:tblCellMar>
      </w:tblPr>
      <w:tblGrid>
        <w:gridCol w:w="616"/>
        <w:gridCol w:w="1233"/>
        <w:gridCol w:w="797"/>
        <w:gridCol w:w="461"/>
        <w:gridCol w:w="2899"/>
        <w:gridCol w:w="1300"/>
        <w:gridCol w:w="980"/>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1040" w:hRule="atLeast"/>
        </w:trPr>
        <w:tc>
          <w:tcPr>
            <w:tcW w:w="616" w:type="dxa"/>
            <w:tcBorders>
              <w:tl2br w:val="nil"/>
              <w:tr2bl w:val="nil"/>
            </w:tcBorders>
            <w:vAlign w:val="center"/>
          </w:tcPr>
          <w:p>
            <w:pPr>
              <w:pStyle w:val="67"/>
              <w:jc w:val="center"/>
              <w:rPr>
                <w:rFonts w:hint="eastAsia" w:ascii="Times New Roman" w:hAnsi="Times New Roman" w:cs="Times New Roman"/>
                <w:color w:val="auto"/>
              </w:rPr>
            </w:pPr>
            <w:r>
              <w:rPr>
                <w:rFonts w:hint="eastAsia" w:ascii="Times New Roman" w:hAnsi="Times New Roman" w:cs="Times New Roman"/>
                <w:color w:val="auto"/>
              </w:rPr>
              <w:t>保护区名称</w:t>
            </w:r>
          </w:p>
        </w:tc>
        <w:tc>
          <w:tcPr>
            <w:tcW w:w="1233" w:type="dxa"/>
            <w:tcBorders>
              <w:tl2br w:val="nil"/>
              <w:tr2bl w:val="nil"/>
            </w:tcBorders>
            <w:vAlign w:val="center"/>
          </w:tcPr>
          <w:p>
            <w:pPr>
              <w:pStyle w:val="67"/>
              <w:jc w:val="center"/>
              <w:rPr>
                <w:rFonts w:hint="eastAsia" w:ascii="Times New Roman" w:hAnsi="Times New Roman" w:cs="Times New Roman"/>
                <w:color w:val="auto"/>
              </w:rPr>
            </w:pPr>
            <w:r>
              <w:rPr>
                <w:rFonts w:hint="eastAsia" w:ascii="Times New Roman" w:hAnsi="Times New Roman" w:cs="Times New Roman"/>
                <w:color w:val="auto"/>
              </w:rPr>
              <w:t>所在行政区域及地理坐标</w:t>
            </w:r>
          </w:p>
        </w:tc>
        <w:tc>
          <w:tcPr>
            <w:tcW w:w="797" w:type="dxa"/>
            <w:tcBorders>
              <w:tl2br w:val="nil"/>
              <w:tr2bl w:val="nil"/>
            </w:tcBorders>
            <w:vAlign w:val="center"/>
          </w:tcPr>
          <w:p>
            <w:pPr>
              <w:pStyle w:val="67"/>
              <w:jc w:val="center"/>
              <w:rPr>
                <w:rFonts w:hint="eastAsia" w:ascii="Times New Roman" w:hAnsi="Times New Roman" w:cs="Times New Roman"/>
                <w:color w:val="auto"/>
              </w:rPr>
            </w:pPr>
            <w:r>
              <w:rPr>
                <w:rFonts w:hint="eastAsia" w:ascii="Times New Roman" w:hAnsi="Times New Roman" w:cs="Times New Roman"/>
                <w:color w:val="auto"/>
              </w:rPr>
              <w:t>主要保护对象</w:t>
            </w:r>
          </w:p>
        </w:tc>
        <w:tc>
          <w:tcPr>
            <w:tcW w:w="461" w:type="dxa"/>
            <w:tcBorders>
              <w:tl2br w:val="nil"/>
              <w:tr2bl w:val="nil"/>
            </w:tcBorders>
            <w:vAlign w:val="center"/>
          </w:tcPr>
          <w:p>
            <w:pPr>
              <w:pStyle w:val="67"/>
              <w:jc w:val="center"/>
              <w:rPr>
                <w:rFonts w:hint="eastAsia" w:ascii="Times New Roman" w:hAnsi="Times New Roman" w:cs="Times New Roman"/>
                <w:color w:val="auto"/>
              </w:rPr>
            </w:pPr>
            <w:r>
              <w:rPr>
                <w:rFonts w:hint="eastAsia" w:ascii="Times New Roman" w:hAnsi="Times New Roman" w:cs="Times New Roman"/>
                <w:color w:val="auto"/>
              </w:rPr>
              <w:t>调整类型</w:t>
            </w:r>
          </w:p>
        </w:tc>
        <w:tc>
          <w:tcPr>
            <w:tcW w:w="2899" w:type="dxa"/>
            <w:tcBorders>
              <w:tl2br w:val="nil"/>
              <w:tr2bl w:val="nil"/>
            </w:tcBorders>
            <w:vAlign w:val="center"/>
          </w:tcPr>
          <w:p>
            <w:pPr>
              <w:pStyle w:val="67"/>
              <w:jc w:val="center"/>
              <w:rPr>
                <w:rFonts w:hint="eastAsia" w:ascii="Times New Roman" w:hAnsi="Times New Roman" w:cs="Times New Roman"/>
                <w:color w:val="auto"/>
              </w:rPr>
            </w:pPr>
            <w:r>
              <w:rPr>
                <w:rFonts w:hint="eastAsia" w:ascii="Times New Roman" w:hAnsi="Times New Roman" w:cs="Times New Roman"/>
                <w:color w:val="auto"/>
              </w:rPr>
              <w:t>调整理由</w:t>
            </w:r>
          </w:p>
        </w:tc>
        <w:tc>
          <w:tcPr>
            <w:tcW w:w="1300" w:type="dxa"/>
            <w:tcBorders>
              <w:tl2br w:val="nil"/>
              <w:tr2bl w:val="nil"/>
            </w:tcBorders>
            <w:vAlign w:val="center"/>
          </w:tcPr>
          <w:p>
            <w:pPr>
              <w:pStyle w:val="67"/>
              <w:jc w:val="center"/>
              <w:rPr>
                <w:rFonts w:hint="eastAsia" w:ascii="Times New Roman" w:hAnsi="Times New Roman" w:cs="Times New Roman"/>
                <w:color w:val="auto"/>
              </w:rPr>
            </w:pPr>
            <w:r>
              <w:rPr>
                <w:rFonts w:hint="eastAsia" w:ascii="Times New Roman" w:hAnsi="Times New Roman" w:cs="Times New Roman"/>
                <w:color w:val="auto"/>
              </w:rPr>
              <w:t>调整前面积</w:t>
            </w:r>
          </w:p>
        </w:tc>
        <w:tc>
          <w:tcPr>
            <w:tcW w:w="980" w:type="dxa"/>
            <w:tcBorders>
              <w:tl2br w:val="nil"/>
              <w:tr2bl w:val="nil"/>
            </w:tcBorders>
            <w:vAlign w:val="center"/>
          </w:tcPr>
          <w:p>
            <w:pPr>
              <w:pStyle w:val="67"/>
              <w:jc w:val="center"/>
              <w:rPr>
                <w:rFonts w:hint="eastAsia" w:ascii="Times New Roman" w:hAnsi="Times New Roman" w:cs="Times New Roman"/>
                <w:color w:val="auto"/>
              </w:rPr>
            </w:pPr>
            <w:r>
              <w:rPr>
                <w:rFonts w:hint="eastAsia" w:ascii="Times New Roman" w:hAnsi="Times New Roman" w:cs="Times New Roman"/>
                <w:color w:val="auto"/>
              </w:rPr>
              <w:t>调整后面积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4800" w:hRule="atLeast"/>
        </w:trPr>
        <w:tc>
          <w:tcPr>
            <w:tcW w:w="616" w:type="dxa"/>
            <w:tcBorders>
              <w:tl2br w:val="nil"/>
              <w:tr2bl w:val="nil"/>
            </w:tcBorders>
            <w:vAlign w:val="center"/>
          </w:tcPr>
          <w:p>
            <w:pPr>
              <w:pStyle w:val="67"/>
              <w:jc w:val="center"/>
              <w:rPr>
                <w:rFonts w:hint="eastAsia" w:ascii="Times New Roman" w:hAnsi="Times New Roman" w:cs="Times New Roman"/>
                <w:color w:val="auto"/>
              </w:rPr>
            </w:pPr>
          </w:p>
          <w:p>
            <w:pPr>
              <w:pStyle w:val="67"/>
              <w:jc w:val="center"/>
              <w:rPr>
                <w:rFonts w:hint="eastAsia" w:ascii="Times New Roman" w:hAnsi="Times New Roman" w:cs="Times New Roman"/>
                <w:color w:val="auto"/>
              </w:rPr>
            </w:pPr>
          </w:p>
          <w:p>
            <w:pPr>
              <w:pStyle w:val="67"/>
              <w:jc w:val="center"/>
              <w:rPr>
                <w:rFonts w:hint="eastAsia" w:ascii="Times New Roman" w:hAnsi="Times New Roman" w:cs="Times New Roman"/>
                <w:color w:val="auto"/>
              </w:rPr>
            </w:pPr>
          </w:p>
          <w:p>
            <w:pPr>
              <w:pStyle w:val="67"/>
              <w:jc w:val="center"/>
              <w:rPr>
                <w:rFonts w:hint="eastAsia" w:ascii="Times New Roman" w:hAnsi="Times New Roman" w:cs="Times New Roman"/>
                <w:color w:val="auto"/>
              </w:rPr>
            </w:pPr>
          </w:p>
          <w:p>
            <w:pPr>
              <w:pStyle w:val="67"/>
              <w:jc w:val="center"/>
              <w:rPr>
                <w:rFonts w:hint="eastAsia" w:ascii="Times New Roman" w:hAnsi="Times New Roman" w:cs="Times New Roman"/>
                <w:color w:val="auto"/>
              </w:rPr>
            </w:pPr>
          </w:p>
          <w:p>
            <w:pPr>
              <w:pStyle w:val="67"/>
              <w:jc w:val="center"/>
              <w:rPr>
                <w:rFonts w:hint="eastAsia" w:ascii="Times New Roman" w:hAnsi="Times New Roman" w:cs="Times New Roman"/>
                <w:color w:val="auto"/>
              </w:rPr>
            </w:pPr>
            <w:r>
              <w:rPr>
                <w:rFonts w:hint="eastAsia" w:ascii="Times New Roman" w:hAnsi="Times New Roman" w:cs="Times New Roman"/>
                <w:color w:val="auto"/>
              </w:rPr>
              <w:t>湖南东洞庭湖国家级自然保护区</w:t>
            </w:r>
          </w:p>
        </w:tc>
        <w:tc>
          <w:tcPr>
            <w:tcW w:w="1233" w:type="dxa"/>
            <w:tcBorders>
              <w:tl2br w:val="nil"/>
              <w:tr2bl w:val="nil"/>
            </w:tcBorders>
            <w:vAlign w:val="center"/>
          </w:tcPr>
          <w:p>
            <w:pPr>
              <w:pStyle w:val="67"/>
              <w:jc w:val="center"/>
              <w:rPr>
                <w:rFonts w:hint="eastAsia" w:ascii="Times New Roman" w:hAnsi="Times New Roman" w:cs="Times New Roman"/>
                <w:color w:val="auto"/>
              </w:rPr>
            </w:pPr>
          </w:p>
          <w:p>
            <w:pPr>
              <w:pStyle w:val="67"/>
              <w:jc w:val="center"/>
              <w:rPr>
                <w:rFonts w:hint="eastAsia" w:ascii="Times New Roman" w:hAnsi="Times New Roman" w:cs="Times New Roman"/>
                <w:color w:val="auto"/>
              </w:rPr>
            </w:pPr>
          </w:p>
          <w:p>
            <w:pPr>
              <w:pStyle w:val="67"/>
              <w:jc w:val="center"/>
              <w:rPr>
                <w:rFonts w:hint="eastAsia" w:ascii="Times New Roman" w:hAnsi="Times New Roman" w:cs="Times New Roman"/>
                <w:color w:val="auto"/>
              </w:rPr>
            </w:pPr>
          </w:p>
          <w:p>
            <w:pPr>
              <w:pStyle w:val="67"/>
              <w:jc w:val="center"/>
              <w:rPr>
                <w:rFonts w:hint="default" w:ascii="Times New Roman" w:hAnsi="Times New Roman" w:cs="Times New Roman"/>
                <w:color w:val="auto"/>
              </w:rPr>
            </w:pPr>
            <w:r>
              <w:rPr>
                <w:rFonts w:hint="eastAsia" w:ascii="Times New Roman" w:hAnsi="Times New Roman" w:cs="Times New Roman"/>
                <w:color w:val="auto"/>
              </w:rPr>
              <w:t>岳阳市岳阳楼区、君山区、云溪区、华容县、岳阳县、汨罗市。112</w:t>
            </w:r>
            <w:r>
              <w:rPr>
                <w:rFonts w:hint="default" w:ascii="Times New Roman" w:hAnsi="Times New Roman" w:cs="Times New Roman"/>
                <w:color w:val="auto"/>
              </w:rPr>
              <w:t>° 42'55”</w:t>
            </w:r>
            <w:r>
              <w:rPr>
                <w:rFonts w:hint="eastAsia" w:ascii="Times New Roman" w:hAnsi="Times New Roman" w:cs="Times New Roman"/>
                <w:color w:val="auto"/>
                <w:lang w:val="en-US" w:eastAsia="zh-CN"/>
              </w:rPr>
              <w:t xml:space="preserve"> </w:t>
            </w:r>
            <w:r>
              <w:rPr>
                <w:rFonts w:hint="default" w:ascii="Times New Roman" w:hAnsi="Times New Roman" w:cs="Times New Roman"/>
                <w:color w:val="auto"/>
              </w:rPr>
              <w:t>~113°13' 6"E.28° 59' 58"~29° 37'40"</w:t>
            </w:r>
          </w:p>
          <w:p>
            <w:pPr>
              <w:pStyle w:val="67"/>
              <w:jc w:val="center"/>
              <w:rPr>
                <w:rFonts w:hint="eastAsia" w:ascii="Times New Roman" w:hAnsi="Times New Roman" w:cs="Times New Roman"/>
                <w:color w:val="auto"/>
              </w:rPr>
            </w:pPr>
            <w:r>
              <w:rPr>
                <w:rFonts w:hint="default" w:ascii="Times New Roman" w:hAnsi="Times New Roman" w:cs="Times New Roman"/>
                <w:color w:val="auto"/>
              </w:rPr>
              <w:t>N.</w:t>
            </w:r>
          </w:p>
        </w:tc>
        <w:tc>
          <w:tcPr>
            <w:tcW w:w="797" w:type="dxa"/>
            <w:tcBorders>
              <w:tl2br w:val="nil"/>
              <w:tr2bl w:val="nil"/>
            </w:tcBorders>
            <w:vAlign w:val="center"/>
          </w:tcPr>
          <w:p>
            <w:pPr>
              <w:pStyle w:val="67"/>
              <w:jc w:val="center"/>
              <w:rPr>
                <w:rFonts w:hint="eastAsia" w:ascii="Times New Roman" w:hAnsi="Times New Roman" w:cs="Times New Roman"/>
                <w:color w:val="auto"/>
              </w:rPr>
            </w:pPr>
            <w:r>
              <w:rPr>
                <w:rFonts w:hint="eastAsia" w:ascii="Times New Roman" w:hAnsi="Times New Roman" w:cs="Times New Roman"/>
                <w:color w:val="auto"/>
              </w:rPr>
              <w:t>湖南东洞庭湖国家级自然保护区主要保护对象为白鹤、白头鹤、东方白鹤、黑鹤等越冬候乌和麋鹿、江豚、中华秋沙鸭等珍稀濒危野生动</w:t>
            </w:r>
          </w:p>
          <w:p>
            <w:pPr>
              <w:pStyle w:val="67"/>
              <w:jc w:val="center"/>
              <w:rPr>
                <w:rFonts w:hint="eastAsia" w:ascii="Times New Roman" w:hAnsi="Times New Roman" w:cs="Times New Roman"/>
                <w:color w:val="auto"/>
              </w:rPr>
            </w:pPr>
            <w:r>
              <w:rPr>
                <w:rFonts w:hint="eastAsia" w:ascii="Times New Roman" w:hAnsi="Times New Roman" w:cs="Times New Roman"/>
                <w:color w:val="auto"/>
              </w:rPr>
              <w:t>物及洞庭湖湿地生态系统和生物多样性</w:t>
            </w:r>
          </w:p>
        </w:tc>
        <w:tc>
          <w:tcPr>
            <w:tcW w:w="461" w:type="dxa"/>
            <w:tcBorders>
              <w:tl2br w:val="nil"/>
              <w:tr2bl w:val="nil"/>
            </w:tcBorders>
            <w:vAlign w:val="center"/>
          </w:tcPr>
          <w:p>
            <w:pPr>
              <w:pStyle w:val="67"/>
              <w:jc w:val="center"/>
              <w:rPr>
                <w:rFonts w:hint="eastAsia" w:ascii="Times New Roman" w:hAnsi="Times New Roman" w:cs="Times New Roman"/>
                <w:color w:val="auto"/>
              </w:rPr>
            </w:pPr>
          </w:p>
          <w:p>
            <w:pPr>
              <w:pStyle w:val="67"/>
              <w:jc w:val="center"/>
              <w:rPr>
                <w:rFonts w:hint="eastAsia" w:ascii="Times New Roman" w:hAnsi="Times New Roman" w:cs="Times New Roman"/>
                <w:color w:val="auto"/>
              </w:rPr>
            </w:pPr>
          </w:p>
          <w:p>
            <w:pPr>
              <w:pStyle w:val="67"/>
              <w:jc w:val="center"/>
              <w:rPr>
                <w:rFonts w:hint="eastAsia" w:ascii="Times New Roman" w:hAnsi="Times New Roman" w:cs="Times New Roman"/>
                <w:color w:val="auto"/>
              </w:rPr>
            </w:pPr>
          </w:p>
          <w:p>
            <w:pPr>
              <w:pStyle w:val="67"/>
              <w:jc w:val="center"/>
              <w:rPr>
                <w:rFonts w:hint="eastAsia" w:ascii="Times New Roman" w:hAnsi="Times New Roman" w:cs="Times New Roman"/>
                <w:color w:val="auto"/>
              </w:rPr>
            </w:pPr>
          </w:p>
          <w:p>
            <w:pPr>
              <w:pStyle w:val="67"/>
              <w:jc w:val="center"/>
              <w:rPr>
                <w:rFonts w:hint="eastAsia" w:ascii="Times New Roman" w:hAnsi="Times New Roman" w:cs="Times New Roman"/>
                <w:color w:val="auto"/>
              </w:rPr>
            </w:pPr>
          </w:p>
          <w:p>
            <w:pPr>
              <w:pStyle w:val="67"/>
              <w:jc w:val="center"/>
              <w:rPr>
                <w:rFonts w:hint="eastAsia" w:ascii="Times New Roman" w:hAnsi="Times New Roman" w:cs="Times New Roman"/>
                <w:color w:val="auto"/>
              </w:rPr>
            </w:pPr>
          </w:p>
          <w:p>
            <w:pPr>
              <w:pStyle w:val="67"/>
              <w:jc w:val="center"/>
              <w:rPr>
                <w:rFonts w:hint="eastAsia" w:ascii="Times New Roman" w:hAnsi="Times New Roman" w:cs="Times New Roman"/>
                <w:color w:val="auto"/>
              </w:rPr>
            </w:pPr>
            <w:r>
              <w:rPr>
                <w:rFonts w:hint="eastAsia" w:ascii="Times New Roman" w:hAnsi="Times New Roman" w:cs="Times New Roman"/>
                <w:color w:val="auto"/>
              </w:rPr>
              <w:t>范围和功能区</w:t>
            </w:r>
          </w:p>
          <w:p>
            <w:pPr>
              <w:pStyle w:val="67"/>
              <w:jc w:val="center"/>
              <w:rPr>
                <w:rFonts w:hint="eastAsia" w:ascii="Times New Roman" w:hAnsi="Times New Roman" w:cs="Times New Roman"/>
                <w:color w:val="auto"/>
              </w:rPr>
            </w:pPr>
            <w:r>
              <w:rPr>
                <w:rFonts w:hint="eastAsia" w:ascii="Times New Roman" w:hAnsi="Times New Roman" w:cs="Times New Roman"/>
                <w:color w:val="auto"/>
              </w:rPr>
              <w:t>调整</w:t>
            </w:r>
          </w:p>
        </w:tc>
        <w:tc>
          <w:tcPr>
            <w:tcW w:w="2899" w:type="dxa"/>
            <w:tcBorders>
              <w:tl2br w:val="nil"/>
              <w:tr2bl w:val="nil"/>
            </w:tcBorders>
            <w:vAlign w:val="center"/>
          </w:tcPr>
          <w:p>
            <w:pPr>
              <w:pStyle w:val="67"/>
              <w:jc w:val="center"/>
              <w:rPr>
                <w:rFonts w:hint="eastAsia" w:ascii="Times New Roman" w:hAnsi="Times New Roman" w:cs="Times New Roman"/>
                <w:color w:val="auto"/>
              </w:rPr>
            </w:pPr>
            <w:r>
              <w:rPr>
                <w:rFonts w:hint="eastAsia" w:ascii="Times New Roman" w:hAnsi="Times New Roman" w:cs="Times New Roman"/>
                <w:color w:val="auto"/>
              </w:rPr>
              <w:t>根据“中办发〔2019〕42号”“自然资函〔2020〕71号”“湘林保〔2020〕16号”等相关政策文件，要求开展自然保护地整合优化工作，合理确定自然保护地类型和功能定位，优化边界范围和功能分区，重点解决自然保护地空间重叠、边界不清、权责不明、保护与发展矛盾突出等问题。</w:t>
            </w:r>
          </w:p>
          <w:p>
            <w:pPr>
              <w:pStyle w:val="67"/>
              <w:jc w:val="center"/>
              <w:rPr>
                <w:rFonts w:hint="eastAsia" w:ascii="Times New Roman" w:hAnsi="Times New Roman" w:cs="Times New Roman"/>
                <w:color w:val="auto"/>
              </w:rPr>
            </w:pPr>
            <w:r>
              <w:rPr>
                <w:rFonts w:hint="eastAsia" w:ascii="Times New Roman" w:hAnsi="Times New Roman" w:cs="Times New Roman"/>
                <w:color w:val="auto"/>
              </w:rPr>
              <w:t>一是因湖南东洞庭湖国家级自然保护区与岳阳楼-东洞庭湖风景名胜区存在大量交叉重叠部分，为加强人文景观资源的保护，将其保留为风景风景名胜区，二是在设立之初，自然保护区划入了大量城镇建成区、村庄及永久基本农田，为有效解决历史遗留问题，促进自然保护区与社区和谐发展，将其调出自然保护区范围.</w:t>
            </w:r>
          </w:p>
        </w:tc>
        <w:tc>
          <w:tcPr>
            <w:tcW w:w="1300" w:type="dxa"/>
            <w:tcBorders>
              <w:tl2br w:val="nil"/>
              <w:tr2bl w:val="nil"/>
            </w:tcBorders>
            <w:vAlign w:val="center"/>
          </w:tcPr>
          <w:p>
            <w:pPr>
              <w:pStyle w:val="67"/>
              <w:jc w:val="center"/>
              <w:rPr>
                <w:rFonts w:hint="eastAsia" w:ascii="Times New Roman" w:hAnsi="Times New Roman" w:cs="Times New Roman"/>
                <w:color w:val="auto"/>
              </w:rPr>
            </w:pPr>
            <w:r>
              <w:rPr>
                <w:rFonts w:hint="eastAsia" w:ascii="Times New Roman" w:hAnsi="Times New Roman" w:cs="Times New Roman"/>
                <w:color w:val="auto"/>
              </w:rPr>
              <w:t>批复总面积</w:t>
            </w:r>
          </w:p>
          <w:p>
            <w:pPr>
              <w:pStyle w:val="67"/>
              <w:jc w:val="center"/>
              <w:rPr>
                <w:rFonts w:hint="eastAsia" w:ascii="Times New Roman" w:hAnsi="Times New Roman" w:cs="Times New Roman"/>
                <w:color w:val="auto"/>
              </w:rPr>
            </w:pPr>
            <w:r>
              <w:rPr>
                <w:rFonts w:hint="eastAsia" w:ascii="Times New Roman" w:hAnsi="Times New Roman" w:cs="Times New Roman"/>
                <w:color w:val="auto"/>
              </w:rPr>
              <w:t>157627.00公顷，落图总面积157534.30公顷.其中核心区批复面积33286.20公顷，落图面积</w:t>
            </w:r>
          </w:p>
          <w:p>
            <w:pPr>
              <w:pStyle w:val="67"/>
              <w:jc w:val="center"/>
              <w:rPr>
                <w:rFonts w:hint="eastAsia" w:ascii="Times New Roman" w:hAnsi="Times New Roman" w:cs="Times New Roman"/>
                <w:color w:val="auto"/>
              </w:rPr>
            </w:pPr>
            <w:r>
              <w:rPr>
                <w:rFonts w:hint="eastAsia" w:ascii="Times New Roman" w:hAnsi="Times New Roman" w:cs="Times New Roman"/>
                <w:color w:val="auto"/>
              </w:rPr>
              <w:t>33247.96公顷：缓冲区批复面积32369.80公顷，落图面积32456.51公顷：</w:t>
            </w:r>
          </w:p>
          <w:p>
            <w:pPr>
              <w:pStyle w:val="67"/>
              <w:jc w:val="center"/>
              <w:rPr>
                <w:rFonts w:hint="eastAsia" w:ascii="Times New Roman" w:hAnsi="Times New Roman" w:cs="Times New Roman"/>
                <w:color w:val="auto"/>
              </w:rPr>
            </w:pPr>
            <w:r>
              <w:rPr>
                <w:rFonts w:hint="eastAsia" w:ascii="Times New Roman" w:hAnsi="Times New Roman" w:cs="Times New Roman"/>
                <w:color w:val="auto"/>
              </w:rPr>
              <w:t>实验区批复面积91972.00公顷，落图面积9182983公顷</w:t>
            </w:r>
          </w:p>
        </w:tc>
        <w:tc>
          <w:tcPr>
            <w:tcW w:w="980" w:type="dxa"/>
            <w:tcBorders>
              <w:tl2br w:val="nil"/>
              <w:tr2bl w:val="nil"/>
            </w:tcBorders>
            <w:vAlign w:val="center"/>
          </w:tcPr>
          <w:p>
            <w:pPr>
              <w:pStyle w:val="67"/>
              <w:jc w:val="center"/>
              <w:rPr>
                <w:rFonts w:hint="eastAsia" w:ascii="Times New Roman" w:hAnsi="Times New Roman" w:cs="Times New Roman"/>
                <w:color w:val="auto"/>
              </w:rPr>
            </w:pPr>
            <w:r>
              <w:rPr>
                <w:rFonts w:hint="eastAsia" w:ascii="Times New Roman" w:hAnsi="Times New Roman" w:cs="Times New Roman"/>
                <w:color w:val="auto"/>
              </w:rPr>
              <w:t>总面积</w:t>
            </w:r>
          </w:p>
          <w:p>
            <w:pPr>
              <w:pStyle w:val="67"/>
              <w:jc w:val="center"/>
              <w:rPr>
                <w:rFonts w:hint="eastAsia" w:ascii="Times New Roman" w:hAnsi="Times New Roman" w:cs="Times New Roman"/>
                <w:color w:val="auto"/>
              </w:rPr>
            </w:pPr>
            <w:r>
              <w:rPr>
                <w:rFonts w:hint="eastAsia" w:ascii="Times New Roman" w:hAnsi="Times New Roman" w:cs="Times New Roman"/>
                <w:color w:val="auto"/>
              </w:rPr>
              <w:t>101152.28公顷其中：核心保护区面积68055.08公</w:t>
            </w:r>
          </w:p>
          <w:p>
            <w:pPr>
              <w:pStyle w:val="67"/>
              <w:jc w:val="center"/>
              <w:rPr>
                <w:rFonts w:hint="eastAsia" w:ascii="Times New Roman" w:hAnsi="Times New Roman" w:cs="Times New Roman"/>
                <w:color w:val="auto"/>
              </w:rPr>
            </w:pPr>
            <w:r>
              <w:rPr>
                <w:rFonts w:hint="eastAsia" w:ascii="Times New Roman" w:hAnsi="Times New Roman" w:cs="Times New Roman"/>
                <w:color w:val="auto"/>
              </w:rPr>
              <w:t>顷，一般控制区面积33097.21公</w:t>
            </w:r>
          </w:p>
          <w:p>
            <w:pPr>
              <w:pStyle w:val="67"/>
              <w:jc w:val="center"/>
              <w:rPr>
                <w:rFonts w:hint="eastAsia" w:ascii="Times New Roman" w:hAnsi="Times New Roman" w:cs="Times New Roman"/>
                <w:color w:val="auto"/>
              </w:rPr>
            </w:pPr>
            <w:r>
              <w:rPr>
                <w:rFonts w:hint="eastAsia" w:ascii="Times New Roman" w:hAnsi="Times New Roman" w:cs="Times New Roman"/>
                <w:color w:val="auto"/>
              </w:rPr>
              <w:t>顷.</w:t>
            </w:r>
          </w:p>
        </w:tc>
      </w:tr>
    </w:tbl>
    <w:p>
      <w:pPr>
        <w:pStyle w:val="53"/>
        <w:adjustRightInd w:val="0"/>
        <w:snapToGrid w:val="0"/>
        <w:spacing w:line="360" w:lineRule="auto"/>
        <w:ind w:left="0" w:leftChars="0" w:firstLine="0" w:firstLineChars="0"/>
        <w:rPr>
          <w:rFonts w:hint="default" w:ascii="Times New Roman" w:hAnsi="Times New Roman" w:cs="Times New Roman"/>
          <w:b/>
          <w:color w:val="auto"/>
          <w:sz w:val="24"/>
          <w:szCs w:val="21"/>
          <w:lang w:val="en-US" w:eastAsia="zh-CN"/>
        </w:rPr>
      </w:pPr>
      <w:r>
        <w:rPr>
          <w:rFonts w:hint="eastAsia" w:ascii="Times New Roman" w:hAnsi="Times New Roman" w:cs="Times New Roman"/>
          <w:b/>
          <w:color w:val="auto"/>
          <w:sz w:val="24"/>
          <w:szCs w:val="21"/>
          <w:lang w:val="en-US" w:eastAsia="zh-CN"/>
        </w:rPr>
        <w:t>3.3.2保护区内生态系统</w:t>
      </w:r>
    </w:p>
    <w:p>
      <w:pPr>
        <w:pStyle w:val="65"/>
        <w:ind w:firstLine="480"/>
        <w:rPr>
          <w:rFonts w:hint="default" w:ascii="Times New Roman" w:hAnsi="Times New Roman" w:cs="Times New Roman"/>
          <w:color w:val="auto"/>
          <w:lang w:val="en-US" w:eastAsia="zh-CN"/>
        </w:rPr>
      </w:pPr>
      <w:r>
        <w:rPr>
          <w:rFonts w:hint="eastAsia" w:cs="Times New Roman"/>
          <w:color w:val="auto"/>
          <w:lang w:val="en-US" w:eastAsia="zh-CN"/>
        </w:rPr>
        <w:t>（1）植被</w:t>
      </w:r>
    </w:p>
    <w:p>
      <w:pPr>
        <w:pStyle w:val="65"/>
        <w:ind w:firstLine="480"/>
        <w:rPr>
          <w:rFonts w:hint="default" w:ascii="Times New Roman" w:hAnsi="Times New Roman" w:cs="Times New Roman"/>
          <w:color w:val="auto"/>
        </w:rPr>
      </w:pPr>
      <w:r>
        <w:rPr>
          <w:rFonts w:hint="default" w:ascii="Times New Roman" w:hAnsi="Times New Roman" w:cs="Times New Roman"/>
          <w:color w:val="auto"/>
        </w:rPr>
        <w:t>植被以湿地植物为主，自然保护区范围因有丘陵岗地，也包括部分丘陵岗地的森林、灌丛类型，划分为7个植被型组（针叶林、针阔混交林、阔叶林、灌草丛、草甸型、沼泽型、水生植物型），63个群系（包括季节性群系）。保护区有维管束植物169科、541属、865种。其中蕨类植物24科、40属、63种，裸子植物7科、17属、22种，被子植物138科、484属、780种。自然保护区865种植物中，分布于湿地区域即水体、洲滩、湖堤等冲积土上的湿地植物共451种。典型的水生植物55种，其中挺水植物28种，浮叶植物7种，漂浮植物6种，沉水植物14种。</w:t>
      </w:r>
    </w:p>
    <w:p>
      <w:pPr>
        <w:pStyle w:val="65"/>
        <w:ind w:firstLine="480"/>
        <w:rPr>
          <w:rFonts w:hint="default" w:ascii="Times New Roman" w:hAnsi="Times New Roman" w:eastAsia="宋体" w:cs="Times New Roman"/>
          <w:color w:val="auto"/>
          <w:lang w:val="en-US" w:eastAsia="zh-CN"/>
        </w:rPr>
      </w:pPr>
      <w:r>
        <w:rPr>
          <w:rFonts w:hint="eastAsia" w:cs="Times New Roman"/>
          <w:color w:val="auto"/>
          <w:lang w:val="en-US" w:eastAsia="zh-CN"/>
        </w:rPr>
        <w:t>（2）动物</w:t>
      </w:r>
    </w:p>
    <w:p>
      <w:pPr>
        <w:pStyle w:val="65"/>
        <w:ind w:firstLine="480"/>
        <w:rPr>
          <w:rFonts w:hint="default" w:ascii="Times New Roman" w:hAnsi="Times New Roman" w:cs="Times New Roman"/>
          <w:color w:val="auto"/>
        </w:rPr>
      </w:pPr>
      <w:r>
        <w:rPr>
          <w:rFonts w:hint="default" w:ascii="Times New Roman" w:hAnsi="Times New Roman" w:cs="Times New Roman"/>
          <w:color w:val="auto"/>
        </w:rPr>
        <w:t>自然保护区有野生脊椎动物共有5纲37目110科534种。其中，鱼类7目19科117种；两栖类2目5科11种；爬行类3目8科25种；鸟类17/18目55/64科348种；哺乳类7目14科33种。保护区独特的水域湿地环境，决定了该区动物类群具有喜湿或半喜湿性特征。构成该区生物地理动物群的主体为水禽和鱼类，而绝大多数为迁徙性鸟类和洄游性鱼类，形成了复杂的区系特征，同时集中了许多珍稀濒危物种，且濒危物种还具有相当的数量，对于保持湿地生物多样性具有重要意义</w:t>
      </w:r>
    </w:p>
    <w:p>
      <w:pPr>
        <w:pStyle w:val="65"/>
        <w:ind w:firstLine="480"/>
        <w:rPr>
          <w:rFonts w:hint="default" w:ascii="Times New Roman" w:hAnsi="Times New Roman" w:cs="Times New Roman"/>
          <w:color w:val="auto"/>
        </w:rPr>
      </w:pPr>
      <w:r>
        <w:rPr>
          <w:rFonts w:hint="eastAsia" w:cs="Times New Roman"/>
          <w:color w:val="auto"/>
          <w:lang w:val="en-US" w:eastAsia="zh-CN"/>
        </w:rPr>
        <w:t>（3）</w:t>
      </w:r>
      <w:r>
        <w:rPr>
          <w:rFonts w:hint="eastAsia" w:ascii="Times New Roman" w:hAnsi="Times New Roman" w:cs="Times New Roman"/>
          <w:color w:val="auto"/>
        </w:rPr>
        <w:t>景观资源</w:t>
      </w:r>
    </w:p>
    <w:p>
      <w:pPr>
        <w:pStyle w:val="65"/>
        <w:ind w:firstLine="480"/>
        <w:rPr>
          <w:rFonts w:hint="eastAsia" w:ascii="Times New Roman" w:hAnsi="Times New Roman" w:eastAsia="宋体" w:cs="Times New Roman"/>
          <w:color w:val="auto"/>
        </w:rPr>
      </w:pPr>
      <w:r>
        <w:rPr>
          <w:rFonts w:hint="eastAsia" w:ascii="Times New Roman" w:hAnsi="Times New Roman" w:cs="Times New Roman"/>
          <w:color w:val="auto"/>
        </w:rPr>
        <w:t>壮丽的湿地景观：洞庭湖纳湘江、资江、澧水、沅江四水，吞吐长江，浩浩</w:t>
      </w:r>
      <w:r>
        <w:rPr>
          <w:rFonts w:hint="eastAsia" w:ascii="Times New Roman" w:hAnsi="Times New Roman" w:eastAsia="宋体" w:cs="Times New Roman"/>
          <w:color w:val="auto"/>
        </w:rPr>
        <w:t>荡荡，横无际涯，天水一色，云蒸霞蔚，气象万千，波澜壮阔的八百里洞庭胜景依稀呈现；秋冬时节，水退滩现，形成独特的湖中湖，各显峥嵘，条条水道将星罗棋布、大小不等、形状各异的湖泊连贯成串，形似一条壮观的超级项链；在一望无垠的水际洲滩上，自由翱翔的鸟群追风逐月，绵延不绝，潇湘八景之一的“平沙落雁”竞现眼前，令人心旷神怡，流连忘返。</w:t>
      </w:r>
    </w:p>
    <w:p>
      <w:pPr>
        <w:pStyle w:val="65"/>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丰富的生物景观：洞庭湖宽广的湖面，在地壳不断沉降与隆起的造地运动作用下，逐渐形成了不同的地形地貌和多样的湿地生态环境，从而孕育了丰富的植被群落和水生生物资源，为食性不同的百余种水禽提供了取之不尽的食物，成为冬侯鸟栖息的乐园。每到秋风劲吹的季节，成千上万的游禽和涉禽，飞越万水千山，从遥远的西北利亚、东北、西北等繁殖地成群结队来到洞庭湖湖区越冬。</w:t>
      </w:r>
    </w:p>
    <w:p>
      <w:pPr>
        <w:pStyle w:val="65"/>
        <w:ind w:firstLine="48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（4）重点保护对象</w:t>
      </w:r>
    </w:p>
    <w:p>
      <w:pPr>
        <w:pStyle w:val="65"/>
        <w:ind w:firstLine="48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重点保护对象：东洞庭湖国家级自然保护区湿地洲滩发育，是我国珍稀候鸟越冬栖息地和繁殖地。鸟类数量、种类，水生生物数量、种类，淡水鱼类数量、种类都十分丰富。鱼类有114种、贝类40余种、鸟类80余种、兽类10余种，野生植物有873种。其中属于国家一类保护的水禽有白鹤、丹顶鹤、白头鹤、白枕鹤、白图、黑鹤、斑嘴鸦鹏等7种，属于国家二类保护的水禽有大鸨、灰鹤、白琵鸳、天鹅等多种:还有属于国家一类保护的中华鲟、白鳍豚，属于国家二类保护的江豚、扬子鳄、麋鹿、具有十分重要的研究和保护价值。</w:t>
      </w:r>
    </w:p>
    <w:p>
      <w:pPr>
        <w:pStyle w:val="65"/>
        <w:ind w:firstLine="48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本项目位于该保护区现状实验区范围内、</w:t>
      </w:r>
      <w:r>
        <w:rPr>
          <w:rFonts w:hint="eastAsia" w:cs="Times New Roman"/>
          <w:color w:val="auto"/>
          <w:lang w:val="en-US" w:eastAsia="zh-CN"/>
        </w:rPr>
        <w:t>整合优化范围后的自然保护区范围</w:t>
      </w:r>
      <w:r>
        <w:rPr>
          <w:rFonts w:hint="eastAsia" w:ascii="Times New Roman" w:hAnsi="Times New Roman" w:eastAsia="宋体" w:cs="Times New Roman"/>
          <w:color w:val="auto"/>
          <w:lang w:val="en-US" w:eastAsia="zh-CN"/>
        </w:rPr>
        <w:t>外，不涉及珍稀保护动物。</w:t>
      </w:r>
    </w:p>
    <w:p>
      <w:pPr>
        <w:pStyle w:val="65"/>
        <w:ind w:firstLine="480"/>
        <w:rPr>
          <w:rFonts w:hint="eastAsia" w:ascii="Times New Roman" w:hAnsi="Times New Roman" w:eastAsia="宋体" w:cs="Times New Roman"/>
          <w:b/>
          <w:bCs w:val="0"/>
          <w:snapToGrid w:val="0"/>
          <w:color w:val="auto"/>
          <w:kern w:val="0"/>
          <w:sz w:val="30"/>
          <w:szCs w:val="30"/>
          <w:lang w:val="en-US" w:eastAsia="zh-CN" w:bidi="ar-SA"/>
        </w:rPr>
      </w:pPr>
      <w:r>
        <w:rPr>
          <w:rFonts w:hint="eastAsia" w:ascii="Times New Roman" w:hAnsi="Times New Roman" w:eastAsia="宋体" w:cs="Times New Roman"/>
          <w:b/>
          <w:bCs w:val="0"/>
          <w:snapToGrid w:val="0"/>
          <w:color w:val="auto"/>
          <w:kern w:val="0"/>
          <w:sz w:val="30"/>
          <w:szCs w:val="30"/>
          <w:lang w:val="en-US" w:eastAsia="zh-CN" w:bidi="ar-SA"/>
        </w:rPr>
        <w:br w:type="page"/>
      </w:r>
    </w:p>
    <w:p>
      <w:pPr>
        <w:keepNext/>
        <w:widowControl w:val="0"/>
        <w:overflowPunct w:val="0"/>
        <w:snapToGrid w:val="0"/>
        <w:spacing w:before="120" w:after="160" w:line="259" w:lineRule="auto"/>
        <w:ind w:left="432" w:hanging="432"/>
        <w:jc w:val="both"/>
        <w:outlineLvl w:val="0"/>
        <w:rPr>
          <w:rFonts w:ascii="Times New Roman" w:hAnsi="Times New Roman" w:eastAsia="黑体" w:cs="Times New Roman"/>
          <w:b w:val="0"/>
          <w:bCs/>
          <w:snapToGrid w:val="0"/>
          <w:color w:val="auto"/>
          <w:kern w:val="44"/>
          <w:sz w:val="30"/>
          <w:szCs w:val="30"/>
          <w:lang w:val="en-US" w:eastAsia="zh-CN" w:bidi="ar-SA"/>
        </w:rPr>
      </w:pPr>
      <w:bookmarkStart w:id="267" w:name="_Toc5810"/>
      <w:bookmarkStart w:id="268" w:name="_Toc16526"/>
      <w:r>
        <w:rPr>
          <w:rFonts w:hint="eastAsia" w:ascii="Times New Roman" w:hAnsi="Times New Roman" w:eastAsia="宋体" w:cs="Times New Roman"/>
          <w:b/>
          <w:bCs w:val="0"/>
          <w:snapToGrid w:val="0"/>
          <w:color w:val="auto"/>
          <w:kern w:val="0"/>
          <w:sz w:val="30"/>
          <w:szCs w:val="30"/>
          <w:lang w:val="en-US" w:eastAsia="zh-CN" w:bidi="ar-SA"/>
        </w:rPr>
        <w:t>4</w:t>
      </w:r>
      <w:r>
        <w:rPr>
          <w:rFonts w:ascii="Times New Roman" w:hAnsi="Times New Roman" w:eastAsia="宋体" w:cs="Times New Roman"/>
          <w:b/>
          <w:bCs w:val="0"/>
          <w:snapToGrid w:val="0"/>
          <w:color w:val="auto"/>
          <w:kern w:val="0"/>
          <w:sz w:val="30"/>
          <w:szCs w:val="30"/>
          <w:lang w:val="en-US" w:eastAsia="zh-CN" w:bidi="ar-SA"/>
        </w:rPr>
        <w:t>生态环境</w:t>
      </w:r>
      <w:r>
        <w:rPr>
          <w:rFonts w:hint="eastAsia" w:ascii="Times New Roman" w:hAnsi="Times New Roman" w:eastAsia="宋体" w:cs="Times New Roman"/>
          <w:b/>
          <w:bCs w:val="0"/>
          <w:snapToGrid w:val="0"/>
          <w:color w:val="auto"/>
          <w:kern w:val="0"/>
          <w:sz w:val="30"/>
          <w:szCs w:val="30"/>
          <w:lang w:val="en-US" w:eastAsia="zh-CN" w:bidi="ar-SA"/>
        </w:rPr>
        <w:t>影响</w:t>
      </w:r>
      <w:r>
        <w:rPr>
          <w:rFonts w:ascii="Times New Roman" w:hAnsi="Times New Roman" w:eastAsia="宋体" w:cs="Times New Roman"/>
          <w:b/>
          <w:bCs w:val="0"/>
          <w:snapToGrid w:val="0"/>
          <w:color w:val="auto"/>
          <w:kern w:val="0"/>
          <w:sz w:val="30"/>
          <w:szCs w:val="30"/>
          <w:lang w:val="en-US" w:eastAsia="zh-CN" w:bidi="ar-SA"/>
        </w:rPr>
        <w:t>评价</w:t>
      </w:r>
      <w:bookmarkEnd w:id="263"/>
      <w:bookmarkEnd w:id="264"/>
      <w:bookmarkEnd w:id="265"/>
      <w:bookmarkEnd w:id="266"/>
      <w:bookmarkEnd w:id="267"/>
      <w:bookmarkEnd w:id="268"/>
    </w:p>
    <w:p>
      <w:pPr>
        <w:keepNext/>
        <w:keepLines/>
        <w:widowControl w:val="0"/>
        <w:adjustRightInd w:val="0"/>
        <w:snapToGrid w:val="0"/>
        <w:spacing w:before="0" w:after="0" w:line="360" w:lineRule="auto"/>
        <w:jc w:val="both"/>
        <w:outlineLvl w:val="1"/>
        <w:rPr>
          <w:rFonts w:hint="default" w:ascii="Times New Roman" w:hAnsi="Times New Roman" w:eastAsia="宋体" w:cs="Times New Roman"/>
          <w:b/>
          <w:bCs/>
          <w:color w:val="auto"/>
          <w:kern w:val="2"/>
          <w:sz w:val="28"/>
          <w:szCs w:val="28"/>
          <w:lang w:val="en-US" w:eastAsia="zh-CN" w:bidi="ar-SA"/>
        </w:rPr>
      </w:pPr>
      <w:bookmarkStart w:id="269" w:name="_Toc2758"/>
      <w:bookmarkStart w:id="270" w:name="_Toc31053"/>
      <w:bookmarkStart w:id="271" w:name="_Toc8228"/>
      <w:bookmarkStart w:id="272" w:name="_Toc21397"/>
      <w:bookmarkStart w:id="273" w:name="_Toc280"/>
      <w:bookmarkStart w:id="274" w:name="_Toc23237"/>
      <w:bookmarkStart w:id="275" w:name="_Toc1436"/>
      <w:bookmarkStart w:id="276" w:name="_Toc11496"/>
      <w:bookmarkStart w:id="277" w:name="_Toc20999"/>
      <w:r>
        <w:rPr>
          <w:rFonts w:ascii="Times New Roman" w:hAnsi="Times New Roman" w:eastAsia="宋体" w:cs="Times New Roman"/>
          <w:b/>
          <w:bCs/>
          <w:color w:val="auto"/>
          <w:kern w:val="2"/>
          <w:sz w:val="28"/>
          <w:szCs w:val="28"/>
          <w:lang w:val="en-US" w:eastAsia="zh-CN" w:bidi="ar-SA"/>
        </w:rPr>
        <w:t xml:space="preserve">4.1 </w:t>
      </w:r>
      <w:r>
        <w:rPr>
          <w:rFonts w:hint="eastAsia" w:ascii="Times New Roman" w:hAnsi="Times New Roman" w:eastAsia="宋体" w:cs="Times New Roman"/>
          <w:b/>
          <w:bCs/>
          <w:color w:val="auto"/>
          <w:kern w:val="2"/>
          <w:sz w:val="28"/>
          <w:szCs w:val="28"/>
          <w:lang w:val="en-US" w:eastAsia="zh-CN" w:bidi="ar-SA"/>
        </w:rPr>
        <w:t>施工期生态环境影响分析与评价</w:t>
      </w:r>
      <w:bookmarkEnd w:id="269"/>
      <w:bookmarkEnd w:id="270"/>
      <w:bookmarkEnd w:id="271"/>
      <w:bookmarkEnd w:id="272"/>
    </w:p>
    <w:p>
      <w:pPr>
        <w:pStyle w:val="65"/>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w:t>
      </w:r>
      <w:r>
        <w:rPr>
          <w:rFonts w:hint="eastAsia" w:ascii="Times New Roman" w:hAnsi="Times New Roman" w:eastAsia="宋体" w:cs="Times New Roman"/>
          <w:color w:val="auto"/>
          <w:lang w:val="en-US" w:eastAsia="zh-CN"/>
        </w:rPr>
        <w:t>位于华容县团洲乡</w:t>
      </w:r>
      <w:r>
        <w:rPr>
          <w:rFonts w:hint="default" w:ascii="Times New Roman" w:hAnsi="Times New Roman" w:eastAsia="宋体" w:cs="Times New Roman"/>
          <w:color w:val="auto"/>
          <w:lang w:val="en-US" w:eastAsia="zh-CN"/>
        </w:rPr>
        <w:t>，项目占地及评价范围内不涉及自然保护区、风景名胜区等特殊生态敏感区。受开发建设和人类活动的影响，影响范围内植被主要为人工植被及次生植被毛竹、杉木及灌木、杂草</w:t>
      </w:r>
      <w:r>
        <w:rPr>
          <w:rFonts w:hint="eastAsia" w:ascii="Times New Roman" w:hAnsi="Times New Roman" w:eastAsia="宋体" w:cs="Times New Roman"/>
          <w:color w:val="auto"/>
          <w:lang w:val="en-US" w:eastAsia="zh-CN"/>
        </w:rPr>
        <w:t>、农作物</w:t>
      </w:r>
      <w:r>
        <w:rPr>
          <w:rFonts w:hint="default" w:ascii="Times New Roman" w:hAnsi="Times New Roman" w:eastAsia="宋体" w:cs="Times New Roman"/>
          <w:color w:val="auto"/>
          <w:lang w:val="en-US" w:eastAsia="zh-CN"/>
        </w:rPr>
        <w:t>等，主要动物为常见种类，如：鼠、麻雀等，无国家规定保护的珍稀动植物。项目</w:t>
      </w:r>
      <w:r>
        <w:rPr>
          <w:rFonts w:hint="eastAsia" w:ascii="Times New Roman" w:hAnsi="Times New Roman" w:eastAsia="宋体" w:cs="Times New Roman"/>
          <w:color w:val="auto"/>
          <w:lang w:val="en-US" w:eastAsia="zh-CN"/>
        </w:rPr>
        <w:t>施工期对</w:t>
      </w:r>
      <w:r>
        <w:rPr>
          <w:rFonts w:hint="default" w:ascii="Times New Roman" w:hAnsi="Times New Roman" w:eastAsia="宋体" w:cs="Times New Roman"/>
          <w:color w:val="auto"/>
          <w:lang w:val="en-US" w:eastAsia="zh-CN"/>
        </w:rPr>
        <w:t>生态环境</w:t>
      </w:r>
      <w:r>
        <w:rPr>
          <w:rFonts w:hint="eastAsia" w:ascii="Times New Roman" w:hAnsi="Times New Roman" w:eastAsia="宋体" w:cs="Times New Roman"/>
          <w:color w:val="auto"/>
          <w:lang w:val="en-US" w:eastAsia="zh-CN"/>
        </w:rPr>
        <w:t>的</w:t>
      </w:r>
      <w:r>
        <w:rPr>
          <w:rFonts w:hint="default" w:ascii="Times New Roman" w:hAnsi="Times New Roman" w:eastAsia="宋体" w:cs="Times New Roman"/>
          <w:color w:val="auto"/>
          <w:lang w:val="en-US" w:eastAsia="zh-CN"/>
        </w:rPr>
        <w:t>影响主要包括对土地利用、动植物、景观、加剧水土流失产生的影响。</w:t>
      </w:r>
    </w:p>
    <w:p>
      <w:pPr>
        <w:keepNext/>
        <w:widowControl w:val="0"/>
        <w:adjustRightInd w:val="0"/>
        <w:snapToGrid w:val="0"/>
        <w:spacing w:line="360" w:lineRule="auto"/>
        <w:ind w:firstLine="0" w:firstLineChars="0"/>
        <w:jc w:val="both"/>
        <w:outlineLvl w:val="2"/>
        <w:rPr>
          <w:rFonts w:hint="eastAsia" w:ascii="Times New Roman" w:hAnsi="Times New Roman" w:eastAsia="宋体" w:cs="Times New Roman"/>
          <w:b/>
          <w:color w:val="auto"/>
          <w:kern w:val="2"/>
          <w:sz w:val="24"/>
          <w:szCs w:val="24"/>
          <w:lang w:val="en-US" w:eastAsia="zh-CN" w:bidi="ar-SA"/>
        </w:rPr>
      </w:pPr>
      <w:r>
        <w:rPr>
          <w:rFonts w:hint="eastAsia" w:ascii="Times New Roman" w:hAnsi="Times New Roman" w:eastAsia="宋体" w:cs="Times New Roman"/>
          <w:b/>
          <w:color w:val="auto"/>
          <w:kern w:val="2"/>
          <w:sz w:val="24"/>
          <w:szCs w:val="24"/>
          <w:lang w:val="en-US" w:eastAsia="zh-CN" w:bidi="ar-SA"/>
        </w:rPr>
        <w:t xml:space="preserve">4.1.1 </w:t>
      </w:r>
      <w:bookmarkEnd w:id="273"/>
      <w:bookmarkEnd w:id="274"/>
      <w:bookmarkEnd w:id="275"/>
      <w:bookmarkEnd w:id="276"/>
      <w:bookmarkEnd w:id="277"/>
      <w:r>
        <w:rPr>
          <w:rFonts w:hint="eastAsia" w:ascii="Times New Roman" w:hAnsi="Times New Roman" w:eastAsia="宋体" w:cs="Times New Roman"/>
          <w:b/>
          <w:color w:val="auto"/>
          <w:kern w:val="2"/>
          <w:sz w:val="24"/>
          <w:szCs w:val="24"/>
          <w:lang w:val="en-US" w:eastAsia="zh-CN" w:bidi="ar-SA"/>
        </w:rPr>
        <w:t>占地产生的影响</w:t>
      </w:r>
    </w:p>
    <w:p>
      <w:pPr>
        <w:pStyle w:val="65"/>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工程对土地利用形式变化的影响包括永久占地和临时占地两方面。</w:t>
      </w:r>
      <w:r>
        <w:rPr>
          <w:rFonts w:hint="eastAsia" w:ascii="Times New Roman" w:hAnsi="Times New Roman" w:eastAsia="宋体" w:cs="Times New Roman"/>
          <w:color w:val="auto"/>
          <w:lang w:val="en-US" w:eastAsia="zh-CN"/>
        </w:rPr>
        <w:t>因项目临时占地位于永久占地范围内，本次主要分析永久占地产生的影响。</w:t>
      </w:r>
      <w:r>
        <w:rPr>
          <w:rFonts w:hint="default" w:ascii="Times New Roman" w:hAnsi="Times New Roman" w:eastAsia="宋体" w:cs="Times New Roman"/>
          <w:color w:val="auto"/>
          <w:lang w:val="en-US" w:eastAsia="zh-CN"/>
        </w:rPr>
        <w:t>施工区占地将破坏土壤表层，从而使其变得疏松，受多风天气和降雨的影响，易发生风蚀、水蚀，造成水土流失，使土壤及其养分流失。</w:t>
      </w:r>
    </w:p>
    <w:p>
      <w:pPr>
        <w:pStyle w:val="65"/>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本项目工程永久占地主要是工程占地，永久占地面积为</w:t>
      </w:r>
      <w:r>
        <w:rPr>
          <w:rFonts w:hint="eastAsia" w:cs="Times New Roman"/>
          <w:color w:val="auto"/>
          <w:lang w:val="en-US" w:eastAsia="zh-CN"/>
        </w:rPr>
        <w:t>112978</w:t>
      </w:r>
      <w:r>
        <w:rPr>
          <w:rFonts w:hint="default" w:ascii="Times New Roman" w:hAnsi="Times New Roman" w:eastAsia="宋体" w:cs="Times New Roman"/>
          <w:color w:val="auto"/>
          <w:lang w:val="en-US" w:eastAsia="zh-CN"/>
        </w:rPr>
        <w:t>m</w:t>
      </w:r>
      <w:r>
        <w:rPr>
          <w:rFonts w:hint="default" w:ascii="Times New Roman" w:hAnsi="Times New Roman" w:eastAsia="宋体" w:cs="Times New Roman"/>
          <w:color w:val="auto"/>
          <w:vertAlign w:val="superscript"/>
          <w:lang w:val="en-US" w:eastAsia="zh-CN"/>
        </w:rPr>
        <w:t>2</w:t>
      </w:r>
      <w:r>
        <w:rPr>
          <w:rFonts w:hint="default" w:ascii="Times New Roman" w:hAnsi="Times New Roman" w:eastAsia="宋体" w:cs="Times New Roman"/>
          <w:color w:val="auto"/>
          <w:lang w:val="en-US" w:eastAsia="zh-CN"/>
        </w:rPr>
        <w:t>，占地类型主要为旱地</w:t>
      </w:r>
      <w:r>
        <w:rPr>
          <w:rFonts w:hint="eastAsia" w:ascii="Times New Roman" w:hAnsi="Times New Roman" w:eastAsia="宋体" w:cs="Times New Roman"/>
          <w:color w:val="auto"/>
          <w:lang w:val="en-US" w:eastAsia="zh-CN"/>
        </w:rPr>
        <w:t>、水田</w:t>
      </w:r>
      <w:r>
        <w:rPr>
          <w:rFonts w:hint="default" w:ascii="Times New Roman" w:hAnsi="Times New Roman" w:eastAsia="宋体" w:cs="Times New Roman"/>
          <w:color w:val="auto"/>
          <w:lang w:val="en-US" w:eastAsia="zh-CN"/>
        </w:rPr>
        <w:t>。</w:t>
      </w:r>
    </w:p>
    <w:p>
      <w:pPr>
        <w:pStyle w:val="65"/>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工程占地使土地利用价值发生了改变，对耕地来说，原有价值被</w:t>
      </w:r>
      <w:r>
        <w:rPr>
          <w:rFonts w:hint="eastAsia" w:ascii="Times New Roman" w:hAnsi="Times New Roman" w:eastAsia="宋体" w:cs="Times New Roman"/>
          <w:color w:val="auto"/>
          <w:lang w:val="en-US" w:eastAsia="zh-CN"/>
        </w:rPr>
        <w:t>安置区工程</w:t>
      </w:r>
      <w:r>
        <w:rPr>
          <w:rFonts w:hint="default" w:ascii="Times New Roman" w:hAnsi="Times New Roman" w:eastAsia="宋体" w:cs="Times New Roman"/>
          <w:color w:val="auto"/>
          <w:lang w:val="en-US" w:eastAsia="zh-CN"/>
        </w:rPr>
        <w:t>带来的</w:t>
      </w:r>
      <w:r>
        <w:rPr>
          <w:rFonts w:hint="eastAsia" w:ascii="Times New Roman" w:hAnsi="Times New Roman" w:eastAsia="宋体" w:cs="Times New Roman"/>
          <w:color w:val="auto"/>
          <w:lang w:val="en-US" w:eastAsia="zh-CN"/>
        </w:rPr>
        <w:t>社会</w:t>
      </w:r>
      <w:r>
        <w:rPr>
          <w:rFonts w:hint="default" w:ascii="Times New Roman" w:hAnsi="Times New Roman" w:eastAsia="宋体" w:cs="Times New Roman"/>
          <w:color w:val="auto"/>
          <w:lang w:val="en-US" w:eastAsia="zh-CN"/>
        </w:rPr>
        <w:t>价值所代替。工程占地将导致一定时期内耕地面积减少，农作物减产，</w:t>
      </w:r>
      <w:r>
        <w:rPr>
          <w:rFonts w:hint="eastAsia" w:ascii="Times New Roman" w:hAnsi="Times New Roman" w:eastAsia="宋体" w:cs="Times New Roman"/>
          <w:color w:val="auto"/>
          <w:lang w:val="en-US" w:eastAsia="zh-CN"/>
        </w:rPr>
        <w:t>项目所在地</w:t>
      </w:r>
      <w:r>
        <w:rPr>
          <w:rFonts w:hint="default" w:ascii="Times New Roman" w:hAnsi="Times New Roman" w:eastAsia="宋体" w:cs="Times New Roman"/>
          <w:color w:val="auto"/>
          <w:lang w:val="en-US" w:eastAsia="zh-CN"/>
        </w:rPr>
        <w:t>地区人多地少的矛盾，加剧对剩余耕地的压力，使农业生产受到影响。工程占地内的植被主要为杉木林、灌丛和草丛等，农作物主要有水稻、玉米等，可见，受工程建设影响的植被以人工植被和次生植被为主。</w:t>
      </w:r>
    </w:p>
    <w:p>
      <w:pPr>
        <w:pStyle w:val="65"/>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因此，尽管项目建设对当地耕地资源及植被资源有一定的影响，但由于</w:t>
      </w:r>
      <w:r>
        <w:rPr>
          <w:rFonts w:hint="eastAsia" w:ascii="Times New Roman" w:hAnsi="Times New Roman" w:eastAsia="宋体" w:cs="Times New Roman"/>
          <w:color w:val="auto"/>
          <w:lang w:val="en-US" w:eastAsia="zh-CN"/>
        </w:rPr>
        <w:t>本项目</w:t>
      </w:r>
      <w:r>
        <w:rPr>
          <w:rFonts w:hint="default" w:ascii="Times New Roman" w:hAnsi="Times New Roman" w:eastAsia="宋体" w:cs="Times New Roman"/>
          <w:color w:val="auto"/>
          <w:lang w:val="en-US" w:eastAsia="zh-CN"/>
        </w:rPr>
        <w:t>占地仅为很少的一部分，对于</w:t>
      </w:r>
      <w:r>
        <w:rPr>
          <w:rFonts w:hint="eastAsia" w:ascii="Times New Roman" w:hAnsi="Times New Roman" w:eastAsia="宋体" w:cs="Times New Roman"/>
          <w:color w:val="auto"/>
          <w:lang w:val="en-US" w:eastAsia="zh-CN"/>
        </w:rPr>
        <w:t>华容</w:t>
      </w:r>
      <w:r>
        <w:rPr>
          <w:rFonts w:hint="default" w:ascii="Times New Roman" w:hAnsi="Times New Roman" w:eastAsia="宋体" w:cs="Times New Roman"/>
          <w:color w:val="auto"/>
          <w:lang w:val="en-US" w:eastAsia="zh-CN"/>
        </w:rPr>
        <w:t>县的土地平衡影响很小；通过当地政府进行土地调整和规划，不会对当地土地利用总体格局产生大的影响，也不会对评价区植被稳定性造成较大影响。</w:t>
      </w:r>
    </w:p>
    <w:p>
      <w:pPr>
        <w:keepNext/>
        <w:widowControl w:val="0"/>
        <w:adjustRightInd w:val="0"/>
        <w:snapToGrid w:val="0"/>
        <w:spacing w:line="360" w:lineRule="auto"/>
        <w:ind w:firstLine="0" w:firstLineChars="0"/>
        <w:jc w:val="both"/>
        <w:outlineLvl w:val="2"/>
        <w:rPr>
          <w:rFonts w:hint="eastAsia" w:ascii="Times New Roman" w:hAnsi="Times New Roman" w:eastAsia="宋体" w:cs="Times New Roman"/>
          <w:b/>
          <w:color w:val="auto"/>
          <w:kern w:val="2"/>
          <w:sz w:val="24"/>
          <w:szCs w:val="24"/>
          <w:lang w:val="en-US" w:eastAsia="zh-CN" w:bidi="ar-SA"/>
        </w:rPr>
      </w:pPr>
      <w:r>
        <w:rPr>
          <w:rFonts w:hint="eastAsia" w:ascii="Times New Roman" w:hAnsi="Times New Roman" w:eastAsia="宋体" w:cs="Times New Roman"/>
          <w:b/>
          <w:color w:val="auto"/>
          <w:kern w:val="2"/>
          <w:sz w:val="24"/>
          <w:szCs w:val="24"/>
          <w:lang w:val="en-US" w:eastAsia="zh-CN" w:bidi="ar-SA"/>
        </w:rPr>
        <w:t>4.1.2对自然保护区的影响</w:t>
      </w:r>
    </w:p>
    <w:p>
      <w:pPr>
        <w:adjustRightInd w:val="0"/>
        <w:snapToGrid w:val="0"/>
        <w:spacing w:line="360" w:lineRule="auto"/>
        <w:ind w:firstLine="480" w:firstLineChars="200"/>
        <w:jc w:val="left"/>
        <w:rPr>
          <w:rFonts w:hint="default" w:ascii="Times New Roman" w:hAnsi="Times New Roman" w:cs="Times New Roman"/>
          <w:bCs/>
          <w:color w:val="auto"/>
          <w:sz w:val="24"/>
          <w:szCs w:val="21"/>
          <w:highlight w:val="none"/>
          <w:u w:val="none"/>
          <w:lang w:val="en-US" w:eastAsia="zh-CN"/>
        </w:rPr>
      </w:pPr>
      <w:r>
        <w:rPr>
          <w:rFonts w:hint="default" w:ascii="Times New Roman" w:hAnsi="Times New Roman" w:cs="Times New Roman"/>
          <w:bCs/>
          <w:color w:val="auto"/>
          <w:sz w:val="24"/>
          <w:szCs w:val="21"/>
          <w:highlight w:val="none"/>
          <w:u w:val="none"/>
          <w:lang w:val="en-US" w:eastAsia="zh-CN"/>
        </w:rPr>
        <w:t>本项目评价范围内主要为</w:t>
      </w:r>
      <w:r>
        <w:rPr>
          <w:rFonts w:hint="eastAsia" w:ascii="Times New Roman" w:hAnsi="Times New Roman" w:cs="Times New Roman"/>
          <w:bCs/>
          <w:color w:val="auto"/>
          <w:sz w:val="24"/>
          <w:szCs w:val="21"/>
          <w:highlight w:val="none"/>
          <w:u w:val="none"/>
          <w:lang w:val="en-US" w:eastAsia="zh-CN"/>
        </w:rPr>
        <w:t>农村</w:t>
      </w:r>
      <w:r>
        <w:rPr>
          <w:rFonts w:hint="default" w:ascii="Times New Roman" w:hAnsi="Times New Roman" w:cs="Times New Roman"/>
          <w:bCs/>
          <w:color w:val="auto"/>
          <w:sz w:val="24"/>
          <w:szCs w:val="21"/>
          <w:highlight w:val="none"/>
          <w:u w:val="none"/>
          <w:lang w:val="en-US" w:eastAsia="zh-CN"/>
        </w:rPr>
        <w:t>生态系统。</w:t>
      </w:r>
    </w:p>
    <w:p>
      <w:pPr>
        <w:adjustRightInd w:val="0"/>
        <w:snapToGrid w:val="0"/>
        <w:spacing w:line="360" w:lineRule="auto"/>
        <w:ind w:firstLine="480" w:firstLineChars="200"/>
        <w:jc w:val="left"/>
        <w:rPr>
          <w:rFonts w:hint="default" w:ascii="Times New Roman" w:hAnsi="Times New Roman" w:cs="Times New Roman"/>
          <w:bCs/>
          <w:color w:val="auto"/>
          <w:sz w:val="24"/>
          <w:szCs w:val="21"/>
          <w:highlight w:val="none"/>
          <w:u w:val="none"/>
          <w:lang w:val="en-US" w:eastAsia="zh-CN"/>
        </w:rPr>
      </w:pPr>
      <w:r>
        <w:rPr>
          <w:rFonts w:hint="default" w:ascii="Times New Roman" w:hAnsi="Times New Roman" w:cs="Times New Roman"/>
          <w:bCs/>
          <w:color w:val="auto"/>
          <w:sz w:val="24"/>
          <w:szCs w:val="21"/>
          <w:highlight w:val="none"/>
          <w:u w:val="none"/>
          <w:lang w:val="en-US" w:eastAsia="zh-CN"/>
        </w:rPr>
        <w:t>东洞庭湖国家级自然保护区为湖泊类型湿地，主导功能是调蓄长江洪水径流，维系长江中下游地区的防洪安全，辅助功能主要是沉沙净污、湖泊湿地景观系统多样性以及在维系水陆复合系统中的生态前置库作用和功能，并具有保护渔业自然增值，繁衍生物多样性，特别是珍稀水禽栖息地的生态服务功能。</w:t>
      </w:r>
    </w:p>
    <w:p>
      <w:pPr>
        <w:adjustRightInd w:val="0"/>
        <w:snapToGrid w:val="0"/>
        <w:spacing w:line="360" w:lineRule="auto"/>
        <w:ind w:firstLine="480" w:firstLineChars="200"/>
        <w:jc w:val="left"/>
        <w:rPr>
          <w:rFonts w:hint="default" w:ascii="Times New Roman" w:hAnsi="Times New Roman" w:cs="Times New Roman"/>
          <w:bCs/>
          <w:color w:val="auto"/>
          <w:sz w:val="24"/>
          <w:szCs w:val="21"/>
          <w:highlight w:val="none"/>
          <w:u w:val="none"/>
          <w:lang w:val="en-US" w:eastAsia="zh-CN"/>
        </w:rPr>
      </w:pPr>
      <w:r>
        <w:rPr>
          <w:rFonts w:hint="default" w:ascii="Times New Roman" w:hAnsi="Times New Roman" w:cs="Times New Roman"/>
          <w:bCs/>
          <w:color w:val="auto"/>
          <w:sz w:val="24"/>
          <w:szCs w:val="21"/>
          <w:highlight w:val="none"/>
          <w:u w:val="none"/>
          <w:lang w:val="en-US" w:eastAsia="zh-CN"/>
        </w:rPr>
        <w:t>本项目建设不涉及东洞庭湖国家级自然保护区的核心区与缓冲区，项目位于</w:t>
      </w:r>
      <w:r>
        <w:rPr>
          <w:rFonts w:hint="eastAsia" w:ascii="Times New Roman" w:hAnsi="Times New Roman" w:cs="Times New Roman"/>
          <w:bCs/>
          <w:color w:val="auto"/>
          <w:sz w:val="24"/>
          <w:szCs w:val="21"/>
          <w:highlight w:val="none"/>
          <w:u w:val="none"/>
          <w:lang w:val="en-US" w:eastAsia="zh-CN"/>
        </w:rPr>
        <w:t>团洲乡中心小学东侧，花园小区西侧</w:t>
      </w:r>
      <w:r>
        <w:rPr>
          <w:rFonts w:hint="default" w:ascii="Times New Roman" w:hAnsi="Times New Roman" w:cs="Times New Roman"/>
          <w:bCs/>
          <w:color w:val="auto"/>
          <w:sz w:val="24"/>
          <w:szCs w:val="21"/>
          <w:highlight w:val="none"/>
          <w:u w:val="none"/>
          <w:lang w:val="en-US" w:eastAsia="zh-CN"/>
        </w:rPr>
        <w:t>，项目所在区为该保护区</w:t>
      </w:r>
      <w:r>
        <w:rPr>
          <w:rFonts w:hint="eastAsia" w:cs="Times New Roman"/>
          <w:bCs/>
          <w:color w:val="auto"/>
          <w:sz w:val="24"/>
          <w:szCs w:val="21"/>
          <w:highlight w:val="none"/>
          <w:u w:val="none"/>
          <w:lang w:val="en-US" w:eastAsia="zh-CN"/>
        </w:rPr>
        <w:t>优化整合</w:t>
      </w:r>
      <w:r>
        <w:rPr>
          <w:rFonts w:hint="default" w:ascii="Times New Roman" w:hAnsi="Times New Roman" w:cs="Times New Roman"/>
          <w:bCs/>
          <w:color w:val="auto"/>
          <w:sz w:val="24"/>
          <w:szCs w:val="21"/>
          <w:highlight w:val="none"/>
          <w:u w:val="none"/>
          <w:lang w:val="en-US" w:eastAsia="zh-CN"/>
        </w:rPr>
        <w:t>前的实验区范围，实验区主要为分布于缓冲区以外的广大区域。且根据目前正在进行的保护区范围和功能区规划调整</w:t>
      </w:r>
      <w:r>
        <w:rPr>
          <w:rFonts w:hint="eastAsia" w:cs="Times New Roman"/>
          <w:bCs/>
          <w:color w:val="auto"/>
          <w:sz w:val="24"/>
          <w:szCs w:val="21"/>
          <w:highlight w:val="none"/>
          <w:u w:val="none"/>
          <w:lang w:val="en-US" w:eastAsia="zh-CN"/>
        </w:rPr>
        <w:t>的</w:t>
      </w:r>
      <w:r>
        <w:rPr>
          <w:rFonts w:hint="default" w:ascii="Times New Roman" w:hAnsi="Times New Roman" w:cs="Times New Roman"/>
          <w:bCs/>
          <w:color w:val="auto"/>
          <w:sz w:val="24"/>
          <w:szCs w:val="21"/>
          <w:highlight w:val="none"/>
          <w:u w:val="none"/>
          <w:lang w:val="en-US" w:eastAsia="zh-CN"/>
        </w:rPr>
        <w:t>材料来看，本项目</w:t>
      </w:r>
      <w:r>
        <w:rPr>
          <w:rFonts w:hint="eastAsia" w:cs="Times New Roman"/>
          <w:bCs/>
          <w:color w:val="auto"/>
          <w:sz w:val="24"/>
          <w:szCs w:val="21"/>
          <w:highlight w:val="none"/>
          <w:u w:val="none"/>
          <w:lang w:val="en-US" w:eastAsia="zh-CN"/>
        </w:rPr>
        <w:t>湖南东洞庭湖国家级自然保护区</w:t>
      </w:r>
      <w:r>
        <w:rPr>
          <w:rFonts w:hint="default" w:ascii="Times New Roman" w:hAnsi="Times New Roman" w:cs="Times New Roman"/>
          <w:bCs/>
          <w:color w:val="auto"/>
          <w:sz w:val="24"/>
          <w:szCs w:val="21"/>
          <w:highlight w:val="none"/>
          <w:u w:val="none"/>
          <w:lang w:val="en-US" w:eastAsia="zh-CN"/>
        </w:rPr>
        <w:t>在</w:t>
      </w:r>
      <w:r>
        <w:rPr>
          <w:rFonts w:hint="eastAsia" w:cs="Times New Roman"/>
          <w:bCs/>
          <w:color w:val="auto"/>
          <w:sz w:val="24"/>
          <w:szCs w:val="21"/>
          <w:highlight w:val="none"/>
          <w:u w:val="none"/>
          <w:lang w:val="en-US" w:eastAsia="zh-CN"/>
        </w:rPr>
        <w:t>优化整合</w:t>
      </w:r>
      <w:r>
        <w:rPr>
          <w:rFonts w:hint="default" w:ascii="Times New Roman" w:hAnsi="Times New Roman" w:cs="Times New Roman"/>
          <w:bCs/>
          <w:color w:val="auto"/>
          <w:sz w:val="24"/>
          <w:szCs w:val="21"/>
          <w:highlight w:val="none"/>
          <w:u w:val="none"/>
          <w:lang w:val="en-US" w:eastAsia="zh-CN"/>
        </w:rPr>
        <w:t>完成后，便不再属于自然保护区</w:t>
      </w:r>
      <w:r>
        <w:rPr>
          <w:rFonts w:hint="eastAsia" w:cs="Times New Roman"/>
          <w:bCs/>
          <w:color w:val="auto"/>
          <w:sz w:val="24"/>
          <w:szCs w:val="21"/>
          <w:highlight w:val="none"/>
          <w:u w:val="none"/>
          <w:lang w:val="en-US" w:eastAsia="zh-CN"/>
        </w:rPr>
        <w:t>范围</w:t>
      </w:r>
      <w:r>
        <w:rPr>
          <w:rFonts w:hint="default" w:ascii="Times New Roman" w:hAnsi="Times New Roman" w:cs="Times New Roman"/>
          <w:bCs/>
          <w:color w:val="auto"/>
          <w:sz w:val="24"/>
          <w:szCs w:val="21"/>
          <w:highlight w:val="none"/>
          <w:u w:val="none"/>
          <w:lang w:val="en-US" w:eastAsia="zh-CN"/>
        </w:rPr>
        <w:t>。</w:t>
      </w:r>
    </w:p>
    <w:p>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lang w:val="en-US" w:eastAsia="zh-CN"/>
        </w:rPr>
      </w:pPr>
      <w:r>
        <w:rPr>
          <w:rFonts w:hint="eastAsia" w:ascii="Times New Roman" w:hAnsi="Times New Roman" w:cs="Times New Roman"/>
          <w:bCs/>
          <w:color w:val="auto"/>
          <w:sz w:val="24"/>
          <w:szCs w:val="21"/>
          <w:highlight w:val="none"/>
          <w:u w:val="none"/>
          <w:lang w:val="en-US" w:eastAsia="zh-CN"/>
        </w:rPr>
        <w:t>本项目用地不涉及环保拆迁，拆迁由政府负责，建设方拿净地。项目属于房地产建设项目，不涉及具体生产内容。经现场踏勘，项目工程已完成，本次评价为补评。项目施工期没有明显的遗留环境污染问题，无周边单位投诉情况发生。本次拟不对施工期环境影响进行重点评价，仅对其进行简单的回顾性评价。</w:t>
      </w:r>
    </w:p>
    <w:p>
      <w:pPr>
        <w:keepNext/>
        <w:widowControl w:val="0"/>
        <w:adjustRightInd w:val="0"/>
        <w:snapToGrid w:val="0"/>
        <w:spacing w:line="360" w:lineRule="auto"/>
        <w:ind w:firstLine="0" w:firstLineChars="0"/>
        <w:jc w:val="both"/>
        <w:outlineLvl w:val="2"/>
        <w:rPr>
          <w:rFonts w:hint="eastAsia" w:ascii="Times New Roman" w:hAnsi="Times New Roman" w:eastAsia="宋体" w:cs="Times New Roman"/>
          <w:b/>
          <w:color w:val="auto"/>
          <w:kern w:val="2"/>
          <w:sz w:val="24"/>
          <w:szCs w:val="24"/>
          <w:lang w:val="en-US" w:eastAsia="zh-CN" w:bidi="ar-SA"/>
        </w:rPr>
      </w:pPr>
      <w:bookmarkStart w:id="278" w:name="_Toc13318"/>
      <w:bookmarkStart w:id="279" w:name="_Toc16669"/>
      <w:bookmarkStart w:id="280" w:name="_Toc4017"/>
      <w:bookmarkStart w:id="281" w:name="_Toc28430"/>
      <w:bookmarkStart w:id="282" w:name="_Toc25718"/>
      <w:r>
        <w:rPr>
          <w:rFonts w:hint="eastAsia" w:ascii="Times New Roman" w:hAnsi="Times New Roman" w:eastAsia="宋体" w:cs="Times New Roman"/>
          <w:b/>
          <w:color w:val="auto"/>
          <w:kern w:val="2"/>
          <w:sz w:val="24"/>
          <w:szCs w:val="24"/>
          <w:lang w:val="en-US" w:eastAsia="zh-CN" w:bidi="ar-SA"/>
        </w:rPr>
        <w:t>4.1.</w:t>
      </w:r>
      <w:bookmarkEnd w:id="278"/>
      <w:bookmarkEnd w:id="279"/>
      <w:bookmarkEnd w:id="280"/>
      <w:bookmarkEnd w:id="281"/>
      <w:bookmarkEnd w:id="282"/>
      <w:r>
        <w:rPr>
          <w:rFonts w:hint="eastAsia" w:ascii="Times New Roman" w:hAnsi="Times New Roman" w:eastAsia="宋体" w:cs="Times New Roman"/>
          <w:b/>
          <w:color w:val="auto"/>
          <w:kern w:val="2"/>
          <w:sz w:val="24"/>
          <w:szCs w:val="24"/>
          <w:lang w:val="en-US" w:eastAsia="zh-CN" w:bidi="ar-SA"/>
        </w:rPr>
        <w:t>3对动植物的影响</w:t>
      </w:r>
    </w:p>
    <w:p>
      <w:pPr>
        <w:pStyle w:val="65"/>
        <w:ind w:firstLine="48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w:t>
      </w:r>
      <w:r>
        <w:rPr>
          <w:rFonts w:hint="default" w:ascii="Times New Roman" w:hAnsi="Times New Roman" w:eastAsia="宋体" w:cs="Times New Roman"/>
          <w:color w:val="auto"/>
          <w:lang w:val="en-US" w:eastAsia="zh-CN"/>
        </w:rPr>
        <w:t>陆生植物影响</w:t>
      </w:r>
    </w:p>
    <w:p>
      <w:pPr>
        <w:pStyle w:val="65"/>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本项目施工过程将对现有植被破除或移植，会一定程度上减少区域范围内的植被面积，在短期内生态系统内绿地面积将会减少，植被覆盖率将总体下降，生态系统的调节作用有一定削弱。</w:t>
      </w:r>
    </w:p>
    <w:p>
      <w:pPr>
        <w:pStyle w:val="65"/>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项目用地及评价范围内没有古树名木，没有国家级和省级重点保护的野生植物及生境，项目区不在生态保护红线、国家公园、自然保护区、森林公园、湿地公园、风景名胜区、其他自然公园等生态敏感区内。因此，项目施工及影响区域范围内植被主要为毛竹林、杉木林、灌丛和草丛等次生植被及人工植被，无珍稀保护植物。施工开挖和占地会造成部分植被的破坏，但由于损失的面积相对于区域来说是少量的，且受影响的植被均属一般常见类型，在区域生长范围广，不存在因项目建设而导致植物种群消失或灭绝。待施工结束后边坡及临时工程采取植被恢复措施，进行一定程度的可还将弥补部分损失的生物量。因而，本项目建设不会影响该区域生态系统的稳定性和完整性。</w:t>
      </w:r>
    </w:p>
    <w:p>
      <w:pPr>
        <w:pStyle w:val="65"/>
        <w:ind w:firstLine="48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w:t>
      </w:r>
      <w:r>
        <w:rPr>
          <w:rFonts w:hint="default" w:ascii="Times New Roman" w:hAnsi="Times New Roman" w:eastAsia="宋体" w:cs="Times New Roman"/>
          <w:color w:val="auto"/>
          <w:lang w:val="en-US" w:eastAsia="zh-CN"/>
        </w:rPr>
        <w:t>陆生</w:t>
      </w:r>
      <w:r>
        <w:rPr>
          <w:rFonts w:hint="eastAsia" w:ascii="Times New Roman" w:hAnsi="Times New Roman" w:eastAsia="宋体" w:cs="Times New Roman"/>
          <w:color w:val="auto"/>
          <w:lang w:val="en-US" w:eastAsia="zh-CN"/>
        </w:rPr>
        <w:t>动</w:t>
      </w:r>
      <w:r>
        <w:rPr>
          <w:rFonts w:hint="default" w:ascii="Times New Roman" w:hAnsi="Times New Roman" w:eastAsia="宋体" w:cs="Times New Roman"/>
          <w:color w:val="auto"/>
          <w:lang w:val="en-US" w:eastAsia="zh-CN"/>
        </w:rPr>
        <w:t>物影响</w:t>
      </w:r>
    </w:p>
    <w:p>
      <w:pPr>
        <w:pStyle w:val="65"/>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项目施工对陆生动物的影响主要是植被破坏、施工噪声等。施工期工程占地缩小了陆生动物的栖息空间，</w:t>
      </w:r>
      <w:r>
        <w:rPr>
          <w:rFonts w:hint="eastAsia" w:ascii="Times New Roman" w:hAnsi="Times New Roman" w:eastAsia="宋体" w:cs="Times New Roman"/>
          <w:color w:val="auto"/>
          <w:lang w:val="en-US" w:eastAsia="zh-CN"/>
        </w:rPr>
        <w:t>缩减了</w:t>
      </w:r>
      <w:r>
        <w:rPr>
          <w:rFonts w:hint="default" w:ascii="Times New Roman" w:hAnsi="Times New Roman" w:eastAsia="宋体" w:cs="Times New Roman"/>
          <w:color w:val="auto"/>
          <w:lang w:val="en-US" w:eastAsia="zh-CN"/>
        </w:rPr>
        <w:t>部分动物的活动区域、觅食范围等，施工期作业机械发出的噪声、产生的振动以及施工人员的活动对陆生动物的生存产生了一定的影响。</w:t>
      </w:r>
    </w:p>
    <w:p>
      <w:pPr>
        <w:pStyle w:val="65"/>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但由于工程区域主要是常见的鸟类、啮齿类动物，暂未发现珍稀濒危保护野生动物。故工程建设虽然对一定范围内的野生动物产生一定程度的不利影响，但由于其可以迁移到远离施工区域的地方栖息和活动，因此，工程建设不会对其种群数量产生明显影响，更不会改变其种群结构。不过，施工期应加强对施工人员的教育宣传，严禁施工人员有不利于保护各种野生动物的活动。项目施工建设对动物影响时间较短，同时，可随植被的恢复而缓解、消失。</w:t>
      </w:r>
    </w:p>
    <w:p>
      <w:pPr>
        <w:adjustRightInd w:val="0"/>
        <w:snapToGrid w:val="0"/>
        <w:spacing w:line="360" w:lineRule="auto"/>
        <w:ind w:firstLine="480" w:firstLineChars="200"/>
        <w:jc w:val="left"/>
        <w:rPr>
          <w:rFonts w:hint="default" w:ascii="Times New Roman" w:hAnsi="Times New Roman" w:cs="Times New Roman"/>
          <w:bCs/>
          <w:color w:val="auto"/>
          <w:sz w:val="24"/>
          <w:szCs w:val="21"/>
          <w:highlight w:val="none"/>
          <w:u w:val="none"/>
          <w:lang w:val="en-US" w:eastAsia="zh-CN"/>
        </w:rPr>
      </w:pPr>
      <w:r>
        <w:rPr>
          <w:rFonts w:hint="default" w:ascii="Times New Roman" w:hAnsi="Times New Roman" w:cs="Times New Roman"/>
          <w:bCs/>
          <w:color w:val="auto"/>
          <w:sz w:val="24"/>
          <w:szCs w:val="21"/>
          <w:highlight w:val="none"/>
          <w:u w:val="none"/>
          <w:lang w:val="en-US" w:eastAsia="zh-CN"/>
        </w:rPr>
        <w:t>1)对水生动物的影响</w:t>
      </w:r>
    </w:p>
    <w:p>
      <w:pPr>
        <w:adjustRightInd w:val="0"/>
        <w:snapToGrid w:val="0"/>
        <w:spacing w:line="360" w:lineRule="auto"/>
        <w:ind w:firstLine="480" w:firstLineChars="200"/>
        <w:jc w:val="left"/>
        <w:rPr>
          <w:rFonts w:hint="default" w:ascii="Times New Roman" w:hAnsi="Times New Roman" w:cs="Times New Roman"/>
          <w:bCs/>
          <w:color w:val="auto"/>
          <w:sz w:val="24"/>
          <w:szCs w:val="21"/>
          <w:highlight w:val="none"/>
          <w:u w:val="none"/>
          <w:lang w:val="en-US" w:eastAsia="zh-CN"/>
        </w:rPr>
      </w:pPr>
      <w:r>
        <w:rPr>
          <w:rFonts w:hint="default" w:ascii="Times New Roman" w:hAnsi="Times New Roman" w:cs="Times New Roman"/>
          <w:bCs/>
          <w:color w:val="auto"/>
          <w:sz w:val="24"/>
          <w:szCs w:val="21"/>
          <w:highlight w:val="none"/>
          <w:u w:val="none"/>
          <w:lang w:val="en-US" w:eastAsia="zh-CN"/>
        </w:rPr>
        <w:t>对东洞庭湖自然保护区有一级保护鱼类中华鲟、二级保护鱼类胭脂鱼、以及江豚。按照江豚、中华鲟、胭脂鱼的生活习性，根据本项目施工及运营特征，项目不涉及水域施工，不涉及上述动物的分布区及洄游通道，故对东洞庭湖国家级自然保护区的影响区域很小，项目施工</w:t>
      </w:r>
      <w:r>
        <w:rPr>
          <w:rFonts w:hint="eastAsia" w:ascii="Times New Roman" w:hAnsi="Times New Roman" w:cs="Times New Roman"/>
          <w:bCs/>
          <w:color w:val="auto"/>
          <w:sz w:val="24"/>
          <w:szCs w:val="21"/>
          <w:highlight w:val="none"/>
          <w:u w:val="none"/>
          <w:lang w:val="en-US" w:eastAsia="zh-CN"/>
        </w:rPr>
        <w:t>过程未</w:t>
      </w:r>
      <w:r>
        <w:rPr>
          <w:rFonts w:hint="default" w:ascii="Times New Roman" w:hAnsi="Times New Roman" w:cs="Times New Roman"/>
          <w:bCs/>
          <w:color w:val="auto"/>
          <w:sz w:val="24"/>
          <w:szCs w:val="21"/>
          <w:highlight w:val="none"/>
          <w:u w:val="none"/>
          <w:lang w:val="en-US" w:eastAsia="zh-CN"/>
        </w:rPr>
        <w:t>对东洞庭湖国家级自然保护区的水生动物产生明显负影响。</w:t>
      </w:r>
    </w:p>
    <w:p>
      <w:pPr>
        <w:adjustRightInd w:val="0"/>
        <w:snapToGrid w:val="0"/>
        <w:spacing w:line="360" w:lineRule="auto"/>
        <w:ind w:firstLine="480" w:firstLineChars="200"/>
        <w:jc w:val="left"/>
        <w:rPr>
          <w:rFonts w:hint="default" w:ascii="Times New Roman" w:hAnsi="Times New Roman" w:cs="Times New Roman"/>
          <w:bCs/>
          <w:color w:val="auto"/>
          <w:sz w:val="24"/>
          <w:szCs w:val="21"/>
          <w:highlight w:val="none"/>
          <w:u w:val="none"/>
          <w:lang w:val="en-US" w:eastAsia="zh-CN"/>
        </w:rPr>
      </w:pPr>
      <w:r>
        <w:rPr>
          <w:rFonts w:hint="default" w:ascii="Times New Roman" w:hAnsi="Times New Roman" w:cs="Times New Roman"/>
          <w:bCs/>
          <w:color w:val="auto"/>
          <w:sz w:val="24"/>
          <w:szCs w:val="21"/>
          <w:highlight w:val="none"/>
          <w:u w:val="none"/>
          <w:lang w:val="en-US" w:eastAsia="zh-CN"/>
        </w:rPr>
        <w:t>2)对鸟类的影响</w:t>
      </w:r>
    </w:p>
    <w:p>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lang w:val="en-US" w:eastAsia="zh-CN"/>
        </w:rPr>
      </w:pPr>
      <w:r>
        <w:rPr>
          <w:rFonts w:hint="default" w:ascii="Times New Roman" w:hAnsi="Times New Roman" w:cs="Times New Roman"/>
          <w:bCs/>
          <w:color w:val="auto"/>
          <w:sz w:val="24"/>
          <w:szCs w:val="21"/>
          <w:highlight w:val="none"/>
          <w:u w:val="none"/>
          <w:lang w:val="en-US" w:eastAsia="zh-CN"/>
        </w:rPr>
        <w:t>东洞庭湖自然保护区的鸟类包括三大类，既冬候鸟、夏候鸟、留鸟。最为重要的是冬水禽。这些水禽中有很多珍贵的、稀有的种类，如:颧类CiconiaSP.、鹤类Grus SP.、雁类AnserSP.、天鹅类GygnusSP.等。项目建设对水禽的影响主要表现在以下两个方面。第一，冬候鸟夏季生活在凉爽的北方，入冬后，北方食物短缺，它们就沿着固定的路线迁移到南方越冬，地面地形、地貌的改变，环境的变化，直接影响它们的迁入，对其生态生境产生一定影响。第二，施工期间，在施工区域的这些优势种鸟类由于环境的变化影响了它们的生活、取食环境将被迫离开它们原来的领域，邻近领域的优势种鸟类也由于受到施工噪声的惊吓，也将远离原来的栖息地，但是这种不利影响有时间限制，当临时征地区域的植被恢复后，它们仍可以回到原来的领域，继续生活，而且这些鸟类在非施工区内可以找到相同或相似生境，可迁移到合适生境中生活，对其</w:t>
      </w:r>
      <w:r>
        <w:rPr>
          <w:rFonts w:hint="eastAsia" w:ascii="Times New Roman" w:hAnsi="Times New Roman" w:cs="Times New Roman"/>
          <w:bCs/>
          <w:color w:val="auto"/>
          <w:sz w:val="24"/>
          <w:szCs w:val="21"/>
          <w:highlight w:val="none"/>
          <w:u w:val="none"/>
          <w:lang w:val="en-US" w:eastAsia="zh-CN"/>
        </w:rPr>
        <w:t>生存不会造成长期的、不可逆的不利影响。</w:t>
      </w:r>
    </w:p>
    <w:p>
      <w:pPr>
        <w:adjustRightInd w:val="0"/>
        <w:snapToGrid w:val="0"/>
        <w:spacing w:line="360" w:lineRule="auto"/>
        <w:ind w:firstLine="480" w:firstLineChars="200"/>
        <w:jc w:val="left"/>
        <w:rPr>
          <w:rFonts w:hint="default" w:ascii="Times New Roman" w:hAnsi="Times New Roman" w:cs="Times New Roman"/>
          <w:bCs/>
          <w:color w:val="auto"/>
          <w:sz w:val="24"/>
          <w:szCs w:val="21"/>
          <w:highlight w:val="none"/>
          <w:u w:val="none"/>
          <w:lang w:val="en-US" w:eastAsia="zh-CN"/>
        </w:rPr>
      </w:pPr>
      <w:r>
        <w:rPr>
          <w:rFonts w:hint="default" w:ascii="Times New Roman" w:hAnsi="Times New Roman" w:cs="Times New Roman"/>
          <w:bCs/>
          <w:color w:val="auto"/>
          <w:sz w:val="24"/>
          <w:szCs w:val="21"/>
          <w:highlight w:val="none"/>
          <w:u w:val="none"/>
          <w:lang w:val="en-US" w:eastAsia="zh-CN"/>
        </w:rPr>
        <w:t>3)对两栖类动物的影响</w:t>
      </w:r>
    </w:p>
    <w:p>
      <w:pPr>
        <w:adjustRightInd w:val="0"/>
        <w:snapToGrid w:val="0"/>
        <w:spacing w:line="360" w:lineRule="auto"/>
        <w:ind w:firstLine="480" w:firstLineChars="200"/>
        <w:jc w:val="left"/>
        <w:rPr>
          <w:rFonts w:hint="default" w:ascii="Times New Roman" w:hAnsi="Times New Roman" w:cs="Times New Roman"/>
          <w:bCs/>
          <w:color w:val="auto"/>
          <w:sz w:val="24"/>
          <w:szCs w:val="21"/>
          <w:highlight w:val="none"/>
          <w:u w:val="none"/>
          <w:lang w:val="en-US" w:eastAsia="zh-CN"/>
        </w:rPr>
      </w:pPr>
      <w:r>
        <w:rPr>
          <w:rFonts w:hint="default" w:ascii="Times New Roman" w:hAnsi="Times New Roman" w:cs="Times New Roman"/>
          <w:bCs/>
          <w:color w:val="auto"/>
          <w:sz w:val="24"/>
          <w:szCs w:val="21"/>
          <w:highlight w:val="none"/>
          <w:u w:val="none"/>
          <w:lang w:val="en-US" w:eastAsia="zh-CN"/>
        </w:rPr>
        <w:t>两栖类动物最主要的生活习性就是在水域和陆地间交替生活，而且具有准确的迁徙路线。东洞庭湖自然保护区主要两栖类动物有鳖、龟类.、蛙类、蟹类、扬子鳄、麇鹿等。这些动物有国家重点保护的种类，有省级重点保护的种类。麇鹿、扬子鳄为国家一级保护种，科研价值、经济价值都很高。</w:t>
      </w:r>
    </w:p>
    <w:p>
      <w:pPr>
        <w:pStyle w:val="65"/>
        <w:ind w:firstLine="480"/>
        <w:rPr>
          <w:rFonts w:hint="eastAsia" w:ascii="Times New Roman" w:hAnsi="Times New Roman" w:eastAsia="宋体" w:cs="Times New Roman"/>
          <w:color w:val="auto"/>
          <w:lang w:val="en-US" w:eastAsia="zh-CN"/>
        </w:rPr>
      </w:pPr>
      <w:r>
        <w:rPr>
          <w:rFonts w:hint="default" w:ascii="Times New Roman" w:hAnsi="Times New Roman" w:cs="Times New Roman"/>
          <w:bCs/>
          <w:color w:val="auto"/>
          <w:sz w:val="24"/>
          <w:szCs w:val="21"/>
          <w:highlight w:val="none"/>
          <w:u w:val="none"/>
          <w:lang w:val="en-US" w:eastAsia="zh-CN"/>
        </w:rPr>
        <w:t>陆生动物和两栖类动物一样，有各自固定的活动范围和路线。保护区内的白额雁、灰鹤、麇鹿具有迁移特性，本项目距离麋鹿活动的红旗湖甚远(在30km以外)，并且不会对其并往返于长江-洞庭湖之间的通道产生阻拦和任何破坏，因此，项目工程建设不会对其产生影响。</w:t>
      </w:r>
    </w:p>
    <w:p>
      <w:pPr>
        <w:keepNext/>
        <w:widowControl w:val="0"/>
        <w:adjustRightInd w:val="0"/>
        <w:snapToGrid w:val="0"/>
        <w:spacing w:line="360" w:lineRule="auto"/>
        <w:ind w:firstLine="0" w:firstLineChars="0"/>
        <w:jc w:val="both"/>
        <w:outlineLvl w:val="2"/>
        <w:rPr>
          <w:rFonts w:hint="eastAsia" w:ascii="Times New Roman" w:hAnsi="Times New Roman" w:eastAsia="宋体" w:cs="Times New Roman"/>
          <w:b/>
          <w:color w:val="auto"/>
          <w:kern w:val="2"/>
          <w:sz w:val="24"/>
          <w:szCs w:val="24"/>
          <w:lang w:val="en-US" w:eastAsia="zh-CN" w:bidi="ar-SA"/>
        </w:rPr>
      </w:pPr>
      <w:bookmarkStart w:id="283" w:name="_Toc16148"/>
      <w:bookmarkStart w:id="284" w:name="_Toc19684"/>
      <w:bookmarkStart w:id="285" w:name="_Toc29006"/>
      <w:bookmarkStart w:id="286" w:name="_Toc18522"/>
      <w:bookmarkStart w:id="287" w:name="_Toc9701"/>
      <w:r>
        <w:rPr>
          <w:rFonts w:hint="eastAsia" w:ascii="Times New Roman" w:hAnsi="Times New Roman" w:eastAsia="宋体" w:cs="Times New Roman"/>
          <w:b/>
          <w:color w:val="auto"/>
          <w:kern w:val="2"/>
          <w:sz w:val="24"/>
          <w:szCs w:val="24"/>
          <w:lang w:val="en-US" w:eastAsia="zh-CN" w:bidi="ar-SA"/>
        </w:rPr>
        <w:t>4.1.</w:t>
      </w:r>
      <w:bookmarkEnd w:id="283"/>
      <w:bookmarkEnd w:id="284"/>
      <w:bookmarkEnd w:id="285"/>
      <w:bookmarkEnd w:id="286"/>
      <w:bookmarkEnd w:id="287"/>
      <w:r>
        <w:rPr>
          <w:rFonts w:hint="eastAsia" w:ascii="Times New Roman" w:hAnsi="Times New Roman" w:eastAsia="宋体" w:cs="Times New Roman"/>
          <w:b/>
          <w:color w:val="auto"/>
          <w:kern w:val="2"/>
          <w:sz w:val="24"/>
          <w:szCs w:val="24"/>
          <w:lang w:val="en-US" w:eastAsia="zh-CN" w:bidi="ar-SA"/>
        </w:rPr>
        <w:t>4水土流失影响</w:t>
      </w:r>
    </w:p>
    <w:p>
      <w:pPr>
        <w:pStyle w:val="65"/>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在施工过程中由于开挖地面、机械碾压、排放废弃物等原因，施工破坏了原有的地貌，进一步扰动了表土结构，致使土壤抗蚀能力降低。已裸露的土壤极易被降雨径流冲刷而产生水土流失，特别是暴雨时冲刷更为严重。其中地表开挖、填方等不同地貌部位和不同时期可发生不同形式的水土流失。</w:t>
      </w:r>
      <w:r>
        <w:rPr>
          <w:rFonts w:hint="eastAsia" w:ascii="Times New Roman" w:hAnsi="Times New Roman" w:eastAsia="宋体" w:cs="Times New Roman"/>
          <w:color w:val="auto"/>
          <w:lang w:val="en-US" w:eastAsia="zh-CN"/>
        </w:rPr>
        <w:t>项目目前已建成，根据现场走访、询问及勘查，施工期未出现大规模水土流失现象，现状场地已采取了合理的绿化及硬化措施，无裸露土壤存在，不存在水土流失隐患</w:t>
      </w:r>
      <w:r>
        <w:rPr>
          <w:rFonts w:hint="default" w:ascii="Times New Roman" w:hAnsi="Times New Roman" w:eastAsia="宋体" w:cs="Times New Roman"/>
          <w:color w:val="auto"/>
          <w:lang w:val="en-US" w:eastAsia="zh-CN"/>
        </w:rPr>
        <w:t>。</w:t>
      </w:r>
    </w:p>
    <w:p>
      <w:pPr>
        <w:keepNext/>
        <w:keepLines/>
        <w:widowControl w:val="0"/>
        <w:adjustRightInd w:val="0"/>
        <w:snapToGrid w:val="0"/>
        <w:spacing w:before="0" w:after="0" w:line="360" w:lineRule="auto"/>
        <w:jc w:val="both"/>
        <w:outlineLvl w:val="1"/>
        <w:rPr>
          <w:rFonts w:hint="default" w:ascii="Times New Roman" w:hAnsi="Times New Roman" w:eastAsia="宋体" w:cs="Times New Roman"/>
          <w:b/>
          <w:bCs/>
          <w:color w:val="auto"/>
          <w:kern w:val="2"/>
          <w:sz w:val="28"/>
          <w:szCs w:val="28"/>
          <w:lang w:val="en-US" w:eastAsia="zh-CN" w:bidi="ar-SA"/>
        </w:rPr>
      </w:pPr>
      <w:bookmarkStart w:id="288" w:name="_Toc6378"/>
      <w:bookmarkStart w:id="289" w:name="_Toc10741"/>
      <w:bookmarkStart w:id="290" w:name="_Toc19769"/>
      <w:bookmarkStart w:id="291" w:name="_Toc18090"/>
      <w:r>
        <w:rPr>
          <w:rFonts w:ascii="Times New Roman" w:hAnsi="Times New Roman" w:eastAsia="宋体" w:cs="Times New Roman"/>
          <w:b/>
          <w:bCs/>
          <w:color w:val="auto"/>
          <w:kern w:val="2"/>
          <w:sz w:val="28"/>
          <w:szCs w:val="28"/>
          <w:lang w:val="en-US" w:eastAsia="zh-CN" w:bidi="ar-SA"/>
        </w:rPr>
        <w:t>4.</w:t>
      </w:r>
      <w:r>
        <w:rPr>
          <w:rFonts w:hint="eastAsia" w:ascii="Times New Roman" w:hAnsi="Times New Roman" w:eastAsia="宋体" w:cs="Times New Roman"/>
          <w:b/>
          <w:bCs/>
          <w:color w:val="auto"/>
          <w:kern w:val="2"/>
          <w:sz w:val="28"/>
          <w:szCs w:val="28"/>
          <w:lang w:val="en-US" w:eastAsia="zh-CN" w:bidi="ar-SA"/>
        </w:rPr>
        <w:t>2</w:t>
      </w:r>
      <w:r>
        <w:rPr>
          <w:rFonts w:ascii="Times New Roman" w:hAnsi="Times New Roman" w:eastAsia="宋体" w:cs="Times New Roman"/>
          <w:b/>
          <w:bCs/>
          <w:color w:val="auto"/>
          <w:kern w:val="2"/>
          <w:sz w:val="28"/>
          <w:szCs w:val="28"/>
          <w:lang w:val="en-US" w:eastAsia="zh-CN" w:bidi="ar-SA"/>
        </w:rPr>
        <w:t xml:space="preserve"> </w:t>
      </w:r>
      <w:r>
        <w:rPr>
          <w:rFonts w:hint="eastAsia" w:ascii="Times New Roman" w:hAnsi="Times New Roman" w:eastAsia="宋体" w:cs="Times New Roman"/>
          <w:b/>
          <w:bCs/>
          <w:color w:val="auto"/>
          <w:kern w:val="2"/>
          <w:sz w:val="28"/>
          <w:szCs w:val="28"/>
          <w:lang w:val="en-US" w:eastAsia="zh-CN" w:bidi="ar-SA"/>
        </w:rPr>
        <w:t>运营期生态环境影响分析与评价</w:t>
      </w:r>
      <w:bookmarkEnd w:id="288"/>
      <w:bookmarkEnd w:id="289"/>
      <w:bookmarkEnd w:id="290"/>
      <w:bookmarkEnd w:id="291"/>
    </w:p>
    <w:p>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color w:val="auto"/>
          <w:kern w:val="2"/>
          <w:sz w:val="24"/>
          <w:szCs w:val="24"/>
          <w:lang w:val="en-US" w:eastAsia="zh-CN" w:bidi="ar-SA"/>
        </w:rPr>
      </w:pPr>
      <w:r>
        <w:rPr>
          <w:rFonts w:hint="eastAsia" w:ascii="Times New Roman" w:hAnsi="Times New Roman" w:eastAsia="宋体" w:cs="Times New Roman"/>
          <w:b/>
          <w:color w:val="auto"/>
          <w:kern w:val="2"/>
          <w:sz w:val="24"/>
          <w:szCs w:val="24"/>
          <w:lang w:val="en-US" w:eastAsia="zh-CN" w:bidi="ar-SA"/>
        </w:rPr>
        <w:t>4.2</w:t>
      </w:r>
      <w:r>
        <w:rPr>
          <w:rFonts w:hint="default" w:ascii="Times New Roman" w:hAnsi="Times New Roman" w:eastAsia="宋体" w:cs="Times New Roman"/>
          <w:b/>
          <w:color w:val="auto"/>
          <w:kern w:val="2"/>
          <w:sz w:val="24"/>
          <w:szCs w:val="24"/>
          <w:lang w:val="en-US" w:eastAsia="zh-CN" w:bidi="ar-SA"/>
        </w:rPr>
        <w:t>.1占地类型环境影响分析</w:t>
      </w:r>
    </w:p>
    <w:p>
      <w:pPr>
        <w:pStyle w:val="65"/>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本工程建设占用的土地为永久占地，具有不可逆性，将对土地资源造成一定程度的影响。但是由于</w:t>
      </w:r>
      <w:r>
        <w:rPr>
          <w:rFonts w:hint="eastAsia" w:ascii="Times New Roman" w:hAnsi="Times New Roman" w:eastAsia="宋体" w:cs="Times New Roman"/>
          <w:color w:val="auto"/>
          <w:lang w:val="en-US" w:eastAsia="zh-CN"/>
        </w:rPr>
        <w:t>项目</w:t>
      </w:r>
      <w:r>
        <w:rPr>
          <w:rFonts w:hint="default" w:ascii="Times New Roman" w:hAnsi="Times New Roman" w:eastAsia="宋体" w:cs="Times New Roman"/>
          <w:color w:val="auto"/>
          <w:lang w:val="en-US" w:eastAsia="zh-CN"/>
        </w:rPr>
        <w:t>占地仅为直接影响区很少的一部分，对于</w:t>
      </w:r>
      <w:r>
        <w:rPr>
          <w:rFonts w:hint="eastAsia" w:ascii="Times New Roman" w:hAnsi="Times New Roman" w:eastAsia="宋体" w:cs="Times New Roman"/>
          <w:color w:val="auto"/>
          <w:lang w:val="en-US" w:eastAsia="zh-CN"/>
        </w:rPr>
        <w:t>华容</w:t>
      </w:r>
      <w:r>
        <w:rPr>
          <w:rFonts w:hint="default" w:ascii="Times New Roman" w:hAnsi="Times New Roman" w:eastAsia="宋体" w:cs="Times New Roman"/>
          <w:color w:val="auto"/>
          <w:lang w:val="en-US" w:eastAsia="zh-CN"/>
        </w:rPr>
        <w:t>县的土地平衡影响很小；通过当地政府进行土地调整和规划，不会对当地土地利用总体格局产生大的影响。工程临时用地主要为旱地及林地，临时用地施工结束后覆土，恢复原有土地利用功能，对占地影响较小。</w:t>
      </w:r>
    </w:p>
    <w:p>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color w:val="auto"/>
          <w:kern w:val="2"/>
          <w:sz w:val="24"/>
          <w:szCs w:val="24"/>
          <w:lang w:val="en-US" w:eastAsia="zh-CN" w:bidi="ar-SA"/>
        </w:rPr>
      </w:pPr>
      <w:r>
        <w:rPr>
          <w:rFonts w:hint="eastAsia" w:ascii="Times New Roman" w:hAnsi="Times New Roman" w:eastAsia="宋体" w:cs="Times New Roman"/>
          <w:b/>
          <w:color w:val="auto"/>
          <w:kern w:val="2"/>
          <w:sz w:val="24"/>
          <w:szCs w:val="24"/>
          <w:lang w:val="en-US" w:eastAsia="zh-CN" w:bidi="ar-SA"/>
        </w:rPr>
        <w:t>4.2</w:t>
      </w:r>
      <w:r>
        <w:rPr>
          <w:rFonts w:hint="default" w:ascii="Times New Roman" w:hAnsi="Times New Roman" w:eastAsia="宋体" w:cs="Times New Roman"/>
          <w:b/>
          <w:color w:val="auto"/>
          <w:kern w:val="2"/>
          <w:sz w:val="24"/>
          <w:szCs w:val="24"/>
          <w:lang w:val="en-US" w:eastAsia="zh-CN" w:bidi="ar-SA"/>
        </w:rPr>
        <w:t>.2对</w:t>
      </w:r>
      <w:r>
        <w:rPr>
          <w:rFonts w:hint="eastAsia" w:eastAsia="宋体" w:cs="Times New Roman"/>
          <w:b/>
          <w:color w:val="auto"/>
          <w:kern w:val="2"/>
          <w:sz w:val="24"/>
          <w:szCs w:val="24"/>
          <w:lang w:val="en-US" w:eastAsia="zh-CN" w:bidi="ar-SA"/>
        </w:rPr>
        <w:t>项目周边</w:t>
      </w:r>
      <w:r>
        <w:rPr>
          <w:rFonts w:hint="default" w:ascii="Times New Roman" w:hAnsi="Times New Roman" w:eastAsia="宋体" w:cs="Times New Roman"/>
          <w:b/>
          <w:color w:val="auto"/>
          <w:kern w:val="2"/>
          <w:sz w:val="24"/>
          <w:szCs w:val="24"/>
          <w:lang w:val="en-US" w:eastAsia="zh-CN" w:bidi="ar-SA"/>
        </w:rPr>
        <w:t>植被的影响分析</w:t>
      </w:r>
    </w:p>
    <w:p>
      <w:pPr>
        <w:pStyle w:val="65"/>
        <w:ind w:firstLine="480"/>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项目建成后的永久占地会对区域内主要植被造成一定的破坏，</w:t>
      </w:r>
      <w:r>
        <w:rPr>
          <w:rFonts w:hint="eastAsia" w:ascii="Times New Roman" w:hAnsi="Times New Roman" w:eastAsia="宋体" w:cs="Times New Roman"/>
          <w:color w:val="auto"/>
          <w:lang w:val="en-US" w:eastAsia="zh-CN"/>
        </w:rPr>
        <w:t>本项目为房地产开发建设项目，营运期的主要环境污染源为噪声和油烟、停车场废气以及少量垃圾桶恶臭，生活污水经隔油池和化粪池预处理后经自建管道流入市政污水管网，不直接外排，污染源对植被造成的影响很小，故营运期对植被的影响很小。</w:t>
      </w:r>
    </w:p>
    <w:p>
      <w:pPr>
        <w:pStyle w:val="65"/>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工程竣工后通过对进行景观绿化恢复会带来一定的正面影响。项目建设不会导致植被群落分布和群落结构的明显变化，更不会导致植被物种的消失，因此，项目运营后对植被影响较小。</w:t>
      </w:r>
    </w:p>
    <w:p>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color w:val="auto"/>
          <w:kern w:val="2"/>
          <w:sz w:val="24"/>
          <w:szCs w:val="24"/>
          <w:lang w:val="en-US" w:eastAsia="zh-CN" w:bidi="ar-SA"/>
        </w:rPr>
      </w:pPr>
      <w:r>
        <w:rPr>
          <w:rFonts w:hint="eastAsia" w:ascii="Times New Roman" w:hAnsi="Times New Roman" w:eastAsia="宋体" w:cs="Times New Roman"/>
          <w:b/>
          <w:color w:val="auto"/>
          <w:kern w:val="2"/>
          <w:sz w:val="24"/>
          <w:szCs w:val="24"/>
          <w:lang w:val="en-US" w:eastAsia="zh-CN" w:bidi="ar-SA"/>
        </w:rPr>
        <w:t>4.2</w:t>
      </w:r>
      <w:r>
        <w:rPr>
          <w:rFonts w:hint="default" w:ascii="Times New Roman" w:hAnsi="Times New Roman" w:eastAsia="宋体" w:cs="Times New Roman"/>
          <w:b/>
          <w:color w:val="auto"/>
          <w:kern w:val="2"/>
          <w:sz w:val="24"/>
          <w:szCs w:val="24"/>
          <w:lang w:val="en-US" w:eastAsia="zh-CN" w:bidi="ar-SA"/>
        </w:rPr>
        <w:t>.3对</w:t>
      </w:r>
      <w:r>
        <w:rPr>
          <w:rFonts w:hint="eastAsia" w:eastAsia="宋体" w:cs="Times New Roman"/>
          <w:b/>
          <w:color w:val="auto"/>
          <w:kern w:val="2"/>
          <w:sz w:val="24"/>
          <w:szCs w:val="24"/>
          <w:lang w:val="en-US" w:eastAsia="zh-CN" w:bidi="ar-SA"/>
        </w:rPr>
        <w:t>项目周边</w:t>
      </w:r>
      <w:r>
        <w:rPr>
          <w:rFonts w:hint="default" w:ascii="Times New Roman" w:hAnsi="Times New Roman" w:eastAsia="宋体" w:cs="Times New Roman"/>
          <w:b/>
          <w:color w:val="auto"/>
          <w:kern w:val="2"/>
          <w:sz w:val="24"/>
          <w:szCs w:val="24"/>
          <w:lang w:val="en-US" w:eastAsia="zh-CN" w:bidi="ar-SA"/>
        </w:rPr>
        <w:t>动物的影响分析</w:t>
      </w:r>
    </w:p>
    <w:p>
      <w:pPr>
        <w:pStyle w:val="65"/>
        <w:ind w:firstLine="48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项目所在区域动物主要为</w:t>
      </w:r>
      <w:r>
        <w:rPr>
          <w:rFonts w:hint="default" w:ascii="Times New Roman" w:hAnsi="Times New Roman" w:eastAsia="宋体" w:cs="Times New Roman"/>
          <w:color w:val="auto"/>
          <w:lang w:val="en-US" w:eastAsia="zh-CN"/>
        </w:rPr>
        <w:t>常见的鸟类、啮齿类动物，</w:t>
      </w:r>
      <w:r>
        <w:rPr>
          <w:rFonts w:hint="eastAsia" w:ascii="Times New Roman" w:hAnsi="Times New Roman" w:eastAsia="宋体" w:cs="Times New Roman"/>
          <w:color w:val="auto"/>
          <w:lang w:val="en-US" w:eastAsia="zh-CN"/>
        </w:rPr>
        <w:t>已基本适应了人类活动带来的影响。</w:t>
      </w:r>
    </w:p>
    <w:p>
      <w:pPr>
        <w:pStyle w:val="65"/>
        <w:ind w:firstLine="48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本项目为房地产开发建设项目，营运期的主要环境污染源为噪声和油烟、停车场废气以及少量垃圾桶恶臭，生活污水经隔油池和化粪池预处理后经自建管道流入市政污水管网，不直接外排，污染源对植被造成的影响很小，故营运期对</w:t>
      </w:r>
      <w:r>
        <w:rPr>
          <w:rFonts w:hint="default" w:ascii="Times New Roman" w:hAnsi="Times New Roman" w:eastAsia="宋体" w:cs="Times New Roman"/>
          <w:color w:val="auto"/>
          <w:lang w:val="en-US" w:eastAsia="zh-CN"/>
        </w:rPr>
        <w:t>对动物的种群大小和活动范围影响有限。</w:t>
      </w:r>
    </w:p>
    <w:p>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color w:val="auto"/>
          <w:kern w:val="2"/>
          <w:sz w:val="24"/>
          <w:szCs w:val="24"/>
          <w:lang w:val="en-US" w:eastAsia="zh-CN" w:bidi="ar-SA"/>
        </w:rPr>
      </w:pPr>
      <w:r>
        <w:rPr>
          <w:rFonts w:hint="eastAsia" w:ascii="Times New Roman" w:hAnsi="Times New Roman" w:eastAsia="宋体" w:cs="Times New Roman"/>
          <w:b/>
          <w:color w:val="auto"/>
          <w:kern w:val="2"/>
          <w:sz w:val="24"/>
          <w:szCs w:val="24"/>
          <w:lang w:val="en-US" w:eastAsia="zh-CN" w:bidi="ar-SA"/>
        </w:rPr>
        <w:t>4.2</w:t>
      </w:r>
      <w:r>
        <w:rPr>
          <w:rFonts w:hint="default" w:ascii="Times New Roman" w:hAnsi="Times New Roman" w:eastAsia="宋体" w:cs="Times New Roman"/>
          <w:b/>
          <w:color w:val="auto"/>
          <w:kern w:val="2"/>
          <w:sz w:val="24"/>
          <w:szCs w:val="24"/>
          <w:lang w:val="en-US" w:eastAsia="zh-CN" w:bidi="ar-SA"/>
        </w:rPr>
        <w:t>.4对区域生态体系完整性及景观的影响分析</w:t>
      </w:r>
    </w:p>
    <w:p>
      <w:pPr>
        <w:pStyle w:val="65"/>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项目区域植被主要以毛竹林、杉木林、灌丛和草丛等此生植被及人工植被为主。区域内植被分布面积较大，且组成较为单一，群落结构简单，</w:t>
      </w:r>
      <w:r>
        <w:rPr>
          <w:rFonts w:hint="eastAsia" w:ascii="Times New Roman" w:hAnsi="Times New Roman" w:eastAsia="宋体" w:cs="Times New Roman"/>
          <w:color w:val="auto"/>
          <w:lang w:val="en-US" w:eastAsia="zh-CN"/>
        </w:rPr>
        <w:t>项目</w:t>
      </w:r>
      <w:r>
        <w:rPr>
          <w:rFonts w:hint="default" w:ascii="Times New Roman" w:hAnsi="Times New Roman" w:eastAsia="宋体" w:cs="Times New Roman"/>
          <w:color w:val="auto"/>
          <w:lang w:val="en-US" w:eastAsia="zh-CN"/>
        </w:rPr>
        <w:t>建设占用面积比例较小，因此，项目运营期对项目评价区自然体系的生态影响也会很小，而且工程完工后通过自然生态系统体系的自我调节和水土保持及迹地恢复等工程措施，区域自然体系的性质和功能将得到恢复。</w:t>
      </w:r>
    </w:p>
    <w:p>
      <w:pPr>
        <w:adjustRightInd w:val="0"/>
        <w:snapToGrid w:val="0"/>
        <w:spacing w:line="360" w:lineRule="auto"/>
        <w:ind w:firstLine="480" w:firstLineChars="200"/>
        <w:jc w:val="left"/>
        <w:rPr>
          <w:rFonts w:hint="default" w:ascii="Times New Roman" w:hAnsi="Times New Roman" w:cs="Times New Roman"/>
          <w:bCs/>
          <w:color w:val="auto"/>
          <w:sz w:val="24"/>
          <w:szCs w:val="21"/>
          <w:highlight w:val="none"/>
          <w:u w:val="none"/>
          <w:lang w:val="en-US" w:eastAsia="zh-CN"/>
        </w:rPr>
      </w:pPr>
      <w:bookmarkStart w:id="292" w:name="_Toc43457067"/>
      <w:r>
        <w:rPr>
          <w:rFonts w:hint="default" w:ascii="Times New Roman" w:hAnsi="Times New Roman" w:cs="Times New Roman"/>
          <w:bCs/>
          <w:color w:val="auto"/>
          <w:sz w:val="24"/>
          <w:szCs w:val="21"/>
          <w:highlight w:val="none"/>
          <w:u w:val="none"/>
          <w:lang w:val="en-US" w:eastAsia="zh-CN"/>
        </w:rPr>
        <w:t>生态景观是社会、经济、自然复合生态系统的多维生态网络，包括自然生态景观和人文生态景观，强调格局、过程和功能的多维耦合，是由物理的、化学的、生物的、区域的、社会的、经济的及文化的组分在时、空、量、构、序范畴上相互作用形成的人与自然的复合生态网络。它不仅包括有形的地理和生物景观，还包括了无形的个体与整体、内部与外部、过去和未来以及主观与客观问的系统生态联系。它强调人类生态系统内部与外部环境之间的和谐，系统结构和功能的耦合，过去、现在和未来发展的关联及融洽性。所以，该项目尽管只占地</w:t>
      </w:r>
      <w:r>
        <w:rPr>
          <w:rFonts w:hint="eastAsia" w:ascii="仿宋" w:hAnsi="仿宋" w:eastAsia="仿宋" w:cs="仿宋"/>
          <w:bCs w:val="0"/>
          <w:snapToGrid w:val="0"/>
          <w:color w:val="auto"/>
          <w:spacing w:val="0"/>
          <w:kern w:val="0"/>
          <w:position w:val="0"/>
          <w:sz w:val="28"/>
          <w:szCs w:val="28"/>
          <w:highlight w:val="none"/>
          <w:u w:val="none"/>
          <w:lang w:val="en-US" w:eastAsia="zh-CN" w:bidi="ar-SA"/>
        </w:rPr>
        <w:t>112978</w:t>
      </w:r>
      <w:r>
        <w:rPr>
          <w:rFonts w:hint="default" w:ascii="Times New Roman" w:hAnsi="Times New Roman" w:cs="Times New Roman"/>
          <w:bCs/>
          <w:color w:val="auto"/>
          <w:sz w:val="24"/>
          <w:szCs w:val="21"/>
          <w:highlight w:val="none"/>
          <w:u w:val="none"/>
          <w:lang w:val="en-US" w:eastAsia="zh-CN"/>
        </w:rPr>
        <w:t>m</w:t>
      </w:r>
      <w:r>
        <w:rPr>
          <w:rFonts w:hint="default" w:ascii="Times New Roman" w:hAnsi="Times New Roman" w:cs="Times New Roman"/>
          <w:bCs/>
          <w:color w:val="auto"/>
          <w:sz w:val="24"/>
          <w:szCs w:val="21"/>
          <w:highlight w:val="none"/>
          <w:u w:val="none"/>
          <w:vertAlign w:val="superscript"/>
          <w:lang w:val="en-US" w:eastAsia="zh-CN"/>
        </w:rPr>
        <w:t>2</w:t>
      </w:r>
      <w:r>
        <w:rPr>
          <w:rFonts w:hint="default" w:ascii="Times New Roman" w:hAnsi="Times New Roman" w:cs="Times New Roman"/>
          <w:bCs/>
          <w:color w:val="auto"/>
          <w:sz w:val="24"/>
          <w:szCs w:val="21"/>
          <w:highlight w:val="none"/>
          <w:u w:val="none"/>
          <w:lang w:val="en-US" w:eastAsia="zh-CN"/>
        </w:rPr>
        <w:t>，该地块景观生态风险体现在两个方面，一是对自然植被的移除，二是潜在的人工建筑的大小、体量、颜色、风格、式样需要进行精心设计及评估。</w:t>
      </w:r>
      <w:r>
        <w:rPr>
          <w:rFonts w:hint="eastAsia" w:ascii="Times New Roman" w:hAnsi="Times New Roman" w:cs="Times New Roman"/>
          <w:bCs/>
          <w:color w:val="auto"/>
          <w:sz w:val="24"/>
          <w:szCs w:val="21"/>
          <w:highlight w:val="none"/>
          <w:u w:val="none"/>
          <w:lang w:val="en-US" w:eastAsia="zh-CN"/>
        </w:rPr>
        <w:t>本项目目前已建成，项目周边为团洲乡城镇建成区，项目的整体建筑风格为徽派建筑，与周边环境较为相融。</w:t>
      </w:r>
    </w:p>
    <w:p>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color w:val="auto"/>
          <w:kern w:val="2"/>
          <w:sz w:val="24"/>
          <w:szCs w:val="24"/>
          <w:lang w:val="en-US" w:eastAsia="zh-CN" w:bidi="ar-SA"/>
        </w:rPr>
      </w:pPr>
      <w:r>
        <w:rPr>
          <w:rFonts w:hint="eastAsia" w:ascii="Times New Roman" w:hAnsi="Times New Roman" w:eastAsia="宋体" w:cs="Times New Roman"/>
          <w:b/>
          <w:color w:val="auto"/>
          <w:kern w:val="2"/>
          <w:sz w:val="24"/>
          <w:szCs w:val="24"/>
          <w:lang w:val="en-US" w:eastAsia="zh-CN" w:bidi="ar-SA"/>
        </w:rPr>
        <w:t>4.2.5</w:t>
      </w:r>
      <w:r>
        <w:rPr>
          <w:rFonts w:hint="default" w:ascii="Times New Roman" w:hAnsi="Times New Roman" w:eastAsia="宋体" w:cs="Times New Roman"/>
          <w:b/>
          <w:color w:val="auto"/>
          <w:kern w:val="2"/>
          <w:sz w:val="24"/>
          <w:szCs w:val="24"/>
          <w:lang w:val="en-US" w:eastAsia="zh-CN" w:bidi="ar-SA"/>
        </w:rPr>
        <w:t>保护区累积生态影响分析析</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评价范围内永久占地面积为</w:t>
      </w:r>
      <w:r>
        <w:rPr>
          <w:rFonts w:hint="eastAsia" w:cs="Times New Roman"/>
          <w:bCs/>
          <w:color w:val="auto"/>
          <w:sz w:val="24"/>
          <w:szCs w:val="21"/>
          <w:highlight w:val="none"/>
          <w:u w:val="none"/>
          <w:lang w:val="en-US" w:eastAsia="zh-CN"/>
        </w:rPr>
        <w:t>112978</w:t>
      </w:r>
      <w:r>
        <w:rPr>
          <w:rFonts w:hint="default" w:ascii="Times New Roman" w:hAnsi="Times New Roman" w:eastAsia="宋体" w:cs="Times New Roman"/>
          <w:bCs/>
          <w:color w:val="auto"/>
          <w:sz w:val="24"/>
          <w:szCs w:val="21"/>
          <w:highlight w:val="none"/>
          <w:u w:val="none"/>
          <w:lang w:val="en-US" w:eastAsia="zh-CN"/>
        </w:rPr>
        <w:t>m²，均为自然保护区</w:t>
      </w:r>
      <w:r>
        <w:rPr>
          <w:rFonts w:hint="eastAsia" w:cs="Times New Roman"/>
          <w:bCs/>
          <w:color w:val="auto"/>
          <w:sz w:val="24"/>
          <w:szCs w:val="21"/>
          <w:highlight w:val="none"/>
          <w:u w:val="none"/>
          <w:lang w:val="en-US" w:eastAsia="zh-CN"/>
        </w:rPr>
        <w:t>优化整合前的</w:t>
      </w:r>
      <w:r>
        <w:rPr>
          <w:rFonts w:hint="default" w:ascii="Times New Roman" w:hAnsi="Times New Roman" w:eastAsia="宋体" w:cs="Times New Roman"/>
          <w:bCs/>
          <w:color w:val="auto"/>
          <w:sz w:val="24"/>
          <w:szCs w:val="21"/>
          <w:highlight w:val="none"/>
          <w:u w:val="none"/>
          <w:lang w:val="en-US" w:eastAsia="zh-CN"/>
        </w:rPr>
        <w:t>实验区，实验区永久占地面积占自然保护区总面积(</w:t>
      </w:r>
      <w:r>
        <w:rPr>
          <w:rFonts w:hint="eastAsia" w:cs="Times New Roman"/>
          <w:bCs/>
          <w:color w:val="auto"/>
          <w:sz w:val="24"/>
          <w:szCs w:val="21"/>
          <w:highlight w:val="none"/>
          <w:u w:val="none"/>
          <w:lang w:val="en-US" w:eastAsia="zh-CN"/>
        </w:rPr>
        <w:t>15.7627</w:t>
      </w:r>
      <w:r>
        <w:rPr>
          <w:rFonts w:hint="default" w:ascii="Times New Roman" w:hAnsi="Times New Roman" w:eastAsia="宋体" w:cs="Times New Roman"/>
          <w:bCs/>
          <w:color w:val="auto"/>
          <w:sz w:val="24"/>
          <w:szCs w:val="21"/>
          <w:highlight w:val="none"/>
          <w:u w:val="none"/>
          <w:lang w:val="en-US" w:eastAsia="zh-CN"/>
        </w:rPr>
        <w:t>x10</w:t>
      </w:r>
      <w:r>
        <w:rPr>
          <w:rFonts w:hint="eastAsia" w:cs="Times New Roman"/>
          <w:bCs/>
          <w:color w:val="auto"/>
          <w:sz w:val="24"/>
          <w:szCs w:val="21"/>
          <w:highlight w:val="none"/>
          <w:u w:val="none"/>
          <w:vertAlign w:val="superscript"/>
          <w:lang w:val="en-US" w:eastAsia="zh-CN"/>
        </w:rPr>
        <w:t>4</w:t>
      </w:r>
      <w:r>
        <w:rPr>
          <w:rFonts w:hint="default" w:ascii="Times New Roman" w:hAnsi="Times New Roman" w:eastAsia="宋体" w:cs="Times New Roman"/>
          <w:bCs/>
          <w:color w:val="auto"/>
          <w:sz w:val="24"/>
          <w:szCs w:val="21"/>
          <w:highlight w:val="none"/>
          <w:u w:val="none"/>
          <w:lang w:val="en-US" w:eastAsia="zh-CN"/>
        </w:rPr>
        <w:t>hm</w:t>
      </w:r>
      <w:r>
        <w:rPr>
          <w:rFonts w:hint="default" w:ascii="Times New Roman" w:hAnsi="Times New Roman" w:eastAsia="宋体" w:cs="Times New Roman"/>
          <w:bCs/>
          <w:color w:val="auto"/>
          <w:sz w:val="24"/>
          <w:szCs w:val="21"/>
          <w:highlight w:val="none"/>
          <w:u w:val="none"/>
          <w:vertAlign w:val="superscript"/>
          <w:lang w:val="en-US" w:eastAsia="zh-CN"/>
        </w:rPr>
        <w:t>2</w:t>
      </w:r>
      <w:r>
        <w:rPr>
          <w:rFonts w:hint="default" w:ascii="Times New Roman" w:hAnsi="Times New Roman" w:eastAsia="宋体" w:cs="Times New Roman"/>
          <w:bCs/>
          <w:color w:val="auto"/>
          <w:sz w:val="24"/>
          <w:szCs w:val="21"/>
          <w:highlight w:val="none"/>
          <w:u w:val="none"/>
          <w:lang w:val="en-US" w:eastAsia="zh-CN"/>
        </w:rPr>
        <w:t>)的0.00</w:t>
      </w:r>
      <w:r>
        <w:rPr>
          <w:rFonts w:hint="eastAsia" w:cs="Times New Roman"/>
          <w:bCs/>
          <w:color w:val="auto"/>
          <w:sz w:val="24"/>
          <w:szCs w:val="21"/>
          <w:highlight w:val="none"/>
          <w:u w:val="none"/>
          <w:lang w:val="en-US" w:eastAsia="zh-CN"/>
        </w:rPr>
        <w:t>7</w:t>
      </w:r>
      <w:r>
        <w:rPr>
          <w:rFonts w:hint="default" w:ascii="Times New Roman" w:hAnsi="Times New Roman" w:eastAsia="宋体" w:cs="Times New Roman"/>
          <w:bCs/>
          <w:color w:val="auto"/>
          <w:sz w:val="24"/>
          <w:szCs w:val="21"/>
          <w:highlight w:val="none"/>
          <w:u w:val="none"/>
          <w:lang w:val="en-US" w:eastAsia="zh-CN"/>
        </w:rPr>
        <w:t>%，所占比重极小，且区域均为已有城市建成区，不会使保护区生态环境破碎化。</w:t>
      </w:r>
    </w:p>
    <w:p>
      <w:pPr>
        <w:adjustRightInd w:val="0"/>
        <w:snapToGrid w:val="0"/>
        <w:spacing w:line="360" w:lineRule="auto"/>
        <w:ind w:firstLine="480" w:firstLineChars="200"/>
        <w:jc w:val="left"/>
        <w:rPr>
          <w:rFonts w:ascii="Times New Roman" w:hAnsi="Times New Roman"/>
          <w:bCs w:val="0"/>
          <w:snapToGrid w:val="0"/>
          <w:color w:val="auto"/>
          <w:kern w:val="0"/>
          <w:sz w:val="30"/>
          <w:szCs w:val="30"/>
        </w:rPr>
        <w:sectPr>
          <w:pgSz w:w="11906" w:h="16838"/>
          <w:pgMar w:top="1440" w:right="1800" w:bottom="1440" w:left="1800" w:header="851" w:footer="1077" w:gutter="0"/>
          <w:pgBorders>
            <w:top w:val="none" w:sz="0" w:space="0"/>
            <w:left w:val="none" w:sz="0" w:space="0"/>
            <w:bottom w:val="none" w:sz="0" w:space="0"/>
            <w:right w:val="none" w:sz="0" w:space="0"/>
          </w:pgBorders>
          <w:cols w:space="720" w:num="1"/>
          <w:docGrid w:linePitch="312" w:charSpace="0"/>
        </w:sectPr>
      </w:pPr>
      <w:r>
        <w:rPr>
          <w:rFonts w:hint="default" w:ascii="Times New Roman" w:hAnsi="Times New Roman" w:eastAsia="宋体" w:cs="Times New Roman"/>
          <w:bCs/>
          <w:color w:val="auto"/>
          <w:sz w:val="24"/>
          <w:szCs w:val="21"/>
          <w:highlight w:val="none"/>
          <w:u w:val="none"/>
          <w:lang w:val="en-US" w:eastAsia="zh-CN"/>
        </w:rPr>
        <w:t>项目植被类型涉及的物种均为常见种，易于栽植和恢复;周边无珍稀濒危的野生植物种类:周边没有国家级珍稀野生动物分布，其影响数量有限。项目施工和运营不会使保护区某一生境或物种消失，且影响的种类在保护区范围内分布较多，不会对保护区原有生态系统结构和功能产生较大影响。项目因营运期污染主要为设备噪声、</w:t>
      </w:r>
      <w:r>
        <w:rPr>
          <w:rFonts w:hint="eastAsia" w:ascii="Times New Roman" w:hAnsi="Times New Roman" w:eastAsia="宋体" w:cs="Times New Roman"/>
          <w:bCs/>
          <w:color w:val="auto"/>
          <w:sz w:val="24"/>
          <w:szCs w:val="21"/>
          <w:highlight w:val="none"/>
          <w:u w:val="none"/>
          <w:lang w:val="en-US" w:eastAsia="zh-CN"/>
        </w:rPr>
        <w:t>厨房</w:t>
      </w:r>
      <w:r>
        <w:rPr>
          <w:rFonts w:hint="default" w:ascii="Times New Roman" w:hAnsi="Times New Roman" w:eastAsia="宋体" w:cs="Times New Roman"/>
          <w:bCs/>
          <w:color w:val="auto"/>
          <w:sz w:val="24"/>
          <w:szCs w:val="21"/>
          <w:highlight w:val="none"/>
          <w:u w:val="none"/>
          <w:lang w:val="en-US" w:eastAsia="zh-CN"/>
        </w:rPr>
        <w:t>油烟及住户产生的固废垃圾、生活污水，采取生态专题报告提出措施后，不会对保护区造成明显的不利影响。</w:t>
      </w:r>
      <w:r>
        <w:rPr>
          <w:rFonts w:hint="default" w:ascii="Times New Roman" w:hAnsi="Times New Roman" w:cs="Times New Roman"/>
          <w:b/>
          <w:bCs/>
          <w:color w:val="auto"/>
          <w:spacing w:val="20"/>
          <w:sz w:val="32"/>
          <w:szCs w:val="32"/>
          <w:lang w:val="en-GB"/>
        </w:rPr>
        <w:br w:type="page"/>
      </w:r>
    </w:p>
    <w:p>
      <w:pPr>
        <w:keepNext/>
        <w:widowControl w:val="0"/>
        <w:overflowPunct w:val="0"/>
        <w:snapToGrid w:val="0"/>
        <w:spacing w:before="120" w:after="160" w:line="259" w:lineRule="auto"/>
        <w:ind w:left="432" w:hanging="432"/>
        <w:jc w:val="both"/>
        <w:outlineLvl w:val="0"/>
        <w:rPr>
          <w:rFonts w:ascii="Times New Roman" w:hAnsi="Times New Roman" w:eastAsia="宋体" w:cs="Times New Roman"/>
          <w:b/>
          <w:bCs w:val="0"/>
          <w:snapToGrid w:val="0"/>
          <w:color w:val="auto"/>
          <w:kern w:val="0"/>
          <w:sz w:val="30"/>
          <w:szCs w:val="30"/>
          <w:lang w:val="en-US" w:eastAsia="zh-CN" w:bidi="ar-SA"/>
        </w:rPr>
      </w:pPr>
      <w:bookmarkStart w:id="293" w:name="_Toc15053"/>
      <w:bookmarkStart w:id="294" w:name="_Toc6600"/>
      <w:bookmarkStart w:id="295" w:name="_Toc17890"/>
      <w:bookmarkStart w:id="296" w:name="_Toc9956"/>
      <w:bookmarkStart w:id="297" w:name="_Toc9900"/>
      <w:bookmarkStart w:id="298" w:name="_Toc10029"/>
      <w:r>
        <w:rPr>
          <w:rFonts w:ascii="Times New Roman" w:hAnsi="Times New Roman" w:eastAsia="宋体" w:cs="Times New Roman"/>
          <w:b/>
          <w:bCs w:val="0"/>
          <w:snapToGrid w:val="0"/>
          <w:color w:val="auto"/>
          <w:kern w:val="0"/>
          <w:sz w:val="30"/>
          <w:szCs w:val="30"/>
          <w:lang w:val="en-US" w:eastAsia="zh-CN" w:bidi="ar-SA"/>
        </w:rPr>
        <w:t>5生态</w:t>
      </w:r>
      <w:bookmarkEnd w:id="292"/>
      <w:r>
        <w:rPr>
          <w:rFonts w:ascii="Times New Roman" w:hAnsi="Times New Roman" w:eastAsia="宋体" w:cs="Times New Roman"/>
          <w:b/>
          <w:bCs w:val="0"/>
          <w:snapToGrid w:val="0"/>
          <w:color w:val="auto"/>
          <w:kern w:val="0"/>
          <w:sz w:val="30"/>
          <w:szCs w:val="30"/>
          <w:lang w:val="en-US" w:eastAsia="zh-CN" w:bidi="ar-SA"/>
        </w:rPr>
        <w:t>保护对策措施</w:t>
      </w:r>
      <w:bookmarkEnd w:id="293"/>
      <w:bookmarkEnd w:id="294"/>
      <w:bookmarkEnd w:id="295"/>
      <w:bookmarkEnd w:id="296"/>
      <w:bookmarkEnd w:id="297"/>
      <w:bookmarkEnd w:id="298"/>
    </w:p>
    <w:p>
      <w:pPr>
        <w:keepNext/>
        <w:keepLines/>
        <w:widowControl w:val="0"/>
        <w:adjustRightInd w:val="0"/>
        <w:snapToGrid w:val="0"/>
        <w:spacing w:before="0" w:after="0" w:line="360" w:lineRule="auto"/>
        <w:jc w:val="both"/>
        <w:outlineLvl w:val="1"/>
        <w:rPr>
          <w:rFonts w:ascii="Times New Roman" w:hAnsi="Times New Roman" w:eastAsia="宋体" w:cs="Times New Roman"/>
          <w:b/>
          <w:bCs/>
          <w:color w:val="auto"/>
          <w:kern w:val="2"/>
          <w:sz w:val="28"/>
          <w:szCs w:val="28"/>
          <w:lang w:val="en-US" w:eastAsia="zh-CN" w:bidi="ar-SA"/>
        </w:rPr>
      </w:pPr>
      <w:bookmarkStart w:id="299" w:name="_Toc17737"/>
      <w:bookmarkStart w:id="300" w:name="_Toc8205"/>
      <w:bookmarkStart w:id="301" w:name="_Toc6967"/>
      <w:bookmarkStart w:id="302" w:name="_Toc1734"/>
      <w:bookmarkStart w:id="303" w:name="_Toc5278"/>
      <w:bookmarkStart w:id="304" w:name="_Toc15182"/>
      <w:bookmarkStart w:id="305" w:name="_Toc28369"/>
      <w:bookmarkStart w:id="306" w:name="_Toc3275"/>
      <w:bookmarkStart w:id="307" w:name="_Toc369"/>
      <w:r>
        <w:rPr>
          <w:rFonts w:ascii="Times New Roman" w:hAnsi="Times New Roman" w:eastAsia="宋体" w:cs="Times New Roman"/>
          <w:b/>
          <w:bCs/>
          <w:color w:val="auto"/>
          <w:kern w:val="2"/>
          <w:sz w:val="28"/>
          <w:szCs w:val="28"/>
          <w:lang w:val="en-US" w:eastAsia="zh-CN" w:bidi="ar-SA"/>
        </w:rPr>
        <w:t>5.1施工期生态保护措施</w:t>
      </w:r>
      <w:bookmarkEnd w:id="299"/>
      <w:bookmarkEnd w:id="300"/>
      <w:bookmarkEnd w:id="301"/>
      <w:bookmarkEnd w:id="302"/>
      <w:bookmarkEnd w:id="303"/>
      <w:bookmarkEnd w:id="304"/>
      <w:bookmarkEnd w:id="305"/>
      <w:bookmarkEnd w:id="306"/>
      <w:bookmarkEnd w:id="307"/>
    </w:p>
    <w:p>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color w:val="auto"/>
          <w:kern w:val="2"/>
          <w:sz w:val="24"/>
          <w:szCs w:val="24"/>
          <w:lang w:val="en-US" w:eastAsia="zh-CN" w:bidi="ar-SA"/>
        </w:rPr>
      </w:pPr>
      <w:r>
        <w:rPr>
          <w:rFonts w:hint="eastAsia" w:ascii="Times New Roman" w:hAnsi="Times New Roman" w:eastAsia="宋体" w:cs="Times New Roman"/>
          <w:b/>
          <w:color w:val="auto"/>
          <w:kern w:val="2"/>
          <w:sz w:val="24"/>
          <w:szCs w:val="24"/>
          <w:lang w:val="en-US" w:eastAsia="zh-CN" w:bidi="ar-SA"/>
        </w:rPr>
        <w:t>5.1.1</w:t>
      </w:r>
      <w:r>
        <w:rPr>
          <w:rFonts w:hint="default" w:ascii="Times New Roman" w:hAnsi="Times New Roman" w:cs="Times New Roman"/>
          <w:b/>
          <w:bCs/>
          <w:color w:val="auto"/>
          <w:lang w:val="en-US" w:eastAsia="zh-CN"/>
        </w:rPr>
        <w:t>施工管理</w:t>
      </w:r>
      <w:r>
        <w:rPr>
          <w:rFonts w:hint="eastAsia" w:ascii="Times New Roman" w:hAnsi="Times New Roman" w:cs="Times New Roman"/>
          <w:b/>
          <w:bCs/>
          <w:color w:val="auto"/>
          <w:lang w:val="en-US" w:eastAsia="zh-CN"/>
        </w:rPr>
        <w:t>措施</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项目现状已建成，根据回顾性调查，项目施工期</w:t>
      </w:r>
      <w:r>
        <w:rPr>
          <w:rFonts w:hint="default" w:ascii="Times New Roman" w:hAnsi="Times New Roman" w:eastAsia="宋体" w:cs="Times New Roman"/>
          <w:bCs/>
          <w:color w:val="auto"/>
          <w:sz w:val="24"/>
          <w:szCs w:val="21"/>
          <w:highlight w:val="none"/>
          <w:u w:val="none"/>
          <w:lang w:val="en-US" w:eastAsia="zh-CN"/>
        </w:rPr>
        <w:t>合理组织施工，严格施工作业，在建设过程中，做好防护，加强</w:t>
      </w:r>
      <w:r>
        <w:rPr>
          <w:rFonts w:hint="eastAsia" w:ascii="Times New Roman" w:hAnsi="Times New Roman" w:eastAsia="宋体" w:cs="Times New Roman"/>
          <w:bCs/>
          <w:color w:val="auto"/>
          <w:sz w:val="24"/>
          <w:szCs w:val="21"/>
          <w:highlight w:val="none"/>
          <w:u w:val="none"/>
          <w:lang w:val="en-US" w:eastAsia="zh-CN"/>
        </w:rPr>
        <w:t>了</w:t>
      </w:r>
      <w:r>
        <w:rPr>
          <w:rFonts w:hint="default" w:ascii="Times New Roman" w:hAnsi="Times New Roman" w:eastAsia="宋体" w:cs="Times New Roman"/>
          <w:bCs/>
          <w:color w:val="auto"/>
          <w:sz w:val="24"/>
          <w:szCs w:val="21"/>
          <w:highlight w:val="none"/>
          <w:u w:val="none"/>
          <w:lang w:val="en-US" w:eastAsia="zh-CN"/>
        </w:rPr>
        <w:t>施工区污废水、泥浆的管控</w:t>
      </w:r>
      <w:r>
        <w:rPr>
          <w:rFonts w:hint="eastAsia" w:ascii="Times New Roman" w:hAnsi="Times New Roman" w:eastAsia="宋体" w:cs="Times New Roman"/>
          <w:bCs/>
          <w:color w:val="auto"/>
          <w:sz w:val="24"/>
          <w:szCs w:val="21"/>
          <w:highlight w:val="none"/>
          <w:u w:val="none"/>
          <w:lang w:val="en-US" w:eastAsia="zh-CN"/>
        </w:rPr>
        <w:t>，未出现大量施工废水、泥浆外排现象；</w:t>
      </w:r>
      <w:r>
        <w:rPr>
          <w:rFonts w:hint="default" w:ascii="Times New Roman" w:hAnsi="Times New Roman" w:eastAsia="宋体" w:cs="Times New Roman"/>
          <w:bCs/>
          <w:color w:val="auto"/>
          <w:sz w:val="24"/>
          <w:szCs w:val="21"/>
          <w:highlight w:val="none"/>
          <w:u w:val="none"/>
          <w:lang w:val="en-US" w:eastAsia="zh-CN"/>
        </w:rPr>
        <w:t>加强施工期材料的管理，妥善放置，及时清理，</w:t>
      </w:r>
      <w:r>
        <w:rPr>
          <w:rFonts w:hint="eastAsia" w:ascii="Times New Roman" w:hAnsi="Times New Roman" w:eastAsia="宋体" w:cs="Times New Roman"/>
          <w:bCs/>
          <w:color w:val="auto"/>
          <w:sz w:val="24"/>
          <w:szCs w:val="21"/>
          <w:highlight w:val="none"/>
          <w:u w:val="none"/>
          <w:lang w:val="en-US" w:eastAsia="zh-CN"/>
        </w:rPr>
        <w:t>未对</w:t>
      </w:r>
      <w:r>
        <w:rPr>
          <w:rFonts w:hint="default" w:ascii="Times New Roman" w:hAnsi="Times New Roman" w:eastAsia="宋体" w:cs="Times New Roman"/>
          <w:bCs/>
          <w:color w:val="auto"/>
          <w:sz w:val="24"/>
          <w:szCs w:val="21"/>
          <w:highlight w:val="none"/>
          <w:u w:val="none"/>
          <w:lang w:val="en-US" w:eastAsia="zh-CN"/>
        </w:rPr>
        <w:t>对</w:t>
      </w:r>
      <w:r>
        <w:rPr>
          <w:rFonts w:hint="eastAsia" w:ascii="Times New Roman" w:hAnsi="Times New Roman" w:eastAsia="宋体" w:cs="Times New Roman"/>
          <w:bCs/>
          <w:color w:val="auto"/>
          <w:sz w:val="24"/>
          <w:szCs w:val="21"/>
          <w:highlight w:val="none"/>
          <w:u w:val="none"/>
          <w:lang w:val="en-US" w:eastAsia="zh-CN"/>
        </w:rPr>
        <w:t>周边</w:t>
      </w:r>
      <w:r>
        <w:rPr>
          <w:rFonts w:hint="default" w:ascii="Times New Roman" w:hAnsi="Times New Roman" w:eastAsia="宋体" w:cs="Times New Roman"/>
          <w:bCs/>
          <w:color w:val="auto"/>
          <w:sz w:val="24"/>
          <w:szCs w:val="21"/>
          <w:highlight w:val="none"/>
          <w:u w:val="none"/>
          <w:lang w:val="en-US" w:eastAsia="zh-CN"/>
        </w:rPr>
        <w:t>水质</w:t>
      </w:r>
      <w:r>
        <w:rPr>
          <w:rFonts w:hint="eastAsia" w:ascii="Times New Roman" w:hAnsi="Times New Roman" w:eastAsia="宋体" w:cs="Times New Roman"/>
          <w:bCs/>
          <w:color w:val="auto"/>
          <w:sz w:val="24"/>
          <w:szCs w:val="21"/>
          <w:highlight w:val="none"/>
          <w:u w:val="none"/>
          <w:lang w:val="en-US" w:eastAsia="zh-CN"/>
        </w:rPr>
        <w:t>以及周边大气环境</w:t>
      </w:r>
      <w:r>
        <w:rPr>
          <w:rFonts w:hint="default" w:ascii="Times New Roman" w:hAnsi="Times New Roman" w:eastAsia="宋体" w:cs="Times New Roman"/>
          <w:bCs/>
          <w:color w:val="auto"/>
          <w:sz w:val="24"/>
          <w:szCs w:val="21"/>
          <w:highlight w:val="none"/>
          <w:u w:val="none"/>
          <w:lang w:val="en-US" w:eastAsia="zh-CN"/>
        </w:rPr>
        <w:t>造成污染。</w:t>
      </w:r>
    </w:p>
    <w:p>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color w:val="auto"/>
          <w:kern w:val="2"/>
          <w:sz w:val="24"/>
          <w:szCs w:val="24"/>
          <w:lang w:val="en-US" w:eastAsia="zh-CN" w:bidi="ar-SA"/>
        </w:rPr>
      </w:pPr>
      <w:r>
        <w:rPr>
          <w:rFonts w:hint="eastAsia" w:ascii="Times New Roman" w:hAnsi="Times New Roman" w:eastAsia="宋体" w:cs="Times New Roman"/>
          <w:b/>
          <w:color w:val="auto"/>
          <w:kern w:val="2"/>
          <w:sz w:val="24"/>
          <w:szCs w:val="24"/>
          <w:lang w:val="en-US" w:eastAsia="zh-CN" w:bidi="ar-SA"/>
        </w:rPr>
        <w:t>5.1.2</w:t>
      </w:r>
      <w:r>
        <w:rPr>
          <w:rFonts w:hint="default" w:ascii="Times New Roman" w:hAnsi="Times New Roman" w:cs="Times New Roman"/>
          <w:b/>
          <w:bCs/>
          <w:color w:val="auto"/>
          <w:u w:val="none"/>
          <w:lang w:val="en-US" w:eastAsia="zh-CN"/>
        </w:rPr>
        <w:t>占地</w:t>
      </w:r>
      <w:r>
        <w:rPr>
          <w:rFonts w:hint="eastAsia" w:ascii="Times New Roman" w:hAnsi="Times New Roman" w:cs="Times New Roman"/>
          <w:b/>
          <w:bCs/>
          <w:color w:val="auto"/>
          <w:u w:val="none"/>
          <w:lang w:val="en-US" w:eastAsia="zh-CN"/>
        </w:rPr>
        <w:t>恢复措施</w:t>
      </w:r>
    </w:p>
    <w:p>
      <w:pPr>
        <w:adjustRightInd w:val="0"/>
        <w:snapToGrid w:val="0"/>
        <w:spacing w:line="360" w:lineRule="auto"/>
        <w:ind w:firstLine="480" w:firstLineChars="200"/>
        <w:jc w:val="left"/>
        <w:rPr>
          <w:rFonts w:hint="default" w:ascii="Times New Roman" w:hAnsi="Times New Roman" w:eastAsia="宋体" w:cs="Times New Roman"/>
          <w:color w:val="auto"/>
          <w:u w:val="none"/>
          <w:lang w:val="en-US" w:eastAsia="zh-CN"/>
        </w:rPr>
      </w:pPr>
      <w:r>
        <w:rPr>
          <w:rFonts w:hint="default" w:ascii="Times New Roman" w:hAnsi="Times New Roman" w:eastAsia="宋体" w:cs="Times New Roman"/>
          <w:bCs/>
          <w:color w:val="auto"/>
          <w:sz w:val="24"/>
          <w:szCs w:val="21"/>
          <w:highlight w:val="none"/>
          <w:u w:val="none"/>
          <w:lang w:val="en-US" w:eastAsia="zh-CN"/>
        </w:rPr>
        <w:t>本项目占地类型主要为旱地、</w:t>
      </w:r>
      <w:r>
        <w:rPr>
          <w:rFonts w:hint="eastAsia" w:ascii="Times New Roman" w:hAnsi="Times New Roman" w:eastAsia="宋体" w:cs="Times New Roman"/>
          <w:bCs/>
          <w:color w:val="auto"/>
          <w:sz w:val="24"/>
          <w:szCs w:val="21"/>
          <w:highlight w:val="none"/>
          <w:u w:val="none"/>
          <w:lang w:val="en-US" w:eastAsia="zh-CN"/>
        </w:rPr>
        <w:t>水田</w:t>
      </w:r>
      <w:r>
        <w:rPr>
          <w:rFonts w:hint="default" w:ascii="Times New Roman" w:hAnsi="Times New Roman" w:eastAsia="宋体" w:cs="Times New Roman"/>
          <w:bCs/>
          <w:color w:val="auto"/>
          <w:sz w:val="24"/>
          <w:szCs w:val="21"/>
          <w:highlight w:val="none"/>
          <w:u w:val="none"/>
          <w:lang w:val="en-US" w:eastAsia="zh-CN"/>
        </w:rPr>
        <w:t>，占地内现有地表植被将受到破坏，使区域生物量受到损失，对区域生态环境造成一定的影响。施工结束后对</w:t>
      </w:r>
      <w:r>
        <w:rPr>
          <w:rFonts w:hint="eastAsia" w:ascii="Times New Roman" w:hAnsi="Times New Roman" w:eastAsia="宋体" w:cs="Times New Roman"/>
          <w:bCs/>
          <w:color w:val="auto"/>
          <w:sz w:val="24"/>
          <w:szCs w:val="21"/>
          <w:highlight w:val="none"/>
          <w:u w:val="none"/>
          <w:lang w:val="en-US" w:eastAsia="zh-CN"/>
        </w:rPr>
        <w:t>安置区内绿化用地进行</w:t>
      </w:r>
      <w:r>
        <w:rPr>
          <w:rFonts w:hint="default" w:ascii="Times New Roman" w:hAnsi="Times New Roman" w:eastAsia="宋体" w:cs="Times New Roman"/>
          <w:bCs/>
          <w:color w:val="auto"/>
          <w:sz w:val="24"/>
          <w:szCs w:val="21"/>
          <w:highlight w:val="none"/>
          <w:u w:val="none"/>
          <w:lang w:val="en-US" w:eastAsia="zh-CN"/>
        </w:rPr>
        <w:t>回覆表土，</w:t>
      </w:r>
      <w:r>
        <w:rPr>
          <w:rFonts w:hint="eastAsia" w:ascii="Times New Roman" w:hAnsi="Times New Roman" w:eastAsia="宋体" w:cs="Times New Roman"/>
          <w:bCs/>
          <w:color w:val="auto"/>
          <w:sz w:val="24"/>
          <w:szCs w:val="21"/>
          <w:highlight w:val="none"/>
          <w:u w:val="none"/>
          <w:lang w:val="en-US" w:eastAsia="zh-CN"/>
        </w:rPr>
        <w:t>绿化恢复，</w:t>
      </w:r>
      <w:r>
        <w:rPr>
          <w:rFonts w:hint="default" w:ascii="Times New Roman" w:hAnsi="Times New Roman" w:eastAsia="宋体" w:cs="Times New Roman"/>
          <w:bCs/>
          <w:color w:val="auto"/>
          <w:sz w:val="24"/>
          <w:szCs w:val="21"/>
          <w:highlight w:val="none"/>
          <w:u w:val="none"/>
          <w:lang w:val="en-US" w:eastAsia="zh-CN"/>
        </w:rPr>
        <w:t>做好</w:t>
      </w:r>
      <w:r>
        <w:rPr>
          <w:rFonts w:hint="eastAsia" w:ascii="Times New Roman" w:hAnsi="Times New Roman" w:eastAsia="宋体" w:cs="Times New Roman"/>
          <w:bCs/>
          <w:color w:val="auto"/>
          <w:sz w:val="24"/>
          <w:szCs w:val="21"/>
          <w:highlight w:val="none"/>
          <w:u w:val="none"/>
          <w:lang w:val="en-US" w:eastAsia="zh-CN"/>
        </w:rPr>
        <w:t>了</w:t>
      </w:r>
      <w:r>
        <w:rPr>
          <w:rFonts w:hint="default" w:ascii="Times New Roman" w:hAnsi="Times New Roman" w:eastAsia="宋体" w:cs="Times New Roman"/>
          <w:bCs/>
          <w:color w:val="auto"/>
          <w:sz w:val="24"/>
          <w:szCs w:val="21"/>
          <w:highlight w:val="none"/>
          <w:u w:val="none"/>
          <w:lang w:val="en-US" w:eastAsia="zh-CN"/>
        </w:rPr>
        <w:t>绿化补偿工作</w:t>
      </w:r>
      <w:r>
        <w:rPr>
          <w:rFonts w:hint="default" w:ascii="Times New Roman" w:hAnsi="Times New Roman" w:eastAsia="宋体" w:cs="Times New Roman"/>
          <w:color w:val="auto"/>
          <w:u w:val="none"/>
          <w:lang w:val="en-US" w:eastAsia="zh-CN"/>
        </w:rPr>
        <w:t>。</w:t>
      </w:r>
    </w:p>
    <w:p>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color w:val="auto"/>
          <w:kern w:val="2"/>
          <w:sz w:val="24"/>
          <w:szCs w:val="24"/>
          <w:lang w:val="en-US" w:eastAsia="zh-CN" w:bidi="ar-SA"/>
        </w:rPr>
      </w:pPr>
      <w:r>
        <w:rPr>
          <w:rFonts w:hint="eastAsia" w:ascii="Times New Roman" w:hAnsi="Times New Roman" w:eastAsia="宋体" w:cs="Times New Roman"/>
          <w:b/>
          <w:color w:val="auto"/>
          <w:kern w:val="2"/>
          <w:sz w:val="24"/>
          <w:szCs w:val="24"/>
          <w:lang w:val="en-US" w:eastAsia="zh-CN" w:bidi="ar-SA"/>
        </w:rPr>
        <w:t>5.1.3对</w:t>
      </w:r>
      <w:r>
        <w:rPr>
          <w:rFonts w:hint="eastAsia" w:eastAsia="宋体" w:cs="Times New Roman"/>
          <w:b/>
          <w:color w:val="auto"/>
          <w:kern w:val="2"/>
          <w:sz w:val="24"/>
          <w:szCs w:val="24"/>
          <w:lang w:val="en-US" w:eastAsia="zh-CN" w:bidi="ar-SA"/>
        </w:rPr>
        <w:t>项目周边</w:t>
      </w:r>
      <w:r>
        <w:rPr>
          <w:rFonts w:hint="default" w:ascii="Times New Roman" w:hAnsi="Times New Roman" w:cs="Times New Roman"/>
          <w:b/>
          <w:bCs/>
          <w:color w:val="auto"/>
          <w:lang w:val="en-US" w:eastAsia="zh-CN"/>
        </w:rPr>
        <w:t>动植物保护措施</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1、</w:t>
      </w:r>
      <w:r>
        <w:rPr>
          <w:rFonts w:hint="default" w:ascii="Times New Roman" w:hAnsi="Times New Roman" w:eastAsia="宋体" w:cs="Times New Roman"/>
          <w:bCs/>
          <w:color w:val="auto"/>
          <w:sz w:val="24"/>
          <w:szCs w:val="21"/>
          <w:highlight w:val="none"/>
          <w:u w:val="none"/>
          <w:lang w:val="en-US" w:eastAsia="zh-CN"/>
        </w:rPr>
        <w:t>对施工</w:t>
      </w:r>
      <w:r>
        <w:rPr>
          <w:rFonts w:hint="eastAsia" w:ascii="Times New Roman" w:hAnsi="Times New Roman" w:eastAsia="宋体" w:cs="Times New Roman"/>
          <w:bCs/>
          <w:color w:val="auto"/>
          <w:sz w:val="24"/>
          <w:szCs w:val="21"/>
          <w:highlight w:val="none"/>
          <w:u w:val="none"/>
          <w:lang w:val="en-US" w:eastAsia="zh-CN"/>
        </w:rPr>
        <w:t>周边区域</w:t>
      </w:r>
      <w:r>
        <w:rPr>
          <w:rFonts w:hint="default" w:ascii="Times New Roman" w:hAnsi="Times New Roman" w:eastAsia="宋体" w:cs="Times New Roman"/>
          <w:bCs/>
          <w:color w:val="auto"/>
          <w:sz w:val="24"/>
          <w:szCs w:val="21"/>
          <w:highlight w:val="none"/>
          <w:u w:val="none"/>
          <w:lang w:val="en-US" w:eastAsia="zh-CN"/>
        </w:rPr>
        <w:t>植被的保护措施</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①施工期标明</w:t>
      </w:r>
      <w:r>
        <w:rPr>
          <w:rFonts w:hint="eastAsia" w:ascii="Times New Roman" w:hAnsi="Times New Roman" w:eastAsia="宋体" w:cs="Times New Roman"/>
          <w:bCs/>
          <w:color w:val="auto"/>
          <w:sz w:val="24"/>
          <w:szCs w:val="21"/>
          <w:highlight w:val="none"/>
          <w:u w:val="none"/>
          <w:lang w:val="en-US" w:eastAsia="zh-CN"/>
        </w:rPr>
        <w:t>了</w:t>
      </w:r>
      <w:r>
        <w:rPr>
          <w:rFonts w:hint="default" w:ascii="Times New Roman" w:hAnsi="Times New Roman" w:eastAsia="宋体" w:cs="Times New Roman"/>
          <w:bCs/>
          <w:color w:val="auto"/>
          <w:sz w:val="24"/>
          <w:szCs w:val="21"/>
          <w:highlight w:val="none"/>
          <w:u w:val="none"/>
          <w:lang w:val="en-US" w:eastAsia="zh-CN"/>
        </w:rPr>
        <w:t>施工活动区，施工人员和车辆在进行各类活动、运送建筑材料和土方时，按照现有道路进行，避免</w:t>
      </w:r>
      <w:r>
        <w:rPr>
          <w:rFonts w:hint="eastAsia" w:ascii="Times New Roman" w:hAnsi="Times New Roman" w:eastAsia="宋体" w:cs="Times New Roman"/>
          <w:bCs/>
          <w:color w:val="auto"/>
          <w:sz w:val="24"/>
          <w:szCs w:val="21"/>
          <w:highlight w:val="none"/>
          <w:u w:val="none"/>
          <w:lang w:val="en-US" w:eastAsia="zh-CN"/>
        </w:rPr>
        <w:t>了</w:t>
      </w:r>
      <w:r>
        <w:rPr>
          <w:rFonts w:hint="default" w:ascii="Times New Roman" w:hAnsi="Times New Roman" w:eastAsia="宋体" w:cs="Times New Roman"/>
          <w:bCs/>
          <w:color w:val="auto"/>
          <w:sz w:val="24"/>
          <w:szCs w:val="21"/>
          <w:highlight w:val="none"/>
          <w:u w:val="none"/>
          <w:lang w:val="en-US" w:eastAsia="zh-CN"/>
        </w:rPr>
        <w:t>大面积的破坏植被。</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②合理规划设计临时设施，不得随意修建；运输易产生扬尘的沙土时，</w:t>
      </w:r>
      <w:r>
        <w:rPr>
          <w:rFonts w:hint="eastAsia" w:ascii="Times New Roman" w:hAnsi="Times New Roman" w:eastAsia="宋体" w:cs="Times New Roman"/>
          <w:bCs/>
          <w:color w:val="auto"/>
          <w:sz w:val="24"/>
          <w:szCs w:val="21"/>
          <w:highlight w:val="none"/>
          <w:u w:val="none"/>
          <w:lang w:val="en-US" w:eastAsia="zh-CN"/>
        </w:rPr>
        <w:t>采取了</w:t>
      </w:r>
      <w:r>
        <w:rPr>
          <w:rFonts w:hint="default" w:ascii="Times New Roman" w:hAnsi="Times New Roman" w:eastAsia="宋体" w:cs="Times New Roman"/>
          <w:bCs/>
          <w:color w:val="auto"/>
          <w:sz w:val="24"/>
          <w:szCs w:val="21"/>
          <w:highlight w:val="none"/>
          <w:u w:val="none"/>
          <w:lang w:val="en-US" w:eastAsia="zh-CN"/>
        </w:rPr>
        <w:t>洒水或覆盖遮挡物。</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③</w:t>
      </w:r>
      <w:r>
        <w:rPr>
          <w:rFonts w:hint="eastAsia" w:ascii="Times New Roman" w:hAnsi="Times New Roman" w:eastAsia="宋体" w:cs="Times New Roman"/>
          <w:bCs/>
          <w:color w:val="auto"/>
          <w:sz w:val="24"/>
          <w:szCs w:val="21"/>
          <w:highlight w:val="none"/>
          <w:u w:val="none"/>
          <w:lang w:val="en-US" w:eastAsia="zh-CN"/>
        </w:rPr>
        <w:t>在进行场地三通一平</w:t>
      </w:r>
      <w:r>
        <w:rPr>
          <w:rFonts w:hint="default" w:ascii="Times New Roman" w:hAnsi="Times New Roman" w:eastAsia="宋体" w:cs="Times New Roman"/>
          <w:bCs/>
          <w:color w:val="auto"/>
          <w:sz w:val="24"/>
          <w:szCs w:val="21"/>
          <w:highlight w:val="none"/>
          <w:u w:val="none"/>
          <w:lang w:val="en-US" w:eastAsia="zh-CN"/>
        </w:rPr>
        <w:t>及临时工程的设置</w:t>
      </w:r>
      <w:r>
        <w:rPr>
          <w:rFonts w:hint="eastAsia" w:ascii="Times New Roman" w:hAnsi="Times New Roman" w:eastAsia="宋体" w:cs="Times New Roman"/>
          <w:bCs/>
          <w:color w:val="auto"/>
          <w:sz w:val="24"/>
          <w:szCs w:val="21"/>
          <w:highlight w:val="none"/>
          <w:u w:val="none"/>
          <w:lang w:val="en-US" w:eastAsia="zh-CN"/>
        </w:rPr>
        <w:t>时均</w:t>
      </w:r>
      <w:r>
        <w:rPr>
          <w:rFonts w:hint="default" w:ascii="Times New Roman" w:hAnsi="Times New Roman" w:eastAsia="宋体" w:cs="Times New Roman"/>
          <w:bCs/>
          <w:color w:val="auto"/>
          <w:sz w:val="24"/>
          <w:szCs w:val="21"/>
          <w:highlight w:val="none"/>
          <w:u w:val="none"/>
          <w:lang w:val="en-US" w:eastAsia="zh-CN"/>
        </w:rPr>
        <w:t>采取措施加以恢复；施工前应剥离表层土，在</w:t>
      </w:r>
      <w:r>
        <w:rPr>
          <w:rFonts w:hint="eastAsia" w:ascii="Times New Roman" w:hAnsi="Times New Roman" w:eastAsia="宋体" w:cs="Times New Roman"/>
          <w:bCs/>
          <w:color w:val="auto"/>
          <w:sz w:val="24"/>
          <w:szCs w:val="21"/>
          <w:highlight w:val="none"/>
          <w:u w:val="none"/>
          <w:lang w:val="en-US" w:eastAsia="zh-CN"/>
        </w:rPr>
        <w:t>工程永久占地</w:t>
      </w:r>
      <w:r>
        <w:rPr>
          <w:rFonts w:hint="default" w:ascii="Times New Roman" w:hAnsi="Times New Roman" w:eastAsia="宋体" w:cs="Times New Roman"/>
          <w:bCs/>
          <w:color w:val="auto"/>
          <w:sz w:val="24"/>
          <w:szCs w:val="21"/>
          <w:highlight w:val="none"/>
          <w:u w:val="none"/>
          <w:lang w:val="en-US" w:eastAsia="zh-CN"/>
        </w:rPr>
        <w:t>区域作为临时堆土区进行堆放，施工完毕后，在采取水土保持措施的同时将剥离的表土层进行回填覆土，并种植当地乔、灌、草，进行迹地恢复。</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④施工结束后，应严格按照水保方案对工程区域进行复耕和植被恢复。</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2、</w:t>
      </w:r>
      <w:r>
        <w:rPr>
          <w:rFonts w:hint="default" w:ascii="Times New Roman" w:hAnsi="Times New Roman" w:eastAsia="宋体" w:cs="Times New Roman"/>
          <w:bCs/>
          <w:color w:val="auto"/>
          <w:sz w:val="24"/>
          <w:szCs w:val="21"/>
          <w:highlight w:val="none"/>
          <w:u w:val="none"/>
          <w:lang w:val="en-US" w:eastAsia="zh-CN"/>
        </w:rPr>
        <w:t>对施工</w:t>
      </w:r>
      <w:r>
        <w:rPr>
          <w:rFonts w:hint="eastAsia" w:ascii="Times New Roman" w:hAnsi="Times New Roman" w:eastAsia="宋体" w:cs="Times New Roman"/>
          <w:bCs/>
          <w:color w:val="auto"/>
          <w:sz w:val="24"/>
          <w:szCs w:val="21"/>
          <w:highlight w:val="none"/>
          <w:u w:val="none"/>
          <w:lang w:val="en-US" w:eastAsia="zh-CN"/>
        </w:rPr>
        <w:t>周边区域</w:t>
      </w:r>
      <w:r>
        <w:rPr>
          <w:rFonts w:hint="default" w:ascii="Times New Roman" w:hAnsi="Times New Roman" w:eastAsia="宋体" w:cs="Times New Roman"/>
          <w:bCs/>
          <w:color w:val="auto"/>
          <w:sz w:val="24"/>
          <w:szCs w:val="21"/>
          <w:highlight w:val="none"/>
          <w:u w:val="none"/>
          <w:lang w:val="en-US" w:eastAsia="zh-CN"/>
        </w:rPr>
        <w:t>动物的保护措施</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本工程施工</w:t>
      </w:r>
      <w:r>
        <w:rPr>
          <w:rFonts w:hint="eastAsia" w:ascii="Times New Roman" w:hAnsi="Times New Roman" w:eastAsia="宋体" w:cs="Times New Roman"/>
          <w:bCs/>
          <w:color w:val="auto"/>
          <w:sz w:val="24"/>
          <w:szCs w:val="21"/>
          <w:highlight w:val="none"/>
          <w:u w:val="none"/>
          <w:lang w:val="en-US" w:eastAsia="zh-CN"/>
        </w:rPr>
        <w:t>范围及周边</w:t>
      </w:r>
      <w:r>
        <w:rPr>
          <w:rFonts w:hint="default" w:ascii="Times New Roman" w:hAnsi="Times New Roman" w:eastAsia="宋体" w:cs="Times New Roman"/>
          <w:bCs/>
          <w:color w:val="auto"/>
          <w:sz w:val="24"/>
          <w:szCs w:val="21"/>
          <w:highlight w:val="none"/>
          <w:u w:val="none"/>
          <w:lang w:val="en-US" w:eastAsia="zh-CN"/>
        </w:rPr>
        <w:t>仅有一些常见鸟类、啮齿类动物少量存在，施工过程中由于开挖建设会对</w:t>
      </w:r>
      <w:r>
        <w:rPr>
          <w:rFonts w:hint="eastAsia" w:ascii="Times New Roman" w:hAnsi="Times New Roman" w:eastAsia="宋体" w:cs="Times New Roman"/>
          <w:bCs/>
          <w:color w:val="auto"/>
          <w:sz w:val="24"/>
          <w:szCs w:val="21"/>
          <w:highlight w:val="none"/>
          <w:u w:val="none"/>
          <w:lang w:val="en-US" w:eastAsia="zh-CN"/>
        </w:rPr>
        <w:t>区域及周边</w:t>
      </w:r>
      <w:r>
        <w:rPr>
          <w:rFonts w:hint="default" w:ascii="Times New Roman" w:hAnsi="Times New Roman" w:eastAsia="宋体" w:cs="Times New Roman"/>
          <w:bCs/>
          <w:color w:val="auto"/>
          <w:sz w:val="24"/>
          <w:szCs w:val="21"/>
          <w:highlight w:val="none"/>
          <w:u w:val="none"/>
          <w:lang w:val="en-US" w:eastAsia="zh-CN"/>
        </w:rPr>
        <w:t>的啮齿类动物产生影响。</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①提高施工人员的环境保护意识，严禁捕狩野生动物。</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②大力宣传两栖、爬行动物对农林卫生的有益作用，如蛙类、蛇类等要摄食大量害虫、害鼠，呼吁当地居民和施工人员自觉保护野生动物。由于鸟类有较强扩散能力，工程施工将使它们迁移到别处，随着施工结束，工程区的鸟类数量将逐渐恢复。</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③严禁随意砍伐森林和破坏植被，避免影响动物的栖息环境。</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④施工后期加强</w:t>
      </w:r>
      <w:r>
        <w:rPr>
          <w:rFonts w:hint="eastAsia" w:ascii="Times New Roman" w:hAnsi="Times New Roman" w:eastAsia="宋体" w:cs="Times New Roman"/>
          <w:bCs/>
          <w:color w:val="auto"/>
          <w:sz w:val="24"/>
          <w:szCs w:val="21"/>
          <w:highlight w:val="none"/>
          <w:u w:val="none"/>
          <w:lang w:val="en-US" w:eastAsia="zh-CN"/>
        </w:rPr>
        <w:t>安置区内</w:t>
      </w:r>
      <w:r>
        <w:rPr>
          <w:rFonts w:hint="default" w:ascii="Times New Roman" w:hAnsi="Times New Roman" w:eastAsia="宋体" w:cs="Times New Roman"/>
          <w:bCs/>
          <w:color w:val="auto"/>
          <w:sz w:val="24"/>
          <w:szCs w:val="21"/>
          <w:highlight w:val="none"/>
          <w:u w:val="none"/>
          <w:lang w:val="en-US" w:eastAsia="zh-CN"/>
        </w:rPr>
        <w:t>的绿化，尽量采用当地植物种类，以乔-灌-草结合、常绿与落叶相结合、针叶与阔叶相结合、观赏与经济植物相结合的方式，多物种、多层次和多样化的进行植物配置。</w:t>
      </w:r>
    </w:p>
    <w:p>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5.1.4</w:t>
      </w:r>
      <w:r>
        <w:rPr>
          <w:rFonts w:hint="default" w:ascii="Times New Roman" w:hAnsi="Times New Roman" w:eastAsia="宋体" w:cs="Times New Roman"/>
          <w:b/>
          <w:bCs/>
          <w:color w:val="auto"/>
          <w:lang w:val="en-US" w:eastAsia="zh-CN"/>
        </w:rPr>
        <w:t>水土保持措施</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为防治水土流失，施工中应采取如下措施：</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(1)对工程区主要是做好预防保护措施及土石方平衡的合理调运利用，优化施工工艺，尽量减少弃渣量。及时运输挖方，及时填压土方，并做好施工过程中的临时拦挡、截排水、沉沙、覆盖等防护措施，从根本上防止大雨径流对开挖面和填方区的冲刷，减少水土流失量。对建设中永久占地的表层土予以收集保存，施工结束后对边坡进行植被绿化，改善和恢复生态景观。</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(2)弃渣场水土保持主要采取以下措施：</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①截排水措施：按照“上截下拦”的原则，需在弃渣边坡两侧、下游及弃渣边坡坡顶设置C20混凝土排水沟，将场内外汇水排出;堆渣顶应根据渣场推进方向、弃渣方向及积水情况开挖临时排水沟，连接周边排水沟;各类截排水沟、临时排水设施须通过沉沙池连接，并通过沉沙池沉降后排入周边排水系统；</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②拦挡措施：严格按照“先拦后弃”的要求，弃渣前在弃渣场下边坡坡脚修建挡渣墙;由于弃渣量较小，从挡渣墙顶至弃渣面按1:2放坡;弃渣场周边弃渣边界、可能出现的低缓弃渣边坡坡脚；</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③整地及迹地恢复措施：弃渣结束后对弃渣面及边坡进行平整，回填种植土，弃渣边坡采用植假俭草草皮护坡。项目区植被覆盖情况较好，对弃渣场采取乔灌草结合的林草措施，其中乔木选择当地树种湿地松，灌木选用小叶女贞、迎春花，攀缘植物有爬山虎，草类选择狗牙根等混合草籽。</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④其它措施：弃渣场施工前需将弃渣场内的表土或基层进行清理，避免渣体底部摩擦力不足造成渣体滑动，堆至弃渣场上流空旷处；</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fldChar w:fldCharType="begin"/>
      </w:r>
      <w:r>
        <w:rPr>
          <w:rFonts w:hint="default" w:ascii="Times New Roman" w:hAnsi="Times New Roman" w:eastAsia="宋体" w:cs="Times New Roman"/>
          <w:bCs/>
          <w:color w:val="auto"/>
          <w:sz w:val="24"/>
          <w:szCs w:val="21"/>
          <w:highlight w:val="none"/>
          <w:u w:val="none"/>
          <w:lang w:val="en-US" w:eastAsia="zh-CN"/>
        </w:rPr>
        <w:instrText xml:space="preserve"> = 5 \* GB3 \* MERGEFORMAT </w:instrText>
      </w:r>
      <w:r>
        <w:rPr>
          <w:rFonts w:hint="default" w:ascii="Times New Roman" w:hAnsi="Times New Roman" w:eastAsia="宋体" w:cs="Times New Roman"/>
          <w:bCs/>
          <w:color w:val="auto"/>
          <w:sz w:val="24"/>
          <w:szCs w:val="21"/>
          <w:highlight w:val="none"/>
          <w:u w:val="none"/>
          <w:lang w:val="en-US" w:eastAsia="zh-CN"/>
        </w:rPr>
        <w:fldChar w:fldCharType="separate"/>
      </w:r>
      <w:r>
        <w:rPr>
          <w:rFonts w:hint="default" w:ascii="Times New Roman" w:hAnsi="Times New Roman" w:eastAsia="宋体" w:cs="Times New Roman"/>
          <w:bCs/>
          <w:color w:val="auto"/>
          <w:sz w:val="24"/>
          <w:szCs w:val="21"/>
          <w:highlight w:val="none"/>
          <w:u w:val="none"/>
          <w:lang w:val="en-US" w:eastAsia="zh-CN"/>
        </w:rPr>
        <w:t>⑤</w:t>
      </w:r>
      <w:r>
        <w:rPr>
          <w:rFonts w:hint="default" w:ascii="Times New Roman" w:hAnsi="Times New Roman" w:eastAsia="宋体" w:cs="Times New Roman"/>
          <w:bCs/>
          <w:color w:val="auto"/>
          <w:sz w:val="24"/>
          <w:szCs w:val="21"/>
          <w:highlight w:val="none"/>
          <w:u w:val="none"/>
          <w:lang w:val="en-US" w:eastAsia="zh-CN"/>
        </w:rPr>
        <w:fldChar w:fldCharType="end"/>
      </w:r>
      <w:r>
        <w:rPr>
          <w:rFonts w:hint="default" w:ascii="Times New Roman" w:hAnsi="Times New Roman" w:eastAsia="宋体" w:cs="Times New Roman"/>
          <w:bCs/>
          <w:color w:val="auto"/>
          <w:sz w:val="24"/>
          <w:szCs w:val="21"/>
          <w:highlight w:val="none"/>
          <w:u w:val="none"/>
          <w:lang w:val="en-US" w:eastAsia="zh-CN"/>
        </w:rPr>
        <w:t>为保证弃渣边坡的稳定，弃渣过程中应做到分层碾压弃渣，从挡渣墙顶至弃渣面按1:2放坡；</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w:t>
      </w:r>
      <w:r>
        <w:rPr>
          <w:rFonts w:hint="eastAsia" w:ascii="Times New Roman" w:hAnsi="Times New Roman" w:eastAsia="宋体" w:cs="Times New Roman"/>
          <w:bCs/>
          <w:color w:val="auto"/>
          <w:sz w:val="24"/>
          <w:szCs w:val="21"/>
          <w:highlight w:val="none"/>
          <w:u w:val="none"/>
          <w:lang w:val="en-US" w:eastAsia="zh-CN"/>
        </w:rPr>
        <w:t>3</w:t>
      </w:r>
      <w:r>
        <w:rPr>
          <w:rFonts w:hint="default" w:ascii="Times New Roman" w:hAnsi="Times New Roman" w:eastAsia="宋体" w:cs="Times New Roman"/>
          <w:bCs/>
          <w:color w:val="auto"/>
          <w:sz w:val="24"/>
          <w:szCs w:val="21"/>
          <w:highlight w:val="none"/>
          <w:u w:val="none"/>
          <w:lang w:val="en-US" w:eastAsia="zh-CN"/>
        </w:rPr>
        <w:t>)对施工临时施工生产生活区和表土临时堆置区主要是采取临时排水、拦挡及覆盖等措施，对场地进行场地清理和平整，将清理的表土覆盖堆存用于后期恢复耕作或种植林草。</w:t>
      </w:r>
    </w:p>
    <w:p>
      <w:pPr>
        <w:keepNext/>
        <w:keepLines/>
        <w:widowControl w:val="0"/>
        <w:adjustRightInd w:val="0"/>
        <w:snapToGrid w:val="0"/>
        <w:spacing w:before="0" w:after="0" w:line="360" w:lineRule="auto"/>
        <w:jc w:val="both"/>
        <w:outlineLvl w:val="1"/>
        <w:rPr>
          <w:rFonts w:ascii="Times New Roman" w:hAnsi="Times New Roman" w:eastAsia="宋体" w:cs="Times New Roman"/>
          <w:b/>
          <w:bCs/>
          <w:color w:val="auto"/>
          <w:kern w:val="2"/>
          <w:sz w:val="28"/>
          <w:szCs w:val="28"/>
          <w:lang w:val="en-US" w:eastAsia="zh-CN" w:bidi="ar-SA"/>
        </w:rPr>
      </w:pPr>
      <w:bookmarkStart w:id="308" w:name="_Toc30574"/>
      <w:bookmarkStart w:id="309" w:name="_Toc24631"/>
      <w:bookmarkStart w:id="310" w:name="_Toc21379"/>
      <w:bookmarkStart w:id="311" w:name="_Toc15693"/>
      <w:bookmarkStart w:id="312" w:name="_Toc28772"/>
      <w:bookmarkStart w:id="313" w:name="_Toc13675"/>
      <w:bookmarkStart w:id="314" w:name="_Toc23134"/>
      <w:bookmarkStart w:id="315" w:name="_Toc5692"/>
      <w:bookmarkStart w:id="316" w:name="_Toc5060"/>
      <w:r>
        <w:rPr>
          <w:rFonts w:ascii="Times New Roman" w:hAnsi="Times New Roman" w:eastAsia="宋体" w:cs="Times New Roman"/>
          <w:b/>
          <w:bCs/>
          <w:color w:val="auto"/>
          <w:kern w:val="2"/>
          <w:sz w:val="28"/>
          <w:szCs w:val="28"/>
          <w:lang w:val="en-US" w:eastAsia="zh-CN" w:bidi="ar-SA"/>
        </w:rPr>
        <w:t>5.2营运期生态保护措施</w:t>
      </w:r>
      <w:bookmarkEnd w:id="308"/>
      <w:bookmarkEnd w:id="309"/>
      <w:bookmarkEnd w:id="310"/>
      <w:bookmarkEnd w:id="311"/>
      <w:bookmarkEnd w:id="312"/>
      <w:bookmarkEnd w:id="313"/>
      <w:bookmarkEnd w:id="314"/>
      <w:bookmarkEnd w:id="315"/>
      <w:bookmarkEnd w:id="316"/>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项目运营期主要采取的生态保护措施如下：</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（1）施工后期应加强对绿化植物的管理与养护，以达到恢复植被的目的。</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（2）加强营运期管理，保证各项工程设施完好和确保安全生产是生态保护最基本的措施。</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（3）应加强</w:t>
      </w:r>
      <w:r>
        <w:rPr>
          <w:rFonts w:hint="eastAsia" w:ascii="Times New Roman" w:hAnsi="Times New Roman" w:eastAsia="宋体" w:cs="Times New Roman"/>
          <w:bCs/>
          <w:color w:val="auto"/>
          <w:sz w:val="24"/>
          <w:szCs w:val="21"/>
          <w:highlight w:val="none"/>
          <w:u w:val="none"/>
          <w:lang w:val="en-US" w:eastAsia="zh-CN"/>
        </w:rPr>
        <w:t>对物业及开发商的</w:t>
      </w:r>
      <w:r>
        <w:rPr>
          <w:rFonts w:hint="default" w:ascii="Times New Roman" w:hAnsi="Times New Roman" w:eastAsia="宋体" w:cs="Times New Roman"/>
          <w:bCs/>
          <w:color w:val="auto"/>
          <w:sz w:val="24"/>
          <w:szCs w:val="21"/>
          <w:highlight w:val="none"/>
          <w:u w:val="none"/>
          <w:lang w:val="en-US" w:eastAsia="zh-CN"/>
        </w:rPr>
        <w:t>管理和宣传教育，确保</w:t>
      </w:r>
      <w:r>
        <w:rPr>
          <w:rFonts w:hint="eastAsia" w:ascii="Times New Roman" w:hAnsi="Times New Roman" w:eastAsia="宋体" w:cs="Times New Roman"/>
          <w:bCs/>
          <w:color w:val="auto"/>
          <w:sz w:val="24"/>
          <w:szCs w:val="21"/>
          <w:highlight w:val="none"/>
          <w:u w:val="none"/>
          <w:lang w:val="en-US" w:eastAsia="zh-CN"/>
        </w:rPr>
        <w:t>本项目安置区内</w:t>
      </w:r>
      <w:r>
        <w:rPr>
          <w:rFonts w:hint="default" w:ascii="Times New Roman" w:hAnsi="Times New Roman" w:eastAsia="宋体" w:cs="Times New Roman"/>
          <w:bCs/>
          <w:color w:val="auto"/>
          <w:sz w:val="24"/>
          <w:szCs w:val="21"/>
          <w:highlight w:val="none"/>
          <w:u w:val="none"/>
          <w:lang w:val="en-US" w:eastAsia="zh-CN"/>
        </w:rPr>
        <w:t>绿化林带不受破坏。主体工程完后，应对工程裸地进行植被恢复，优先采用乡土植物品种</w:t>
      </w:r>
      <w:r>
        <w:rPr>
          <w:rFonts w:hint="eastAsia" w:ascii="Times New Roman" w:hAnsi="Times New Roman" w:eastAsia="宋体" w:cs="Times New Roman"/>
          <w:bCs/>
          <w:color w:val="auto"/>
          <w:sz w:val="24"/>
          <w:szCs w:val="21"/>
          <w:highlight w:val="none"/>
          <w:u w:val="none"/>
          <w:lang w:val="en-US" w:eastAsia="zh-CN"/>
        </w:rPr>
        <w:t>。</w:t>
      </w:r>
      <w:r>
        <w:rPr>
          <w:rFonts w:hint="default" w:ascii="Times New Roman" w:hAnsi="Times New Roman" w:eastAsia="宋体" w:cs="Times New Roman"/>
          <w:bCs/>
          <w:color w:val="auto"/>
          <w:sz w:val="24"/>
          <w:szCs w:val="21"/>
          <w:highlight w:val="none"/>
          <w:u w:val="none"/>
          <w:lang w:val="en-US" w:eastAsia="zh-CN"/>
        </w:rPr>
        <w:t>在植被恢复中，植物选择应考虑抗逆性、速生性、景观价值及经济成本等因素，以乔木、灌木为主，草本为辅进行植被配置或自然更新。植物物种的选择应考虑当地生态适应强的植物，如马尾松、毛竹、盐肤木、芒、丝茅等，应注意在施工时予以移栽保护，便于在植被恢复时利用。</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sectPr>
          <w:pgSz w:w="11906" w:h="16838"/>
          <w:pgMar w:top="1440" w:right="1800" w:bottom="1440" w:left="1800" w:header="851" w:footer="1077" w:gutter="0"/>
          <w:pgBorders>
            <w:top w:val="none" w:sz="0" w:space="0"/>
            <w:left w:val="none" w:sz="0" w:space="0"/>
            <w:bottom w:val="none" w:sz="0" w:space="0"/>
            <w:right w:val="none" w:sz="0" w:space="0"/>
          </w:pgBorders>
          <w:cols w:space="720" w:num="1"/>
          <w:docGrid w:linePitch="312" w:charSpace="0"/>
        </w:sectPr>
      </w:pPr>
    </w:p>
    <w:p>
      <w:pPr>
        <w:widowControl/>
        <w:adjustRightInd w:val="0"/>
        <w:snapToGrid w:val="0"/>
        <w:spacing w:before="0" w:beforeAutospacing="0" w:after="0" w:afterAutospacing="0" w:line="360" w:lineRule="auto"/>
        <w:jc w:val="left"/>
        <w:outlineLvl w:val="0"/>
        <w:rPr>
          <w:rFonts w:ascii="Times New Roman" w:hAnsi="Times New Roman" w:eastAsia="宋体" w:cs="Times New Roman"/>
          <w:b/>
          <w:snapToGrid w:val="0"/>
          <w:color w:val="auto"/>
          <w:kern w:val="0"/>
          <w:sz w:val="30"/>
          <w:szCs w:val="30"/>
          <w:lang w:val="en-US" w:eastAsia="zh-CN" w:bidi="ar-SA"/>
        </w:rPr>
      </w:pPr>
      <w:bookmarkStart w:id="317" w:name="_Toc7132"/>
      <w:bookmarkStart w:id="318" w:name="_Toc7134"/>
      <w:bookmarkStart w:id="319" w:name="_Toc21525"/>
      <w:bookmarkStart w:id="320" w:name="_Toc10105"/>
      <w:bookmarkStart w:id="321" w:name="_Toc18775"/>
      <w:bookmarkStart w:id="322" w:name="_Toc15047"/>
      <w:r>
        <w:rPr>
          <w:rFonts w:ascii="Times New Roman" w:hAnsi="Times New Roman" w:eastAsia="宋体" w:cs="Times New Roman"/>
          <w:b/>
          <w:snapToGrid w:val="0"/>
          <w:color w:val="auto"/>
          <w:kern w:val="0"/>
          <w:sz w:val="30"/>
          <w:szCs w:val="30"/>
          <w:lang w:val="en-US" w:eastAsia="zh-CN" w:bidi="ar-SA"/>
        </w:rPr>
        <w:t>6评价结论和建议</w:t>
      </w:r>
      <w:bookmarkEnd w:id="317"/>
      <w:bookmarkEnd w:id="318"/>
      <w:bookmarkEnd w:id="319"/>
      <w:bookmarkEnd w:id="320"/>
      <w:bookmarkEnd w:id="321"/>
      <w:bookmarkEnd w:id="322"/>
    </w:p>
    <w:p>
      <w:pPr>
        <w:keepNext/>
        <w:keepLines/>
        <w:widowControl w:val="0"/>
        <w:adjustRightInd w:val="0"/>
        <w:snapToGrid w:val="0"/>
        <w:spacing w:before="0" w:after="0" w:line="360" w:lineRule="auto"/>
        <w:jc w:val="both"/>
        <w:outlineLvl w:val="1"/>
        <w:rPr>
          <w:rFonts w:ascii="Times New Roman" w:hAnsi="Times New Roman" w:eastAsia="宋体" w:cs="Times New Roman"/>
          <w:b/>
          <w:bCs/>
          <w:color w:val="auto"/>
          <w:kern w:val="2"/>
          <w:sz w:val="28"/>
          <w:szCs w:val="28"/>
          <w:lang w:val="en-US" w:eastAsia="zh-CN" w:bidi="ar-SA"/>
        </w:rPr>
      </w:pPr>
      <w:bookmarkStart w:id="323" w:name="_Toc24989"/>
      <w:bookmarkStart w:id="324" w:name="_Toc1142"/>
      <w:bookmarkStart w:id="325" w:name="_Toc17812"/>
      <w:bookmarkStart w:id="326" w:name="_Toc7947"/>
      <w:r>
        <w:rPr>
          <w:rFonts w:ascii="Times New Roman" w:hAnsi="Times New Roman" w:eastAsia="宋体" w:cs="Times New Roman"/>
          <w:b/>
          <w:bCs/>
          <w:color w:val="auto"/>
          <w:kern w:val="2"/>
          <w:sz w:val="28"/>
          <w:szCs w:val="28"/>
          <w:lang w:val="en-US" w:eastAsia="zh-CN" w:bidi="ar-SA"/>
        </w:rPr>
        <w:t>6.1评价结论</w:t>
      </w:r>
      <w:bookmarkEnd w:id="323"/>
      <w:bookmarkEnd w:id="324"/>
      <w:bookmarkEnd w:id="325"/>
      <w:bookmarkEnd w:id="326"/>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本工程对生态环境的影响主要表现为：工程占地、人为干扰、施工活动及施工活动产生的弃渣、废水、扬尘等，总体而言，项目建设将对生态环境造成一定的不利影响，本工程在设计、施工</w:t>
      </w:r>
      <w:r>
        <w:rPr>
          <w:rFonts w:hint="eastAsia" w:ascii="Times New Roman" w:hAnsi="Times New Roman" w:eastAsia="宋体" w:cs="Times New Roman"/>
          <w:bCs/>
          <w:color w:val="auto"/>
          <w:sz w:val="24"/>
          <w:szCs w:val="21"/>
          <w:highlight w:val="none"/>
          <w:u w:val="none"/>
          <w:lang w:val="en-US" w:eastAsia="zh-CN"/>
        </w:rPr>
        <w:t>已经采取了较为完善的措施防止造成较大的生态环境影响，在后续的</w:t>
      </w:r>
      <w:r>
        <w:rPr>
          <w:rFonts w:hint="default" w:ascii="Times New Roman" w:hAnsi="Times New Roman" w:eastAsia="宋体" w:cs="Times New Roman"/>
          <w:bCs/>
          <w:color w:val="auto"/>
          <w:sz w:val="24"/>
          <w:szCs w:val="21"/>
          <w:highlight w:val="none"/>
          <w:u w:val="none"/>
          <w:lang w:val="en-US" w:eastAsia="zh-CN"/>
        </w:rPr>
        <w:t>运营</w:t>
      </w:r>
      <w:r>
        <w:rPr>
          <w:rFonts w:hint="eastAsia" w:ascii="Times New Roman" w:hAnsi="Times New Roman" w:eastAsia="宋体" w:cs="Times New Roman"/>
          <w:bCs/>
          <w:color w:val="auto"/>
          <w:sz w:val="24"/>
          <w:szCs w:val="21"/>
          <w:highlight w:val="none"/>
          <w:u w:val="none"/>
          <w:lang w:val="en-US" w:eastAsia="zh-CN"/>
        </w:rPr>
        <w:t>过程</w:t>
      </w:r>
      <w:r>
        <w:rPr>
          <w:rFonts w:hint="default" w:ascii="Times New Roman" w:hAnsi="Times New Roman" w:eastAsia="宋体" w:cs="Times New Roman"/>
          <w:bCs/>
          <w:color w:val="auto"/>
          <w:sz w:val="24"/>
          <w:szCs w:val="21"/>
          <w:highlight w:val="none"/>
          <w:u w:val="none"/>
          <w:lang w:val="en-US" w:eastAsia="zh-CN"/>
        </w:rPr>
        <w:t>中，</w:t>
      </w:r>
      <w:r>
        <w:rPr>
          <w:rFonts w:hint="eastAsia" w:ascii="Times New Roman" w:hAnsi="Times New Roman" w:eastAsia="宋体" w:cs="Times New Roman"/>
          <w:bCs/>
          <w:color w:val="auto"/>
          <w:sz w:val="24"/>
          <w:szCs w:val="21"/>
          <w:highlight w:val="none"/>
          <w:u w:val="none"/>
          <w:lang w:val="en-US" w:eastAsia="zh-CN"/>
        </w:rPr>
        <w:t>应严格</w:t>
      </w:r>
      <w:r>
        <w:rPr>
          <w:rFonts w:hint="default" w:ascii="Times New Roman" w:hAnsi="Times New Roman" w:eastAsia="宋体" w:cs="Times New Roman"/>
          <w:bCs/>
          <w:color w:val="auto"/>
          <w:sz w:val="24"/>
          <w:szCs w:val="21"/>
          <w:highlight w:val="none"/>
          <w:u w:val="none"/>
          <w:lang w:val="en-US" w:eastAsia="zh-CN"/>
        </w:rPr>
        <w:t>采取本报告提出的保护和加强管理等积极有效的保护措施，可将工程</w:t>
      </w:r>
      <w:r>
        <w:rPr>
          <w:rFonts w:hint="eastAsia" w:ascii="Times New Roman" w:hAnsi="Times New Roman" w:eastAsia="宋体" w:cs="Times New Roman"/>
          <w:bCs/>
          <w:color w:val="auto"/>
          <w:sz w:val="24"/>
          <w:szCs w:val="21"/>
          <w:highlight w:val="none"/>
          <w:u w:val="none"/>
          <w:lang w:val="en-US" w:eastAsia="zh-CN"/>
        </w:rPr>
        <w:t>建设</w:t>
      </w:r>
      <w:r>
        <w:rPr>
          <w:rFonts w:hint="default" w:ascii="Times New Roman" w:hAnsi="Times New Roman" w:eastAsia="宋体" w:cs="Times New Roman"/>
          <w:bCs/>
          <w:color w:val="auto"/>
          <w:sz w:val="24"/>
          <w:szCs w:val="21"/>
          <w:highlight w:val="none"/>
          <w:u w:val="none"/>
          <w:lang w:val="en-US" w:eastAsia="zh-CN"/>
        </w:rPr>
        <w:t>带来的负面影响减轻到生物、生态能够承载的程度。因此，从生态影响的角度分析，本项目是可行的。</w:t>
      </w:r>
    </w:p>
    <w:p>
      <w:pPr>
        <w:keepNext/>
        <w:keepLines/>
        <w:widowControl w:val="0"/>
        <w:adjustRightInd w:val="0"/>
        <w:snapToGrid w:val="0"/>
        <w:spacing w:before="0" w:after="0" w:line="360" w:lineRule="auto"/>
        <w:jc w:val="both"/>
        <w:outlineLvl w:val="1"/>
        <w:rPr>
          <w:rFonts w:ascii="Times New Roman" w:hAnsi="Times New Roman" w:eastAsia="宋体" w:cs="Times New Roman"/>
          <w:b/>
          <w:bCs/>
          <w:color w:val="auto"/>
          <w:kern w:val="2"/>
          <w:sz w:val="28"/>
          <w:szCs w:val="28"/>
          <w:lang w:val="en-US" w:eastAsia="zh-CN" w:bidi="ar-SA"/>
        </w:rPr>
      </w:pPr>
      <w:bookmarkStart w:id="327" w:name="_Toc17926"/>
      <w:bookmarkStart w:id="328" w:name="_Toc2309"/>
      <w:bookmarkStart w:id="329" w:name="_Toc4664"/>
      <w:bookmarkStart w:id="330" w:name="_Toc30057"/>
      <w:r>
        <w:rPr>
          <w:rFonts w:ascii="Times New Roman" w:hAnsi="Times New Roman" w:eastAsia="宋体" w:cs="Times New Roman"/>
          <w:b/>
          <w:bCs/>
          <w:color w:val="auto"/>
          <w:kern w:val="2"/>
          <w:sz w:val="28"/>
          <w:szCs w:val="28"/>
          <w:lang w:val="en-US" w:eastAsia="zh-CN" w:bidi="ar-SA"/>
        </w:rPr>
        <w:t>6.2评价建议</w:t>
      </w:r>
      <w:bookmarkEnd w:id="327"/>
      <w:bookmarkEnd w:id="328"/>
      <w:bookmarkEnd w:id="329"/>
      <w:bookmarkEnd w:id="330"/>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1、进一步完善安置区内绿化工作</w:t>
      </w:r>
      <w:r>
        <w:rPr>
          <w:rFonts w:hint="default" w:ascii="Times New Roman" w:hAnsi="Times New Roman" w:eastAsia="宋体" w:cs="Times New Roman"/>
          <w:bCs/>
          <w:color w:val="auto"/>
          <w:sz w:val="24"/>
          <w:szCs w:val="21"/>
          <w:highlight w:val="none"/>
          <w:u w:val="none"/>
          <w:lang w:val="en-US" w:eastAsia="zh-CN"/>
        </w:rPr>
        <w:t>，</w:t>
      </w:r>
      <w:r>
        <w:rPr>
          <w:rFonts w:hint="eastAsia" w:ascii="Times New Roman" w:hAnsi="Times New Roman" w:eastAsia="宋体" w:cs="Times New Roman"/>
          <w:bCs/>
          <w:color w:val="auto"/>
          <w:sz w:val="24"/>
          <w:szCs w:val="21"/>
          <w:highlight w:val="none"/>
          <w:u w:val="none"/>
          <w:lang w:val="en-US" w:eastAsia="zh-CN"/>
        </w:rPr>
        <w:t>在现有绿地基础上进一步丰富区内绿化层次，</w:t>
      </w:r>
      <w:r>
        <w:rPr>
          <w:rFonts w:hint="default" w:ascii="Times New Roman" w:hAnsi="Times New Roman" w:eastAsia="宋体" w:cs="Times New Roman"/>
          <w:bCs/>
          <w:color w:val="auto"/>
          <w:sz w:val="24"/>
          <w:szCs w:val="21"/>
          <w:highlight w:val="none"/>
          <w:u w:val="none"/>
          <w:lang w:val="en-US" w:eastAsia="zh-CN"/>
        </w:rPr>
        <w:t>减少由于生境破坏对动植物的不利影响。</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2、</w:t>
      </w:r>
      <w:r>
        <w:rPr>
          <w:rFonts w:hint="default" w:ascii="Times New Roman" w:hAnsi="Times New Roman" w:eastAsia="宋体" w:cs="Times New Roman"/>
          <w:bCs/>
          <w:color w:val="auto"/>
          <w:sz w:val="24"/>
          <w:szCs w:val="21"/>
          <w:highlight w:val="none"/>
          <w:u w:val="none"/>
          <w:lang w:val="en-US" w:eastAsia="zh-CN"/>
        </w:rPr>
        <w:t>严格落实本报告提出的环保措施，建立常规管理和监测机制。</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sectPr>
          <w:pgSz w:w="11906" w:h="16838"/>
          <w:pgMar w:top="1440" w:right="1800" w:bottom="1440" w:left="1800" w:header="851" w:footer="1077" w:gutter="0"/>
          <w:pgBorders>
            <w:top w:val="none" w:sz="0" w:space="0"/>
            <w:left w:val="none" w:sz="0" w:space="0"/>
            <w:bottom w:val="none" w:sz="0" w:space="0"/>
            <w:right w:val="none" w:sz="0" w:space="0"/>
          </w:pgBorders>
          <w:cols w:space="720" w:num="1"/>
          <w:docGrid w:linePitch="312" w:charSpace="0"/>
        </w:sectPr>
      </w:pPr>
      <w:r>
        <w:rPr>
          <w:rFonts w:hint="eastAsia" w:ascii="Times New Roman" w:hAnsi="Times New Roman" w:eastAsia="宋体" w:cs="Times New Roman"/>
          <w:bCs/>
          <w:color w:val="auto"/>
          <w:sz w:val="24"/>
          <w:szCs w:val="21"/>
          <w:highlight w:val="none"/>
          <w:u w:val="none"/>
          <w:lang w:val="en-US" w:eastAsia="zh-CN"/>
        </w:rPr>
        <w:t>3、</w:t>
      </w:r>
      <w:r>
        <w:rPr>
          <w:rFonts w:hint="default" w:ascii="Times New Roman" w:hAnsi="Times New Roman" w:eastAsia="宋体" w:cs="Times New Roman"/>
          <w:bCs/>
          <w:color w:val="auto"/>
          <w:sz w:val="24"/>
          <w:szCs w:val="21"/>
          <w:highlight w:val="none"/>
          <w:u w:val="none"/>
          <w:lang w:val="en-US" w:eastAsia="zh-CN"/>
        </w:rPr>
        <w:t>落实环保措施投资费用，切实落实各项污染防治及生态减缓措施。</w:t>
      </w:r>
    </w:p>
    <w:p>
      <w:pPr>
        <w:adjustRightInd/>
        <w:snapToGrid/>
        <w:spacing w:line="240" w:lineRule="auto"/>
        <w:ind w:firstLine="0" w:firstLineChars="0"/>
        <w:jc w:val="center"/>
        <w:outlineLvl w:val="1"/>
        <w:rPr>
          <w:rFonts w:hint="default" w:ascii="Times New Roman" w:hAnsi="Times New Roman" w:eastAsia="宋体" w:cs="Times New Roman"/>
          <w:b/>
          <w:bCs/>
          <w:color w:val="auto"/>
          <w:sz w:val="24"/>
          <w:szCs w:val="24"/>
          <w:lang w:val="en-US" w:eastAsia="zh-CN"/>
        </w:rPr>
      </w:pPr>
      <w:bookmarkStart w:id="331" w:name="_Toc24246"/>
      <w:bookmarkStart w:id="332" w:name="_Toc3490"/>
      <w:bookmarkStart w:id="333" w:name="_Toc7373"/>
      <w:bookmarkStart w:id="334" w:name="_Toc15039"/>
      <w:bookmarkStart w:id="335" w:name="_Toc14055"/>
      <w:bookmarkStart w:id="336" w:name="_Toc18593"/>
      <w:r>
        <w:rPr>
          <w:rFonts w:hint="default" w:ascii="Times New Roman" w:hAnsi="Times New Roman" w:eastAsia="宋体" w:cs="Times New Roman"/>
          <w:b/>
          <w:bCs/>
          <w:color w:val="auto"/>
          <w:sz w:val="24"/>
          <w:szCs w:val="24"/>
          <w:lang w:val="en-US" w:eastAsia="zh-CN"/>
        </w:rPr>
        <w:t>生态影响评价自查表</w:t>
      </w:r>
      <w:bookmarkEnd w:id="331"/>
      <w:bookmarkEnd w:id="332"/>
      <w:bookmarkEnd w:id="333"/>
      <w:bookmarkEnd w:id="334"/>
      <w:bookmarkEnd w:id="335"/>
      <w:bookmarkEnd w:id="336"/>
    </w:p>
    <w:tbl>
      <w:tblPr>
        <w:tblStyle w:val="22"/>
        <w:tblW w:w="8992"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1091"/>
        <w:gridCol w:w="1491"/>
        <w:gridCol w:w="6410"/>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2582" w:type="dxa"/>
            <w:gridSpan w:val="2"/>
            <w:noWrap w:val="0"/>
            <w:vAlign w:val="center"/>
          </w:tcPr>
          <w:p>
            <w:pPr>
              <w:adjustRightInd/>
              <w:snapToGrid/>
              <w:spacing w:line="240" w:lineRule="auto"/>
              <w:ind w:firstLine="0" w:firstLineChars="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工作内容</w:t>
            </w:r>
          </w:p>
        </w:tc>
        <w:tc>
          <w:tcPr>
            <w:tcW w:w="6410" w:type="dxa"/>
            <w:noWrap w:val="0"/>
            <w:vAlign w:val="center"/>
          </w:tcPr>
          <w:p>
            <w:pPr>
              <w:adjustRightInd/>
              <w:snapToGrid/>
              <w:spacing w:line="240" w:lineRule="auto"/>
              <w:ind w:firstLine="0" w:firstLineChars="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自查项目</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091" w:type="dxa"/>
            <w:vMerge w:val="restart"/>
            <w:tcBorders>
              <w:right w:val="single" w:color="auto" w:sz="4" w:space="0"/>
            </w:tcBorders>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生态影响识别</w:t>
            </w:r>
          </w:p>
        </w:tc>
        <w:tc>
          <w:tcPr>
            <w:tcW w:w="1491" w:type="dxa"/>
            <w:tcBorders>
              <w:left w:val="single" w:color="auto" w:sz="4" w:space="0"/>
            </w:tcBorders>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生态保护目标</w:t>
            </w:r>
          </w:p>
        </w:tc>
        <w:tc>
          <w:tcPr>
            <w:tcW w:w="6410"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lang w:eastAsia="zh-CN"/>
              </w:rPr>
            </w:pPr>
            <w:r>
              <w:rPr>
                <w:rFonts w:ascii="Times New Roman" w:hAnsi="Times New Roman" w:eastAsia="宋体" w:cs="Times New Roman"/>
                <w:color w:val="auto"/>
                <w:sz w:val="21"/>
                <w:szCs w:val="21"/>
              </w:rPr>
              <w:t>重要物种□；国家公园□；自然保护区</w:t>
            </w:r>
            <w:r>
              <w:rPr>
                <w:rFonts w:hint="eastAsia" w:eastAsia="宋体" w:cs="Times New Roman"/>
                <w:color w:val="auto"/>
                <w:sz w:val="21"/>
                <w:szCs w:val="21"/>
                <w:lang w:eastAsia="zh-CN"/>
              </w:rPr>
              <w:t>☑</w:t>
            </w:r>
            <w:r>
              <w:rPr>
                <w:rFonts w:ascii="Times New Roman" w:hAnsi="Times New Roman" w:eastAsia="宋体" w:cs="Times New Roman"/>
                <w:color w:val="auto"/>
                <w:sz w:val="21"/>
                <w:szCs w:val="21"/>
              </w:rPr>
              <w:t>；自然公园</w:t>
            </w:r>
            <w:r>
              <w:rPr>
                <w:rFonts w:ascii="Times New Roman" w:hAnsi="Times New Roman" w:eastAsia="宋体" w:cs="Times New Roman"/>
                <w:color w:val="auto"/>
                <w:sz w:val="21"/>
                <w:szCs w:val="21"/>
              </w:rPr>
              <w:sym w:font="Wingdings 2" w:char="00A3"/>
            </w:r>
            <w:r>
              <w:rPr>
                <w:rFonts w:ascii="Times New Roman" w:hAnsi="Times New Roman" w:eastAsia="宋体" w:cs="Times New Roman"/>
                <w:color w:val="auto"/>
                <w:sz w:val="21"/>
                <w:szCs w:val="21"/>
              </w:rPr>
              <w:t>；世界自然遗产□；生态保护红线□；重要生境□；其他具有重要生态功能、对保护生物多样性具有重要意义的区域□；其他</w:t>
            </w:r>
            <w:r>
              <w:rPr>
                <w:rFonts w:hint="eastAsia" w:eastAsia="宋体" w:cs="Times New Roman"/>
                <w:color w:val="auto"/>
                <w:sz w:val="21"/>
                <w:szCs w:val="21"/>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091" w:type="dxa"/>
            <w:vMerge w:val="continue"/>
            <w:tcBorders>
              <w:right w:val="single" w:color="auto" w:sz="4" w:space="0"/>
            </w:tcBorders>
            <w:noWrap w:val="0"/>
            <w:vAlign w:val="center"/>
          </w:tcPr>
          <w:p>
            <w:pPr>
              <w:adjustRightInd/>
              <w:snapToGrid/>
              <w:spacing w:line="240" w:lineRule="auto"/>
              <w:ind w:firstLine="0" w:firstLineChars="0"/>
              <w:jc w:val="center"/>
              <w:rPr>
                <w:rFonts w:ascii="Times New Roman" w:hAnsi="Times New Roman" w:eastAsia="宋体" w:cs="Times New Roman"/>
                <w:color w:val="auto"/>
                <w:sz w:val="21"/>
                <w:szCs w:val="21"/>
              </w:rPr>
            </w:pPr>
          </w:p>
        </w:tc>
        <w:tc>
          <w:tcPr>
            <w:tcW w:w="1491" w:type="dxa"/>
            <w:tcBorders>
              <w:left w:val="single" w:color="auto" w:sz="4" w:space="0"/>
            </w:tcBorders>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影响方式</w:t>
            </w:r>
          </w:p>
        </w:tc>
        <w:tc>
          <w:tcPr>
            <w:tcW w:w="6410"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ascii="Times New Roman" w:hAnsi="Times New Roman" w:eastAsia="宋体" w:cs="Times New Roman"/>
                <w:color w:val="auto"/>
                <w:sz w:val="21"/>
                <w:szCs w:val="21"/>
              </w:rPr>
              <w:t>工程占用</w:t>
            </w:r>
            <w:r>
              <w:rPr>
                <w:rFonts w:ascii="Times New Roman" w:hAnsi="Times New Roman" w:eastAsia="宋体" w:cs="Times New Roman"/>
                <w:color w:val="auto"/>
                <w:sz w:val="21"/>
                <w:szCs w:val="21"/>
              </w:rPr>
              <w:sym w:font="Wingdings 2" w:char="0052"/>
            </w:r>
            <w:r>
              <w:rPr>
                <w:rFonts w:ascii="Times New Roman" w:hAnsi="Times New Roman" w:eastAsia="宋体" w:cs="Times New Roman"/>
                <w:color w:val="auto"/>
                <w:sz w:val="21"/>
                <w:szCs w:val="21"/>
              </w:rPr>
              <w:t>；施工活动干扰</w:t>
            </w:r>
            <w:r>
              <w:rPr>
                <w:rFonts w:ascii="Times New Roman" w:hAnsi="Times New Roman" w:eastAsia="宋体" w:cs="Times New Roman"/>
                <w:color w:val="auto"/>
                <w:sz w:val="21"/>
                <w:szCs w:val="21"/>
              </w:rPr>
              <w:sym w:font="Wingdings 2" w:char="0052"/>
            </w:r>
            <w:r>
              <w:rPr>
                <w:rFonts w:ascii="Times New Roman" w:hAnsi="Times New Roman" w:eastAsia="宋体" w:cs="Times New Roman"/>
                <w:color w:val="auto"/>
                <w:sz w:val="21"/>
                <w:szCs w:val="21"/>
              </w:rPr>
              <w:t>；改变环境条件□；其他□</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091" w:type="dxa"/>
            <w:vMerge w:val="continue"/>
            <w:tcBorders>
              <w:right w:val="single" w:color="auto" w:sz="4" w:space="0"/>
            </w:tcBorders>
            <w:noWrap w:val="0"/>
            <w:vAlign w:val="center"/>
          </w:tcPr>
          <w:p>
            <w:pPr>
              <w:adjustRightInd/>
              <w:snapToGrid/>
              <w:spacing w:line="240" w:lineRule="auto"/>
              <w:ind w:firstLine="0" w:firstLineChars="0"/>
              <w:jc w:val="center"/>
              <w:rPr>
                <w:rFonts w:ascii="Times New Roman" w:hAnsi="Times New Roman" w:eastAsia="宋体" w:cs="Times New Roman"/>
                <w:color w:val="auto"/>
                <w:sz w:val="21"/>
                <w:szCs w:val="21"/>
              </w:rPr>
            </w:pPr>
          </w:p>
        </w:tc>
        <w:tc>
          <w:tcPr>
            <w:tcW w:w="1491" w:type="dxa"/>
            <w:tcBorders>
              <w:left w:val="single" w:color="auto" w:sz="4" w:space="0"/>
            </w:tcBorders>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评价因子</w:t>
            </w:r>
          </w:p>
        </w:tc>
        <w:tc>
          <w:tcPr>
            <w:tcW w:w="6410"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kern w:val="0"/>
                <w:sz w:val="21"/>
                <w:szCs w:val="21"/>
                <w:u w:val="none" w:color="auto"/>
                <w:lang w:eastAsia="zh-CN"/>
              </w:rPr>
            </w:pPr>
            <w:r>
              <w:rPr>
                <w:rFonts w:hint="default" w:ascii="Times New Roman" w:hAnsi="Times New Roman" w:eastAsia="宋体" w:cs="Times New Roman"/>
                <w:color w:val="auto"/>
                <w:kern w:val="0"/>
                <w:sz w:val="21"/>
                <w:szCs w:val="21"/>
                <w:u w:val="none" w:color="auto"/>
                <w:lang w:eastAsia="zh-CN"/>
              </w:rPr>
              <w:t>物种</w:t>
            </w:r>
            <w:r>
              <w:rPr>
                <w:rFonts w:hint="default" w:ascii="Times New Roman" w:hAnsi="Times New Roman" w:eastAsia="宋体" w:cs="Times New Roman"/>
                <w:color w:val="auto"/>
                <w:kern w:val="0"/>
                <w:sz w:val="21"/>
                <w:szCs w:val="21"/>
                <w:u w:val="none" w:color="auto"/>
              </w:rPr>
              <w:sym w:font="Wingdings 2" w:char="00A3"/>
            </w:r>
            <w:r>
              <w:rPr>
                <w:rFonts w:hint="default" w:ascii="Times New Roman" w:hAnsi="Times New Roman" w:eastAsia="宋体" w:cs="Times New Roman"/>
                <w:color w:val="auto"/>
                <w:kern w:val="0"/>
                <w:sz w:val="21"/>
                <w:szCs w:val="21"/>
                <w:u w:val="none" w:color="auto"/>
                <w:lang w:eastAsia="zh-CN"/>
              </w:rPr>
              <w:t>（</w:t>
            </w:r>
            <w:r>
              <w:rPr>
                <w:rFonts w:hint="default" w:ascii="Times New Roman" w:hAnsi="Times New Roman" w:eastAsia="宋体" w:cs="Times New Roman"/>
                <w:color w:val="auto"/>
                <w:kern w:val="0"/>
                <w:sz w:val="21"/>
                <w:szCs w:val="21"/>
                <w:u w:val="none" w:color="auto"/>
                <w:lang w:val="en-US" w:eastAsia="zh-CN"/>
              </w:rPr>
              <w:t xml:space="preserve">                                </w:t>
            </w:r>
            <w:r>
              <w:rPr>
                <w:rFonts w:hint="default" w:ascii="Times New Roman" w:hAnsi="Times New Roman" w:eastAsia="宋体" w:cs="Times New Roman"/>
                <w:color w:val="auto"/>
                <w:kern w:val="0"/>
                <w:sz w:val="21"/>
                <w:szCs w:val="21"/>
                <w:u w:val="none" w:color="auto"/>
                <w:lang w:eastAsia="zh-CN"/>
              </w:rPr>
              <w:t>）</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kern w:val="0"/>
                <w:sz w:val="21"/>
                <w:szCs w:val="21"/>
                <w:u w:val="none" w:color="auto"/>
                <w:lang w:eastAsia="zh-CN"/>
              </w:rPr>
            </w:pPr>
            <w:r>
              <w:rPr>
                <w:rFonts w:hint="default" w:ascii="Times New Roman" w:hAnsi="Times New Roman" w:eastAsia="宋体" w:cs="Times New Roman"/>
                <w:color w:val="auto"/>
                <w:kern w:val="0"/>
                <w:sz w:val="21"/>
                <w:szCs w:val="21"/>
                <w:u w:val="none" w:color="auto"/>
                <w:lang w:eastAsia="zh-CN"/>
              </w:rPr>
              <w:t>生境</w:t>
            </w:r>
            <w:r>
              <w:rPr>
                <w:rFonts w:hint="default" w:ascii="Times New Roman" w:hAnsi="Times New Roman" w:eastAsia="宋体" w:cs="Times New Roman"/>
                <w:color w:val="auto"/>
                <w:kern w:val="0"/>
                <w:sz w:val="21"/>
                <w:szCs w:val="21"/>
                <w:u w:val="none" w:color="auto"/>
              </w:rPr>
              <w:sym w:font="Wingdings 2" w:char="00A3"/>
            </w:r>
            <w:r>
              <w:rPr>
                <w:rFonts w:hint="default" w:ascii="Times New Roman" w:hAnsi="Times New Roman" w:eastAsia="宋体" w:cs="Times New Roman"/>
                <w:color w:val="auto"/>
                <w:kern w:val="0"/>
                <w:sz w:val="21"/>
                <w:szCs w:val="21"/>
                <w:u w:val="none" w:color="auto"/>
                <w:lang w:eastAsia="zh-CN"/>
              </w:rPr>
              <w:t>（</w:t>
            </w:r>
            <w:r>
              <w:rPr>
                <w:rFonts w:hint="default" w:ascii="Times New Roman" w:hAnsi="Times New Roman" w:eastAsia="宋体" w:cs="Times New Roman"/>
                <w:color w:val="auto"/>
                <w:kern w:val="0"/>
                <w:sz w:val="21"/>
                <w:szCs w:val="21"/>
                <w:u w:val="none" w:color="auto"/>
                <w:lang w:val="en-US" w:eastAsia="zh-CN"/>
              </w:rPr>
              <w:t xml:space="preserve">                                </w:t>
            </w:r>
            <w:r>
              <w:rPr>
                <w:rFonts w:hint="default" w:ascii="Times New Roman" w:hAnsi="Times New Roman" w:eastAsia="宋体" w:cs="Times New Roman"/>
                <w:color w:val="auto"/>
                <w:kern w:val="0"/>
                <w:sz w:val="21"/>
                <w:szCs w:val="21"/>
                <w:u w:val="none" w:color="auto"/>
                <w:lang w:eastAsia="zh-CN"/>
              </w:rPr>
              <w:t>）</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kern w:val="0"/>
                <w:sz w:val="21"/>
                <w:szCs w:val="21"/>
                <w:u w:val="none" w:color="auto"/>
                <w:lang w:eastAsia="zh-CN"/>
              </w:rPr>
            </w:pPr>
            <w:r>
              <w:rPr>
                <w:rFonts w:hint="default" w:ascii="Times New Roman" w:hAnsi="Times New Roman" w:eastAsia="宋体" w:cs="Times New Roman"/>
                <w:color w:val="auto"/>
                <w:kern w:val="0"/>
                <w:sz w:val="21"/>
                <w:szCs w:val="21"/>
                <w:u w:val="none" w:color="auto"/>
                <w:lang w:eastAsia="zh-CN"/>
              </w:rPr>
              <w:t>生物群落</w:t>
            </w:r>
            <w:r>
              <w:rPr>
                <w:rFonts w:hint="default" w:ascii="Times New Roman" w:hAnsi="Times New Roman" w:eastAsia="宋体" w:cs="Times New Roman"/>
                <w:color w:val="auto"/>
                <w:kern w:val="0"/>
                <w:sz w:val="21"/>
                <w:szCs w:val="21"/>
                <w:u w:val="none" w:color="auto"/>
              </w:rPr>
              <w:sym w:font="Wingdings 2" w:char="0052"/>
            </w:r>
            <w:r>
              <w:rPr>
                <w:rFonts w:hint="default" w:ascii="Times New Roman" w:hAnsi="Times New Roman" w:eastAsia="宋体" w:cs="Times New Roman"/>
                <w:color w:val="auto"/>
                <w:kern w:val="0"/>
                <w:sz w:val="21"/>
                <w:szCs w:val="21"/>
                <w:u w:val="none" w:color="auto"/>
                <w:lang w:eastAsia="zh-CN"/>
              </w:rPr>
              <w:t>（</w:t>
            </w:r>
            <w:r>
              <w:rPr>
                <w:rFonts w:hint="default" w:ascii="Times New Roman" w:hAnsi="Times New Roman" w:eastAsia="宋体" w:cs="Times New Roman"/>
                <w:i w:val="0"/>
                <w:iCs w:val="0"/>
                <w:color w:val="auto"/>
                <w:kern w:val="0"/>
                <w:sz w:val="21"/>
                <w:szCs w:val="21"/>
                <w:u w:val="none"/>
                <w:lang w:val="en-US" w:eastAsia="zh-CN" w:bidi="ar"/>
              </w:rPr>
              <w:t>物种组成、群落结构等</w:t>
            </w:r>
            <w:r>
              <w:rPr>
                <w:rFonts w:hint="default" w:ascii="Times New Roman" w:hAnsi="Times New Roman" w:eastAsia="宋体" w:cs="Times New Roman"/>
                <w:color w:val="auto"/>
                <w:kern w:val="0"/>
                <w:sz w:val="21"/>
                <w:szCs w:val="21"/>
                <w:u w:val="none" w:color="auto"/>
                <w:lang w:eastAsia="zh-CN"/>
              </w:rPr>
              <w:t>）</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kern w:val="0"/>
                <w:sz w:val="21"/>
                <w:szCs w:val="21"/>
                <w:u w:val="none" w:color="auto"/>
                <w:lang w:eastAsia="zh-CN"/>
              </w:rPr>
            </w:pPr>
            <w:r>
              <w:rPr>
                <w:rFonts w:hint="default" w:ascii="Times New Roman" w:hAnsi="Times New Roman" w:eastAsia="宋体" w:cs="Times New Roman"/>
                <w:color w:val="auto"/>
                <w:kern w:val="0"/>
                <w:sz w:val="21"/>
                <w:szCs w:val="21"/>
                <w:u w:val="none" w:color="auto"/>
                <w:lang w:eastAsia="zh-CN"/>
              </w:rPr>
              <w:t>生态系统</w:t>
            </w:r>
            <w:r>
              <w:rPr>
                <w:rFonts w:hint="default" w:ascii="Times New Roman" w:hAnsi="Times New Roman" w:eastAsia="宋体" w:cs="Times New Roman"/>
                <w:color w:val="auto"/>
                <w:kern w:val="0"/>
                <w:sz w:val="21"/>
                <w:szCs w:val="21"/>
                <w:u w:val="none" w:color="auto"/>
              </w:rPr>
              <w:sym w:font="Wingdings 2" w:char="0052"/>
            </w:r>
            <w:r>
              <w:rPr>
                <w:rFonts w:hint="default" w:ascii="Times New Roman" w:hAnsi="Times New Roman" w:eastAsia="宋体" w:cs="Times New Roman"/>
                <w:color w:val="auto"/>
                <w:kern w:val="0"/>
                <w:sz w:val="21"/>
                <w:szCs w:val="21"/>
                <w:u w:val="none" w:color="auto"/>
                <w:lang w:eastAsia="zh-CN"/>
              </w:rPr>
              <w:t>（</w:t>
            </w:r>
            <w:r>
              <w:rPr>
                <w:rFonts w:hint="default" w:ascii="Times New Roman" w:hAnsi="Times New Roman" w:eastAsia="宋体" w:cs="Times New Roman"/>
                <w:i w:val="0"/>
                <w:iCs w:val="0"/>
                <w:color w:val="auto"/>
                <w:kern w:val="0"/>
                <w:sz w:val="21"/>
                <w:szCs w:val="21"/>
                <w:u w:val="none"/>
                <w:lang w:val="en-US" w:eastAsia="zh-CN" w:bidi="ar"/>
              </w:rPr>
              <w:t>植被覆盖度、生态系统功能、完整性</w:t>
            </w:r>
            <w:r>
              <w:rPr>
                <w:rFonts w:hint="eastAsia" w:ascii="Times New Roman" w:hAnsi="Times New Roman" w:eastAsia="宋体" w:cs="Times New Roman"/>
                <w:i w:val="0"/>
                <w:iCs w:val="0"/>
                <w:color w:val="auto"/>
                <w:kern w:val="0"/>
                <w:sz w:val="21"/>
                <w:szCs w:val="21"/>
                <w:u w:val="none"/>
                <w:lang w:val="en-US" w:eastAsia="zh-CN" w:bidi="ar"/>
              </w:rPr>
              <w:t>等</w:t>
            </w:r>
            <w:r>
              <w:rPr>
                <w:rFonts w:hint="default" w:ascii="Times New Roman" w:hAnsi="Times New Roman" w:eastAsia="宋体" w:cs="Times New Roman"/>
                <w:color w:val="auto"/>
                <w:kern w:val="0"/>
                <w:sz w:val="21"/>
                <w:szCs w:val="21"/>
                <w:u w:val="none" w:color="auto"/>
                <w:lang w:eastAsia="zh-CN"/>
              </w:rPr>
              <w:t>）</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kern w:val="0"/>
                <w:sz w:val="21"/>
                <w:szCs w:val="21"/>
                <w:u w:val="none" w:color="auto"/>
                <w:lang w:eastAsia="zh-CN"/>
              </w:rPr>
            </w:pPr>
            <w:r>
              <w:rPr>
                <w:rFonts w:hint="default" w:ascii="Times New Roman" w:hAnsi="Times New Roman" w:eastAsia="宋体" w:cs="Times New Roman"/>
                <w:color w:val="auto"/>
                <w:kern w:val="0"/>
                <w:sz w:val="21"/>
                <w:szCs w:val="21"/>
                <w:u w:val="none" w:color="auto"/>
                <w:lang w:eastAsia="zh-CN"/>
              </w:rPr>
              <w:t>生物多样性</w:t>
            </w:r>
            <w:r>
              <w:rPr>
                <w:rFonts w:hint="default" w:ascii="Times New Roman" w:hAnsi="Times New Roman" w:eastAsia="宋体" w:cs="Times New Roman"/>
                <w:color w:val="auto"/>
                <w:kern w:val="0"/>
                <w:sz w:val="21"/>
                <w:szCs w:val="21"/>
                <w:u w:val="none" w:color="auto"/>
              </w:rPr>
              <w:sym w:font="Wingdings 2" w:char="0052"/>
            </w:r>
            <w:r>
              <w:rPr>
                <w:rFonts w:hint="default" w:ascii="Times New Roman" w:hAnsi="Times New Roman" w:eastAsia="宋体" w:cs="Times New Roman"/>
                <w:color w:val="auto"/>
                <w:kern w:val="0"/>
                <w:sz w:val="21"/>
                <w:szCs w:val="21"/>
                <w:u w:val="none" w:color="auto"/>
                <w:lang w:eastAsia="zh-CN"/>
              </w:rPr>
              <w:t>（</w:t>
            </w:r>
            <w:r>
              <w:rPr>
                <w:rFonts w:hint="default" w:ascii="Times New Roman" w:hAnsi="Times New Roman" w:eastAsia="宋体" w:cs="Times New Roman"/>
                <w:i w:val="0"/>
                <w:iCs w:val="0"/>
                <w:color w:val="auto"/>
                <w:kern w:val="0"/>
                <w:sz w:val="21"/>
                <w:szCs w:val="21"/>
                <w:u w:val="none"/>
                <w:lang w:val="en-US" w:eastAsia="zh-CN" w:bidi="ar"/>
              </w:rPr>
              <w:t>物种丰富度、均匀度、优势度</w:t>
            </w:r>
            <w:r>
              <w:rPr>
                <w:rFonts w:hint="eastAsia" w:ascii="Times New Roman" w:hAnsi="Times New Roman" w:eastAsia="宋体" w:cs="Times New Roman"/>
                <w:i w:val="0"/>
                <w:iCs w:val="0"/>
                <w:color w:val="auto"/>
                <w:kern w:val="0"/>
                <w:sz w:val="21"/>
                <w:szCs w:val="21"/>
                <w:u w:val="none"/>
                <w:lang w:val="en-US" w:eastAsia="zh-CN" w:bidi="ar"/>
              </w:rPr>
              <w:t>等</w:t>
            </w:r>
            <w:r>
              <w:rPr>
                <w:rFonts w:hint="default" w:ascii="Times New Roman" w:hAnsi="Times New Roman" w:eastAsia="宋体" w:cs="Times New Roman"/>
                <w:color w:val="auto"/>
                <w:kern w:val="0"/>
                <w:sz w:val="21"/>
                <w:szCs w:val="21"/>
                <w:u w:val="none" w:color="auto"/>
                <w:lang w:eastAsia="zh-CN"/>
              </w:rPr>
              <w:t>）</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kern w:val="0"/>
                <w:sz w:val="21"/>
                <w:szCs w:val="21"/>
                <w:u w:val="none" w:color="auto"/>
                <w:lang w:eastAsia="zh-CN"/>
              </w:rPr>
            </w:pPr>
            <w:r>
              <w:rPr>
                <w:rFonts w:hint="default" w:ascii="Times New Roman" w:hAnsi="Times New Roman" w:eastAsia="宋体" w:cs="Times New Roman"/>
                <w:color w:val="auto"/>
                <w:kern w:val="0"/>
                <w:sz w:val="21"/>
                <w:szCs w:val="21"/>
                <w:u w:val="none" w:color="auto"/>
                <w:lang w:eastAsia="zh-CN"/>
              </w:rPr>
              <w:t>生态敏感区</w:t>
            </w:r>
            <w:r>
              <w:rPr>
                <w:rFonts w:hint="default" w:ascii="Times New Roman" w:hAnsi="Times New Roman" w:eastAsia="宋体" w:cs="Times New Roman"/>
                <w:color w:val="auto"/>
                <w:kern w:val="0"/>
                <w:sz w:val="21"/>
                <w:szCs w:val="21"/>
                <w:u w:val="none" w:color="auto"/>
              </w:rPr>
              <w:sym w:font="Wingdings 2" w:char="00A3"/>
            </w:r>
            <w:r>
              <w:rPr>
                <w:rFonts w:hint="default" w:ascii="Times New Roman" w:hAnsi="Times New Roman" w:eastAsia="宋体" w:cs="Times New Roman"/>
                <w:color w:val="auto"/>
                <w:kern w:val="0"/>
                <w:sz w:val="21"/>
                <w:szCs w:val="21"/>
                <w:u w:val="none" w:color="auto"/>
                <w:lang w:eastAsia="zh-CN"/>
              </w:rPr>
              <w:t>（</w:t>
            </w:r>
            <w:r>
              <w:rPr>
                <w:rFonts w:hint="default" w:ascii="Times New Roman" w:hAnsi="Times New Roman" w:eastAsia="宋体" w:cs="Times New Roman"/>
                <w:color w:val="auto"/>
                <w:kern w:val="0"/>
                <w:sz w:val="21"/>
                <w:szCs w:val="21"/>
                <w:u w:val="none" w:color="auto"/>
                <w:lang w:val="en-US" w:eastAsia="zh-CN"/>
              </w:rPr>
              <w:t xml:space="preserve">                          </w:t>
            </w:r>
            <w:r>
              <w:rPr>
                <w:rFonts w:hint="default" w:ascii="Times New Roman" w:hAnsi="Times New Roman" w:eastAsia="宋体" w:cs="Times New Roman"/>
                <w:color w:val="auto"/>
                <w:kern w:val="0"/>
                <w:sz w:val="21"/>
                <w:szCs w:val="21"/>
                <w:u w:val="none" w:color="auto"/>
                <w:lang w:eastAsia="zh-CN"/>
              </w:rPr>
              <w:t>）</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kern w:val="0"/>
                <w:sz w:val="21"/>
                <w:szCs w:val="21"/>
                <w:u w:val="none" w:color="auto"/>
                <w:lang w:eastAsia="zh-CN"/>
              </w:rPr>
            </w:pPr>
            <w:r>
              <w:rPr>
                <w:rFonts w:hint="default" w:ascii="Times New Roman" w:hAnsi="Times New Roman" w:eastAsia="宋体" w:cs="Times New Roman"/>
                <w:color w:val="auto"/>
                <w:kern w:val="0"/>
                <w:sz w:val="21"/>
                <w:szCs w:val="21"/>
                <w:u w:val="none" w:color="auto"/>
                <w:lang w:eastAsia="zh-CN"/>
              </w:rPr>
              <w:t>自然景观</w:t>
            </w:r>
            <w:r>
              <w:rPr>
                <w:rFonts w:hint="default" w:ascii="Times New Roman" w:hAnsi="Times New Roman" w:eastAsia="宋体" w:cs="Times New Roman"/>
                <w:color w:val="auto"/>
                <w:kern w:val="0"/>
                <w:sz w:val="21"/>
                <w:szCs w:val="21"/>
                <w:u w:val="none" w:color="auto"/>
              </w:rPr>
              <w:sym w:font="Wingdings 2" w:char="00A3"/>
            </w:r>
            <w:r>
              <w:rPr>
                <w:rFonts w:hint="default" w:ascii="Times New Roman" w:hAnsi="Times New Roman" w:eastAsia="宋体" w:cs="Times New Roman"/>
                <w:color w:val="auto"/>
                <w:kern w:val="0"/>
                <w:sz w:val="21"/>
                <w:szCs w:val="21"/>
                <w:u w:val="none" w:color="auto"/>
                <w:lang w:eastAsia="zh-CN"/>
              </w:rPr>
              <w:t>（</w:t>
            </w:r>
            <w:r>
              <w:rPr>
                <w:rFonts w:hint="default" w:ascii="Times New Roman" w:hAnsi="Times New Roman" w:eastAsia="宋体" w:cs="Times New Roman"/>
                <w:color w:val="auto"/>
                <w:kern w:val="0"/>
                <w:sz w:val="21"/>
                <w:szCs w:val="21"/>
                <w:u w:val="none" w:color="auto"/>
                <w:lang w:val="en-US" w:eastAsia="zh-CN"/>
              </w:rPr>
              <w:t xml:space="preserve">                            </w:t>
            </w:r>
            <w:r>
              <w:rPr>
                <w:rFonts w:hint="default" w:ascii="Times New Roman" w:hAnsi="Times New Roman" w:eastAsia="宋体" w:cs="Times New Roman"/>
                <w:color w:val="auto"/>
                <w:kern w:val="0"/>
                <w:sz w:val="21"/>
                <w:szCs w:val="21"/>
                <w:u w:val="none" w:color="auto"/>
                <w:lang w:eastAsia="zh-CN"/>
              </w:rPr>
              <w:t>）</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kern w:val="0"/>
                <w:sz w:val="21"/>
                <w:szCs w:val="21"/>
                <w:u w:val="none" w:color="auto"/>
                <w:lang w:eastAsia="zh-CN"/>
              </w:rPr>
            </w:pPr>
            <w:r>
              <w:rPr>
                <w:rFonts w:hint="default" w:ascii="Times New Roman" w:hAnsi="Times New Roman" w:eastAsia="宋体" w:cs="Times New Roman"/>
                <w:color w:val="auto"/>
                <w:kern w:val="0"/>
                <w:sz w:val="21"/>
                <w:szCs w:val="21"/>
                <w:u w:val="none" w:color="auto"/>
                <w:lang w:eastAsia="zh-CN"/>
              </w:rPr>
              <w:t>自然遗迹</w:t>
            </w:r>
            <w:r>
              <w:rPr>
                <w:rFonts w:hint="default" w:ascii="Times New Roman" w:hAnsi="Times New Roman" w:eastAsia="宋体" w:cs="Times New Roman"/>
                <w:color w:val="auto"/>
                <w:kern w:val="0"/>
                <w:sz w:val="21"/>
                <w:szCs w:val="21"/>
                <w:u w:val="none" w:color="auto"/>
              </w:rPr>
              <w:sym w:font="Wingdings 2" w:char="00A3"/>
            </w:r>
            <w:r>
              <w:rPr>
                <w:rFonts w:hint="default" w:ascii="Times New Roman" w:hAnsi="Times New Roman" w:eastAsia="宋体" w:cs="Times New Roman"/>
                <w:color w:val="auto"/>
                <w:kern w:val="0"/>
                <w:sz w:val="21"/>
                <w:szCs w:val="21"/>
                <w:u w:val="none" w:color="auto"/>
                <w:lang w:eastAsia="zh-CN"/>
              </w:rPr>
              <w:t>（</w:t>
            </w:r>
            <w:r>
              <w:rPr>
                <w:rFonts w:hint="default" w:ascii="Times New Roman" w:hAnsi="Times New Roman" w:eastAsia="宋体" w:cs="Times New Roman"/>
                <w:color w:val="auto"/>
                <w:kern w:val="0"/>
                <w:sz w:val="21"/>
                <w:szCs w:val="21"/>
                <w:u w:val="none" w:color="auto"/>
                <w:lang w:val="en-US" w:eastAsia="zh-CN"/>
              </w:rPr>
              <w:t xml:space="preserve">                            </w:t>
            </w:r>
            <w:r>
              <w:rPr>
                <w:rFonts w:hint="default" w:ascii="Times New Roman" w:hAnsi="Times New Roman" w:eastAsia="宋体" w:cs="Times New Roman"/>
                <w:color w:val="auto"/>
                <w:kern w:val="0"/>
                <w:sz w:val="21"/>
                <w:szCs w:val="21"/>
                <w:u w:val="none" w:color="auto"/>
                <w:lang w:eastAsia="zh-CN"/>
              </w:rPr>
              <w:t>）</w:t>
            </w:r>
          </w:p>
          <w:p>
            <w:pPr>
              <w:adjustRightInd/>
              <w:snapToGrid/>
              <w:spacing w:line="240" w:lineRule="auto"/>
              <w:ind w:firstLine="0" w:firstLineChars="0"/>
              <w:jc w:val="both"/>
              <w:rPr>
                <w:rFonts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u w:val="none" w:color="auto"/>
                <w:lang w:eastAsia="zh-CN"/>
              </w:rPr>
              <w:t>其他</w:t>
            </w:r>
            <w:r>
              <w:rPr>
                <w:rFonts w:hint="default" w:ascii="Times New Roman" w:hAnsi="Times New Roman" w:eastAsia="宋体" w:cs="Times New Roman"/>
                <w:color w:val="auto"/>
                <w:kern w:val="0"/>
                <w:sz w:val="21"/>
                <w:szCs w:val="21"/>
                <w:u w:val="none" w:color="auto"/>
              </w:rPr>
              <w:sym w:font="Wingdings 2" w:char="00A3"/>
            </w:r>
            <w:r>
              <w:rPr>
                <w:rFonts w:hint="default" w:ascii="Times New Roman" w:hAnsi="Times New Roman" w:eastAsia="宋体" w:cs="Times New Roman"/>
                <w:color w:val="auto"/>
                <w:kern w:val="0"/>
                <w:sz w:val="21"/>
                <w:szCs w:val="21"/>
                <w:u w:val="none" w:color="auto"/>
                <w:lang w:eastAsia="zh-CN"/>
              </w:rPr>
              <w:t>（</w:t>
            </w:r>
            <w:r>
              <w:rPr>
                <w:rFonts w:hint="default" w:ascii="Times New Roman" w:hAnsi="Times New Roman" w:eastAsia="宋体" w:cs="Times New Roman"/>
                <w:color w:val="auto"/>
                <w:kern w:val="0"/>
                <w:sz w:val="21"/>
                <w:szCs w:val="21"/>
                <w:u w:val="none" w:color="auto"/>
                <w:lang w:val="en-US" w:eastAsia="zh-CN"/>
              </w:rPr>
              <w:t xml:space="preserve">                                </w:t>
            </w:r>
            <w:r>
              <w:rPr>
                <w:rFonts w:hint="default" w:ascii="Times New Roman" w:hAnsi="Times New Roman" w:eastAsia="宋体" w:cs="Times New Roman"/>
                <w:color w:val="auto"/>
                <w:kern w:val="0"/>
                <w:sz w:val="21"/>
                <w:szCs w:val="21"/>
                <w:u w:val="none" w:color="auto"/>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2582" w:type="dxa"/>
            <w:gridSpan w:val="2"/>
            <w:noWrap w:val="0"/>
            <w:vAlign w:val="center"/>
          </w:tcPr>
          <w:p>
            <w:pPr>
              <w:adjustRightInd/>
              <w:snapToGrid/>
              <w:spacing w:line="240" w:lineRule="auto"/>
              <w:ind w:firstLine="0" w:firstLineChars="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评价等级</w:t>
            </w:r>
          </w:p>
        </w:tc>
        <w:tc>
          <w:tcPr>
            <w:tcW w:w="6410"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ascii="Times New Roman" w:hAnsi="Times New Roman" w:eastAsia="宋体" w:cs="Times New Roman"/>
                <w:color w:val="auto"/>
                <w:sz w:val="21"/>
                <w:szCs w:val="21"/>
              </w:rPr>
              <w:t>一级</w:t>
            </w:r>
            <w:r>
              <w:rPr>
                <w:rFonts w:hint="eastAsia" w:cs="Times New Roman"/>
                <w:color w:val="auto"/>
                <w:sz w:val="21"/>
                <w:szCs w:val="21"/>
                <w:lang w:eastAsia="zh-CN"/>
              </w:rPr>
              <w:t>☑</w:t>
            </w:r>
            <w:r>
              <w:rPr>
                <w:rFonts w:hint="eastAsia" w:ascii="Times New Roman" w:hAnsi="Times New Roman" w:eastAsia="宋体" w:cs="Times New Roman"/>
                <w:color w:val="auto"/>
                <w:sz w:val="21"/>
                <w:szCs w:val="21"/>
              </w:rPr>
              <w:t xml:space="preserve">   </w:t>
            </w:r>
            <w:r>
              <w:rPr>
                <w:rFonts w:ascii="Times New Roman" w:hAnsi="Times New Roman" w:eastAsia="宋体" w:cs="Times New Roman"/>
                <w:color w:val="auto"/>
                <w:sz w:val="21"/>
                <w:szCs w:val="21"/>
              </w:rPr>
              <w:t>二级</w:t>
            </w:r>
            <w:r>
              <w:rPr>
                <w:rFonts w:ascii="Times New Roman" w:hAnsi="Times New Roman" w:eastAsia="宋体" w:cs="Times New Roman"/>
                <w:color w:val="auto"/>
                <w:sz w:val="21"/>
                <w:szCs w:val="21"/>
              </w:rPr>
              <w:sym w:font="Wingdings 2" w:char="00A3"/>
            </w:r>
            <w:r>
              <w:rPr>
                <w:rFonts w:ascii="Times New Roman" w:hAnsi="Times New Roman" w:eastAsia="宋体" w:cs="Times New Roman"/>
                <w:color w:val="auto"/>
                <w:sz w:val="21"/>
                <w:szCs w:val="21"/>
              </w:rPr>
              <w:t></w:t>
            </w:r>
            <w:r>
              <w:rPr>
                <w:rFonts w:hint="eastAsia" w:ascii="Times New Roman" w:hAnsi="Times New Roman" w:eastAsia="宋体" w:cs="Times New Roman"/>
                <w:color w:val="auto"/>
                <w:sz w:val="21"/>
                <w:szCs w:val="21"/>
              </w:rPr>
              <w:t xml:space="preserve"> </w:t>
            </w:r>
            <w:r>
              <w:rPr>
                <w:rFonts w:ascii="Times New Roman" w:hAnsi="Times New Roman" w:eastAsia="宋体" w:cs="Times New Roman"/>
                <w:color w:val="auto"/>
                <w:sz w:val="21"/>
                <w:szCs w:val="21"/>
              </w:rPr>
              <w:t>三级</w:t>
            </w:r>
            <w:r>
              <w:rPr>
                <w:rFonts w:hint="eastAsia" w:cs="Times New Roman"/>
                <w:color w:val="auto"/>
                <w:sz w:val="21"/>
                <w:szCs w:val="21"/>
                <w:lang w:eastAsia="zh-CN"/>
              </w:rPr>
              <w:t>□</w:t>
            </w:r>
            <w:r>
              <w:rPr>
                <w:rFonts w:hint="eastAsia" w:ascii="Times New Roman" w:hAnsi="Times New Roman" w:eastAsia="宋体" w:cs="Times New Roman"/>
                <w:color w:val="auto"/>
                <w:sz w:val="21"/>
                <w:szCs w:val="21"/>
              </w:rPr>
              <w:t xml:space="preserve">  </w:t>
            </w:r>
            <w:r>
              <w:rPr>
                <w:rFonts w:ascii="Times New Roman" w:hAnsi="Times New Roman" w:eastAsia="宋体" w:cs="Times New Roman"/>
                <w:color w:val="auto"/>
                <w:sz w:val="21"/>
                <w:szCs w:val="21"/>
              </w:rPr>
              <w:t>生态影响简单分析</w:t>
            </w:r>
            <w:r>
              <w:rPr>
                <w:rFonts w:ascii="Times New Roman" w:hAnsi="Times New Roman" w:eastAsia="宋体" w:cs="Times New Roman"/>
                <w:color w:val="auto"/>
                <w:sz w:val="21"/>
                <w:szCs w:val="21"/>
              </w:rPr>
              <w:sym w:font="Wingdings 2" w:char="00A3"/>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2582" w:type="dxa"/>
            <w:gridSpan w:val="2"/>
            <w:noWrap w:val="0"/>
            <w:vAlign w:val="center"/>
          </w:tcPr>
          <w:p>
            <w:pPr>
              <w:adjustRightInd/>
              <w:snapToGrid/>
              <w:spacing w:line="240" w:lineRule="auto"/>
              <w:ind w:firstLine="0" w:firstLineChars="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评价范围</w:t>
            </w:r>
          </w:p>
        </w:tc>
        <w:tc>
          <w:tcPr>
            <w:tcW w:w="6410"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ascii="Times New Roman" w:hAnsi="Times New Roman" w:eastAsia="宋体" w:cs="Times New Roman"/>
                <w:color w:val="auto"/>
                <w:sz w:val="21"/>
                <w:szCs w:val="21"/>
              </w:rPr>
              <w:t>陆域面积：（</w:t>
            </w:r>
            <w:r>
              <w:rPr>
                <w:rFonts w:hint="eastAsia" w:cs="Times New Roman"/>
                <w:color w:val="auto"/>
                <w:sz w:val="21"/>
                <w:szCs w:val="21"/>
                <w:lang w:val="en-US" w:eastAsia="zh-CN"/>
              </w:rPr>
              <w:t>5.075</w:t>
            </w:r>
            <w:r>
              <w:rPr>
                <w:rFonts w:ascii="Times New Roman" w:hAnsi="Times New Roman" w:eastAsia="宋体" w:cs="Times New Roman"/>
                <w:color w:val="auto"/>
                <w:sz w:val="21"/>
                <w:szCs w:val="21"/>
              </w:rPr>
              <w:t>）km</w:t>
            </w:r>
            <w:r>
              <w:rPr>
                <w:rFonts w:ascii="Times New Roman" w:hAnsi="Times New Roman" w:eastAsia="宋体" w:cs="Times New Roman"/>
                <w:color w:val="auto"/>
                <w:sz w:val="21"/>
                <w:szCs w:val="21"/>
                <w:vertAlign w:val="superscript"/>
              </w:rPr>
              <w:t>2</w:t>
            </w:r>
            <w:r>
              <w:rPr>
                <w:rFonts w:ascii="Times New Roman" w:hAnsi="Times New Roman" w:eastAsia="宋体" w:cs="Times New Roman"/>
                <w:color w:val="auto"/>
                <w:sz w:val="21"/>
                <w:szCs w:val="21"/>
              </w:rPr>
              <w:t>；水域面积：（）km</w:t>
            </w:r>
            <w:r>
              <w:rPr>
                <w:rFonts w:ascii="Times New Roman" w:hAnsi="Times New Roman" w:eastAsia="宋体" w:cs="Times New Roman"/>
                <w:color w:val="auto"/>
                <w:sz w:val="21"/>
                <w:szCs w:val="21"/>
                <w:vertAlign w:val="superscript"/>
              </w:rPr>
              <w:t>2</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091" w:type="dxa"/>
            <w:vMerge w:val="restart"/>
            <w:noWrap w:val="0"/>
            <w:vAlign w:val="center"/>
          </w:tcPr>
          <w:p>
            <w:pPr>
              <w:adjustRightInd/>
              <w:snapToGrid/>
              <w:spacing w:line="240" w:lineRule="auto"/>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生态</w:t>
            </w:r>
            <w:r>
              <w:rPr>
                <w:rFonts w:ascii="Times New Roman" w:hAnsi="Times New Roman" w:eastAsia="宋体" w:cs="Times New Roman"/>
                <w:color w:val="auto"/>
                <w:sz w:val="21"/>
                <w:szCs w:val="21"/>
              </w:rPr>
              <w:t>现状</w:t>
            </w:r>
            <w:r>
              <w:rPr>
                <w:rFonts w:hint="eastAsia" w:ascii="Times New Roman" w:hAnsi="Times New Roman" w:eastAsia="宋体" w:cs="Times New Roman"/>
                <w:color w:val="auto"/>
                <w:sz w:val="21"/>
                <w:szCs w:val="21"/>
              </w:rPr>
              <w:t>调查与</w:t>
            </w:r>
            <w:r>
              <w:rPr>
                <w:rFonts w:ascii="Times New Roman" w:hAnsi="Times New Roman" w:eastAsia="宋体" w:cs="Times New Roman"/>
                <w:color w:val="auto"/>
                <w:sz w:val="21"/>
                <w:szCs w:val="21"/>
              </w:rPr>
              <w:t>评价</w:t>
            </w:r>
          </w:p>
        </w:tc>
        <w:tc>
          <w:tcPr>
            <w:tcW w:w="1491"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调查方法</w:t>
            </w:r>
          </w:p>
        </w:tc>
        <w:tc>
          <w:tcPr>
            <w:tcW w:w="6410"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lang w:eastAsia="zh-CN"/>
              </w:rPr>
            </w:pPr>
            <w:r>
              <w:rPr>
                <w:rFonts w:ascii="Times New Roman" w:hAnsi="Times New Roman" w:eastAsia="宋体" w:cs="Times New Roman"/>
                <w:color w:val="auto"/>
                <w:sz w:val="21"/>
                <w:szCs w:val="21"/>
              </w:rPr>
              <w:t>资料收集</w:t>
            </w:r>
            <w:r>
              <w:rPr>
                <w:rFonts w:hint="eastAsia" w:ascii="Times New Roman" w:hAnsi="Times New Roman" w:eastAsia="宋体" w:cs="Times New Roman"/>
                <w:color w:val="auto"/>
                <w:sz w:val="21"/>
                <w:szCs w:val="21"/>
              </w:rPr>
              <w:sym w:font="Wingdings 2" w:char="0052"/>
            </w:r>
            <w:r>
              <w:rPr>
                <w:rFonts w:ascii="Times New Roman" w:hAnsi="Times New Roman" w:eastAsia="宋体" w:cs="Times New Roman"/>
                <w:color w:val="auto"/>
                <w:sz w:val="21"/>
                <w:szCs w:val="21"/>
              </w:rPr>
              <w:t>；遥感调查</w:t>
            </w:r>
            <w:r>
              <w:rPr>
                <w:rFonts w:ascii="Times New Roman" w:hAnsi="Times New Roman" w:eastAsia="宋体" w:cs="Times New Roman"/>
                <w:color w:val="auto"/>
                <w:sz w:val="21"/>
                <w:szCs w:val="21"/>
              </w:rPr>
              <w:sym w:font="Wingdings 2" w:char="00A3"/>
            </w:r>
            <w:r>
              <w:rPr>
                <w:rFonts w:ascii="Times New Roman" w:hAnsi="Times New Roman" w:eastAsia="宋体" w:cs="Times New Roman"/>
                <w:color w:val="auto"/>
                <w:sz w:val="21"/>
                <w:szCs w:val="21"/>
              </w:rPr>
              <w:t>；调查样方、样线</w:t>
            </w:r>
            <w:r>
              <w:rPr>
                <w:rFonts w:ascii="Times New Roman" w:hAnsi="Times New Roman" w:eastAsia="宋体" w:cs="Times New Roman"/>
                <w:color w:val="auto"/>
                <w:sz w:val="21"/>
                <w:szCs w:val="21"/>
              </w:rPr>
              <w:sym w:font="Wingdings 2" w:char="0052"/>
            </w:r>
            <w:r>
              <w:rPr>
                <w:rFonts w:ascii="Times New Roman" w:hAnsi="Times New Roman" w:eastAsia="宋体" w:cs="Times New Roman"/>
                <w:color w:val="auto"/>
                <w:sz w:val="21"/>
                <w:szCs w:val="21"/>
              </w:rPr>
              <w:t>；调查点位、断面□；专家和公众咨询法</w:t>
            </w:r>
            <w:r>
              <w:rPr>
                <w:rFonts w:hint="eastAsia" w:ascii="Times New Roman" w:hAnsi="Times New Roman" w:eastAsia="宋体" w:cs="Times New Roman"/>
                <w:color w:val="auto"/>
                <w:sz w:val="21"/>
                <w:szCs w:val="21"/>
              </w:rPr>
              <w:t>☑</w:t>
            </w:r>
            <w:r>
              <w:rPr>
                <w:rFonts w:ascii="Times New Roman" w:hAnsi="Times New Roman" w:eastAsia="宋体" w:cs="Times New Roman"/>
                <w:color w:val="auto"/>
                <w:sz w:val="21"/>
                <w:szCs w:val="21"/>
              </w:rPr>
              <w:t>；其他</w:t>
            </w:r>
            <w:r>
              <w:rPr>
                <w:rFonts w:hint="eastAsia" w:ascii="Times New Roman" w:hAnsi="Times New Roman" w:eastAsia="宋体" w:cs="Times New Roman"/>
                <w:color w:val="auto"/>
                <w:sz w:val="21"/>
                <w:szCs w:val="21"/>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091" w:type="dxa"/>
            <w:vMerge w:val="continue"/>
            <w:noWrap w:val="0"/>
            <w:vAlign w:val="center"/>
          </w:tcPr>
          <w:p>
            <w:pPr>
              <w:adjustRightInd/>
              <w:snapToGrid/>
              <w:spacing w:line="240" w:lineRule="auto"/>
              <w:ind w:firstLine="0" w:firstLineChars="0"/>
              <w:jc w:val="center"/>
              <w:rPr>
                <w:rFonts w:ascii="Times New Roman" w:hAnsi="Times New Roman" w:eastAsia="宋体" w:cs="Times New Roman"/>
                <w:color w:val="auto"/>
                <w:sz w:val="21"/>
                <w:szCs w:val="21"/>
              </w:rPr>
            </w:pPr>
          </w:p>
        </w:tc>
        <w:tc>
          <w:tcPr>
            <w:tcW w:w="1491"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调查时间</w:t>
            </w:r>
          </w:p>
        </w:tc>
        <w:tc>
          <w:tcPr>
            <w:tcW w:w="6410"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lang w:eastAsia="zh-CN"/>
              </w:rPr>
            </w:pPr>
            <w:r>
              <w:rPr>
                <w:rFonts w:ascii="Times New Roman" w:hAnsi="Times New Roman" w:eastAsia="宋体" w:cs="Times New Roman"/>
                <w:color w:val="auto"/>
                <w:sz w:val="21"/>
                <w:szCs w:val="21"/>
              </w:rPr>
              <w:t>春季</w:t>
            </w:r>
            <w:r>
              <w:rPr>
                <w:rFonts w:hint="eastAsia" w:eastAsia="宋体" w:cs="Times New Roman"/>
                <w:color w:val="auto"/>
                <w:sz w:val="21"/>
                <w:szCs w:val="21"/>
                <w:lang w:eastAsia="zh-CN"/>
              </w:rPr>
              <w:t>☑</w:t>
            </w:r>
            <w:r>
              <w:rPr>
                <w:rFonts w:ascii="Times New Roman" w:hAnsi="Times New Roman" w:eastAsia="宋体" w:cs="Times New Roman"/>
                <w:color w:val="auto"/>
                <w:sz w:val="21"/>
                <w:szCs w:val="21"/>
              </w:rPr>
              <w:t>；夏季</w:t>
            </w:r>
            <w:r>
              <w:rPr>
                <w:rFonts w:ascii="Times New Roman" w:hAnsi="Times New Roman" w:eastAsia="宋体" w:cs="Times New Roman"/>
                <w:color w:val="auto"/>
                <w:sz w:val="21"/>
                <w:szCs w:val="21"/>
              </w:rPr>
              <w:sym w:font="Wingdings 2" w:char="00A3"/>
            </w:r>
            <w:r>
              <w:rPr>
                <w:rFonts w:ascii="Times New Roman" w:hAnsi="Times New Roman" w:eastAsia="宋体" w:cs="Times New Roman"/>
                <w:color w:val="auto"/>
                <w:sz w:val="21"/>
                <w:szCs w:val="21"/>
              </w:rPr>
              <w:t>；秋季</w:t>
            </w:r>
            <w:r>
              <w:rPr>
                <w:rFonts w:hint="eastAsia" w:eastAsia="宋体" w:cs="Times New Roman"/>
                <w:color w:val="auto"/>
                <w:sz w:val="21"/>
                <w:szCs w:val="21"/>
                <w:lang w:eastAsia="zh-CN"/>
              </w:rPr>
              <w:t>□</w:t>
            </w:r>
            <w:r>
              <w:rPr>
                <w:rFonts w:ascii="Times New Roman" w:hAnsi="Times New Roman" w:eastAsia="宋体" w:cs="Times New Roman"/>
                <w:color w:val="auto"/>
                <w:sz w:val="21"/>
                <w:szCs w:val="21"/>
              </w:rPr>
              <w:t>；冬季</w:t>
            </w:r>
            <w:r>
              <w:rPr>
                <w:rFonts w:hint="eastAsia" w:ascii="Times New Roman" w:hAnsi="Times New Roman" w:eastAsia="宋体" w:cs="Times New Roman"/>
                <w:color w:val="auto"/>
                <w:sz w:val="21"/>
                <w:szCs w:val="21"/>
                <w:lang w:eastAsia="zh-CN"/>
              </w:rPr>
              <w:t>□</w:t>
            </w:r>
          </w:p>
          <w:p>
            <w:pPr>
              <w:adjustRightInd/>
              <w:snapToGrid/>
              <w:spacing w:line="240" w:lineRule="auto"/>
              <w:ind w:firstLine="0" w:firstLineChars="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丰水期</w:t>
            </w:r>
            <w:r>
              <w:rPr>
                <w:rFonts w:ascii="Times New Roman" w:hAnsi="Times New Roman" w:eastAsia="宋体" w:cs="Times New Roman"/>
                <w:color w:val="auto"/>
                <w:sz w:val="21"/>
                <w:szCs w:val="21"/>
              </w:rPr>
              <w:sym w:font="Wingdings 2" w:char="0052"/>
            </w:r>
            <w:r>
              <w:rPr>
                <w:rFonts w:ascii="Times New Roman" w:hAnsi="Times New Roman" w:eastAsia="宋体" w:cs="Times New Roman"/>
                <w:color w:val="auto"/>
                <w:sz w:val="21"/>
                <w:szCs w:val="21"/>
              </w:rPr>
              <w:t>；枯水期□；平水期□</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091" w:type="dxa"/>
            <w:vMerge w:val="continue"/>
            <w:noWrap w:val="0"/>
            <w:vAlign w:val="center"/>
          </w:tcPr>
          <w:p>
            <w:pPr>
              <w:adjustRightInd/>
              <w:snapToGrid/>
              <w:spacing w:line="240" w:lineRule="auto"/>
              <w:ind w:firstLine="0" w:firstLineChars="0"/>
              <w:jc w:val="center"/>
              <w:rPr>
                <w:rFonts w:ascii="Times New Roman" w:hAnsi="Times New Roman" w:eastAsia="宋体" w:cs="Times New Roman"/>
                <w:color w:val="auto"/>
                <w:sz w:val="21"/>
                <w:szCs w:val="21"/>
              </w:rPr>
            </w:pPr>
          </w:p>
        </w:tc>
        <w:tc>
          <w:tcPr>
            <w:tcW w:w="1491"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所在区域的生态问题</w:t>
            </w:r>
          </w:p>
        </w:tc>
        <w:tc>
          <w:tcPr>
            <w:tcW w:w="6410"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ascii="Times New Roman" w:hAnsi="Times New Roman" w:eastAsia="宋体" w:cs="Times New Roman"/>
                <w:color w:val="auto"/>
                <w:sz w:val="21"/>
                <w:szCs w:val="21"/>
              </w:rPr>
              <w:t>水土流失</w:t>
            </w:r>
            <w:r>
              <w:rPr>
                <w:rFonts w:ascii="Times New Roman" w:hAnsi="Times New Roman" w:eastAsia="宋体" w:cs="Times New Roman"/>
                <w:color w:val="auto"/>
                <w:sz w:val="21"/>
                <w:szCs w:val="21"/>
              </w:rPr>
              <w:sym w:font="Wingdings 2" w:char="00A3"/>
            </w:r>
            <w:r>
              <w:rPr>
                <w:rFonts w:ascii="Times New Roman" w:hAnsi="Times New Roman" w:eastAsia="宋体" w:cs="Times New Roman"/>
                <w:color w:val="auto"/>
                <w:sz w:val="21"/>
                <w:szCs w:val="21"/>
              </w:rPr>
              <w:t>；沙漠化□；石漠化□；盐渍化□；生物入侵</w:t>
            </w:r>
            <w:r>
              <w:rPr>
                <w:rFonts w:hint="eastAsia" w:eastAsia="宋体" w:cs="Times New Roman"/>
                <w:color w:val="auto"/>
                <w:sz w:val="21"/>
                <w:szCs w:val="21"/>
                <w:lang w:eastAsia="zh-CN"/>
              </w:rPr>
              <w:t>□</w:t>
            </w:r>
            <w:r>
              <w:rPr>
                <w:rFonts w:ascii="Times New Roman" w:hAnsi="Times New Roman" w:eastAsia="宋体" w:cs="Times New Roman"/>
                <w:color w:val="auto"/>
                <w:sz w:val="21"/>
                <w:szCs w:val="21"/>
              </w:rPr>
              <w:t>；污染危害□；其他</w:t>
            </w:r>
            <w:r>
              <w:rPr>
                <w:rFonts w:ascii="Times New Roman" w:hAnsi="Times New Roman" w:eastAsia="宋体" w:cs="Times New Roman"/>
                <w:color w:val="auto"/>
                <w:sz w:val="21"/>
                <w:szCs w:val="21"/>
              </w:rPr>
              <w:sym w:font="Wingdings 2" w:char="0052"/>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091" w:type="dxa"/>
            <w:vMerge w:val="continue"/>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p>
        </w:tc>
        <w:tc>
          <w:tcPr>
            <w:tcW w:w="1491"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评价内容</w:t>
            </w:r>
          </w:p>
        </w:tc>
        <w:tc>
          <w:tcPr>
            <w:tcW w:w="6410"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植被/植物群落</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rPr>
              <w:t>；土地利用</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rPr>
              <w:t>；生态系统</w:t>
            </w:r>
            <w:r>
              <w:rPr>
                <w:rFonts w:hint="eastAsia" w:ascii="Times New Roman" w:hAnsi="Times New Roman" w:eastAsia="宋体" w:cs="Times New Roman"/>
                <w:color w:val="auto"/>
                <w:sz w:val="21"/>
                <w:szCs w:val="21"/>
              </w:rPr>
              <w:sym w:font="Wingdings 2" w:char="0052"/>
            </w:r>
            <w:r>
              <w:rPr>
                <w:rFonts w:hint="eastAsia" w:ascii="Times New Roman" w:hAnsi="Times New Roman" w:eastAsia="宋体" w:cs="Times New Roman"/>
                <w:color w:val="auto"/>
                <w:sz w:val="21"/>
                <w:szCs w:val="21"/>
              </w:rPr>
              <w:t>；生物多样性</w:t>
            </w:r>
            <w:r>
              <w:rPr>
                <w:rFonts w:hint="eastAsia" w:ascii="Times New Roman" w:hAnsi="Times New Roman" w:eastAsia="宋体" w:cs="Times New Roman"/>
                <w:color w:val="auto"/>
                <w:sz w:val="21"/>
                <w:szCs w:val="21"/>
              </w:rPr>
              <w:sym w:font="Wingdings 2" w:char="0052"/>
            </w:r>
            <w:r>
              <w:rPr>
                <w:rFonts w:hint="eastAsia" w:ascii="Times New Roman" w:hAnsi="Times New Roman" w:eastAsia="宋体" w:cs="Times New Roman"/>
                <w:color w:val="auto"/>
                <w:sz w:val="21"/>
                <w:szCs w:val="21"/>
              </w:rPr>
              <w:t>；重要物种□；生态敏感区□；其他</w:t>
            </w:r>
            <w:r>
              <w:rPr>
                <w:rFonts w:hint="eastAsia" w:ascii="Times New Roman" w:hAnsi="Times New Roman" w:eastAsia="宋体" w:cs="Times New Roman"/>
                <w:color w:val="auto"/>
                <w:sz w:val="21"/>
                <w:szCs w:val="21"/>
              </w:rPr>
              <w:sym w:font="Wingdings 2" w:char="0052"/>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091" w:type="dxa"/>
            <w:vMerge w:val="restart"/>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生态影响预测与评价</w:t>
            </w:r>
          </w:p>
        </w:tc>
        <w:tc>
          <w:tcPr>
            <w:tcW w:w="1491"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评价方法</w:t>
            </w:r>
          </w:p>
        </w:tc>
        <w:tc>
          <w:tcPr>
            <w:tcW w:w="6410"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定性</w:t>
            </w:r>
            <w:r>
              <w:rPr>
                <w:rFonts w:hint="eastAsia" w:ascii="Times New Roman" w:hAnsi="Times New Roman" w:eastAsia="宋体" w:cs="Times New Roman"/>
                <w:color w:val="auto"/>
                <w:sz w:val="21"/>
                <w:szCs w:val="21"/>
              </w:rPr>
              <w:sym w:font="Wingdings 2" w:char="0052"/>
            </w:r>
            <w:r>
              <w:rPr>
                <w:rFonts w:hint="eastAsia" w:ascii="Times New Roman" w:hAnsi="Times New Roman" w:eastAsia="宋体" w:cs="Times New Roman"/>
                <w:color w:val="auto"/>
                <w:sz w:val="21"/>
                <w:szCs w:val="21"/>
              </w:rPr>
              <w:t>；定性和定量</w:t>
            </w:r>
            <w:r>
              <w:rPr>
                <w:rFonts w:hint="eastAsia" w:ascii="Times New Roman" w:hAnsi="Times New Roman" w:eastAsia="宋体" w:cs="Times New Roman"/>
                <w:color w:val="auto"/>
                <w:sz w:val="21"/>
                <w:szCs w:val="21"/>
              </w:rPr>
              <w:sym w:font="Wingdings 2" w:char="00A3"/>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091" w:type="dxa"/>
            <w:vMerge w:val="continue"/>
            <w:noWrap/>
            <w:vAlign w:val="bottom"/>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p>
        </w:tc>
        <w:tc>
          <w:tcPr>
            <w:tcW w:w="1491"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评价内容</w:t>
            </w:r>
          </w:p>
        </w:tc>
        <w:tc>
          <w:tcPr>
            <w:tcW w:w="6410"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植被/植物群落</w:t>
            </w:r>
            <w:r>
              <w:rPr>
                <w:rFonts w:hint="eastAsia" w:ascii="Times New Roman" w:hAnsi="Times New Roman" w:eastAsia="宋体" w:cs="Times New Roman"/>
                <w:color w:val="auto"/>
                <w:sz w:val="21"/>
                <w:szCs w:val="21"/>
              </w:rPr>
              <w:sym w:font="Wingdings 2" w:char="0052"/>
            </w:r>
            <w:r>
              <w:rPr>
                <w:rFonts w:hint="eastAsia" w:ascii="Times New Roman" w:hAnsi="Times New Roman" w:eastAsia="宋体" w:cs="Times New Roman"/>
                <w:color w:val="auto"/>
                <w:sz w:val="21"/>
                <w:szCs w:val="21"/>
              </w:rPr>
              <w:t>；土地利用</w:t>
            </w:r>
            <w:r>
              <w:rPr>
                <w:rFonts w:hint="eastAsia" w:ascii="Times New Roman" w:hAnsi="Times New Roman" w:eastAsia="宋体" w:cs="Times New Roman"/>
                <w:color w:val="auto"/>
                <w:sz w:val="21"/>
                <w:szCs w:val="21"/>
              </w:rPr>
              <w:sym w:font="Wingdings 2" w:char="0052"/>
            </w:r>
            <w:r>
              <w:rPr>
                <w:rFonts w:hint="eastAsia" w:ascii="Times New Roman" w:hAnsi="Times New Roman" w:eastAsia="宋体" w:cs="Times New Roman"/>
                <w:color w:val="auto"/>
                <w:sz w:val="21"/>
                <w:szCs w:val="21"/>
              </w:rPr>
              <w:t>；生态系统</w:t>
            </w:r>
            <w:r>
              <w:rPr>
                <w:rFonts w:hint="eastAsia" w:ascii="Times New Roman" w:hAnsi="Times New Roman" w:eastAsia="宋体" w:cs="Times New Roman"/>
                <w:color w:val="auto"/>
                <w:sz w:val="21"/>
                <w:szCs w:val="21"/>
              </w:rPr>
              <w:sym w:font="Wingdings 2" w:char="00A3"/>
            </w:r>
            <w:r>
              <w:rPr>
                <w:rFonts w:hint="eastAsia" w:ascii="Times New Roman" w:hAnsi="Times New Roman" w:eastAsia="宋体" w:cs="Times New Roman"/>
                <w:color w:val="auto"/>
                <w:sz w:val="21"/>
                <w:szCs w:val="21"/>
              </w:rPr>
              <w:t>；生物多样性</w:t>
            </w:r>
            <w:r>
              <w:rPr>
                <w:rFonts w:hint="eastAsia" w:ascii="Times New Roman" w:hAnsi="Times New Roman" w:eastAsia="宋体" w:cs="Times New Roman"/>
                <w:color w:val="auto"/>
                <w:sz w:val="21"/>
                <w:szCs w:val="21"/>
              </w:rPr>
              <w:sym w:font="Wingdings 2" w:char="00A3"/>
            </w:r>
            <w:r>
              <w:rPr>
                <w:rFonts w:hint="eastAsia" w:ascii="Times New Roman" w:hAnsi="Times New Roman" w:eastAsia="宋体" w:cs="Times New Roman"/>
                <w:color w:val="auto"/>
                <w:sz w:val="21"/>
                <w:szCs w:val="21"/>
              </w:rPr>
              <w:t>；重要物种</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rPr>
              <w:t>；生态敏感区</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rPr>
              <w:t>；生物入侵风险□；其他</w:t>
            </w:r>
            <w:r>
              <w:rPr>
                <w:rFonts w:hint="eastAsia" w:ascii="Times New Roman" w:hAnsi="Times New Roman" w:eastAsia="宋体" w:cs="Times New Roman"/>
                <w:color w:val="auto"/>
                <w:sz w:val="21"/>
                <w:szCs w:val="21"/>
              </w:rPr>
              <w:sym w:font="Wingdings 2" w:char="0052"/>
            </w:r>
            <w:r>
              <w:rPr>
                <w:rFonts w:hint="eastAsia" w:ascii="Times New Roman" w:hAnsi="Times New Roman" w:eastAsia="宋体" w:cs="Times New Roman"/>
                <w:color w:val="auto"/>
                <w:sz w:val="21"/>
                <w:szCs w:val="21"/>
              </w:rPr>
              <w:t></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091" w:type="dxa"/>
            <w:vMerge w:val="restart"/>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生态保护对策措施</w:t>
            </w:r>
          </w:p>
        </w:tc>
        <w:tc>
          <w:tcPr>
            <w:tcW w:w="1491"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对策措施</w:t>
            </w:r>
          </w:p>
        </w:tc>
        <w:tc>
          <w:tcPr>
            <w:tcW w:w="6410"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避让□；减缓</w:t>
            </w:r>
            <w:r>
              <w:rPr>
                <w:rFonts w:hint="eastAsia" w:ascii="Times New Roman" w:hAnsi="Times New Roman" w:eastAsia="宋体" w:cs="Times New Roman"/>
                <w:color w:val="auto"/>
                <w:sz w:val="21"/>
                <w:szCs w:val="21"/>
              </w:rPr>
              <w:sym w:font="Wingdings 2" w:char="00A3"/>
            </w:r>
            <w:r>
              <w:rPr>
                <w:rFonts w:hint="eastAsia" w:ascii="Times New Roman" w:hAnsi="Times New Roman" w:eastAsia="宋体" w:cs="Times New Roman"/>
                <w:color w:val="auto"/>
                <w:sz w:val="21"/>
                <w:szCs w:val="21"/>
              </w:rPr>
              <w:t>；生态修复</w:t>
            </w:r>
            <w:r>
              <w:rPr>
                <w:rFonts w:hint="eastAsia" w:ascii="Times New Roman" w:hAnsi="Times New Roman" w:eastAsia="宋体" w:cs="Times New Roman"/>
                <w:color w:val="auto"/>
                <w:sz w:val="21"/>
                <w:szCs w:val="21"/>
              </w:rPr>
              <w:sym w:font="Wingdings 2" w:char="0052"/>
            </w:r>
            <w:r>
              <w:rPr>
                <w:rFonts w:hint="eastAsia" w:ascii="Times New Roman" w:hAnsi="Times New Roman" w:eastAsia="宋体" w:cs="Times New Roman"/>
                <w:color w:val="auto"/>
                <w:sz w:val="21"/>
                <w:szCs w:val="21"/>
              </w:rPr>
              <w:t>；生态补偿☑；科研□；其他</w:t>
            </w:r>
            <w:r>
              <w:rPr>
                <w:rFonts w:hint="eastAsia" w:ascii="Times New Roman" w:hAnsi="Times New Roman" w:eastAsia="宋体" w:cs="Times New Roman"/>
                <w:color w:val="auto"/>
                <w:sz w:val="21"/>
                <w:szCs w:val="21"/>
              </w:rPr>
              <w:sym w:font="Wingdings 2" w:char="0052"/>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091" w:type="dxa"/>
            <w:vMerge w:val="continue"/>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p>
        </w:tc>
        <w:tc>
          <w:tcPr>
            <w:tcW w:w="1491"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生态监测计划</w:t>
            </w:r>
          </w:p>
        </w:tc>
        <w:tc>
          <w:tcPr>
            <w:tcW w:w="6410"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全生命周期□；长期跟踪□；常规□；无</w:t>
            </w:r>
            <w:r>
              <w:rPr>
                <w:rFonts w:hint="eastAsia" w:ascii="Times New Roman" w:hAnsi="Times New Roman" w:eastAsia="宋体" w:cs="Times New Roman"/>
                <w:color w:val="auto"/>
                <w:sz w:val="21"/>
                <w:szCs w:val="21"/>
              </w:rPr>
              <w:sym w:font="Wingdings 2" w:char="0052"/>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091" w:type="dxa"/>
            <w:vMerge w:val="continue"/>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p>
        </w:tc>
        <w:tc>
          <w:tcPr>
            <w:tcW w:w="1491"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环境管理</w:t>
            </w:r>
          </w:p>
        </w:tc>
        <w:tc>
          <w:tcPr>
            <w:tcW w:w="6410"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环境监理</w:t>
            </w:r>
            <w:r>
              <w:rPr>
                <w:rFonts w:hint="eastAsia" w:ascii="Times New Roman" w:hAnsi="Times New Roman" w:eastAsia="宋体" w:cs="Times New Roman"/>
                <w:color w:val="auto"/>
                <w:sz w:val="21"/>
                <w:szCs w:val="21"/>
              </w:rPr>
              <w:sym w:font="Wingdings 2" w:char="00A3"/>
            </w:r>
            <w:r>
              <w:rPr>
                <w:rFonts w:hint="eastAsia" w:ascii="Times New Roman" w:hAnsi="Times New Roman" w:eastAsia="宋体" w:cs="Times New Roman"/>
                <w:color w:val="auto"/>
                <w:sz w:val="21"/>
                <w:szCs w:val="21"/>
              </w:rPr>
              <w:t>；环境影响后评价□；其他</w:t>
            </w:r>
            <w:r>
              <w:rPr>
                <w:rFonts w:hint="eastAsia" w:ascii="Times New Roman" w:hAnsi="Times New Roman" w:eastAsia="宋体" w:cs="Times New Roman"/>
                <w:color w:val="auto"/>
                <w:sz w:val="21"/>
                <w:szCs w:val="21"/>
              </w:rPr>
              <w:sym w:font="Wingdings 2" w:char="0052"/>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091"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评价结论</w:t>
            </w:r>
          </w:p>
        </w:tc>
        <w:tc>
          <w:tcPr>
            <w:tcW w:w="1491"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生态影响</w:t>
            </w:r>
          </w:p>
        </w:tc>
        <w:tc>
          <w:tcPr>
            <w:tcW w:w="6410"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 xml:space="preserve">可行 </w:t>
            </w:r>
            <w:r>
              <w:rPr>
                <w:rFonts w:hint="eastAsia" w:ascii="Times New Roman" w:hAnsi="Times New Roman" w:eastAsia="宋体" w:cs="Times New Roman"/>
                <w:color w:val="auto"/>
                <w:sz w:val="21"/>
                <w:szCs w:val="21"/>
              </w:rPr>
              <w:sym w:font="Wingdings 2" w:char="0052"/>
            </w:r>
            <w:r>
              <w:rPr>
                <w:rFonts w:hint="eastAsia" w:ascii="Times New Roman" w:hAnsi="Times New Roman" w:eastAsia="宋体" w:cs="Times New Roman"/>
                <w:color w:val="auto"/>
                <w:sz w:val="21"/>
                <w:szCs w:val="21"/>
              </w:rPr>
              <w:t>             不可行□</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992" w:type="dxa"/>
            <w:gridSpan w:val="3"/>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注：“□”，填“√”；“（  ）”为内容填写项</w:t>
            </w:r>
          </w:p>
        </w:tc>
      </w:tr>
    </w:tbl>
    <w:p>
      <w:pPr>
        <w:rPr>
          <w:color w:val="auto"/>
        </w:rPr>
      </w:pPr>
      <w:r>
        <w:rPr>
          <w:color w:val="auto"/>
        </w:rPr>
        <w:br w:type="page"/>
      </w:r>
    </w:p>
    <w:p>
      <w:pPr>
        <w:pStyle w:val="9"/>
        <w:rPr>
          <w:color w:val="auto"/>
        </w:rPr>
      </w:pPr>
    </w:p>
    <w:p>
      <w:pPr>
        <w:pStyle w:val="9"/>
        <w:rPr>
          <w:color w:val="auto"/>
        </w:rPr>
      </w:pPr>
    </w:p>
    <w:p>
      <w:pPr>
        <w:rPr>
          <w:color w:val="auto"/>
        </w:rPr>
      </w:pPr>
    </w:p>
    <w:sectPr>
      <w:footerReference r:id="rId13" w:type="default"/>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5293816-14C6-47AC-9DDB-E275B754178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auto"/>
    <w:pitch w:val="default"/>
    <w:sig w:usb0="00000000" w:usb1="00000000" w:usb2="00082016" w:usb3="00000000" w:csb0="00040001" w:csb1="00000000"/>
    <w:embedRegular r:id="rId2" w:fontKey="{DC4E9CF0-E625-4213-B9A7-CC3D23C2FAF3}"/>
  </w:font>
  <w:font w:name="等线">
    <w:panose1 w:val="02010600030101010101"/>
    <w:charset w:val="86"/>
    <w:family w:val="auto"/>
    <w:pitch w:val="default"/>
    <w:sig w:usb0="A00002BF" w:usb1="38CF7CFA" w:usb2="00000016" w:usb3="00000000" w:csb0="0004000F" w:csb1="00000000"/>
    <w:embedRegular r:id="rId3" w:fontKey="{B658378F-CE33-452F-B1E2-2E049E1E87FB}"/>
  </w:font>
  <w:font w:name="仿宋_GB2312">
    <w:panose1 w:val="02010609030101010101"/>
    <w:charset w:val="86"/>
    <w:family w:val="modern"/>
    <w:pitch w:val="default"/>
    <w:sig w:usb0="00000001" w:usb1="080E0000" w:usb2="00000000" w:usb3="00000000" w:csb0="00040000" w:csb1="00000000"/>
    <w:embedRegular r:id="rId4" w:fontKey="{18CE2CA2-263A-4551-874F-F80E921772C9}"/>
  </w:font>
  <w:font w:name="楷体_GB2312">
    <w:altName w:val="楷体"/>
    <w:panose1 w:val="02010609030101010101"/>
    <w:charset w:val="86"/>
    <w:family w:val="modern"/>
    <w:pitch w:val="default"/>
    <w:sig w:usb0="00000000" w:usb1="00000000" w:usb2="00000000" w:usb3="00000000" w:csb0="00040000" w:csb1="00000000"/>
    <w:embedRegular r:id="rId5" w:fontKey="{6E0F7C4D-F813-4246-B9C5-2030257131D0}"/>
  </w:font>
  <w:font w:name="华文仿宋">
    <w:panose1 w:val="02010600040101010101"/>
    <w:charset w:val="86"/>
    <w:family w:val="auto"/>
    <w:pitch w:val="default"/>
    <w:sig w:usb0="00000287" w:usb1="080F0000" w:usb2="00000000" w:usb3="00000000" w:csb0="0004009F" w:csb1="DFD70000"/>
    <w:embedRegular r:id="rId6" w:fontKey="{03A46E3E-1811-4E4E-BF1C-1EBAF1ECE9FF}"/>
  </w:font>
  <w:font w:name="仿宋">
    <w:panose1 w:val="02010609060101010101"/>
    <w:charset w:val="86"/>
    <w:family w:val="auto"/>
    <w:pitch w:val="default"/>
    <w:sig w:usb0="800002BF" w:usb1="38CF7CFA" w:usb2="00000016" w:usb3="00000000" w:csb0="00040001" w:csb1="00000000"/>
    <w:embedRegular r:id="rId7" w:fontKey="{E8D86B24-0F55-4C24-8FE1-72CD2D6D030F}"/>
  </w:font>
  <w:font w:name="Wingdings 2">
    <w:panose1 w:val="05020102010507070707"/>
    <w:charset w:val="02"/>
    <w:family w:val="roman"/>
    <w:pitch w:val="default"/>
    <w:sig w:usb0="00000000" w:usb1="00000000" w:usb2="00000000" w:usb3="00000000" w:csb0="80000000" w:csb1="00000000"/>
    <w:embedRegular r:id="rId8" w:fontKey="{DFB41F3C-DD8F-426E-BB68-C82046D25364}"/>
  </w:font>
  <w:font w:name="新宋体">
    <w:panose1 w:val="02010609030101010101"/>
    <w:charset w:val="86"/>
    <w:family w:val="auto"/>
    <w:pitch w:val="default"/>
    <w:sig w:usb0="00000203" w:usb1="288F0000" w:usb2="00000006" w:usb3="00000000" w:csb0="00040001" w:csb1="00000000"/>
    <w:embedRegular r:id="rId9" w:fontKey="{35E7D40D-5971-4DB8-AD62-C7F9BBC553C4}"/>
  </w:font>
  <w:font w:name="微软雅黑">
    <w:panose1 w:val="020B0503020204020204"/>
    <w:charset w:val="86"/>
    <w:family w:val="auto"/>
    <w:pitch w:val="default"/>
    <w:sig w:usb0="80000287" w:usb1="2ACF3C50" w:usb2="00000016" w:usb3="00000000" w:csb0="0004001F" w:csb1="00000000"/>
    <w:embedRegular r:id="rId10" w:fontKey="{BCAB80EF-0746-4118-B9E1-FD45842FE614}"/>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center" w:y="1"/>
      <w:rPr>
        <w:rStyle w:val="26"/>
      </w:rPr>
    </w:pPr>
    <w:r>
      <w:fldChar w:fldCharType="begin"/>
    </w:r>
    <w:r>
      <w:rPr>
        <w:rStyle w:val="26"/>
      </w:rPr>
      <w:instrText xml:space="preserve">PAGE  </w:instrText>
    </w:r>
    <w:r>
      <w:fldChar w:fldCharType="end"/>
    </w:r>
  </w:p>
  <w:p>
    <w:pPr>
      <w:pStyle w:val="1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right="360"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0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4"/>
                          </w:pPr>
                          <w:r>
                            <w:fldChar w:fldCharType="begin"/>
                          </w:r>
                          <w:r>
                            <w:instrText xml:space="preserve"> PAGE  \* MERGEFORMAT </w:instrText>
                          </w:r>
                          <w:r>
                            <w:fldChar w:fldCharType="separate"/>
                          </w:r>
                          <w:r>
                            <w:t>25</w:t>
                          </w:r>
                          <w:r>
                            <w:fldChar w:fldCharType="end"/>
                          </w:r>
                        </w:p>
                      </w:txbxContent>
                    </wps:txbx>
                    <wps:bodyPr vert="horz" wrap="none" lIns="0" tIns="0" rIns="0" bIns="0" anchor="t" anchorCtr="0">
                      <a:spAutoFit/>
                    </wps:bodyPr>
                  </wps:wsp>
                </a:graphicData>
              </a:graphic>
            </wp:anchor>
          </w:drawing>
        </mc:Choice>
        <mc:Fallback>
          <w:pict>
            <v:shape id="文本框 103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Fj5VNoBAAC1AwAADgAAAGRycy9lMm9Eb2MueG1srVPBjtMwEL0j8Q+W&#10;7zRpkaCqmq6AahESAqSFD3Adp7FkeyyP26R8APwBJy7c+a5+x46dpAu7lz3sJRnPjN+8NzNeX/XW&#10;sKMKqMFVfD4rOVNOQq3dvuLfvl6/WHKGUbhaGHCq4ieF/Grz/Nm68yu1gBZMrQIjEIerzle8jdGv&#10;igJlq6zAGXjlKNhAsCLSMeyLOoiO0K0pFmX5qugg1D6AVIjk3Q5BPiKGxwBC02iptiAPVrk4oAZl&#10;RCRJ2GqPfJPZNo2S8XPToIrMVJyUxvylImTv0rfYrMVqH4RvtRwpiMdQuKfJCu2o6AVqK6Jgh6Af&#10;QFktAyA0cSbBFoOQ3BFSMS/v9eamFV5lLdRq9Jem49PByk/HL4HpuuKvOXPC0sDPv36ef/89//nB&#10;5uXLRepQ53FFiTeeUmP/Fnram8mP5EzC+ybY9CdJjOLU39Olv6qPTKZLy8VyWVJIUmw6EH5xd90H&#10;jO8VWJaMigcaYO6rOH7EOKROKamag2ttTB6icf85CDN5isR94Jis2O/6UdAO6hPpoZdAdVoI3znr&#10;aA8q7mjtOTMfHLU5rcxkhMnYTYZwki5WPHI2mO9iXq1EBP2bQyR2mXQqPdQbGdE0s+xx89K6/HvO&#10;WXevbXML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zql5uc8AAAAFAQAADwAAAAAAAAABACAAAAAi&#10;AAAAZHJzL2Rvd25yZXYueG1sUEsBAhQAFAAAAAgAh07iQORY+VTaAQAAtQMAAA4AAAAAAAAAAQAg&#10;AAAAHgEAAGRycy9lMm9Eb2MueG1sUEsFBgAAAAAGAAYAWQEAAGoFAAAAAA==&#10;">
              <v:fill on="f" focussize="0,0"/>
              <v:stroke on="f"/>
              <v:imagedata o:title=""/>
              <o:lock v:ext="edit" aspectratio="f"/>
              <v:textbox inset="0mm,0mm,0mm,0mm" style="mso-fit-shape-to-text:t;">
                <w:txbxContent>
                  <w:p>
                    <w:pPr>
                      <w:pStyle w:val="14"/>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right="360" w:firstLine="36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0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4"/>
                          </w:pPr>
                          <w:r>
                            <w:fldChar w:fldCharType="begin"/>
                          </w:r>
                          <w:r>
                            <w:instrText xml:space="preserve"> PAGE  \* MERGEFORMAT </w:instrText>
                          </w:r>
                          <w:r>
                            <w:fldChar w:fldCharType="separate"/>
                          </w:r>
                          <w:r>
                            <w:t>40</w:t>
                          </w:r>
                          <w:r>
                            <w:fldChar w:fldCharType="end"/>
                          </w:r>
                        </w:p>
                      </w:txbxContent>
                    </wps:txbx>
                    <wps:bodyPr vert="horz" wrap="none" lIns="0" tIns="0" rIns="0" bIns="0" anchor="t" anchorCtr="0">
                      <a:spAutoFit/>
                    </wps:bodyPr>
                  </wps:wsp>
                </a:graphicData>
              </a:graphic>
            </wp:anchor>
          </w:drawing>
        </mc:Choice>
        <mc:Fallback>
          <w:pict>
            <v:shape id="文本框 103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EpO/doBAAC1AwAADgAAAGRycy9lMm9Eb2MueG1srVPBjtMwEL0j8Q+W&#10;7zRpV0JV1XS1UC1CQoC07Ae4jtNYsj2WPW1SPgD+gBMX7nxXv4Oxk3RhuexhL8l4ZvzmvZnx+rq3&#10;hh1ViBpcxeezkjPlJNTa7St+/+X21ZKziMLVwoBTFT+pyK83L1+sO79SC2jB1CowAnFx1fmKt4h+&#10;VRRRtsqKOAOvHAUbCFYgHcO+qIPoCN2aYlGWr4sOQu0DSBUjebdDkI+I4SmA0DRaqi3Ig1UOB9Sg&#10;jECSFFvtI99ktk2jJH5qmqiQmYqTUsxfKkL2Ln2LzVqs9kH4VsuRgngKhUearNCOil6gtgIFOwT9&#10;H5TVMkCEBmcSbDEIyR0hFfPyUW/uWuFV1kKtjv7S9Ph8sPLj8XNguq44jd0JSwM///h+/vn7/Osb&#10;m5dXV6lDnY8rSrzzlIr9G+hpbyZ/JGcS3jfBpj9JYhSn/p4u/VU9MpkuLRfLZUkhSbHpQPjFw3Uf&#10;Ir5TYFkyKh5ogLmv4vgh4pA6paRqDm61MXmIxv3jIMzkKRL3gWOysN/1o6Ad1CfSQy+B6rQQvnLW&#10;0R5U3NHac2beO2pzWpnJCJOxmwzhJF2sOHI2mG8xr1YiEv3NAYldJp1KD/VGRjTNLHvcvLQuf59z&#10;1sNr2/w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zql5uc8AAAAFAQAADwAAAAAAAAABACAAAAAi&#10;AAAAZHJzL2Rvd25yZXYueG1sUEsBAhQAFAAAAAgAh07iQERKTv3aAQAAtQMAAA4AAAAAAAAAAQAg&#10;AAAAHgEAAGRycy9lMm9Eb2MueG1sUEsFBgAAAAAGAAYAWQEAAGoFAAAAAA==&#10;">
              <v:fill on="f" focussize="0,0"/>
              <v:stroke on="f"/>
              <v:imagedata o:title=""/>
              <o:lock v:ext="edit" aspectratio="f"/>
              <v:textbox inset="0mm,0mm,0mm,0mm" style="mso-fit-shape-to-text:t;">
                <w:txbxContent>
                  <w:p>
                    <w:pPr>
                      <w:pStyle w:val="14"/>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right="360" w:firstLine="36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K5hCotAgAAV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DK5hCotAgAAVwQAAA4AAAAAAAAAAQAgAAAAHwEAAGRycy9lMm9Eb2MueG1sUEsFBgAAAAAG&#10;AAYAWQEAAL4FA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60" w:after="60"/>
      <w:rPr>
        <w:rFonts w:hint="eastAsi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60" w:after="60"/>
      <w:ind w:firstLine="420"/>
      <w:jc w:val="center"/>
      <w:rPr>
        <w:sz w:val="21"/>
        <w:szCs w:val="21"/>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ind w:right="360" w:firstLine="360"/>
      <w:jc w:val="righ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widowControl w:val="0"/>
                            <w:snapToGrid w:val="0"/>
                            <w:ind w:firstLine="36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72</w:t>
                          </w:r>
                          <w:r>
                            <w:rPr>
                              <w:rFonts w:ascii="Times New Roman" w:hAnsi="Times New Roman" w:eastAsia="宋体"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hpDqskBAACbAwAADgAAAGRycy9lMm9Eb2MueG1srVPNjtMwEL4j7TtY&#10;vm+d7WFVoqYrULUrJARICw/gOnZjyX/yuE36AvAGnLhw57n6HIydpAvLZQ9cnPHM+Jv5vpms7wZr&#10;yFFG0N419GZRUSKd8K12+4Z++Xx/vaIEEnctN97Jhp4k0LvN1at1H2q59J03rYwEQRzUfWhol1Ko&#10;GQPRScth4YN0GFQ+Wp7wGvesjbxHdGvYsqpuWe9jG6IXEgC92zFIJ8T4EkCvlBZy68XBSpdG1CgN&#10;T0gJOh2Abkq3SkmRPioFMhHTUGSayolF0N7lk23WvN5HHjotphb4S1p4xsly7bDoBWrLEyeHqP+B&#10;slpED16lhfCWjUSKIsjipnqmzWPHgyxcUGoIF9Hh/8GKD8dPkegWN+E1JY5bnPj5+7fzj1/nn18J&#10;+lCgPkCNeY8BM9Pw1g+YPPsBnZn3oKLNX2REMI7yni7yyiERkR+tlqtVhSGBsfmC+OzpeYiQHqS3&#10;JBsNjTi/Iis/voc0ps4puZrz99qYMkPj/nIgZvaw3PvYY7bSsBsmQjvfnpBPj6NvqMNNp8S8c6hs&#10;3pLZiLOxm41DiHrflTXK9SC8OSRsovSWK4ywU2GcWWE37Vdeij/vJevpn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SGkOqyQEAAJsDAAAOAAAAAAAAAAEAIAAAAB4BAABkcnMvZTJvRG9j&#10;LnhtbFBLBQYAAAAABgAGAFkBAABZBQAAAAA=&#10;">
              <v:fill on="f" focussize="0,0"/>
              <v:stroke on="f"/>
              <v:imagedata o:title=""/>
              <o:lock v:ext="edit" aspectratio="f"/>
              <v:textbox inset="0mm,0mm,0mm,0mm" style="mso-fit-shape-to-text:t;">
                <w:txbxContent>
                  <w:p>
                    <w:pPr>
                      <w:widowControl w:val="0"/>
                      <w:snapToGrid w:val="0"/>
                      <w:ind w:firstLine="36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72</w:t>
                    </w:r>
                    <w:r>
                      <w:rPr>
                        <w:rFonts w:ascii="Times New Roman" w:hAnsi="Times New Roman" w:eastAsia="宋体" w:cs="Times New Roman"/>
                        <w:kern w:val="2"/>
                        <w:sz w:val="18"/>
                        <w:szCs w:val="18"/>
                        <w:lang w:val="en-US" w:eastAsia="zh-CN" w:bidi="ar-SA"/>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right="360" w:firstLine="360"/>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83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pvceotAgAAVw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bdTSjRTqPjlx/fL&#10;z4fLr28EZxCotn6OuJ1FZGjemQZtM5x7HEbeTeFU/IIRgR/ynq/yiiYQHi/NJrNZCheHb9gAP3m8&#10;bp0P74VRJBoZdahfKys7bX3oQoeQmE2bTSVlW0OpSZ3R6es3aXvh6gG41MgRSXSPjVZo9k3PbG/y&#10;M4g50/WGt3xTIfmW+XDPHJoBD8a4hDsshTRIYnqLktK4r/86j/GoEbyU1GiujGrMEiXyg0btABgG&#10;ww3GfjD0Ud0adOsYY2h5a+KCC3IwC2fUF8zQKuaAi2mOTBkNg3kbugbHDHKxWrVB6DbLwlbvLI/Q&#10;UTxvV8cAAVtdoyidEr1W6Le2Mv1sxIb+c99GPf4Pl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pvceotAgAAVwQAAA4AAAAAAAAAAQAgAAAAHwEAAGRycy9lMm9Eb2MueG1sUEsFBgAAAAAG&#10;AAYAWQEAAL4FA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83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numPr>
        <w:ilvl w:val="0"/>
        <w:numId w:val="0"/>
      </w:numPr>
      <w:spacing w:before="0" w:beforeLines="0" w:after="0" w:afterLines="0" w:line="240" w:lineRule="auto"/>
      <w:jc w:val="center"/>
      <w:rPr>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numPr>
        <w:ilvl w:val="0"/>
        <w:numId w:val="0"/>
      </w:numPr>
      <w:pBdr>
        <w:bottom w:val="thinThickSmallGap" w:color="auto" w:sz="12" w:space="1"/>
      </w:pBdr>
      <w:spacing w:before="0" w:beforeLines="0" w:after="0" w:afterLines="0" w:line="240" w:lineRule="auto"/>
      <w:jc w:val="center"/>
      <w:rPr>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A8358B"/>
    <w:multiLevelType w:val="singleLevel"/>
    <w:tmpl w:val="CAA8358B"/>
    <w:lvl w:ilvl="0" w:tentative="0">
      <w:start w:val="2"/>
      <w:numFmt w:val="decimal"/>
      <w:suff w:val="nothing"/>
      <w:lvlText w:val="%1、"/>
      <w:lvlJc w:val="left"/>
    </w:lvl>
  </w:abstractNum>
  <w:abstractNum w:abstractNumId="1">
    <w:nsid w:val="D30B9BF5"/>
    <w:multiLevelType w:val="singleLevel"/>
    <w:tmpl w:val="D30B9BF5"/>
    <w:lvl w:ilvl="0" w:tentative="0">
      <w:start w:val="1"/>
      <w:numFmt w:val="decimal"/>
      <w:suff w:val="nothing"/>
      <w:lvlText w:val="%1、"/>
      <w:lvlJc w:val="left"/>
    </w:lvl>
  </w:abstractNum>
  <w:abstractNum w:abstractNumId="2">
    <w:nsid w:val="1C8B6C75"/>
    <w:multiLevelType w:val="singleLevel"/>
    <w:tmpl w:val="1C8B6C75"/>
    <w:lvl w:ilvl="0" w:tentative="0">
      <w:start w:val="6"/>
      <w:numFmt w:val="chineseCounting"/>
      <w:suff w:val="nothing"/>
      <w:lvlText w:val="%1、"/>
      <w:lvlJc w:val="left"/>
      <w:rPr>
        <w:rFonts w:hint="eastAsia"/>
      </w:rPr>
    </w:lvl>
  </w:abstractNum>
  <w:abstractNum w:abstractNumId="3">
    <w:nsid w:val="2709B6AB"/>
    <w:multiLevelType w:val="singleLevel"/>
    <w:tmpl w:val="2709B6AB"/>
    <w:lvl w:ilvl="0" w:tentative="0">
      <w:start w:val="2"/>
      <w:numFmt w:val="decimal"/>
      <w:suff w:val="nothing"/>
      <w:lvlText w:val="%1、"/>
      <w:lvlJc w:val="left"/>
    </w:lvl>
  </w:abstractNum>
  <w:abstractNum w:abstractNumId="4">
    <w:nsid w:val="39CB5F34"/>
    <w:multiLevelType w:val="singleLevel"/>
    <w:tmpl w:val="39CB5F34"/>
    <w:lvl w:ilvl="0" w:tentative="0">
      <w:start w:val="1"/>
      <w:numFmt w:val="decimal"/>
      <w:lvlText w:val="(%1)"/>
      <w:lvlJc w:val="left"/>
      <w:pPr>
        <w:ind w:left="425" w:hanging="425"/>
      </w:pPr>
      <w:rPr>
        <w:rFonts w:hint="default"/>
      </w:rPr>
    </w:lvl>
  </w:abstractNum>
  <w:abstractNum w:abstractNumId="5">
    <w:nsid w:val="435141F0"/>
    <w:multiLevelType w:val="multilevel"/>
    <w:tmpl w:val="435141F0"/>
    <w:lvl w:ilvl="0" w:tentative="0">
      <w:start w:val="1"/>
      <w:numFmt w:val="decimal"/>
      <w:isLgl/>
      <w:suff w:val="space"/>
      <w:lvlText w:val="%1"/>
      <w:lvlJc w:val="left"/>
      <w:pPr>
        <w:ind w:left="200" w:firstLine="0"/>
      </w:pPr>
      <w:rPr>
        <w:rFonts w:hint="eastAsia" w:ascii="Times New Roman" w:hAnsi="Times New Roman" w:eastAsia="宋体" w:cs="Times New Roman"/>
        <w:b/>
        <w:i w:val="0"/>
        <w:sz w:val="36"/>
        <w:szCs w:val="36"/>
      </w:rPr>
    </w:lvl>
    <w:lvl w:ilvl="1" w:tentative="0">
      <w:start w:val="1"/>
      <w:numFmt w:val="decimal"/>
      <w:isLgl/>
      <w:suff w:val="space"/>
      <w:lvlText w:val="%1.%2"/>
      <w:lvlJc w:val="left"/>
      <w:pPr>
        <w:ind w:left="1800" w:firstLine="0"/>
      </w:pPr>
      <w:rPr>
        <w:rFonts w:hint="default" w:ascii="Times New Roman" w:hAnsi="Times New Roman" w:eastAsia="宋体"/>
        <w:b/>
        <w:i w:val="0"/>
        <w:sz w:val="30"/>
      </w:rPr>
    </w:lvl>
    <w:lvl w:ilvl="2" w:tentative="0">
      <w:start w:val="1"/>
      <w:numFmt w:val="decimal"/>
      <w:isLgl/>
      <w:suff w:val="space"/>
      <w:lvlText w:val="%1.%2.%3"/>
      <w:lvlJc w:val="left"/>
      <w:pPr>
        <w:ind w:left="180" w:firstLine="0"/>
      </w:pPr>
      <w:rPr>
        <w:rFonts w:hint="eastAsia" w:ascii="Times New Roman" w:hAnsi="Times New Roman" w:cs="Times New Roman"/>
        <w:bCs w:val="0"/>
        <w:i w:val="0"/>
        <w:iCs w:val="0"/>
        <w:caps w:val="0"/>
        <w:smallCaps w:val="0"/>
        <w:strike w:val="0"/>
        <w:dstrike w:val="0"/>
        <w:vanish w:val="0"/>
        <w:color w:val="000000"/>
        <w:spacing w:val="0"/>
        <w:kern w:val="0"/>
        <w:position w:val="0"/>
        <w:u w:val="none"/>
        <w:vertAlign w:val="baseline"/>
      </w:rPr>
    </w:lvl>
    <w:lvl w:ilvl="3" w:tentative="0">
      <w:start w:val="1"/>
      <w:numFmt w:val="decimal"/>
      <w:isLgl/>
      <w:suff w:val="space"/>
      <w:lvlText w:val="%1.%2.%3.%4"/>
      <w:lvlJc w:val="left"/>
      <w:pPr>
        <w:ind w:left="360" w:firstLine="0"/>
      </w:pPr>
      <w:rPr>
        <w:rFonts w:hint="default" w:ascii="Times New Roman" w:hAnsi="Times New Roman" w:eastAsia="宋体"/>
        <w:b/>
        <w:i w:val="0"/>
        <w:sz w:val="24"/>
      </w:rPr>
    </w:lvl>
    <w:lvl w:ilvl="4" w:tentative="0">
      <w:start w:val="1"/>
      <w:numFmt w:val="decimal"/>
      <w:pStyle w:val="6"/>
      <w:suff w:val="space"/>
      <w:lvlText w:val="( %5 )"/>
      <w:lvlJc w:val="left"/>
      <w:pPr>
        <w:ind w:left="540" w:firstLine="0"/>
      </w:pPr>
      <w:rPr>
        <w:rFonts w:hint="eastAsia"/>
        <w:b w:val="0"/>
        <w:i w:val="0"/>
        <w:sz w:val="24"/>
      </w:rPr>
    </w:lvl>
    <w:lvl w:ilvl="5" w:tentative="0">
      <w:start w:val="1"/>
      <w:numFmt w:val="decimalEnclosedCircle"/>
      <w:suff w:val="space"/>
      <w:lvlText w:val="%6"/>
      <w:lvlJc w:val="left"/>
      <w:pPr>
        <w:ind w:left="760" w:firstLine="0"/>
      </w:pPr>
      <w:rPr>
        <w:rFonts w:hint="eastAsia"/>
      </w:rPr>
    </w:lvl>
    <w:lvl w:ilvl="6" w:tentative="0">
      <w:start w:val="1"/>
      <w:numFmt w:val="decimal"/>
      <w:lvlText w:val="%1.%2.%3.%4.%5.%6.%7"/>
      <w:lvlJc w:val="left"/>
      <w:pPr>
        <w:tabs>
          <w:tab w:val="left" w:pos="4715"/>
        </w:tabs>
        <w:ind w:left="4715" w:hanging="1276"/>
      </w:pPr>
      <w:rPr>
        <w:rFonts w:hint="eastAsia"/>
      </w:rPr>
    </w:lvl>
    <w:lvl w:ilvl="7" w:tentative="0">
      <w:start w:val="1"/>
      <w:numFmt w:val="decimal"/>
      <w:lvlText w:val="%1.%2.%3.%4.%5.%6.%7.%8"/>
      <w:lvlJc w:val="left"/>
      <w:pPr>
        <w:tabs>
          <w:tab w:val="left" w:pos="5282"/>
        </w:tabs>
        <w:ind w:left="5282" w:hanging="1418"/>
      </w:pPr>
      <w:rPr>
        <w:rFonts w:hint="eastAsia"/>
      </w:rPr>
    </w:lvl>
    <w:lvl w:ilvl="8" w:tentative="0">
      <w:start w:val="1"/>
      <w:numFmt w:val="decimal"/>
      <w:lvlText w:val="%1.%2.%3.%4.%5.%6.%7.%8.%9"/>
      <w:lvlJc w:val="left"/>
      <w:pPr>
        <w:tabs>
          <w:tab w:val="left" w:pos="5990"/>
        </w:tabs>
        <w:ind w:left="5990" w:hanging="1700"/>
      </w:pPr>
      <w:rPr>
        <w:rFonts w:hint="eastAsia"/>
      </w:rPr>
    </w:lvl>
  </w:abstractNum>
  <w:num w:numId="1">
    <w:abstractNumId w:val="5"/>
  </w:num>
  <w:num w:numId="2">
    <w:abstractNumId w:val="0"/>
  </w:num>
  <w:num w:numId="3">
    <w:abstractNumId w:val="1"/>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2NzUzZDNlZWQ2YzMxYTczYzhhOTMxMzljZGI4M2UifQ=="/>
    <w:docVar w:name="KSO_WPS_MARK_KEY" w:val="a4ae0bb3-6e06-43e7-9c86-728c79472de4"/>
  </w:docVars>
  <w:rsids>
    <w:rsidRoot w:val="00172A27"/>
    <w:rsid w:val="000060B3"/>
    <w:rsid w:val="00041CF6"/>
    <w:rsid w:val="0004364B"/>
    <w:rsid w:val="00061B1F"/>
    <w:rsid w:val="000733C4"/>
    <w:rsid w:val="00074783"/>
    <w:rsid w:val="0008070B"/>
    <w:rsid w:val="000810AC"/>
    <w:rsid w:val="00081A02"/>
    <w:rsid w:val="00082231"/>
    <w:rsid w:val="00092D38"/>
    <w:rsid w:val="0009377B"/>
    <w:rsid w:val="000A20C9"/>
    <w:rsid w:val="000B058F"/>
    <w:rsid w:val="000B4467"/>
    <w:rsid w:val="000B4DB9"/>
    <w:rsid w:val="000C01ED"/>
    <w:rsid w:val="000C09AC"/>
    <w:rsid w:val="000C767F"/>
    <w:rsid w:val="000D5A44"/>
    <w:rsid w:val="000E3ED2"/>
    <w:rsid w:val="00107807"/>
    <w:rsid w:val="001251DD"/>
    <w:rsid w:val="00131F42"/>
    <w:rsid w:val="001357F1"/>
    <w:rsid w:val="00140FA8"/>
    <w:rsid w:val="00142FEB"/>
    <w:rsid w:val="00143A2D"/>
    <w:rsid w:val="00145A41"/>
    <w:rsid w:val="00151675"/>
    <w:rsid w:val="00157435"/>
    <w:rsid w:val="00172A27"/>
    <w:rsid w:val="0017504D"/>
    <w:rsid w:val="0017671A"/>
    <w:rsid w:val="00177422"/>
    <w:rsid w:val="00184590"/>
    <w:rsid w:val="001870D1"/>
    <w:rsid w:val="0018781E"/>
    <w:rsid w:val="0019262D"/>
    <w:rsid w:val="001A1B35"/>
    <w:rsid w:val="001A48A2"/>
    <w:rsid w:val="001A6F61"/>
    <w:rsid w:val="001B72B8"/>
    <w:rsid w:val="001C69B3"/>
    <w:rsid w:val="001D5595"/>
    <w:rsid w:val="001D7874"/>
    <w:rsid w:val="001D7F22"/>
    <w:rsid w:val="001F0F17"/>
    <w:rsid w:val="001F3347"/>
    <w:rsid w:val="001F340F"/>
    <w:rsid w:val="001F69E4"/>
    <w:rsid w:val="002125B4"/>
    <w:rsid w:val="002155B8"/>
    <w:rsid w:val="00224839"/>
    <w:rsid w:val="002249B2"/>
    <w:rsid w:val="00226574"/>
    <w:rsid w:val="002278EC"/>
    <w:rsid w:val="0023280E"/>
    <w:rsid w:val="002377D1"/>
    <w:rsid w:val="002506BC"/>
    <w:rsid w:val="00254345"/>
    <w:rsid w:val="00264557"/>
    <w:rsid w:val="002805AB"/>
    <w:rsid w:val="00284204"/>
    <w:rsid w:val="00291773"/>
    <w:rsid w:val="002A168C"/>
    <w:rsid w:val="002A3DC7"/>
    <w:rsid w:val="002B49E2"/>
    <w:rsid w:val="002B7B00"/>
    <w:rsid w:val="002B7C44"/>
    <w:rsid w:val="002C2B17"/>
    <w:rsid w:val="002D3DD0"/>
    <w:rsid w:val="002E1F3A"/>
    <w:rsid w:val="002E298A"/>
    <w:rsid w:val="002F4AD6"/>
    <w:rsid w:val="00301978"/>
    <w:rsid w:val="0030332C"/>
    <w:rsid w:val="003051C2"/>
    <w:rsid w:val="00312296"/>
    <w:rsid w:val="00314F0E"/>
    <w:rsid w:val="00321D8E"/>
    <w:rsid w:val="00325928"/>
    <w:rsid w:val="00332863"/>
    <w:rsid w:val="0033684D"/>
    <w:rsid w:val="00337B42"/>
    <w:rsid w:val="00341B42"/>
    <w:rsid w:val="0034348F"/>
    <w:rsid w:val="00356653"/>
    <w:rsid w:val="0035743F"/>
    <w:rsid w:val="00357BE2"/>
    <w:rsid w:val="0036170C"/>
    <w:rsid w:val="00366E0F"/>
    <w:rsid w:val="00381A72"/>
    <w:rsid w:val="00384676"/>
    <w:rsid w:val="00390857"/>
    <w:rsid w:val="003A4BF3"/>
    <w:rsid w:val="003B420D"/>
    <w:rsid w:val="003C6C16"/>
    <w:rsid w:val="003D794D"/>
    <w:rsid w:val="003E3058"/>
    <w:rsid w:val="003E76A9"/>
    <w:rsid w:val="003F0809"/>
    <w:rsid w:val="003F6A8C"/>
    <w:rsid w:val="003F755C"/>
    <w:rsid w:val="00406F01"/>
    <w:rsid w:val="00416D50"/>
    <w:rsid w:val="00416FD5"/>
    <w:rsid w:val="00417772"/>
    <w:rsid w:val="00420E6A"/>
    <w:rsid w:val="00425A9E"/>
    <w:rsid w:val="00426D6B"/>
    <w:rsid w:val="00431E6C"/>
    <w:rsid w:val="00433CE7"/>
    <w:rsid w:val="00451804"/>
    <w:rsid w:val="00452738"/>
    <w:rsid w:val="00456091"/>
    <w:rsid w:val="00466321"/>
    <w:rsid w:val="00484B9B"/>
    <w:rsid w:val="004855F6"/>
    <w:rsid w:val="0048661E"/>
    <w:rsid w:val="00494670"/>
    <w:rsid w:val="004A3823"/>
    <w:rsid w:val="004B44C7"/>
    <w:rsid w:val="004E6946"/>
    <w:rsid w:val="004F1AD8"/>
    <w:rsid w:val="005039CB"/>
    <w:rsid w:val="0050558F"/>
    <w:rsid w:val="00506286"/>
    <w:rsid w:val="00510813"/>
    <w:rsid w:val="00511990"/>
    <w:rsid w:val="00511DE0"/>
    <w:rsid w:val="00514870"/>
    <w:rsid w:val="00514B9B"/>
    <w:rsid w:val="00517F02"/>
    <w:rsid w:val="00524303"/>
    <w:rsid w:val="005258A2"/>
    <w:rsid w:val="005401AE"/>
    <w:rsid w:val="00542E07"/>
    <w:rsid w:val="00545424"/>
    <w:rsid w:val="00554A7B"/>
    <w:rsid w:val="0055572C"/>
    <w:rsid w:val="0056106A"/>
    <w:rsid w:val="005720AE"/>
    <w:rsid w:val="00594D77"/>
    <w:rsid w:val="005969E4"/>
    <w:rsid w:val="005A06B7"/>
    <w:rsid w:val="005A1759"/>
    <w:rsid w:val="005A68A7"/>
    <w:rsid w:val="005D36AB"/>
    <w:rsid w:val="00617CC3"/>
    <w:rsid w:val="006377A6"/>
    <w:rsid w:val="00637A3D"/>
    <w:rsid w:val="006411EF"/>
    <w:rsid w:val="006748B8"/>
    <w:rsid w:val="006775C3"/>
    <w:rsid w:val="006857D7"/>
    <w:rsid w:val="0069290A"/>
    <w:rsid w:val="00696058"/>
    <w:rsid w:val="0069775A"/>
    <w:rsid w:val="00697813"/>
    <w:rsid w:val="006A3EE8"/>
    <w:rsid w:val="006A72BF"/>
    <w:rsid w:val="006B03F2"/>
    <w:rsid w:val="006B37DC"/>
    <w:rsid w:val="006B4F68"/>
    <w:rsid w:val="006C0592"/>
    <w:rsid w:val="006C272E"/>
    <w:rsid w:val="006C5479"/>
    <w:rsid w:val="006D13B5"/>
    <w:rsid w:val="006E12FF"/>
    <w:rsid w:val="006E607E"/>
    <w:rsid w:val="00706C5D"/>
    <w:rsid w:val="00732922"/>
    <w:rsid w:val="0075162E"/>
    <w:rsid w:val="00754034"/>
    <w:rsid w:val="00756556"/>
    <w:rsid w:val="007618C4"/>
    <w:rsid w:val="00767980"/>
    <w:rsid w:val="00770B19"/>
    <w:rsid w:val="0077463F"/>
    <w:rsid w:val="007836EA"/>
    <w:rsid w:val="00784CDA"/>
    <w:rsid w:val="007906C4"/>
    <w:rsid w:val="007940EA"/>
    <w:rsid w:val="007967E8"/>
    <w:rsid w:val="007A207B"/>
    <w:rsid w:val="007A2170"/>
    <w:rsid w:val="007A22BF"/>
    <w:rsid w:val="007A3323"/>
    <w:rsid w:val="007B72B8"/>
    <w:rsid w:val="007B7A58"/>
    <w:rsid w:val="007C21B5"/>
    <w:rsid w:val="007E4BD2"/>
    <w:rsid w:val="007F57D2"/>
    <w:rsid w:val="00801393"/>
    <w:rsid w:val="00802F88"/>
    <w:rsid w:val="0081293E"/>
    <w:rsid w:val="00815465"/>
    <w:rsid w:val="00817E9A"/>
    <w:rsid w:val="008306BD"/>
    <w:rsid w:val="00831A80"/>
    <w:rsid w:val="00833743"/>
    <w:rsid w:val="008340A4"/>
    <w:rsid w:val="0087135F"/>
    <w:rsid w:val="00872D94"/>
    <w:rsid w:val="00880364"/>
    <w:rsid w:val="00891592"/>
    <w:rsid w:val="00891E9E"/>
    <w:rsid w:val="008A2F68"/>
    <w:rsid w:val="008B4FA6"/>
    <w:rsid w:val="008B5282"/>
    <w:rsid w:val="008B7C17"/>
    <w:rsid w:val="008C2D01"/>
    <w:rsid w:val="008C40E6"/>
    <w:rsid w:val="008D0F7A"/>
    <w:rsid w:val="008D68E4"/>
    <w:rsid w:val="008E0506"/>
    <w:rsid w:val="008E0CFF"/>
    <w:rsid w:val="008E5D6B"/>
    <w:rsid w:val="008E76F0"/>
    <w:rsid w:val="008F15FE"/>
    <w:rsid w:val="008F2D29"/>
    <w:rsid w:val="008F5187"/>
    <w:rsid w:val="008F60D8"/>
    <w:rsid w:val="00902727"/>
    <w:rsid w:val="0090312B"/>
    <w:rsid w:val="009052C8"/>
    <w:rsid w:val="0091736D"/>
    <w:rsid w:val="0093037A"/>
    <w:rsid w:val="0094154D"/>
    <w:rsid w:val="0095155F"/>
    <w:rsid w:val="00954429"/>
    <w:rsid w:val="009563CE"/>
    <w:rsid w:val="00976328"/>
    <w:rsid w:val="0097680D"/>
    <w:rsid w:val="00982438"/>
    <w:rsid w:val="0098404C"/>
    <w:rsid w:val="00985283"/>
    <w:rsid w:val="00995992"/>
    <w:rsid w:val="009A03E5"/>
    <w:rsid w:val="009A0F3B"/>
    <w:rsid w:val="009A1BB4"/>
    <w:rsid w:val="009A2628"/>
    <w:rsid w:val="009A3200"/>
    <w:rsid w:val="009B0897"/>
    <w:rsid w:val="009B7BD9"/>
    <w:rsid w:val="009C7DD5"/>
    <w:rsid w:val="009E227D"/>
    <w:rsid w:val="009E5019"/>
    <w:rsid w:val="00A04F1B"/>
    <w:rsid w:val="00A0501B"/>
    <w:rsid w:val="00A14947"/>
    <w:rsid w:val="00A32A83"/>
    <w:rsid w:val="00A368DB"/>
    <w:rsid w:val="00A423AA"/>
    <w:rsid w:val="00A53EC6"/>
    <w:rsid w:val="00A55C0F"/>
    <w:rsid w:val="00A8713F"/>
    <w:rsid w:val="00A90BA1"/>
    <w:rsid w:val="00A97A9A"/>
    <w:rsid w:val="00AA0671"/>
    <w:rsid w:val="00AA2531"/>
    <w:rsid w:val="00AB1E09"/>
    <w:rsid w:val="00AB5330"/>
    <w:rsid w:val="00AB7747"/>
    <w:rsid w:val="00AC14CE"/>
    <w:rsid w:val="00AC2A56"/>
    <w:rsid w:val="00AD055E"/>
    <w:rsid w:val="00AD47A7"/>
    <w:rsid w:val="00AF0CBF"/>
    <w:rsid w:val="00AF257F"/>
    <w:rsid w:val="00AF33CF"/>
    <w:rsid w:val="00AF4D50"/>
    <w:rsid w:val="00AF6179"/>
    <w:rsid w:val="00B1295A"/>
    <w:rsid w:val="00B20A45"/>
    <w:rsid w:val="00B22C5C"/>
    <w:rsid w:val="00B24F30"/>
    <w:rsid w:val="00B31ABF"/>
    <w:rsid w:val="00B33BE3"/>
    <w:rsid w:val="00B53B5D"/>
    <w:rsid w:val="00B6055E"/>
    <w:rsid w:val="00B6317D"/>
    <w:rsid w:val="00B7723F"/>
    <w:rsid w:val="00B80534"/>
    <w:rsid w:val="00B8433C"/>
    <w:rsid w:val="00B87491"/>
    <w:rsid w:val="00BA29E9"/>
    <w:rsid w:val="00BA7142"/>
    <w:rsid w:val="00BB237C"/>
    <w:rsid w:val="00BB41A3"/>
    <w:rsid w:val="00BC32DC"/>
    <w:rsid w:val="00BC35B6"/>
    <w:rsid w:val="00BD1B51"/>
    <w:rsid w:val="00BD4596"/>
    <w:rsid w:val="00BE1405"/>
    <w:rsid w:val="00BE312D"/>
    <w:rsid w:val="00BF1C20"/>
    <w:rsid w:val="00C10578"/>
    <w:rsid w:val="00C135BC"/>
    <w:rsid w:val="00C15C95"/>
    <w:rsid w:val="00C21BAD"/>
    <w:rsid w:val="00C2596A"/>
    <w:rsid w:val="00C27537"/>
    <w:rsid w:val="00C328FE"/>
    <w:rsid w:val="00C33507"/>
    <w:rsid w:val="00C4409D"/>
    <w:rsid w:val="00C44E72"/>
    <w:rsid w:val="00C45A06"/>
    <w:rsid w:val="00C47E5B"/>
    <w:rsid w:val="00C61E4B"/>
    <w:rsid w:val="00C64BFF"/>
    <w:rsid w:val="00C651E9"/>
    <w:rsid w:val="00C704E9"/>
    <w:rsid w:val="00C73CD4"/>
    <w:rsid w:val="00C763C9"/>
    <w:rsid w:val="00C80057"/>
    <w:rsid w:val="00C82232"/>
    <w:rsid w:val="00C82913"/>
    <w:rsid w:val="00C972B1"/>
    <w:rsid w:val="00CA2CCE"/>
    <w:rsid w:val="00CA43FD"/>
    <w:rsid w:val="00CA7EF8"/>
    <w:rsid w:val="00CC489B"/>
    <w:rsid w:val="00CD2BCD"/>
    <w:rsid w:val="00CD3A4C"/>
    <w:rsid w:val="00CE10E9"/>
    <w:rsid w:val="00CE2910"/>
    <w:rsid w:val="00CE5393"/>
    <w:rsid w:val="00CF36BE"/>
    <w:rsid w:val="00CF6000"/>
    <w:rsid w:val="00D003F3"/>
    <w:rsid w:val="00D0364F"/>
    <w:rsid w:val="00D06834"/>
    <w:rsid w:val="00D308ED"/>
    <w:rsid w:val="00D36D86"/>
    <w:rsid w:val="00D428AA"/>
    <w:rsid w:val="00D50A34"/>
    <w:rsid w:val="00D53EFA"/>
    <w:rsid w:val="00D94A7C"/>
    <w:rsid w:val="00D95896"/>
    <w:rsid w:val="00DB2983"/>
    <w:rsid w:val="00DC1257"/>
    <w:rsid w:val="00DC3DC0"/>
    <w:rsid w:val="00DC5B2B"/>
    <w:rsid w:val="00DD318D"/>
    <w:rsid w:val="00DF2E12"/>
    <w:rsid w:val="00DF514A"/>
    <w:rsid w:val="00DF58FB"/>
    <w:rsid w:val="00DF6690"/>
    <w:rsid w:val="00DF6804"/>
    <w:rsid w:val="00E0358D"/>
    <w:rsid w:val="00E04323"/>
    <w:rsid w:val="00E070A2"/>
    <w:rsid w:val="00E2656A"/>
    <w:rsid w:val="00E36788"/>
    <w:rsid w:val="00E412D0"/>
    <w:rsid w:val="00E551FD"/>
    <w:rsid w:val="00E56322"/>
    <w:rsid w:val="00E60982"/>
    <w:rsid w:val="00E62C62"/>
    <w:rsid w:val="00E654C1"/>
    <w:rsid w:val="00E65D97"/>
    <w:rsid w:val="00E72A5A"/>
    <w:rsid w:val="00E73354"/>
    <w:rsid w:val="00E9242D"/>
    <w:rsid w:val="00EB5255"/>
    <w:rsid w:val="00EB5C47"/>
    <w:rsid w:val="00ED0639"/>
    <w:rsid w:val="00EF4755"/>
    <w:rsid w:val="00EF7135"/>
    <w:rsid w:val="00F027DB"/>
    <w:rsid w:val="00F14A7A"/>
    <w:rsid w:val="00F22985"/>
    <w:rsid w:val="00F3383E"/>
    <w:rsid w:val="00F465A7"/>
    <w:rsid w:val="00F50B7C"/>
    <w:rsid w:val="00F550E6"/>
    <w:rsid w:val="00F74345"/>
    <w:rsid w:val="00F80A0A"/>
    <w:rsid w:val="00F81A70"/>
    <w:rsid w:val="00F82B19"/>
    <w:rsid w:val="00F9212D"/>
    <w:rsid w:val="00F965DA"/>
    <w:rsid w:val="00FA406A"/>
    <w:rsid w:val="00FB503A"/>
    <w:rsid w:val="00FB516C"/>
    <w:rsid w:val="00FD0236"/>
    <w:rsid w:val="00FD18F4"/>
    <w:rsid w:val="00FD54DB"/>
    <w:rsid w:val="00FD619F"/>
    <w:rsid w:val="01290F7E"/>
    <w:rsid w:val="015D1E09"/>
    <w:rsid w:val="02697903"/>
    <w:rsid w:val="02F96569"/>
    <w:rsid w:val="03D251BA"/>
    <w:rsid w:val="03EA7B21"/>
    <w:rsid w:val="04827A43"/>
    <w:rsid w:val="05BD2181"/>
    <w:rsid w:val="05F83EAE"/>
    <w:rsid w:val="062D344D"/>
    <w:rsid w:val="063E7D85"/>
    <w:rsid w:val="06F6508D"/>
    <w:rsid w:val="07293586"/>
    <w:rsid w:val="07295285"/>
    <w:rsid w:val="07636392"/>
    <w:rsid w:val="076E3F95"/>
    <w:rsid w:val="07770C56"/>
    <w:rsid w:val="092217DD"/>
    <w:rsid w:val="093A7294"/>
    <w:rsid w:val="0A263993"/>
    <w:rsid w:val="0A2D3AC2"/>
    <w:rsid w:val="0AA755DF"/>
    <w:rsid w:val="0B120D44"/>
    <w:rsid w:val="0BD27BF6"/>
    <w:rsid w:val="0BEF0663"/>
    <w:rsid w:val="0C3B3C7D"/>
    <w:rsid w:val="0C741481"/>
    <w:rsid w:val="0CAB2EAE"/>
    <w:rsid w:val="0CF240F6"/>
    <w:rsid w:val="0D621C7D"/>
    <w:rsid w:val="0E73034D"/>
    <w:rsid w:val="0ECD5D4E"/>
    <w:rsid w:val="0F136D29"/>
    <w:rsid w:val="0F13775A"/>
    <w:rsid w:val="0F5220CF"/>
    <w:rsid w:val="0F5F45FE"/>
    <w:rsid w:val="0F9A112B"/>
    <w:rsid w:val="106D2F64"/>
    <w:rsid w:val="10B63710"/>
    <w:rsid w:val="10F10820"/>
    <w:rsid w:val="111C2F7A"/>
    <w:rsid w:val="11665CA1"/>
    <w:rsid w:val="117E773A"/>
    <w:rsid w:val="12070FA5"/>
    <w:rsid w:val="1290624C"/>
    <w:rsid w:val="12FE7E10"/>
    <w:rsid w:val="13951726"/>
    <w:rsid w:val="14396509"/>
    <w:rsid w:val="146934F1"/>
    <w:rsid w:val="14DD2C3C"/>
    <w:rsid w:val="16087E1D"/>
    <w:rsid w:val="165162F8"/>
    <w:rsid w:val="17701D14"/>
    <w:rsid w:val="17735226"/>
    <w:rsid w:val="17B374D3"/>
    <w:rsid w:val="183724E4"/>
    <w:rsid w:val="189F624C"/>
    <w:rsid w:val="18EC1394"/>
    <w:rsid w:val="19427323"/>
    <w:rsid w:val="1A1C66C0"/>
    <w:rsid w:val="1A2C2022"/>
    <w:rsid w:val="1A42393B"/>
    <w:rsid w:val="1A976739"/>
    <w:rsid w:val="1AAD45DE"/>
    <w:rsid w:val="1B046F80"/>
    <w:rsid w:val="1B3267B5"/>
    <w:rsid w:val="1B40161D"/>
    <w:rsid w:val="1B441859"/>
    <w:rsid w:val="1B6606B1"/>
    <w:rsid w:val="1C5E7925"/>
    <w:rsid w:val="1C7D5E6D"/>
    <w:rsid w:val="1CA547E5"/>
    <w:rsid w:val="1CA934AA"/>
    <w:rsid w:val="1CE811EA"/>
    <w:rsid w:val="1CFD070F"/>
    <w:rsid w:val="1D5F6196"/>
    <w:rsid w:val="1D6132A5"/>
    <w:rsid w:val="1D8E56D5"/>
    <w:rsid w:val="1E7A43DA"/>
    <w:rsid w:val="1ECF5A4C"/>
    <w:rsid w:val="1F966239"/>
    <w:rsid w:val="1FE7539E"/>
    <w:rsid w:val="1FFE7BD7"/>
    <w:rsid w:val="2059498F"/>
    <w:rsid w:val="20671BE0"/>
    <w:rsid w:val="20963CB8"/>
    <w:rsid w:val="20A81A1B"/>
    <w:rsid w:val="20B07FB6"/>
    <w:rsid w:val="20B646FB"/>
    <w:rsid w:val="21384FBF"/>
    <w:rsid w:val="213B74B1"/>
    <w:rsid w:val="215A2310"/>
    <w:rsid w:val="21DE318A"/>
    <w:rsid w:val="21EF5B80"/>
    <w:rsid w:val="21F13438"/>
    <w:rsid w:val="22576990"/>
    <w:rsid w:val="22B40DF6"/>
    <w:rsid w:val="22F47480"/>
    <w:rsid w:val="23DE1C48"/>
    <w:rsid w:val="240210CD"/>
    <w:rsid w:val="24BF09F7"/>
    <w:rsid w:val="252D53FE"/>
    <w:rsid w:val="258264EF"/>
    <w:rsid w:val="25EC2D81"/>
    <w:rsid w:val="277057A2"/>
    <w:rsid w:val="27F41D6C"/>
    <w:rsid w:val="28E026ED"/>
    <w:rsid w:val="29206EB8"/>
    <w:rsid w:val="29595666"/>
    <w:rsid w:val="29874881"/>
    <w:rsid w:val="29E325E0"/>
    <w:rsid w:val="2A452503"/>
    <w:rsid w:val="2B1222F7"/>
    <w:rsid w:val="2B8A1CFE"/>
    <w:rsid w:val="2BA936A8"/>
    <w:rsid w:val="2C315A5A"/>
    <w:rsid w:val="2C4B1C25"/>
    <w:rsid w:val="2D9E56F5"/>
    <w:rsid w:val="2DB3256D"/>
    <w:rsid w:val="2E667F96"/>
    <w:rsid w:val="2E8226AB"/>
    <w:rsid w:val="2F04602B"/>
    <w:rsid w:val="2F196C87"/>
    <w:rsid w:val="2FD065E6"/>
    <w:rsid w:val="2FD96870"/>
    <w:rsid w:val="305772D8"/>
    <w:rsid w:val="30580BC9"/>
    <w:rsid w:val="310D6505"/>
    <w:rsid w:val="311E2ED7"/>
    <w:rsid w:val="315619EE"/>
    <w:rsid w:val="315C449C"/>
    <w:rsid w:val="31B82709"/>
    <w:rsid w:val="31D05482"/>
    <w:rsid w:val="323B3B69"/>
    <w:rsid w:val="32400B34"/>
    <w:rsid w:val="329C47A2"/>
    <w:rsid w:val="329E6876"/>
    <w:rsid w:val="33242316"/>
    <w:rsid w:val="333015F2"/>
    <w:rsid w:val="334B6320"/>
    <w:rsid w:val="3371024C"/>
    <w:rsid w:val="33D934D4"/>
    <w:rsid w:val="33FE2F6A"/>
    <w:rsid w:val="340E07E5"/>
    <w:rsid w:val="34235BF7"/>
    <w:rsid w:val="344F6495"/>
    <w:rsid w:val="358C5FA8"/>
    <w:rsid w:val="35C15DF1"/>
    <w:rsid w:val="36074A7F"/>
    <w:rsid w:val="36923549"/>
    <w:rsid w:val="36B75FBF"/>
    <w:rsid w:val="36BD0C45"/>
    <w:rsid w:val="37E00298"/>
    <w:rsid w:val="38176844"/>
    <w:rsid w:val="38B302F9"/>
    <w:rsid w:val="38F12CD3"/>
    <w:rsid w:val="38F94775"/>
    <w:rsid w:val="392971ED"/>
    <w:rsid w:val="39325651"/>
    <w:rsid w:val="3A872856"/>
    <w:rsid w:val="3AFC6529"/>
    <w:rsid w:val="3B3763D1"/>
    <w:rsid w:val="3C2F6E1E"/>
    <w:rsid w:val="3C4F64BA"/>
    <w:rsid w:val="3CDA245A"/>
    <w:rsid w:val="3CE108FB"/>
    <w:rsid w:val="3D1E06B7"/>
    <w:rsid w:val="3DC2196D"/>
    <w:rsid w:val="3EDA0523"/>
    <w:rsid w:val="3FEA596B"/>
    <w:rsid w:val="407124D5"/>
    <w:rsid w:val="407A6407"/>
    <w:rsid w:val="40A74862"/>
    <w:rsid w:val="4200449D"/>
    <w:rsid w:val="423A3BCC"/>
    <w:rsid w:val="424E57D2"/>
    <w:rsid w:val="42B26C49"/>
    <w:rsid w:val="433A6FE6"/>
    <w:rsid w:val="43480868"/>
    <w:rsid w:val="4350713C"/>
    <w:rsid w:val="436653E0"/>
    <w:rsid w:val="43C4431A"/>
    <w:rsid w:val="44322A62"/>
    <w:rsid w:val="44B951CC"/>
    <w:rsid w:val="44CD14E0"/>
    <w:rsid w:val="44F20B0B"/>
    <w:rsid w:val="452E5F4C"/>
    <w:rsid w:val="45612018"/>
    <w:rsid w:val="458946E9"/>
    <w:rsid w:val="45A47C0E"/>
    <w:rsid w:val="46577FD6"/>
    <w:rsid w:val="46D955A7"/>
    <w:rsid w:val="47133957"/>
    <w:rsid w:val="471F573B"/>
    <w:rsid w:val="47A07E0C"/>
    <w:rsid w:val="47DE3010"/>
    <w:rsid w:val="482214BC"/>
    <w:rsid w:val="4870272E"/>
    <w:rsid w:val="49DC7715"/>
    <w:rsid w:val="4A023139"/>
    <w:rsid w:val="4A695228"/>
    <w:rsid w:val="4A7B576F"/>
    <w:rsid w:val="4AF561A9"/>
    <w:rsid w:val="4C4A0649"/>
    <w:rsid w:val="4C7E5ECA"/>
    <w:rsid w:val="4C876AA5"/>
    <w:rsid w:val="4D0E00FB"/>
    <w:rsid w:val="4D176606"/>
    <w:rsid w:val="4D3245B5"/>
    <w:rsid w:val="4D484C6C"/>
    <w:rsid w:val="4DEC4FB0"/>
    <w:rsid w:val="4E075D8A"/>
    <w:rsid w:val="4EC00FAD"/>
    <w:rsid w:val="4F695BD0"/>
    <w:rsid w:val="4F9843DC"/>
    <w:rsid w:val="4F9B1E8B"/>
    <w:rsid w:val="4FC62A8C"/>
    <w:rsid w:val="4FE20F0D"/>
    <w:rsid w:val="4FE51552"/>
    <w:rsid w:val="50504C4B"/>
    <w:rsid w:val="509C6E7C"/>
    <w:rsid w:val="5162104E"/>
    <w:rsid w:val="520C288B"/>
    <w:rsid w:val="52A46842"/>
    <w:rsid w:val="530C1261"/>
    <w:rsid w:val="53A039CC"/>
    <w:rsid w:val="53A1505A"/>
    <w:rsid w:val="54063E08"/>
    <w:rsid w:val="543437E8"/>
    <w:rsid w:val="54F73313"/>
    <w:rsid w:val="54F80955"/>
    <w:rsid w:val="555170A7"/>
    <w:rsid w:val="55683363"/>
    <w:rsid w:val="5587536D"/>
    <w:rsid w:val="559B174B"/>
    <w:rsid w:val="55CE0CF4"/>
    <w:rsid w:val="56160BFE"/>
    <w:rsid w:val="56B22A9C"/>
    <w:rsid w:val="5705745D"/>
    <w:rsid w:val="57212723"/>
    <w:rsid w:val="57B72A76"/>
    <w:rsid w:val="57C3426C"/>
    <w:rsid w:val="57CE1F93"/>
    <w:rsid w:val="588743D1"/>
    <w:rsid w:val="5887701A"/>
    <w:rsid w:val="59C0439F"/>
    <w:rsid w:val="59F02BEC"/>
    <w:rsid w:val="5ABE2233"/>
    <w:rsid w:val="5B24531A"/>
    <w:rsid w:val="5B635509"/>
    <w:rsid w:val="5B904113"/>
    <w:rsid w:val="5BDF5D95"/>
    <w:rsid w:val="5BFE7528"/>
    <w:rsid w:val="5DA5475C"/>
    <w:rsid w:val="5E2467F1"/>
    <w:rsid w:val="5E705B43"/>
    <w:rsid w:val="5F1A2B43"/>
    <w:rsid w:val="5F5C5FB8"/>
    <w:rsid w:val="5FB837BB"/>
    <w:rsid w:val="60CC405A"/>
    <w:rsid w:val="61E215D8"/>
    <w:rsid w:val="621B3775"/>
    <w:rsid w:val="62364782"/>
    <w:rsid w:val="6394356A"/>
    <w:rsid w:val="63C61B2C"/>
    <w:rsid w:val="63D40BE9"/>
    <w:rsid w:val="64102431"/>
    <w:rsid w:val="64A5243A"/>
    <w:rsid w:val="64D45ABA"/>
    <w:rsid w:val="64F531DE"/>
    <w:rsid w:val="65373578"/>
    <w:rsid w:val="65BD0622"/>
    <w:rsid w:val="6688644D"/>
    <w:rsid w:val="66D40DBD"/>
    <w:rsid w:val="671F124A"/>
    <w:rsid w:val="677A33C6"/>
    <w:rsid w:val="681F6961"/>
    <w:rsid w:val="68610A2F"/>
    <w:rsid w:val="68805514"/>
    <w:rsid w:val="689C380B"/>
    <w:rsid w:val="69316E2F"/>
    <w:rsid w:val="694E2071"/>
    <w:rsid w:val="694E61D4"/>
    <w:rsid w:val="69766163"/>
    <w:rsid w:val="697A3B33"/>
    <w:rsid w:val="697E7479"/>
    <w:rsid w:val="69D44760"/>
    <w:rsid w:val="69EF3993"/>
    <w:rsid w:val="69F30C7F"/>
    <w:rsid w:val="6A520EC7"/>
    <w:rsid w:val="6A6555DC"/>
    <w:rsid w:val="6AF87E20"/>
    <w:rsid w:val="6B322639"/>
    <w:rsid w:val="6B5C0B9F"/>
    <w:rsid w:val="6C636C38"/>
    <w:rsid w:val="6D2B14AA"/>
    <w:rsid w:val="6DB34098"/>
    <w:rsid w:val="6DB545B6"/>
    <w:rsid w:val="6DE02FB4"/>
    <w:rsid w:val="6E2D20FE"/>
    <w:rsid w:val="6E415F04"/>
    <w:rsid w:val="6E514CED"/>
    <w:rsid w:val="6EB563D5"/>
    <w:rsid w:val="6ED92677"/>
    <w:rsid w:val="6F225983"/>
    <w:rsid w:val="6FFC5590"/>
    <w:rsid w:val="703F5918"/>
    <w:rsid w:val="706D1DD0"/>
    <w:rsid w:val="70856B87"/>
    <w:rsid w:val="70D527EE"/>
    <w:rsid w:val="711E638B"/>
    <w:rsid w:val="715B5300"/>
    <w:rsid w:val="71A4788D"/>
    <w:rsid w:val="71D27F8A"/>
    <w:rsid w:val="722652B6"/>
    <w:rsid w:val="72553024"/>
    <w:rsid w:val="73122968"/>
    <w:rsid w:val="731F5D5E"/>
    <w:rsid w:val="73BF1FC1"/>
    <w:rsid w:val="73C51AD5"/>
    <w:rsid w:val="741E793C"/>
    <w:rsid w:val="745E3944"/>
    <w:rsid w:val="74864F95"/>
    <w:rsid w:val="7635099D"/>
    <w:rsid w:val="77762421"/>
    <w:rsid w:val="77B56B1F"/>
    <w:rsid w:val="780F09F4"/>
    <w:rsid w:val="78A90480"/>
    <w:rsid w:val="7A194C28"/>
    <w:rsid w:val="7A364017"/>
    <w:rsid w:val="7A8265E1"/>
    <w:rsid w:val="7B686D42"/>
    <w:rsid w:val="7B841746"/>
    <w:rsid w:val="7BB6113D"/>
    <w:rsid w:val="7C6C5AC7"/>
    <w:rsid w:val="7CC6544B"/>
    <w:rsid w:val="7D0239FF"/>
    <w:rsid w:val="7D087552"/>
    <w:rsid w:val="7D5E40CD"/>
    <w:rsid w:val="7D9714F1"/>
    <w:rsid w:val="7DCD56F2"/>
    <w:rsid w:val="7E6C008D"/>
    <w:rsid w:val="7F001CE7"/>
    <w:rsid w:val="7FE47E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0" w:semiHidden="0" w:name="heading 2" w:locked="1"/>
    <w:lsdException w:qFormat="1" w:uiPriority="0" w:name="heading 3" w:locked="1"/>
    <w:lsdException w:qFormat="1" w:uiPriority="1" w:semiHidden="0" w:name="heading 4" w:locked="1"/>
    <w:lsdException w:qFormat="1" w:unhideWhenUsed="0" w:uiPriority="0" w:semiHidden="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nhideWhenUsed="0" w:uiPriority="0" w:semiHidden="0" w:name="toc 1" w:locked="1"/>
    <w:lsdException w:qFormat="1"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ocked="1"/>
    <w:lsdException w:qFormat="1" w:uiPriority="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qFormat="1" w:unhideWhenUsed="0" w:uiPriority="0" w:semiHidden="0" w:name="Body Text First Indent" w:locked="1"/>
    <w:lsdException w:qFormat="1" w:unhideWhenUsed="0" w:uiPriority="0" w:semiHidden="0" w:name="Body Text First Indent 2" w:locked="1"/>
    <w:lsdException w:unhideWhenUsed="0" w:uiPriority="0" w:semiHidden="0" w:name="Note Heading" w:locked="1"/>
    <w:lsdException w:unhideWhenUsed="0" w:uiPriority="0" w:semiHidden="0" w:name="Body Text 2" w:locked="1"/>
    <w:lsdException w:unhideWhenUsed="0" w:uiPriority="0" w:semiHidden="0" w:name="Body Text 3" w:locked="1"/>
    <w:lsdException w:unhideWhenUsed="0" w:uiPriority="0" w:semiHidden="0" w:name="Body Text Indent 2" w:locked="1"/>
    <w:lsdException w:unhideWhenUsed="0" w:uiPriority="0" w:semiHidden="0" w:name="Body Text Indent 3" w:locked="1"/>
    <w:lsdException w:unhideWhenUsed="0" w:uiPriority="0" w:semiHidden="0" w:name="Block Text" w:locked="1"/>
    <w:lsdException w:qFormat="1" w:unhideWhenUsed="0" w:uiPriority="0" w:semiHidden="0" w:name="Hyperlink" w:locked="1"/>
    <w:lsdException w:unhideWhenUsed="0" w:uiPriority="0" w:semiHidden="0" w:name="FollowedHyperlink" w:locked="1"/>
    <w:lsdException w:qFormat="1" w:unhideWhenUsed="0" w:uiPriority="0" w:semiHidden="0" w:name="Strong" w:locked="1"/>
    <w:lsdException w:qFormat="1" w:unhideWhenUsed="0" w:uiPriority="0" w:semiHidden="0" w:name="Emphasis" w:locked="1"/>
    <w:lsdException w:unhideWhenUsed="0" w:uiPriority="0" w:semiHidden="0" w:name="Document Map" w:locked="1"/>
    <w:lsdException w:qFormat="1" w:unhideWhenUsed="0" w:uiPriority="0"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iPriority="99" w:name="Normal Table"/>
    <w:lsdException w:qFormat="1" w:unhideWhenUsed="0" w:uiPriority="0"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0" w:name="Balloon Text"/>
    <w:lsdException w:qFormat="1" w:unhideWhenUsed="0" w:uiPriority="0" w:semiHidden="0" w:name="Table Grid"/>
    <w:lsdException w:uiPriority="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2"/>
    <w:basedOn w:val="1"/>
    <w:next w:val="1"/>
    <w:qFormat/>
    <w:locked/>
    <w:uiPriority w:val="0"/>
    <w:pPr>
      <w:tabs>
        <w:tab w:val="left" w:pos="360"/>
        <w:tab w:val="left" w:pos="432"/>
        <w:tab w:val="left" w:pos="576"/>
      </w:tabs>
      <w:spacing w:before="260" w:after="240" w:afterLines="100"/>
      <w:outlineLvl w:val="1"/>
    </w:pPr>
    <w:rPr>
      <w:rFonts w:ascii="Arial" w:hAnsi="Arial" w:eastAsia="黑体"/>
      <w:bCs/>
      <w:sz w:val="28"/>
      <w:szCs w:val="32"/>
      <w:lang w:val="en-US" w:eastAsia="zh-CN" w:bidi="ar-SA"/>
    </w:rPr>
  </w:style>
  <w:style w:type="paragraph" w:styleId="4">
    <w:name w:val="heading 3"/>
    <w:basedOn w:val="1"/>
    <w:next w:val="1"/>
    <w:semiHidden/>
    <w:unhideWhenUsed/>
    <w:qFormat/>
    <w:locked/>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unhideWhenUsed/>
    <w:qFormat/>
    <w:locked/>
    <w:uiPriority w:val="1"/>
    <w:pPr>
      <w:ind w:left="217"/>
      <w:outlineLvl w:val="3"/>
    </w:pPr>
    <w:rPr>
      <w:rFonts w:hint="eastAsia"/>
      <w:b/>
      <w:sz w:val="24"/>
      <w:szCs w:val="24"/>
    </w:rPr>
  </w:style>
  <w:style w:type="paragraph" w:styleId="6">
    <w:name w:val="heading 5"/>
    <w:basedOn w:val="1"/>
    <w:next w:val="1"/>
    <w:qFormat/>
    <w:locked/>
    <w:uiPriority w:val="0"/>
    <w:pPr>
      <w:widowControl w:val="0"/>
      <w:numPr>
        <w:ilvl w:val="4"/>
        <w:numId w:val="1"/>
      </w:numPr>
      <w:tabs>
        <w:tab w:val="left" w:pos="289"/>
      </w:tabs>
      <w:adjustRightInd/>
      <w:snapToGrid/>
      <w:spacing w:before="25" w:after="25"/>
      <w:ind w:left="0" w:firstLine="200"/>
      <w:outlineLvl w:val="4"/>
    </w:pPr>
    <w:rPr>
      <w:rFonts w:ascii="Times New Roman" w:hAnsi="Times New Roman" w:eastAsia="宋体" w:cs="Times New Roman"/>
      <w:bCs/>
      <w:color w:val="000000"/>
      <w:kern w:val="0"/>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locked/>
    <w:uiPriority w:val="0"/>
    <w:pPr>
      <w:adjustRightInd w:val="0"/>
      <w:snapToGrid w:val="0"/>
      <w:spacing w:line="360" w:lineRule="auto"/>
      <w:ind w:firstLine="200" w:firstLineChars="200"/>
      <w:jc w:val="left"/>
    </w:pPr>
    <w:rPr>
      <w:szCs w:val="20"/>
    </w:rPr>
  </w:style>
  <w:style w:type="paragraph" w:styleId="8">
    <w:name w:val="annotation text"/>
    <w:basedOn w:val="1"/>
    <w:link w:val="32"/>
    <w:semiHidden/>
    <w:qFormat/>
    <w:uiPriority w:val="0"/>
    <w:pPr>
      <w:jc w:val="left"/>
    </w:pPr>
    <w:rPr>
      <w:kern w:val="0"/>
      <w:sz w:val="24"/>
      <w:szCs w:val="20"/>
    </w:rPr>
  </w:style>
  <w:style w:type="paragraph" w:styleId="9">
    <w:name w:val="Body Text"/>
    <w:basedOn w:val="1"/>
    <w:next w:val="1"/>
    <w:link w:val="33"/>
    <w:qFormat/>
    <w:uiPriority w:val="0"/>
    <w:pPr>
      <w:widowControl/>
      <w:snapToGrid w:val="0"/>
      <w:spacing w:before="60" w:after="160" w:line="259" w:lineRule="auto"/>
      <w:ind w:right="113"/>
    </w:pPr>
    <w:rPr>
      <w:kern w:val="0"/>
      <w:sz w:val="18"/>
      <w:szCs w:val="20"/>
    </w:rPr>
  </w:style>
  <w:style w:type="paragraph" w:styleId="10">
    <w:name w:val="Body Text Indent"/>
    <w:basedOn w:val="1"/>
    <w:link w:val="34"/>
    <w:qFormat/>
    <w:uiPriority w:val="0"/>
    <w:pPr>
      <w:spacing w:after="120"/>
      <w:ind w:left="420" w:leftChars="200"/>
    </w:pPr>
    <w:rPr>
      <w:kern w:val="0"/>
      <w:sz w:val="24"/>
      <w:szCs w:val="20"/>
    </w:rPr>
  </w:style>
  <w:style w:type="paragraph" w:styleId="11">
    <w:name w:val="Plain Text"/>
    <w:basedOn w:val="1"/>
    <w:next w:val="1"/>
    <w:qFormat/>
    <w:locked/>
    <w:uiPriority w:val="0"/>
    <w:pPr>
      <w:spacing w:line="240" w:lineRule="auto"/>
      <w:ind w:firstLine="200" w:firstLineChars="200"/>
    </w:pPr>
    <w:rPr>
      <w:rFonts w:ascii="宋体" w:hAnsi="Courier New" w:cs="Courier New"/>
      <w:sz w:val="21"/>
      <w:szCs w:val="21"/>
    </w:rPr>
  </w:style>
  <w:style w:type="paragraph" w:styleId="12">
    <w:name w:val="Date"/>
    <w:basedOn w:val="1"/>
    <w:next w:val="1"/>
    <w:link w:val="35"/>
    <w:qFormat/>
    <w:uiPriority w:val="0"/>
    <w:pPr>
      <w:ind w:left="100" w:leftChars="2500"/>
    </w:pPr>
    <w:rPr>
      <w:kern w:val="0"/>
      <w:sz w:val="24"/>
      <w:szCs w:val="20"/>
    </w:rPr>
  </w:style>
  <w:style w:type="paragraph" w:styleId="13">
    <w:name w:val="Balloon Text"/>
    <w:basedOn w:val="1"/>
    <w:link w:val="36"/>
    <w:semiHidden/>
    <w:qFormat/>
    <w:uiPriority w:val="0"/>
    <w:rPr>
      <w:kern w:val="0"/>
      <w:sz w:val="18"/>
      <w:szCs w:val="20"/>
    </w:rPr>
  </w:style>
  <w:style w:type="paragraph" w:styleId="14">
    <w:name w:val="footer"/>
    <w:basedOn w:val="1"/>
    <w:link w:val="37"/>
    <w:qFormat/>
    <w:uiPriority w:val="99"/>
    <w:pPr>
      <w:tabs>
        <w:tab w:val="center" w:pos="4153"/>
        <w:tab w:val="right" w:pos="8306"/>
      </w:tabs>
      <w:snapToGrid w:val="0"/>
      <w:jc w:val="left"/>
    </w:pPr>
    <w:rPr>
      <w:kern w:val="0"/>
      <w:sz w:val="18"/>
      <w:szCs w:val="20"/>
    </w:rPr>
  </w:style>
  <w:style w:type="paragraph" w:styleId="15">
    <w:name w:val="header"/>
    <w:basedOn w:val="1"/>
    <w:link w:val="38"/>
    <w:qFormat/>
    <w:uiPriority w:val="0"/>
    <w:pPr>
      <w:pBdr>
        <w:bottom w:val="single" w:color="auto" w:sz="6" w:space="1"/>
      </w:pBdr>
      <w:tabs>
        <w:tab w:val="center" w:pos="4153"/>
        <w:tab w:val="right" w:pos="8306"/>
      </w:tabs>
      <w:snapToGrid w:val="0"/>
      <w:jc w:val="center"/>
    </w:pPr>
    <w:rPr>
      <w:kern w:val="0"/>
      <w:sz w:val="18"/>
      <w:szCs w:val="20"/>
    </w:rPr>
  </w:style>
  <w:style w:type="paragraph" w:styleId="16">
    <w:name w:val="toc 1"/>
    <w:basedOn w:val="1"/>
    <w:next w:val="1"/>
    <w:qFormat/>
    <w:locked/>
    <w:uiPriority w:val="0"/>
  </w:style>
  <w:style w:type="paragraph" w:styleId="17">
    <w:name w:val="toc 2"/>
    <w:basedOn w:val="1"/>
    <w:next w:val="1"/>
    <w:qFormat/>
    <w:locked/>
    <w:uiPriority w:val="0"/>
    <w:pPr>
      <w:ind w:left="420" w:leftChars="200"/>
    </w:pPr>
  </w:style>
  <w:style w:type="paragraph" w:styleId="18">
    <w:name w:val="Normal (Web)"/>
    <w:basedOn w:val="1"/>
    <w:link w:val="39"/>
    <w:qFormat/>
    <w:uiPriority w:val="0"/>
    <w:pPr>
      <w:widowControl/>
      <w:spacing w:before="100" w:beforeAutospacing="1" w:after="100" w:afterAutospacing="1"/>
      <w:jc w:val="left"/>
    </w:pPr>
    <w:rPr>
      <w:rFonts w:ascii="宋体" w:hAnsi="宋体"/>
      <w:kern w:val="0"/>
      <w:sz w:val="24"/>
      <w:szCs w:val="20"/>
    </w:rPr>
  </w:style>
  <w:style w:type="paragraph" w:styleId="19">
    <w:name w:val="annotation subject"/>
    <w:basedOn w:val="8"/>
    <w:next w:val="8"/>
    <w:link w:val="40"/>
    <w:semiHidden/>
    <w:qFormat/>
    <w:uiPriority w:val="0"/>
    <w:rPr>
      <w:b/>
    </w:rPr>
  </w:style>
  <w:style w:type="paragraph" w:styleId="20">
    <w:name w:val="Body Text First Indent"/>
    <w:basedOn w:val="9"/>
    <w:next w:val="1"/>
    <w:link w:val="58"/>
    <w:qFormat/>
    <w:locked/>
    <w:uiPriority w:val="0"/>
    <w:pPr>
      <w:ind w:firstLine="420" w:firstLineChars="100"/>
    </w:pPr>
    <w:rPr>
      <w:szCs w:val="24"/>
    </w:rPr>
  </w:style>
  <w:style w:type="paragraph" w:styleId="21">
    <w:name w:val="Body Text First Indent 2"/>
    <w:basedOn w:val="10"/>
    <w:qFormat/>
    <w:locked/>
    <w:uiPriority w:val="0"/>
    <w:pPr>
      <w:ind w:firstLine="420"/>
    </w:pPr>
    <w:rPr>
      <w:rFonts w:ascii="Calibri"/>
      <w:szCs w:val="24"/>
    </w:rPr>
  </w:style>
  <w:style w:type="table" w:styleId="23">
    <w:name w:val="Table Grid"/>
    <w:basedOn w:val="2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locked/>
    <w:uiPriority w:val="0"/>
    <w:rPr>
      <w:b/>
    </w:rPr>
  </w:style>
  <w:style w:type="character" w:styleId="26">
    <w:name w:val="page number"/>
    <w:basedOn w:val="24"/>
    <w:qFormat/>
    <w:locked/>
    <w:uiPriority w:val="0"/>
  </w:style>
  <w:style w:type="character" w:styleId="27">
    <w:name w:val="Hyperlink"/>
    <w:basedOn w:val="24"/>
    <w:qFormat/>
    <w:locked/>
    <w:uiPriority w:val="0"/>
    <w:rPr>
      <w:color w:val="0000FF"/>
      <w:u w:val="single"/>
    </w:rPr>
  </w:style>
  <w:style w:type="character" w:styleId="28">
    <w:name w:val="annotation reference"/>
    <w:semiHidden/>
    <w:qFormat/>
    <w:uiPriority w:val="0"/>
    <w:rPr>
      <w:sz w:val="21"/>
    </w:rPr>
  </w:style>
  <w:style w:type="paragraph" w:customStyle="1" w:styleId="29">
    <w:name w:val="Default"/>
    <w:basedOn w:val="30"/>
    <w:qFormat/>
    <w:uiPriority w:val="0"/>
    <w:pPr>
      <w:widowControl w:val="0"/>
      <w:autoSpaceDE w:val="0"/>
      <w:autoSpaceDN w:val="0"/>
      <w:adjustRightInd w:val="0"/>
    </w:pPr>
    <w:rPr>
      <w:rFonts w:ascii="方正小标宋_GBK" w:hAnsi="Times New Roman" w:eastAsia="方正小标宋_GBK" w:cs="方正小标宋_GBK"/>
      <w:color w:val="000000"/>
      <w:sz w:val="24"/>
      <w:szCs w:val="24"/>
      <w:lang w:val="en-US" w:eastAsia="zh-CN" w:bidi="ar-SA"/>
    </w:rPr>
  </w:style>
  <w:style w:type="paragraph" w:customStyle="1" w:styleId="30">
    <w:name w:val="纯文本1"/>
    <w:qFormat/>
    <w:uiPriority w:val="0"/>
    <w:pPr>
      <w:widowControl w:val="0"/>
      <w:adjustRightInd w:val="0"/>
      <w:jc w:val="both"/>
    </w:pPr>
    <w:rPr>
      <w:rFonts w:ascii="宋体" w:hAnsi="Courier New" w:eastAsia="宋体" w:cs="Times New Roman"/>
      <w:kern w:val="2"/>
      <w:sz w:val="21"/>
      <w:lang w:val="en-US" w:eastAsia="zh-CN" w:bidi="ar-SA"/>
    </w:rPr>
  </w:style>
  <w:style w:type="paragraph" w:customStyle="1" w:styleId="31">
    <w:name w:val="xl27"/>
    <w:basedOn w:val="1"/>
    <w:qFormat/>
    <w:uiPriority w:val="0"/>
    <w:pPr>
      <w:widowControl/>
      <w:pBdr>
        <w:top w:val="single" w:color="auto" w:sz="12" w:space="0"/>
        <w:left w:val="single" w:color="auto" w:sz="4" w:space="0"/>
        <w:bottom w:val="single" w:color="auto" w:sz="4" w:space="0"/>
        <w:right w:val="single" w:color="auto" w:sz="4" w:space="0"/>
      </w:pBdr>
      <w:shd w:val="clear" w:color="auto" w:fill="CCCCFF"/>
      <w:spacing w:before="100" w:beforeAutospacing="1" w:after="100" w:afterAutospacing="1"/>
      <w:jc w:val="center"/>
    </w:pPr>
    <w:rPr>
      <w:rFonts w:ascii="宋体" w:hAnsi="宋体"/>
      <w:kern w:val="0"/>
      <w:sz w:val="24"/>
    </w:rPr>
  </w:style>
  <w:style w:type="character" w:customStyle="1" w:styleId="32">
    <w:name w:val="批注文字 字符"/>
    <w:link w:val="8"/>
    <w:qFormat/>
    <w:locked/>
    <w:uiPriority w:val="0"/>
    <w:rPr>
      <w:rFonts w:ascii="Times New Roman" w:hAnsi="Times New Roman" w:eastAsia="宋体"/>
      <w:sz w:val="24"/>
    </w:rPr>
  </w:style>
  <w:style w:type="character" w:customStyle="1" w:styleId="33">
    <w:name w:val="正文文本 字符"/>
    <w:link w:val="9"/>
    <w:qFormat/>
    <w:locked/>
    <w:uiPriority w:val="0"/>
    <w:rPr>
      <w:sz w:val="18"/>
    </w:rPr>
  </w:style>
  <w:style w:type="character" w:customStyle="1" w:styleId="34">
    <w:name w:val="正文文本缩进 字符"/>
    <w:link w:val="10"/>
    <w:semiHidden/>
    <w:qFormat/>
    <w:locked/>
    <w:uiPriority w:val="0"/>
    <w:rPr>
      <w:rFonts w:ascii="Times New Roman" w:hAnsi="Times New Roman" w:eastAsia="宋体"/>
      <w:sz w:val="24"/>
    </w:rPr>
  </w:style>
  <w:style w:type="character" w:customStyle="1" w:styleId="35">
    <w:name w:val="日期 字符1"/>
    <w:link w:val="12"/>
    <w:qFormat/>
    <w:locked/>
    <w:uiPriority w:val="0"/>
    <w:rPr>
      <w:rFonts w:ascii="Times New Roman" w:hAnsi="Times New Roman" w:eastAsia="宋体"/>
      <w:sz w:val="24"/>
    </w:rPr>
  </w:style>
  <w:style w:type="character" w:customStyle="1" w:styleId="36">
    <w:name w:val="批注框文本 字符"/>
    <w:link w:val="13"/>
    <w:semiHidden/>
    <w:qFormat/>
    <w:locked/>
    <w:uiPriority w:val="0"/>
    <w:rPr>
      <w:rFonts w:ascii="Times New Roman" w:hAnsi="Times New Roman" w:eastAsia="宋体"/>
      <w:sz w:val="18"/>
    </w:rPr>
  </w:style>
  <w:style w:type="character" w:customStyle="1" w:styleId="37">
    <w:name w:val="页脚 字符1"/>
    <w:link w:val="14"/>
    <w:qFormat/>
    <w:locked/>
    <w:uiPriority w:val="99"/>
    <w:rPr>
      <w:sz w:val="18"/>
    </w:rPr>
  </w:style>
  <w:style w:type="character" w:customStyle="1" w:styleId="38">
    <w:name w:val="页眉 字符"/>
    <w:link w:val="15"/>
    <w:qFormat/>
    <w:locked/>
    <w:uiPriority w:val="0"/>
    <w:rPr>
      <w:sz w:val="18"/>
    </w:rPr>
  </w:style>
  <w:style w:type="character" w:customStyle="1" w:styleId="39">
    <w:name w:val="普通(网站) 字符"/>
    <w:link w:val="18"/>
    <w:qFormat/>
    <w:locked/>
    <w:uiPriority w:val="0"/>
    <w:rPr>
      <w:rFonts w:ascii="宋体" w:hAnsi="宋体" w:eastAsia="宋体"/>
      <w:sz w:val="24"/>
    </w:rPr>
  </w:style>
  <w:style w:type="character" w:customStyle="1" w:styleId="40">
    <w:name w:val="批注主题 字符"/>
    <w:link w:val="19"/>
    <w:semiHidden/>
    <w:qFormat/>
    <w:locked/>
    <w:uiPriority w:val="0"/>
    <w:rPr>
      <w:rFonts w:ascii="Times New Roman" w:hAnsi="Times New Roman" w:eastAsia="宋体"/>
      <w:b/>
      <w:kern w:val="2"/>
      <w:sz w:val="24"/>
    </w:rPr>
  </w:style>
  <w:style w:type="character" w:customStyle="1" w:styleId="41">
    <w:name w:val="页脚 字符"/>
    <w:basedOn w:val="24"/>
    <w:qFormat/>
    <w:uiPriority w:val="99"/>
  </w:style>
  <w:style w:type="character" w:customStyle="1" w:styleId="42">
    <w:name w:val="正文文本 字符1"/>
    <w:semiHidden/>
    <w:qFormat/>
    <w:uiPriority w:val="0"/>
    <w:rPr>
      <w:rFonts w:ascii="Times New Roman" w:hAnsi="Times New Roman" w:eastAsia="宋体"/>
      <w:sz w:val="24"/>
    </w:rPr>
  </w:style>
  <w:style w:type="character" w:customStyle="1" w:styleId="43">
    <w:name w:val="表格 Char"/>
    <w:link w:val="44"/>
    <w:qFormat/>
    <w:locked/>
    <w:uiPriority w:val="0"/>
    <w:rPr>
      <w:rFonts w:ascii="宋体"/>
      <w:sz w:val="21"/>
    </w:rPr>
  </w:style>
  <w:style w:type="paragraph" w:customStyle="1" w:styleId="44">
    <w:name w:val="表格"/>
    <w:basedOn w:val="1"/>
    <w:next w:val="1"/>
    <w:link w:val="43"/>
    <w:qFormat/>
    <w:uiPriority w:val="0"/>
    <w:pPr>
      <w:adjustRightInd w:val="0"/>
      <w:snapToGrid w:val="0"/>
      <w:spacing w:beforeLines="10" w:afterLines="10" w:line="259" w:lineRule="auto"/>
      <w:jc w:val="center"/>
    </w:pPr>
    <w:rPr>
      <w:rFonts w:ascii="宋体"/>
      <w:kern w:val="0"/>
      <w:szCs w:val="20"/>
    </w:rPr>
  </w:style>
  <w:style w:type="character" w:customStyle="1" w:styleId="45">
    <w:name w:val="日期 字符"/>
    <w:semiHidden/>
    <w:qFormat/>
    <w:uiPriority w:val="0"/>
    <w:rPr>
      <w:rFonts w:ascii="Times New Roman" w:hAnsi="Times New Roman" w:eastAsia="宋体"/>
      <w:sz w:val="24"/>
    </w:rPr>
  </w:style>
  <w:style w:type="character" w:customStyle="1" w:styleId="46">
    <w:name w:val="批注文字 字符1"/>
    <w:semiHidden/>
    <w:qFormat/>
    <w:uiPriority w:val="0"/>
    <w:rPr>
      <w:rFonts w:ascii="Times New Roman" w:hAnsi="Times New Roman" w:eastAsia="宋体"/>
      <w:sz w:val="24"/>
    </w:rPr>
  </w:style>
  <w:style w:type="paragraph" w:customStyle="1" w:styleId="47">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8">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49">
    <w:name w:val="Table Paragraph"/>
    <w:basedOn w:val="1"/>
    <w:qFormat/>
    <w:uiPriority w:val="1"/>
  </w:style>
  <w:style w:type="paragraph" w:customStyle="1" w:styleId="50">
    <w:name w:val="表格正文"/>
    <w:basedOn w:val="51"/>
    <w:next w:val="1"/>
    <w:qFormat/>
    <w:uiPriority w:val="0"/>
    <w:pPr>
      <w:spacing w:before="20" w:beforeLines="20" w:after="20" w:afterLines="20"/>
    </w:pPr>
    <w:rPr>
      <w:kern w:val="2"/>
    </w:rPr>
  </w:style>
  <w:style w:type="paragraph" w:customStyle="1" w:styleId="51">
    <w:name w:val="表格格式"/>
    <w:basedOn w:val="1"/>
    <w:qFormat/>
    <w:uiPriority w:val="0"/>
    <w:pPr>
      <w:jc w:val="center"/>
    </w:pPr>
    <w:rPr>
      <w:b/>
      <w:kern w:val="0"/>
      <w:szCs w:val="21"/>
    </w:rPr>
  </w:style>
  <w:style w:type="paragraph" w:customStyle="1" w:styleId="52">
    <w:name w:val="报告正文"/>
    <w:basedOn w:val="1"/>
    <w:qFormat/>
    <w:uiPriority w:val="0"/>
    <w:pPr>
      <w:adjustRightInd w:val="0"/>
      <w:spacing w:after="120" w:line="360" w:lineRule="auto"/>
      <w:ind w:firstLine="510"/>
    </w:pPr>
    <w:rPr>
      <w:rFonts w:ascii="宋体" w:hAnsi="Courier New"/>
      <w:kern w:val="0"/>
      <w:sz w:val="24"/>
      <w:szCs w:val="20"/>
    </w:rPr>
  </w:style>
  <w:style w:type="paragraph" w:customStyle="1" w:styleId="53">
    <w:name w:val="A正文1"/>
    <w:basedOn w:val="1"/>
    <w:qFormat/>
    <w:uiPriority w:val="0"/>
    <w:pPr>
      <w:ind w:firstLine="480" w:firstLineChars="200"/>
    </w:pPr>
  </w:style>
  <w:style w:type="paragraph" w:customStyle="1" w:styleId="54">
    <w:name w:val="表格文字"/>
    <w:basedOn w:val="20"/>
    <w:next w:val="1"/>
    <w:qFormat/>
    <w:uiPriority w:val="0"/>
    <w:pPr>
      <w:adjustRightInd w:val="0"/>
      <w:spacing w:before="20" w:beforeLines="20" w:after="20" w:afterLines="20" w:line="240" w:lineRule="auto"/>
      <w:ind w:firstLine="0" w:firstLineChars="0"/>
      <w:jc w:val="center"/>
    </w:pPr>
    <w:rPr>
      <w:sz w:val="21"/>
    </w:rPr>
  </w:style>
  <w:style w:type="paragraph" w:customStyle="1" w:styleId="55">
    <w:name w:val="表格内容居中"/>
    <w:qFormat/>
    <w:uiPriority w:val="0"/>
    <w:pPr>
      <w:adjustRightInd w:val="0"/>
      <w:snapToGrid w:val="0"/>
      <w:jc w:val="center"/>
    </w:pPr>
    <w:rPr>
      <w:rFonts w:ascii="Times New Roman" w:hAnsi="Times New Roman" w:eastAsia="宋体" w:cs="Times New Roman"/>
      <w:snapToGrid w:val="0"/>
      <w:sz w:val="21"/>
      <w:lang w:val="en-US" w:eastAsia="zh-CN" w:bidi="ar-SA"/>
    </w:rPr>
  </w:style>
  <w:style w:type="paragraph" w:customStyle="1" w:styleId="56">
    <w:name w:val="样式 报告 + 首行缩进:  2 字符"/>
    <w:basedOn w:val="1"/>
    <w:unhideWhenUsed/>
    <w:qFormat/>
    <w:uiPriority w:val="0"/>
    <w:pPr>
      <w:widowControl/>
      <w:overflowPunct w:val="0"/>
      <w:autoSpaceDE w:val="0"/>
      <w:autoSpaceDN w:val="0"/>
      <w:adjustRightInd w:val="0"/>
      <w:spacing w:before="120" w:after="120" w:line="400" w:lineRule="atLeast"/>
      <w:ind w:firstLine="480"/>
      <w:textAlignment w:val="baseline"/>
    </w:pPr>
    <w:rPr>
      <w:kern w:val="0"/>
      <w:sz w:val="24"/>
    </w:rPr>
  </w:style>
  <w:style w:type="paragraph" w:customStyle="1" w:styleId="57">
    <w:name w:val="卓龙正文"/>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character" w:customStyle="1" w:styleId="58">
    <w:name w:val="正文文本首行缩进 字符"/>
    <w:link w:val="20"/>
    <w:qFormat/>
    <w:uiPriority w:val="0"/>
    <w:rPr>
      <w:kern w:val="2"/>
      <w:sz w:val="24"/>
      <w:szCs w:val="24"/>
    </w:rPr>
  </w:style>
  <w:style w:type="paragraph" w:styleId="59">
    <w:name w:val="List Paragraph"/>
    <w:basedOn w:val="1"/>
    <w:qFormat/>
    <w:uiPriority w:val="99"/>
    <w:pPr>
      <w:ind w:firstLine="420" w:firstLineChars="200"/>
    </w:pPr>
  </w:style>
  <w:style w:type="paragraph" w:customStyle="1" w:styleId="60">
    <w:name w:val="报告表格"/>
    <w:qFormat/>
    <w:uiPriority w:val="0"/>
    <w:pPr>
      <w:widowControl w:val="0"/>
      <w:autoSpaceDE w:val="0"/>
      <w:autoSpaceDN w:val="0"/>
      <w:adjustRightInd w:val="0"/>
      <w:spacing w:before="40" w:after="40" w:line="360" w:lineRule="auto"/>
      <w:ind w:firstLine="640" w:firstLineChars="200"/>
      <w:jc w:val="center"/>
    </w:pPr>
    <w:rPr>
      <w:rFonts w:ascii="Times New Roman" w:hAnsi="Times New Roman" w:eastAsia="宋体" w:cs="Times New Roman"/>
      <w:sz w:val="21"/>
      <w:szCs w:val="24"/>
      <w:lang w:val="en-US" w:eastAsia="zh-CN" w:bidi="ar-SA"/>
    </w:rPr>
  </w:style>
  <w:style w:type="paragraph" w:customStyle="1" w:styleId="61">
    <w:name w:val="1正文"/>
    <w:qFormat/>
    <w:uiPriority w:val="0"/>
    <w:pPr>
      <w:adjustRightInd w:val="0"/>
      <w:snapToGrid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62">
    <w:name w:val="1表格内容"/>
    <w:basedOn w:val="1"/>
    <w:qFormat/>
    <w:uiPriority w:val="0"/>
    <w:pPr>
      <w:widowControl/>
      <w:spacing w:line="240" w:lineRule="exact"/>
      <w:jc w:val="center"/>
    </w:pPr>
    <w:rPr>
      <w:color w:val="000000"/>
      <w:sz w:val="18"/>
      <w:szCs w:val="22"/>
    </w:rPr>
  </w:style>
  <w:style w:type="paragraph" w:customStyle="1" w:styleId="63">
    <w:name w:val="M-表头"/>
    <w:basedOn w:val="1"/>
    <w:qFormat/>
    <w:uiPriority w:val="0"/>
    <w:pPr>
      <w:widowControl/>
      <w:spacing w:line="240" w:lineRule="auto"/>
      <w:ind w:firstLine="200" w:firstLineChars="200"/>
      <w:jc w:val="center"/>
    </w:pPr>
    <w:rPr>
      <w:szCs w:val="21"/>
    </w:rPr>
  </w:style>
  <w:style w:type="paragraph" w:customStyle="1" w:styleId="64">
    <w:name w:val="表标题"/>
    <w:basedOn w:val="1"/>
    <w:qFormat/>
    <w:uiPriority w:val="0"/>
    <w:pPr>
      <w:adjustRightInd w:val="0"/>
      <w:snapToGrid w:val="0"/>
      <w:jc w:val="center"/>
    </w:pPr>
    <w:rPr>
      <w:b/>
    </w:rPr>
  </w:style>
  <w:style w:type="paragraph" w:customStyle="1" w:styleId="65">
    <w:name w:val="正文-易恒"/>
    <w:basedOn w:val="1"/>
    <w:qFormat/>
    <w:uiPriority w:val="0"/>
    <w:pPr>
      <w:spacing w:line="360" w:lineRule="auto"/>
      <w:ind w:firstLine="200" w:firstLineChars="200"/>
    </w:pPr>
    <w:rPr>
      <w:rFonts w:ascii="Times New Roman" w:hAnsi="Times New Roman" w:eastAsia="宋体" w:cs="Times New Roman"/>
      <w:sz w:val="24"/>
      <w:szCs w:val="24"/>
    </w:rPr>
  </w:style>
  <w:style w:type="paragraph" w:customStyle="1" w:styleId="66">
    <w:name w:val="表头-易恒"/>
    <w:basedOn w:val="65"/>
    <w:next w:val="65"/>
    <w:qFormat/>
    <w:uiPriority w:val="0"/>
    <w:pPr>
      <w:spacing w:beforeLines="50" w:line="240" w:lineRule="auto"/>
      <w:ind w:firstLine="0" w:firstLineChars="0"/>
      <w:jc w:val="center"/>
    </w:pPr>
    <w:rPr>
      <w:b/>
    </w:rPr>
  </w:style>
  <w:style w:type="paragraph" w:customStyle="1" w:styleId="67">
    <w:name w:val="表格-易恒"/>
    <w:basedOn w:val="65"/>
    <w:qFormat/>
    <w:uiPriority w:val="0"/>
    <w:pPr>
      <w:spacing w:line="240" w:lineRule="auto"/>
      <w:ind w:firstLine="0" w:firstLineChars="0"/>
      <w:jc w:val="center"/>
    </w:pPr>
    <w:rPr>
      <w:sz w:val="21"/>
    </w:rPr>
  </w:style>
  <w:style w:type="paragraph" w:customStyle="1" w:styleId="68">
    <w:name w:val="正文内容"/>
    <w:basedOn w:val="1"/>
    <w:qFormat/>
    <w:uiPriority w:val="0"/>
    <w:pPr>
      <w:spacing w:line="360" w:lineRule="auto"/>
      <w:ind w:firstLine="200" w:firstLineChars="200"/>
    </w:pPr>
    <w:rPr>
      <w:kern w:val="0"/>
      <w:sz w:val="24"/>
      <w:szCs w:val="21"/>
    </w:rPr>
  </w:style>
  <w:style w:type="table" w:customStyle="1" w:styleId="69">
    <w:name w:val="Table Normal"/>
    <w:basedOn w:val="22"/>
    <w:qFormat/>
    <w:uiPriority w:val="0"/>
    <w:rPr>
      <w:rFonts w:eastAsia="Times New Roman"/>
    </w:rPr>
    <w:tblPr>
      <w:tblCellMar>
        <w:top w:w="0" w:type="dxa"/>
        <w:left w:w="0" w:type="dxa"/>
        <w:bottom w:w="0" w:type="dxa"/>
        <w:right w:w="0" w:type="dxa"/>
      </w:tblCellMar>
    </w:tblPr>
  </w:style>
  <w:style w:type="paragraph" w:customStyle="1" w:styleId="70">
    <w:name w:val="Normal"/>
    <w:qFormat/>
    <w:uiPriority w:val="0"/>
    <w:pPr>
      <w:jc w:val="both"/>
    </w:pPr>
    <w:rPr>
      <w:rFonts w:ascii="宋体" w:hAnsi="宋体" w:eastAsia="等线" w:cs="宋体"/>
      <w:kern w:val="2"/>
      <w:sz w:val="21"/>
      <w:szCs w:val="21"/>
      <w:lang w:val="en-US" w:eastAsia="zh-CN" w:bidi="ar-SA"/>
    </w:rPr>
  </w:style>
  <w:style w:type="paragraph" w:customStyle="1" w:styleId="71">
    <w:name w:val="5、正文"/>
    <w:basedOn w:val="11"/>
    <w:qFormat/>
    <w:uiPriority w:val="0"/>
    <w:rPr>
      <w:szCs w:val="21"/>
    </w:rPr>
  </w:style>
  <w:style w:type="paragraph" w:customStyle="1" w:styleId="72">
    <w:name w:val="正文2"/>
    <w:basedOn w:val="1"/>
    <w:qFormat/>
    <w:uiPriority w:val="0"/>
    <w:pPr>
      <w:spacing w:line="240" w:lineRule="auto"/>
      <w:ind w:firstLine="0" w:firstLineChars="0"/>
      <w:jc w:val="center"/>
    </w:pPr>
  </w:style>
  <w:style w:type="paragraph" w:customStyle="1" w:styleId="73">
    <w:name w:val="表文字"/>
    <w:basedOn w:val="1"/>
    <w:qFormat/>
    <w:uiPriority w:val="0"/>
    <w:pPr>
      <w:spacing w:line="240" w:lineRule="auto"/>
      <w:ind w:firstLine="0" w:firstLineChars="0"/>
      <w:jc w:val="center"/>
    </w:pPr>
    <w:rPr>
      <w:b/>
      <w:bCs/>
      <w:kern w:val="10"/>
    </w:rPr>
  </w:style>
  <w:style w:type="paragraph" w:customStyle="1" w:styleId="74">
    <w:name w:val="表格内文字"/>
    <w:qFormat/>
    <w:uiPriority w:val="0"/>
    <w:pPr>
      <w:jc w:val="center"/>
    </w:pPr>
    <w:rPr>
      <w:rFonts w:ascii="Times New Roman" w:hAnsi="Times New Roman" w:eastAsia="宋体" w:cs="宋体"/>
      <w:kern w:val="2"/>
      <w:sz w:val="21"/>
      <w:szCs w:val="21"/>
      <w:lang w:val="en-US" w:eastAsia="zh-CN" w:bidi="ar-SA"/>
    </w:rPr>
  </w:style>
  <w:style w:type="paragraph" w:customStyle="1" w:styleId="75">
    <w:name w:val="列出段落1"/>
    <w:basedOn w:val="1"/>
    <w:qFormat/>
    <w:uiPriority w:val="34"/>
    <w:pPr>
      <w:ind w:firstLine="420"/>
    </w:pPr>
  </w:style>
</w:styles>
</file>

<file path=word/_rels/document.xml.rels><?xml version="1.0" encoding="UTF-8" standalone="yes"?>
<Relationships xmlns="http://schemas.openxmlformats.org/package/2006/relationships"><Relationship Id="rId9" Type="http://schemas.openxmlformats.org/officeDocument/2006/relationships/header" Target="header1.xml"/><Relationship Id="rId8" Type="http://schemas.openxmlformats.org/officeDocument/2006/relationships/footer" Target="footer6.xml"/><Relationship Id="rId76" Type="http://schemas.openxmlformats.org/officeDocument/2006/relationships/fontTable" Target="fontTable.xml"/><Relationship Id="rId75" Type="http://schemas.openxmlformats.org/officeDocument/2006/relationships/numbering" Target="numbering.xml"/><Relationship Id="rId74" Type="http://schemas.openxmlformats.org/officeDocument/2006/relationships/customXml" Target="../customXml/item1.xml"/><Relationship Id="rId73" Type="http://schemas.openxmlformats.org/officeDocument/2006/relationships/image" Target="media/image59.png"/><Relationship Id="rId72" Type="http://schemas.openxmlformats.org/officeDocument/2006/relationships/image" Target="media/image58.png"/><Relationship Id="rId71" Type="http://schemas.openxmlformats.org/officeDocument/2006/relationships/image" Target="media/image57.png"/><Relationship Id="rId70" Type="http://schemas.openxmlformats.org/officeDocument/2006/relationships/image" Target="media/image56.png"/><Relationship Id="rId7" Type="http://schemas.openxmlformats.org/officeDocument/2006/relationships/footer" Target="footer5.xml"/><Relationship Id="rId69" Type="http://schemas.openxmlformats.org/officeDocument/2006/relationships/image" Target="media/image55.png"/><Relationship Id="rId68" Type="http://schemas.openxmlformats.org/officeDocument/2006/relationships/image" Target="media/image54.png"/><Relationship Id="rId67" Type="http://schemas.openxmlformats.org/officeDocument/2006/relationships/image" Target="media/image53.png"/><Relationship Id="rId66" Type="http://schemas.openxmlformats.org/officeDocument/2006/relationships/image" Target="media/image52.png"/><Relationship Id="rId65" Type="http://schemas.openxmlformats.org/officeDocument/2006/relationships/image" Target="media/image51.png"/><Relationship Id="rId64" Type="http://schemas.openxmlformats.org/officeDocument/2006/relationships/image" Target="media/image50.png"/><Relationship Id="rId63" Type="http://schemas.openxmlformats.org/officeDocument/2006/relationships/image" Target="media/image49.png"/><Relationship Id="rId62" Type="http://schemas.openxmlformats.org/officeDocument/2006/relationships/image" Target="media/image48.png"/><Relationship Id="rId61" Type="http://schemas.openxmlformats.org/officeDocument/2006/relationships/image" Target="media/image47.png"/><Relationship Id="rId60" Type="http://schemas.openxmlformats.org/officeDocument/2006/relationships/image" Target="media/image46.png"/><Relationship Id="rId6" Type="http://schemas.openxmlformats.org/officeDocument/2006/relationships/footer" Target="footer4.xml"/><Relationship Id="rId59" Type="http://schemas.openxmlformats.org/officeDocument/2006/relationships/image" Target="media/image45.png"/><Relationship Id="rId58" Type="http://schemas.openxmlformats.org/officeDocument/2006/relationships/image" Target="media/image44.jpeg"/><Relationship Id="rId57" Type="http://schemas.openxmlformats.org/officeDocument/2006/relationships/image" Target="media/image43.png"/><Relationship Id="rId56" Type="http://schemas.openxmlformats.org/officeDocument/2006/relationships/image" Target="media/image42.png"/><Relationship Id="rId55" Type="http://schemas.openxmlformats.org/officeDocument/2006/relationships/image" Target="media/image41.png"/><Relationship Id="rId54" Type="http://schemas.openxmlformats.org/officeDocument/2006/relationships/image" Target="media/image40.png"/><Relationship Id="rId53" Type="http://schemas.openxmlformats.org/officeDocument/2006/relationships/image" Target="media/image39.png"/><Relationship Id="rId52" Type="http://schemas.openxmlformats.org/officeDocument/2006/relationships/image" Target="media/image38.png"/><Relationship Id="rId51" Type="http://schemas.openxmlformats.org/officeDocument/2006/relationships/image" Target="media/image37.png"/><Relationship Id="rId50" Type="http://schemas.openxmlformats.org/officeDocument/2006/relationships/image" Target="media/image36.png"/><Relationship Id="rId5" Type="http://schemas.openxmlformats.org/officeDocument/2006/relationships/footer" Target="footer3.xml"/><Relationship Id="rId49" Type="http://schemas.openxmlformats.org/officeDocument/2006/relationships/image" Target="media/image35.png"/><Relationship Id="rId48" Type="http://schemas.openxmlformats.org/officeDocument/2006/relationships/image" Target="media/image34.png"/><Relationship Id="rId47" Type="http://schemas.openxmlformats.org/officeDocument/2006/relationships/image" Target="media/image33.png"/><Relationship Id="rId46" Type="http://schemas.openxmlformats.org/officeDocument/2006/relationships/image" Target="media/image32.png"/><Relationship Id="rId45" Type="http://schemas.openxmlformats.org/officeDocument/2006/relationships/image" Target="media/image31.png"/><Relationship Id="rId44" Type="http://schemas.openxmlformats.org/officeDocument/2006/relationships/image" Target="media/image30.png"/><Relationship Id="rId43" Type="http://schemas.openxmlformats.org/officeDocument/2006/relationships/image" Target="media/image29.png"/><Relationship Id="rId42" Type="http://schemas.openxmlformats.org/officeDocument/2006/relationships/image" Target="media/image28.png"/><Relationship Id="rId41" Type="http://schemas.openxmlformats.org/officeDocument/2006/relationships/image" Target="media/image27.png"/><Relationship Id="rId40" Type="http://schemas.openxmlformats.org/officeDocument/2006/relationships/image" Target="media/image26.png"/><Relationship Id="rId4" Type="http://schemas.openxmlformats.org/officeDocument/2006/relationships/footer" Target="footer2.xml"/><Relationship Id="rId39" Type="http://schemas.openxmlformats.org/officeDocument/2006/relationships/image" Target="media/image25.png"/><Relationship Id="rId38" Type="http://schemas.openxmlformats.org/officeDocument/2006/relationships/image" Target="media/image24.png"/><Relationship Id="rId37" Type="http://schemas.openxmlformats.org/officeDocument/2006/relationships/image" Target="media/image23.png"/><Relationship Id="rId36" Type="http://schemas.openxmlformats.org/officeDocument/2006/relationships/image" Target="media/image22.png"/><Relationship Id="rId35" Type="http://schemas.openxmlformats.org/officeDocument/2006/relationships/image" Target="media/image21.jpeg"/><Relationship Id="rId34" Type="http://schemas.openxmlformats.org/officeDocument/2006/relationships/image" Target="media/image20.png"/><Relationship Id="rId33" Type="http://schemas.openxmlformats.org/officeDocument/2006/relationships/image" Target="media/image19.png"/><Relationship Id="rId32" Type="http://schemas.openxmlformats.org/officeDocument/2006/relationships/image" Target="media/image18.png"/><Relationship Id="rId31" Type="http://schemas.openxmlformats.org/officeDocument/2006/relationships/image" Target="media/image17.png"/><Relationship Id="rId30" Type="http://schemas.openxmlformats.org/officeDocument/2006/relationships/image" Target="media/image16.png"/><Relationship Id="rId3" Type="http://schemas.openxmlformats.org/officeDocument/2006/relationships/footer" Target="footer1.xml"/><Relationship Id="rId29" Type="http://schemas.openxmlformats.org/officeDocument/2006/relationships/image" Target="media/image15.png"/><Relationship Id="rId28" Type="http://schemas.openxmlformats.org/officeDocument/2006/relationships/image" Target="media/image14.png"/><Relationship Id="rId27" Type="http://schemas.openxmlformats.org/officeDocument/2006/relationships/image" Target="media/image13.png"/><Relationship Id="rId26" Type="http://schemas.openxmlformats.org/officeDocument/2006/relationships/image" Target="media/image12.png"/><Relationship Id="rId25" Type="http://schemas.openxmlformats.org/officeDocument/2006/relationships/image" Target="media/image11.png"/><Relationship Id="rId24" Type="http://schemas.openxmlformats.org/officeDocument/2006/relationships/image" Target="media/image10.png"/><Relationship Id="rId23" Type="http://schemas.openxmlformats.org/officeDocument/2006/relationships/image" Target="media/image9.png"/><Relationship Id="rId22" Type="http://schemas.openxmlformats.org/officeDocument/2006/relationships/image" Target="media/image8.png"/><Relationship Id="rId21" Type="http://schemas.openxmlformats.org/officeDocument/2006/relationships/image" Target="media/image7.png"/><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header" Target="header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125</Pages>
  <Words>50949</Words>
  <Characters>54968</Characters>
  <Lines>271</Lines>
  <Paragraphs>76</Paragraphs>
  <TotalTime>6</TotalTime>
  <ScaleCrop>false</ScaleCrop>
  <LinksUpToDate>false</LinksUpToDate>
  <CharactersWithSpaces>55723</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2022-02-25T06:39:00Z</dcterms:created>
  <dc:creator>lhj</dc:creator>
  <cp:lastModifiedBy>Administrator</cp:lastModifiedBy>
  <cp:lastPrinted>2022-03-07T13:07:00Z</cp:lastPrinted>
  <dcterms:modified xsi:type="dcterms:W3CDTF">2025-05-19T08:41:15Z</dcterms:modified>
  <dc:title>附件2</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C115789D6B63421A99A2425A1B25E3BA</vt:lpwstr>
  </property>
  <property fmtid="{D5CDD505-2E9C-101B-9397-08002B2CF9AE}" pid="4" name="KSOTemplateDocerSaveRecord">
    <vt:lpwstr>eyJoZGlkIjoiZWQzZDYyZDg1Yjg4ZWVkYjYwZjY1ZGUxYjBhMmZmMDQiLCJ1c2VySWQiOiIzODM4NjE4MjkifQ==</vt:lpwstr>
  </property>
</Properties>
</file>