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color w:val="auto"/>
          <w:sz w:val="36"/>
          <w:szCs w:val="36"/>
        </w:rPr>
      </w:pPr>
    </w:p>
    <w:p>
      <w:pPr>
        <w:pStyle w:val="2"/>
        <w:rPr>
          <w:color w:val="auto"/>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rPr>
          <w:rFonts w:ascii="仿宋_GB2312" w:hAnsi="仿宋_GB2312" w:eastAsia="仿宋_GB2312" w:cs="仿宋_GB2312"/>
          <w:color w:val="auto"/>
          <w:sz w:val="36"/>
          <w:szCs w:val="36"/>
        </w:rPr>
      </w:pPr>
    </w:p>
    <w:p>
      <w:pPr>
        <w:adjustRightInd w:val="0"/>
        <w:snapToGrid w:val="0"/>
        <w:jc w:val="center"/>
        <w:outlineLvl w:val="0"/>
        <w:rPr>
          <w:rFonts w:ascii="方正小标宋_GBK" w:eastAsia="方正小标宋_GBK"/>
          <w:bCs/>
          <w:color w:val="auto"/>
          <w:sz w:val="72"/>
          <w:szCs w:val="72"/>
        </w:rPr>
      </w:pPr>
      <w:bookmarkStart w:id="0" w:name="_Toc13484"/>
      <w:bookmarkStart w:id="1" w:name="_Toc6730"/>
      <w:bookmarkStart w:id="2" w:name="_Toc14192"/>
      <w:bookmarkStart w:id="3" w:name="_Toc32108"/>
      <w:bookmarkStart w:id="4" w:name="_Toc3192"/>
      <w:bookmarkStart w:id="5" w:name="_Toc13865"/>
      <w:bookmarkStart w:id="6" w:name="_Toc28649"/>
      <w:r>
        <w:rPr>
          <w:rFonts w:hint="eastAsia" w:ascii="方正小标宋_GBK" w:eastAsia="方正小标宋_GBK"/>
          <w:bCs/>
          <w:color w:val="auto"/>
          <w:sz w:val="72"/>
          <w:szCs w:val="72"/>
        </w:rPr>
        <w:t>建设项目环境影响报告表</w:t>
      </w:r>
      <w:bookmarkEnd w:id="0"/>
      <w:bookmarkEnd w:id="1"/>
      <w:bookmarkEnd w:id="2"/>
      <w:bookmarkEnd w:id="3"/>
      <w:bookmarkEnd w:id="4"/>
      <w:bookmarkEnd w:id="5"/>
      <w:bookmarkEnd w:id="6"/>
    </w:p>
    <w:p>
      <w:pPr>
        <w:adjustRightInd w:val="0"/>
        <w:snapToGrid w:val="0"/>
        <w:spacing w:before="192" w:beforeLines="80"/>
        <w:jc w:val="center"/>
        <w:rPr>
          <w:rFonts w:ascii="楷体_GB2312" w:eastAsia="楷体_GB2312"/>
          <w:bCs/>
          <w:color w:val="auto"/>
          <w:sz w:val="48"/>
          <w:szCs w:val="48"/>
        </w:rPr>
      </w:pPr>
      <w:r>
        <w:rPr>
          <w:rFonts w:hint="eastAsia" w:ascii="楷体_GB2312" w:eastAsia="楷体_GB2312"/>
          <w:bCs/>
          <w:color w:val="auto"/>
          <w:sz w:val="48"/>
          <w:szCs w:val="48"/>
        </w:rPr>
        <w:t>（</w:t>
      </w:r>
      <w:r>
        <w:rPr>
          <w:rFonts w:hint="default" w:ascii="楷体_GB2312" w:eastAsia="楷体_GB2312"/>
          <w:bCs/>
          <w:color w:val="auto"/>
          <w:sz w:val="48"/>
          <w:szCs w:val="48"/>
        </w:rPr>
        <w:t>生态</w:t>
      </w:r>
      <w:r>
        <w:rPr>
          <w:rFonts w:hint="eastAsia" w:ascii="楷体_GB2312" w:eastAsia="楷体_GB2312"/>
          <w:bCs/>
          <w:color w:val="auto"/>
          <w:sz w:val="48"/>
          <w:szCs w:val="48"/>
        </w:rPr>
        <w:t>影响类）</w:t>
      </w:r>
    </w:p>
    <w:p>
      <w:pPr>
        <w:adjustRightInd w:val="0"/>
        <w:snapToGrid w:val="0"/>
        <w:spacing w:line="288" w:lineRule="auto"/>
        <w:jc w:val="center"/>
        <w:rPr>
          <w:rFonts w:ascii="华文仿宋" w:hAnsi="华文仿宋" w:eastAsia="华文仿宋" w:cs="华文仿宋"/>
          <w:color w:val="auto"/>
          <w:kern w:val="44"/>
          <w:sz w:val="44"/>
          <w:szCs w:val="44"/>
        </w:rPr>
      </w:pPr>
    </w:p>
    <w:p>
      <w:pPr>
        <w:jc w:val="center"/>
        <w:rPr>
          <w:rFonts w:eastAsia="仿宋"/>
          <w:color w:val="auto"/>
          <w:sz w:val="52"/>
          <w:szCs w:val="52"/>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ind w:firstLine="1040"/>
        <w:rPr>
          <w:rFonts w:eastAsia="仿宋"/>
          <w:color w:val="auto"/>
          <w:sz w:val="44"/>
          <w:szCs w:val="44"/>
        </w:rPr>
      </w:pPr>
    </w:p>
    <w:p>
      <w:pPr>
        <w:adjustRightInd w:val="0"/>
        <w:snapToGrid w:val="0"/>
        <w:spacing w:line="288" w:lineRule="auto"/>
        <w:ind w:firstLine="360" w:firstLineChars="100"/>
        <w:rPr>
          <w:rFonts w:hint="eastAsia" w:ascii="仿宋_GB2312" w:hAnsi="Times New Roman" w:eastAsia="仿宋_GB2312" w:cs="Times New Roman"/>
          <w:color w:val="auto"/>
          <w:sz w:val="36"/>
          <w:szCs w:val="36"/>
          <w:u w:val="single"/>
          <w:lang w:val="en-US" w:eastAsia="zh-CN"/>
        </w:rPr>
      </w:pPr>
      <w:r>
        <w:rPr>
          <w:rFonts w:hint="eastAsia" w:ascii="仿宋_GB2312" w:eastAsia="仿宋_GB2312"/>
          <w:color w:val="auto"/>
          <w:sz w:val="36"/>
          <w:szCs w:val="36"/>
        </w:rPr>
        <w:t>项目名称：</w:t>
      </w:r>
      <w:r>
        <w:rPr>
          <w:rFonts w:hint="eastAsia" w:ascii="仿宋_GB2312" w:hAnsi="Times New Roman" w:eastAsia="仿宋_GB2312" w:cs="Times New Roman"/>
          <w:color w:val="auto"/>
          <w:sz w:val="36"/>
          <w:szCs w:val="36"/>
          <w:u w:val="single"/>
          <w:lang w:val="en-US" w:eastAsia="zh-CN"/>
        </w:rPr>
        <w:t>华容县团洲垸灾后重建安置房建设项目</w:t>
      </w:r>
    </w:p>
    <w:p>
      <w:pPr>
        <w:adjustRightInd w:val="0"/>
        <w:snapToGrid w:val="0"/>
        <w:spacing w:line="288" w:lineRule="auto"/>
        <w:ind w:firstLine="2160" w:firstLineChars="600"/>
        <w:rPr>
          <w:rFonts w:hint="eastAsia" w:ascii="仿宋_GB2312" w:hAnsi="Times New Roman" w:eastAsia="仿宋_GB2312" w:cs="Times New Roman"/>
          <w:color w:val="auto"/>
          <w:sz w:val="36"/>
          <w:szCs w:val="36"/>
          <w:u w:val="single"/>
          <w:lang w:val="en-US" w:eastAsia="zh-CN"/>
        </w:rPr>
      </w:pPr>
      <w:r>
        <w:rPr>
          <w:rFonts w:hint="eastAsia" w:ascii="仿宋_GB2312" w:eastAsia="仿宋_GB2312" w:cs="Times New Roman"/>
          <w:color w:val="auto"/>
          <w:sz w:val="36"/>
          <w:szCs w:val="36"/>
          <w:u w:val="single"/>
          <w:lang w:val="en-US" w:eastAsia="zh-CN"/>
        </w:rPr>
        <w:t>（二期）</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建设单位（盖章）：</w:t>
      </w:r>
      <w:r>
        <w:rPr>
          <w:rFonts w:hint="eastAsia" w:ascii="仿宋_GB2312" w:eastAsia="仿宋_GB2312"/>
          <w:color w:val="auto"/>
          <w:sz w:val="36"/>
          <w:szCs w:val="36"/>
          <w:u w:val="single"/>
        </w:rPr>
        <w:t xml:space="preserve"> 华容县住房和城乡建设局            </w:t>
      </w:r>
    </w:p>
    <w:p>
      <w:pPr>
        <w:adjustRightInd w:val="0"/>
        <w:snapToGrid w:val="0"/>
        <w:spacing w:line="288" w:lineRule="auto"/>
        <w:ind w:firstLine="360" w:firstLineChars="10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 xml:space="preserve">      二〇二</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五</w:t>
      </w:r>
      <w:r>
        <w:rPr>
          <w:rFonts w:hint="eastAsia" w:ascii="仿宋_GB2312" w:eastAsia="仿宋_GB2312"/>
          <w:color w:val="auto"/>
          <w:sz w:val="36"/>
          <w:szCs w:val="36"/>
          <w:u w:val="single"/>
        </w:rPr>
        <w:t xml:space="preserve">月 </w:t>
      </w:r>
      <w:r>
        <w:rPr>
          <w:rFonts w:ascii="仿宋_GB2312" w:eastAsia="仿宋_GB2312"/>
          <w:color w:val="auto"/>
          <w:sz w:val="36"/>
          <w:szCs w:val="36"/>
          <w:u w:val="single"/>
        </w:rPr>
        <w:t xml:space="preserve">                         </w:t>
      </w:r>
      <w:r>
        <w:rPr>
          <w:rFonts w:hint="eastAsia" w:ascii="仿宋_GB2312" w:eastAsia="仿宋_GB2312"/>
          <w:color w:val="auto"/>
          <w:sz w:val="36"/>
          <w:szCs w:val="36"/>
          <w:u w:val="single"/>
        </w:rPr>
        <w:t xml:space="preserve"> </w:t>
      </w:r>
    </w:p>
    <w:p>
      <w:pPr>
        <w:adjustRightInd w:val="0"/>
        <w:snapToGrid w:val="0"/>
        <w:spacing w:line="288" w:lineRule="auto"/>
        <w:ind w:firstLine="1040"/>
        <w:rPr>
          <w:rFonts w:ascii="仿宋_GB2312" w:eastAsia="仿宋_GB2312"/>
          <w:color w:val="auto"/>
          <w:sz w:val="36"/>
          <w:szCs w:val="36"/>
          <w:u w:val="single"/>
        </w:rPr>
      </w:pPr>
      <w:bookmarkStart w:id="7" w:name="_Hlk57884087"/>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p>
      <w:pPr>
        <w:adjustRightInd w:val="0"/>
        <w:snapToGrid w:val="0"/>
        <w:spacing w:line="288" w:lineRule="auto"/>
        <w:ind w:firstLine="1040"/>
        <w:rPr>
          <w:rFonts w:ascii="仿宋_GB2312" w:eastAsia="仿宋_GB2312"/>
          <w:color w:val="auto"/>
          <w:sz w:val="36"/>
          <w:szCs w:val="36"/>
        </w:rPr>
      </w:pPr>
    </w:p>
    <w:bookmarkEnd w:id="7"/>
    <w:p>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pPr>
        <w:rPr>
          <w:rFonts w:hint="eastAsia" w:eastAsia="仿宋_GB2312"/>
          <w:lang w:eastAsia="zh-CN"/>
        </w:rPr>
      </w:pPr>
      <w:r>
        <w:rPr>
          <w:rFonts w:hint="eastAsia" w:ascii="仿宋_GB2312" w:eastAsia="仿宋_GB2312"/>
          <w:color w:val="auto"/>
          <w:sz w:val="36"/>
          <w:szCs w:val="36"/>
        </w:rPr>
        <w:br w:type="page"/>
      </w:r>
    </w:p>
    <w:p>
      <w:pPr>
        <w:rPr>
          <w:rFonts w:hint="eastAsia" w:eastAsia="宋体"/>
          <w:lang w:eastAsia="zh-CN"/>
        </w:rPr>
      </w:pPr>
      <w:r>
        <w:rPr>
          <w:rFonts w:hint="eastAsia" w:eastAsia="宋体"/>
          <w:lang w:eastAsia="zh-CN"/>
        </w:rPr>
        <w:drawing>
          <wp:inline distT="0" distB="0" distL="114300" distR="114300">
            <wp:extent cx="5575300" cy="8310880"/>
            <wp:effectExtent l="0" t="0" r="6350" b="13970"/>
            <wp:docPr id="83" name="图片 83" descr="资质页第一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资质页第一页"/>
                    <pic:cNvPicPr>
                      <a:picLocks noChangeAspect="1"/>
                    </pic:cNvPicPr>
                  </pic:nvPicPr>
                  <pic:blipFill>
                    <a:blip r:embed="rId15"/>
                    <a:srcRect t="6326" r="1563" b="8032"/>
                    <a:stretch>
                      <a:fillRect/>
                    </a:stretch>
                  </pic:blipFill>
                  <pic:spPr>
                    <a:xfrm>
                      <a:off x="0" y="0"/>
                      <a:ext cx="5575300" cy="8310880"/>
                    </a:xfrm>
                    <a:prstGeom prst="rect">
                      <a:avLst/>
                    </a:prstGeom>
                  </pic:spPr>
                </pic:pic>
              </a:graphicData>
            </a:graphic>
          </wp:inline>
        </w:drawing>
      </w:r>
    </w:p>
    <w:p>
      <w:r>
        <w:drawing>
          <wp:inline distT="0" distB="0" distL="114300" distR="114300">
            <wp:extent cx="5562600" cy="7931150"/>
            <wp:effectExtent l="0" t="0" r="0" b="12700"/>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r:embed="rId16"/>
                    <a:stretch>
                      <a:fillRect/>
                    </a:stretch>
                  </pic:blipFill>
                  <pic:spPr>
                    <a:xfrm>
                      <a:off x="0" y="0"/>
                      <a:ext cx="5562600" cy="7931150"/>
                    </a:xfrm>
                    <a:prstGeom prst="rect">
                      <a:avLst/>
                    </a:prstGeom>
                    <a:noFill/>
                    <a:ln>
                      <a:noFill/>
                    </a:ln>
                  </pic:spPr>
                </pic:pic>
              </a:graphicData>
            </a:graphic>
          </wp:inline>
        </w:drawing>
      </w:r>
      <w:r>
        <w:drawing>
          <wp:inline distT="0" distB="0" distL="114300" distR="114300">
            <wp:extent cx="5353050" cy="7610475"/>
            <wp:effectExtent l="0" t="0" r="0" b="9525"/>
            <wp:docPr id="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pic:cNvPicPr>
                      <a:picLocks noChangeAspect="1"/>
                    </pic:cNvPicPr>
                  </pic:nvPicPr>
                  <pic:blipFill>
                    <a:blip r:embed="rId17"/>
                    <a:stretch>
                      <a:fillRect/>
                    </a:stretch>
                  </pic:blipFill>
                  <pic:spPr>
                    <a:xfrm>
                      <a:off x="0" y="0"/>
                      <a:ext cx="5353050" cy="7610475"/>
                    </a:xfrm>
                    <a:prstGeom prst="rect">
                      <a:avLst/>
                    </a:prstGeom>
                    <a:noFill/>
                    <a:ln>
                      <a:noFill/>
                    </a:ln>
                  </pic:spPr>
                </pic:pic>
              </a:graphicData>
            </a:graphic>
          </wp:inline>
        </w:drawing>
      </w:r>
      <w:r>
        <w:drawing>
          <wp:inline distT="0" distB="0" distL="114300" distR="114300">
            <wp:extent cx="4924425" cy="7229475"/>
            <wp:effectExtent l="0" t="0" r="9525" b="9525"/>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18"/>
                    <a:stretch>
                      <a:fillRect/>
                    </a:stretch>
                  </pic:blipFill>
                  <pic:spPr>
                    <a:xfrm>
                      <a:off x="0" y="0"/>
                      <a:ext cx="4924425" cy="7229475"/>
                    </a:xfrm>
                    <a:prstGeom prst="rect">
                      <a:avLst/>
                    </a:prstGeom>
                    <a:noFill/>
                    <a:ln>
                      <a:noFill/>
                    </a:ln>
                  </pic:spPr>
                </pic:pic>
              </a:graphicData>
            </a:graphic>
          </wp:inline>
        </w:drawing>
      </w:r>
      <w:r>
        <w:drawing>
          <wp:inline distT="0" distB="0" distL="114300" distR="114300">
            <wp:extent cx="5124450" cy="7286625"/>
            <wp:effectExtent l="0" t="0" r="0" b="9525"/>
            <wp:docPr id="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
                    <pic:cNvPicPr>
                      <a:picLocks noChangeAspect="1"/>
                    </pic:cNvPicPr>
                  </pic:nvPicPr>
                  <pic:blipFill>
                    <a:blip r:embed="rId19"/>
                    <a:stretch>
                      <a:fillRect/>
                    </a:stretch>
                  </pic:blipFill>
                  <pic:spPr>
                    <a:xfrm>
                      <a:off x="0" y="0"/>
                      <a:ext cx="5124450" cy="7286625"/>
                    </a:xfrm>
                    <a:prstGeom prst="rect">
                      <a:avLst/>
                    </a:prstGeom>
                    <a:noFill/>
                    <a:ln>
                      <a:noFill/>
                    </a:ln>
                  </pic:spPr>
                </pic:pic>
              </a:graphicData>
            </a:graphic>
          </wp:inline>
        </w:drawing>
      </w:r>
      <w:r>
        <w:drawing>
          <wp:inline distT="0" distB="0" distL="114300" distR="114300">
            <wp:extent cx="5038725" cy="6905625"/>
            <wp:effectExtent l="0" t="0" r="9525" b="9525"/>
            <wp:docPr id="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
                    <pic:cNvPicPr>
                      <a:picLocks noChangeAspect="1"/>
                    </pic:cNvPicPr>
                  </pic:nvPicPr>
                  <pic:blipFill>
                    <a:blip r:embed="rId20"/>
                    <a:stretch>
                      <a:fillRect/>
                    </a:stretch>
                  </pic:blipFill>
                  <pic:spPr>
                    <a:xfrm>
                      <a:off x="0" y="0"/>
                      <a:ext cx="5038725" cy="6905625"/>
                    </a:xfrm>
                    <a:prstGeom prst="rect">
                      <a:avLst/>
                    </a:prstGeom>
                    <a:noFill/>
                    <a:ln>
                      <a:noFill/>
                    </a:ln>
                  </pic:spPr>
                </pic:pic>
              </a:graphicData>
            </a:graphic>
          </wp:inline>
        </w:drawing>
      </w:r>
      <w:r>
        <w:drawing>
          <wp:inline distT="0" distB="0" distL="114300" distR="114300">
            <wp:extent cx="5191125" cy="6991350"/>
            <wp:effectExtent l="0" t="0" r="9525" b="0"/>
            <wp:docPr id="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6"/>
                    <pic:cNvPicPr>
                      <a:picLocks noChangeAspect="1"/>
                    </pic:cNvPicPr>
                  </pic:nvPicPr>
                  <pic:blipFill>
                    <a:blip r:embed="rId21"/>
                    <a:stretch>
                      <a:fillRect/>
                    </a:stretch>
                  </pic:blipFill>
                  <pic:spPr>
                    <a:xfrm>
                      <a:off x="0" y="0"/>
                      <a:ext cx="5191125" cy="6991350"/>
                    </a:xfrm>
                    <a:prstGeom prst="rect">
                      <a:avLst/>
                    </a:prstGeom>
                    <a:noFill/>
                    <a:ln>
                      <a:noFill/>
                    </a:ln>
                  </pic:spPr>
                </pic:pic>
              </a:graphicData>
            </a:graphic>
          </wp:inline>
        </w:drawing>
      </w:r>
    </w:p>
    <w:p>
      <w:r>
        <w:br w:type="page"/>
      </w:r>
    </w:p>
    <w:p>
      <w:pPr>
        <w:rPr>
          <w:rFonts w:hint="eastAsia" w:ascii="仿宋_GB2312" w:eastAsia="仿宋_GB2312"/>
          <w:color w:val="auto"/>
          <w:sz w:val="36"/>
          <w:szCs w:val="36"/>
        </w:rPr>
      </w:pPr>
    </w:p>
    <w:p>
      <w:pPr>
        <w:adjustRightInd w:val="0"/>
        <w:snapToGrid w:val="0"/>
        <w:spacing w:line="288" w:lineRule="auto"/>
        <w:ind w:firstLine="0"/>
        <w:jc w:val="center"/>
        <w:rPr>
          <w:rFonts w:ascii="仿宋_GB2312" w:eastAsia="仿宋_GB2312"/>
          <w:b/>
          <w:bCs/>
          <w:color w:val="auto"/>
          <w:sz w:val="36"/>
          <w:szCs w:val="36"/>
        </w:rPr>
      </w:pPr>
      <w:r>
        <w:rPr>
          <w:rFonts w:hint="eastAsia" w:ascii="仿宋_GB2312" w:eastAsia="仿宋_GB2312"/>
          <w:b/>
          <w:bCs/>
          <w:color w:val="auto"/>
          <w:sz w:val="36"/>
          <w:szCs w:val="36"/>
        </w:rPr>
        <w:t>目录</w:t>
      </w:r>
    </w:p>
    <w:p>
      <w:pPr>
        <w:pStyle w:val="17"/>
        <w:tabs>
          <w:tab w:val="right" w:leader="dot" w:pos="8844"/>
        </w:tabs>
        <w:rPr>
          <w:sz w:val="24"/>
          <w:szCs w:val="24"/>
        </w:rPr>
      </w:pPr>
      <w:r>
        <w:rPr>
          <w:color w:val="auto"/>
          <w:sz w:val="24"/>
          <w:szCs w:val="24"/>
        </w:rPr>
        <w:fldChar w:fldCharType="begin"/>
      </w:r>
      <w:r>
        <w:rPr>
          <w:color w:val="auto"/>
          <w:sz w:val="24"/>
          <w:szCs w:val="24"/>
        </w:rPr>
        <w:instrText xml:space="preserve">TOC \o "1-2" \h \u </w:instrText>
      </w:r>
      <w:r>
        <w:rPr>
          <w:color w:val="auto"/>
          <w:sz w:val="24"/>
          <w:szCs w:val="24"/>
        </w:rPr>
        <w:fldChar w:fldCharType="separate"/>
      </w:r>
      <w:r>
        <w:rPr>
          <w:color w:val="auto"/>
          <w:sz w:val="24"/>
          <w:szCs w:val="24"/>
        </w:rPr>
        <w:fldChar w:fldCharType="begin"/>
      </w:r>
      <w:r>
        <w:rPr>
          <w:sz w:val="24"/>
          <w:szCs w:val="24"/>
        </w:rPr>
        <w:instrText xml:space="preserve"> HYPERLINK \l _Toc19136 </w:instrText>
      </w:r>
      <w:r>
        <w:rPr>
          <w:sz w:val="24"/>
          <w:szCs w:val="24"/>
        </w:rPr>
        <w:fldChar w:fldCharType="separate"/>
      </w:r>
      <w:r>
        <w:rPr>
          <w:rFonts w:hint="eastAsia" w:ascii="黑体" w:hAnsi="黑体" w:eastAsia="黑体"/>
          <w:snapToGrid w:val="0"/>
          <w:sz w:val="24"/>
          <w:szCs w:val="24"/>
        </w:rPr>
        <w:t>一、建设项目基本情况</w:t>
      </w:r>
      <w:r>
        <w:rPr>
          <w:sz w:val="24"/>
          <w:szCs w:val="24"/>
        </w:rPr>
        <w:tab/>
      </w:r>
      <w:r>
        <w:rPr>
          <w:sz w:val="24"/>
          <w:szCs w:val="24"/>
        </w:rPr>
        <w:fldChar w:fldCharType="begin"/>
      </w:r>
      <w:r>
        <w:rPr>
          <w:sz w:val="24"/>
          <w:szCs w:val="24"/>
        </w:rPr>
        <w:instrText xml:space="preserve"> PAGEREF _Toc19136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_Toc4871 </w:instrText>
      </w:r>
      <w:r>
        <w:rPr>
          <w:sz w:val="24"/>
          <w:szCs w:val="24"/>
        </w:rPr>
        <w:fldChar w:fldCharType="separate"/>
      </w:r>
      <w:r>
        <w:rPr>
          <w:rFonts w:hint="eastAsia" w:ascii="黑体" w:hAnsi="黑体" w:eastAsia="黑体"/>
          <w:snapToGrid w:val="0"/>
          <w:sz w:val="24"/>
          <w:szCs w:val="24"/>
        </w:rPr>
        <w:t>二、建设</w:t>
      </w:r>
      <w:r>
        <w:rPr>
          <w:rFonts w:hint="eastAsia" w:ascii="黑体" w:hAnsi="黑体" w:eastAsia="黑体"/>
          <w:snapToGrid w:val="0"/>
          <w:sz w:val="24"/>
          <w:szCs w:val="24"/>
          <w:lang w:val="en-US" w:eastAsia="zh-CN"/>
        </w:rPr>
        <w:t>内容</w:t>
      </w:r>
      <w:r>
        <w:rPr>
          <w:sz w:val="24"/>
          <w:szCs w:val="24"/>
        </w:rPr>
        <w:tab/>
      </w:r>
      <w:r>
        <w:rPr>
          <w:sz w:val="24"/>
          <w:szCs w:val="24"/>
        </w:rPr>
        <w:fldChar w:fldCharType="begin"/>
      </w:r>
      <w:r>
        <w:rPr>
          <w:sz w:val="24"/>
          <w:szCs w:val="24"/>
        </w:rPr>
        <w:instrText xml:space="preserve"> PAGEREF _Toc4871 \h </w:instrText>
      </w:r>
      <w:r>
        <w:rPr>
          <w:sz w:val="24"/>
          <w:szCs w:val="24"/>
        </w:rPr>
        <w:fldChar w:fldCharType="separate"/>
      </w:r>
      <w:r>
        <w:rPr>
          <w:sz w:val="24"/>
          <w:szCs w:val="24"/>
        </w:rPr>
        <w:t>10</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_Toc22086 </w:instrText>
      </w:r>
      <w:r>
        <w:rPr>
          <w:sz w:val="24"/>
          <w:szCs w:val="24"/>
        </w:rPr>
        <w:fldChar w:fldCharType="separate"/>
      </w:r>
      <w:r>
        <w:rPr>
          <w:rFonts w:hint="eastAsia" w:ascii="黑体" w:hAnsi="黑体" w:eastAsia="黑体"/>
          <w:snapToGrid w:val="0"/>
          <w:sz w:val="24"/>
          <w:szCs w:val="24"/>
        </w:rPr>
        <w:t>三、</w:t>
      </w:r>
      <w:r>
        <w:rPr>
          <w:rFonts w:hint="eastAsia" w:ascii="黑体" w:hAnsi="黑体" w:eastAsia="黑体"/>
          <w:snapToGrid w:val="0"/>
          <w:sz w:val="24"/>
          <w:szCs w:val="24"/>
          <w:lang w:val="en-US" w:eastAsia="zh-CN"/>
        </w:rPr>
        <w:t>生态</w:t>
      </w:r>
      <w:r>
        <w:rPr>
          <w:rFonts w:hint="eastAsia" w:ascii="黑体" w:hAnsi="黑体" w:eastAsia="黑体"/>
          <w:snapToGrid w:val="0"/>
          <w:sz w:val="24"/>
          <w:szCs w:val="24"/>
        </w:rPr>
        <w:t>环境现状、环境保护目标及评价标准</w:t>
      </w:r>
      <w:r>
        <w:rPr>
          <w:sz w:val="24"/>
          <w:szCs w:val="24"/>
        </w:rPr>
        <w:tab/>
      </w:r>
      <w:r>
        <w:rPr>
          <w:sz w:val="24"/>
          <w:szCs w:val="24"/>
        </w:rPr>
        <w:fldChar w:fldCharType="begin"/>
      </w:r>
      <w:r>
        <w:rPr>
          <w:sz w:val="24"/>
          <w:szCs w:val="24"/>
        </w:rPr>
        <w:instrText xml:space="preserve"> PAGEREF _Toc22086 \h </w:instrText>
      </w:r>
      <w:r>
        <w:rPr>
          <w:sz w:val="24"/>
          <w:szCs w:val="24"/>
        </w:rPr>
        <w:fldChar w:fldCharType="separate"/>
      </w:r>
      <w:r>
        <w:rPr>
          <w:sz w:val="24"/>
          <w:szCs w:val="24"/>
        </w:rPr>
        <w:t>17</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_Toc14747 </w:instrText>
      </w:r>
      <w:r>
        <w:rPr>
          <w:sz w:val="24"/>
          <w:szCs w:val="24"/>
        </w:rPr>
        <w:fldChar w:fldCharType="separate"/>
      </w:r>
      <w:r>
        <w:rPr>
          <w:rFonts w:hint="eastAsia" w:ascii="黑体" w:hAnsi="黑体" w:eastAsia="黑体"/>
          <w:snapToGrid w:val="0"/>
          <w:sz w:val="24"/>
          <w:szCs w:val="24"/>
        </w:rPr>
        <w:t>四、</w:t>
      </w:r>
      <w:r>
        <w:rPr>
          <w:rFonts w:hint="eastAsia" w:ascii="黑体" w:hAnsi="黑体" w:eastAsia="黑体"/>
          <w:snapToGrid w:val="0"/>
          <w:sz w:val="24"/>
          <w:szCs w:val="24"/>
          <w:lang w:val="en-US" w:eastAsia="zh-CN"/>
        </w:rPr>
        <w:t>生态环境影响分析</w:t>
      </w:r>
      <w:r>
        <w:rPr>
          <w:sz w:val="24"/>
          <w:szCs w:val="24"/>
        </w:rPr>
        <w:tab/>
      </w:r>
      <w:r>
        <w:rPr>
          <w:sz w:val="24"/>
          <w:szCs w:val="24"/>
        </w:rPr>
        <w:fldChar w:fldCharType="begin"/>
      </w:r>
      <w:r>
        <w:rPr>
          <w:sz w:val="24"/>
          <w:szCs w:val="24"/>
        </w:rPr>
        <w:instrText xml:space="preserve"> PAGEREF _Toc14747 \h </w:instrText>
      </w:r>
      <w:r>
        <w:rPr>
          <w:sz w:val="24"/>
          <w:szCs w:val="24"/>
        </w:rPr>
        <w:fldChar w:fldCharType="separate"/>
      </w:r>
      <w:r>
        <w:rPr>
          <w:sz w:val="24"/>
          <w:szCs w:val="24"/>
        </w:rPr>
        <w:t>22</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_Toc17804 </w:instrText>
      </w:r>
      <w:r>
        <w:rPr>
          <w:sz w:val="24"/>
          <w:szCs w:val="24"/>
        </w:rPr>
        <w:fldChar w:fldCharType="separate"/>
      </w:r>
      <w:r>
        <w:rPr>
          <w:rFonts w:hint="eastAsia" w:ascii="黑体" w:hAnsi="黑体" w:eastAsia="黑体"/>
          <w:snapToGrid w:val="0"/>
          <w:sz w:val="24"/>
          <w:szCs w:val="24"/>
        </w:rPr>
        <w:t>五、</w:t>
      </w:r>
      <w:r>
        <w:rPr>
          <w:rFonts w:hint="eastAsia" w:ascii="黑体" w:hAnsi="黑体" w:eastAsia="黑体"/>
          <w:snapToGrid w:val="0"/>
          <w:sz w:val="24"/>
          <w:szCs w:val="24"/>
          <w:lang w:val="en-US" w:eastAsia="zh-CN"/>
        </w:rPr>
        <w:t>主要生态环境保护措施</w:t>
      </w:r>
      <w:r>
        <w:rPr>
          <w:sz w:val="24"/>
          <w:szCs w:val="24"/>
        </w:rPr>
        <w:tab/>
      </w:r>
      <w:r>
        <w:rPr>
          <w:sz w:val="24"/>
          <w:szCs w:val="24"/>
        </w:rPr>
        <w:fldChar w:fldCharType="begin"/>
      </w:r>
      <w:r>
        <w:rPr>
          <w:sz w:val="24"/>
          <w:szCs w:val="24"/>
        </w:rPr>
        <w:instrText xml:space="preserve"> PAGEREF _Toc17804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_Toc18335 </w:instrText>
      </w:r>
      <w:r>
        <w:rPr>
          <w:sz w:val="24"/>
          <w:szCs w:val="24"/>
        </w:rPr>
        <w:fldChar w:fldCharType="separate"/>
      </w:r>
      <w:r>
        <w:rPr>
          <w:rFonts w:hint="eastAsia" w:ascii="Times New Roman" w:hAnsi="Times New Roman" w:eastAsia="黑体" w:cs="Times New Roman"/>
          <w:snapToGrid w:val="0"/>
          <w:sz w:val="24"/>
          <w:szCs w:val="24"/>
        </w:rPr>
        <w:t xml:space="preserve">六、 </w:t>
      </w:r>
      <w:r>
        <w:rPr>
          <w:rFonts w:hint="default" w:ascii="Times New Roman" w:hAnsi="Times New Roman" w:eastAsia="黑体" w:cs="Times New Roman"/>
          <w:snapToGrid w:val="0"/>
          <w:sz w:val="24"/>
          <w:szCs w:val="24"/>
        </w:rPr>
        <w:t>生态环境保护措施监督检查清单</w:t>
      </w:r>
      <w:r>
        <w:rPr>
          <w:sz w:val="24"/>
          <w:szCs w:val="24"/>
        </w:rPr>
        <w:tab/>
      </w:r>
      <w:r>
        <w:rPr>
          <w:sz w:val="24"/>
          <w:szCs w:val="24"/>
        </w:rPr>
        <w:fldChar w:fldCharType="begin"/>
      </w:r>
      <w:r>
        <w:rPr>
          <w:sz w:val="24"/>
          <w:szCs w:val="24"/>
        </w:rPr>
        <w:instrText xml:space="preserve"> PAGEREF _Toc18335 \h </w:instrText>
      </w:r>
      <w:r>
        <w:rPr>
          <w:sz w:val="24"/>
          <w:szCs w:val="24"/>
        </w:rPr>
        <w:fldChar w:fldCharType="separate"/>
      </w:r>
      <w:r>
        <w:rPr>
          <w:sz w:val="24"/>
          <w:szCs w:val="24"/>
        </w:rPr>
        <w:t>33</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_Toc14502 </w:instrText>
      </w:r>
      <w:r>
        <w:rPr>
          <w:sz w:val="24"/>
          <w:szCs w:val="24"/>
        </w:rPr>
        <w:fldChar w:fldCharType="separate"/>
      </w:r>
      <w:r>
        <w:rPr>
          <w:rFonts w:hint="eastAsia"/>
          <w:bCs/>
          <w:snapToGrid w:val="0"/>
          <w:sz w:val="24"/>
          <w:szCs w:val="24"/>
          <w:lang w:val="en-US" w:eastAsia="zh-CN"/>
        </w:rPr>
        <w:t>七</w:t>
      </w:r>
      <w:r>
        <w:rPr>
          <w:rFonts w:hint="eastAsia" w:ascii="黑体" w:hAnsi="黑体" w:eastAsia="黑体"/>
          <w:bCs/>
          <w:snapToGrid w:val="0"/>
          <w:sz w:val="24"/>
          <w:szCs w:val="24"/>
        </w:rPr>
        <w:t>、结论</w:t>
      </w:r>
      <w:r>
        <w:rPr>
          <w:sz w:val="24"/>
          <w:szCs w:val="24"/>
        </w:rPr>
        <w:tab/>
      </w:r>
      <w:r>
        <w:rPr>
          <w:sz w:val="24"/>
          <w:szCs w:val="24"/>
        </w:rPr>
        <w:fldChar w:fldCharType="begin"/>
      </w:r>
      <w:r>
        <w:rPr>
          <w:sz w:val="24"/>
          <w:szCs w:val="24"/>
        </w:rPr>
        <w:instrText xml:space="preserve"> PAGEREF _Toc14502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_Toc1282 </w:instrText>
      </w:r>
      <w:r>
        <w:rPr>
          <w:sz w:val="24"/>
          <w:szCs w:val="24"/>
        </w:rPr>
        <w:fldChar w:fldCharType="separate"/>
      </w:r>
      <w:r>
        <w:rPr>
          <w:rFonts w:hint="eastAsia" w:ascii="方正小标宋_GBK" w:hAnsi="黑体" w:eastAsia="方正小标宋_GBK"/>
          <w:snapToGrid w:val="0"/>
          <w:kern w:val="0"/>
          <w:sz w:val="24"/>
          <w:szCs w:val="24"/>
        </w:rPr>
        <w:t>附图</w:t>
      </w:r>
      <w:r>
        <w:rPr>
          <w:sz w:val="24"/>
          <w:szCs w:val="24"/>
        </w:rPr>
        <w:tab/>
      </w:r>
      <w:r>
        <w:rPr>
          <w:sz w:val="24"/>
          <w:szCs w:val="24"/>
        </w:rPr>
        <w:fldChar w:fldCharType="begin"/>
      </w:r>
      <w:r>
        <w:rPr>
          <w:sz w:val="24"/>
          <w:szCs w:val="24"/>
        </w:rPr>
        <w:instrText xml:space="preserve"> PAGEREF _Toc1282 \h </w:instrText>
      </w:r>
      <w:r>
        <w:rPr>
          <w:sz w:val="24"/>
          <w:szCs w:val="24"/>
        </w:rPr>
        <w:fldChar w:fldCharType="separate"/>
      </w:r>
      <w:r>
        <w:rPr>
          <w:sz w:val="24"/>
          <w:szCs w:val="24"/>
        </w:rPr>
        <w:t>35</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_Toc29193 </w:instrText>
      </w:r>
      <w:r>
        <w:rPr>
          <w:sz w:val="24"/>
          <w:szCs w:val="24"/>
        </w:rPr>
        <w:fldChar w:fldCharType="separate"/>
      </w:r>
      <w:r>
        <w:rPr>
          <w:bCs/>
          <w:sz w:val="24"/>
          <w:szCs w:val="24"/>
        </w:rPr>
        <w:t>附图1 项目地理位置图</w:t>
      </w:r>
      <w:r>
        <w:rPr>
          <w:sz w:val="24"/>
          <w:szCs w:val="24"/>
        </w:rPr>
        <w:tab/>
      </w:r>
      <w:r>
        <w:rPr>
          <w:sz w:val="24"/>
          <w:szCs w:val="24"/>
        </w:rPr>
        <w:fldChar w:fldCharType="begin"/>
      </w:r>
      <w:r>
        <w:rPr>
          <w:sz w:val="24"/>
          <w:szCs w:val="24"/>
        </w:rPr>
        <w:instrText xml:space="preserve"> PAGEREF _Toc29193 \h </w:instrText>
      </w:r>
      <w:r>
        <w:rPr>
          <w:sz w:val="24"/>
          <w:szCs w:val="24"/>
        </w:rPr>
        <w:fldChar w:fldCharType="separate"/>
      </w:r>
      <w:r>
        <w:rPr>
          <w:sz w:val="24"/>
          <w:szCs w:val="24"/>
        </w:rPr>
        <w:t>35</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_Toc25423 </w:instrText>
      </w:r>
      <w:r>
        <w:rPr>
          <w:sz w:val="24"/>
          <w:szCs w:val="24"/>
        </w:rPr>
        <w:fldChar w:fldCharType="separate"/>
      </w:r>
      <w:r>
        <w:rPr>
          <w:bCs/>
          <w:sz w:val="24"/>
          <w:szCs w:val="24"/>
        </w:rPr>
        <w:t>附图2 厂区平面布置图</w:t>
      </w:r>
      <w:r>
        <w:rPr>
          <w:sz w:val="24"/>
          <w:szCs w:val="24"/>
        </w:rPr>
        <w:tab/>
      </w:r>
      <w:r>
        <w:rPr>
          <w:sz w:val="24"/>
          <w:szCs w:val="24"/>
        </w:rPr>
        <w:fldChar w:fldCharType="begin"/>
      </w:r>
      <w:r>
        <w:rPr>
          <w:sz w:val="24"/>
          <w:szCs w:val="24"/>
        </w:rPr>
        <w:instrText xml:space="preserve"> PAGEREF _Toc25423 \h </w:instrText>
      </w:r>
      <w:r>
        <w:rPr>
          <w:sz w:val="24"/>
          <w:szCs w:val="24"/>
        </w:rPr>
        <w:fldChar w:fldCharType="separate"/>
      </w:r>
      <w:r>
        <w:rPr>
          <w:sz w:val="24"/>
          <w:szCs w:val="24"/>
        </w:rPr>
        <w:t>36</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_Toc6746 </w:instrText>
      </w:r>
      <w:r>
        <w:rPr>
          <w:sz w:val="24"/>
          <w:szCs w:val="24"/>
        </w:rPr>
        <w:fldChar w:fldCharType="separate"/>
      </w:r>
      <w:r>
        <w:rPr>
          <w:bCs/>
          <w:sz w:val="24"/>
          <w:szCs w:val="24"/>
        </w:rPr>
        <w:t>附图</w:t>
      </w:r>
      <w:r>
        <w:rPr>
          <w:rFonts w:hint="eastAsia"/>
          <w:bCs/>
          <w:sz w:val="24"/>
          <w:szCs w:val="24"/>
        </w:rPr>
        <w:t>3</w:t>
      </w:r>
      <w:r>
        <w:rPr>
          <w:bCs/>
          <w:sz w:val="24"/>
          <w:szCs w:val="24"/>
        </w:rPr>
        <w:t xml:space="preserve"> </w:t>
      </w:r>
      <w:r>
        <w:rPr>
          <w:rFonts w:hint="eastAsia"/>
          <w:bCs/>
          <w:sz w:val="24"/>
          <w:szCs w:val="24"/>
        </w:rPr>
        <w:t>项目周边环境及敏感目标</w:t>
      </w:r>
      <w:r>
        <w:rPr>
          <w:bCs/>
          <w:sz w:val="24"/>
          <w:szCs w:val="24"/>
        </w:rPr>
        <w:t>图</w:t>
      </w:r>
      <w:r>
        <w:rPr>
          <w:sz w:val="24"/>
          <w:szCs w:val="24"/>
        </w:rPr>
        <w:tab/>
      </w:r>
      <w:r>
        <w:rPr>
          <w:sz w:val="24"/>
          <w:szCs w:val="24"/>
        </w:rPr>
        <w:fldChar w:fldCharType="begin"/>
      </w:r>
      <w:r>
        <w:rPr>
          <w:sz w:val="24"/>
          <w:szCs w:val="24"/>
        </w:rPr>
        <w:instrText xml:space="preserve"> PAGEREF _Toc6746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_Toc30936 </w:instrText>
      </w:r>
      <w:r>
        <w:rPr>
          <w:sz w:val="24"/>
          <w:szCs w:val="24"/>
        </w:rPr>
        <w:fldChar w:fldCharType="separate"/>
      </w:r>
      <w:r>
        <w:rPr>
          <w:bCs/>
          <w:sz w:val="24"/>
          <w:szCs w:val="24"/>
        </w:rPr>
        <w:t>附图</w:t>
      </w:r>
      <w:r>
        <w:rPr>
          <w:rFonts w:hint="eastAsia"/>
          <w:bCs/>
          <w:sz w:val="24"/>
          <w:szCs w:val="24"/>
          <w:lang w:val="en-US" w:eastAsia="zh-CN"/>
        </w:rPr>
        <w:t>4</w:t>
      </w:r>
      <w:r>
        <w:rPr>
          <w:bCs/>
          <w:sz w:val="24"/>
          <w:szCs w:val="24"/>
        </w:rPr>
        <w:t xml:space="preserve"> </w:t>
      </w:r>
      <w:r>
        <w:rPr>
          <w:rFonts w:hint="eastAsia"/>
          <w:bCs/>
          <w:sz w:val="24"/>
          <w:szCs w:val="24"/>
          <w:lang w:val="en-US" w:eastAsia="zh-CN"/>
        </w:rPr>
        <w:t>噪声监测布点</w:t>
      </w:r>
      <w:r>
        <w:rPr>
          <w:bCs/>
          <w:sz w:val="24"/>
          <w:szCs w:val="24"/>
        </w:rPr>
        <w:t>图</w:t>
      </w:r>
      <w:r>
        <w:rPr>
          <w:sz w:val="24"/>
          <w:szCs w:val="24"/>
        </w:rPr>
        <w:tab/>
      </w:r>
      <w:r>
        <w:rPr>
          <w:sz w:val="24"/>
          <w:szCs w:val="24"/>
        </w:rPr>
        <w:fldChar w:fldCharType="begin"/>
      </w:r>
      <w:r>
        <w:rPr>
          <w:sz w:val="24"/>
          <w:szCs w:val="24"/>
        </w:rPr>
        <w:instrText xml:space="preserve"> PAGEREF _Toc30936 \h </w:instrText>
      </w:r>
      <w:r>
        <w:rPr>
          <w:sz w:val="24"/>
          <w:szCs w:val="24"/>
        </w:rPr>
        <w:fldChar w:fldCharType="separate"/>
      </w:r>
      <w:r>
        <w:rPr>
          <w:sz w:val="24"/>
          <w:szCs w:val="24"/>
        </w:rPr>
        <w:t>38</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_Toc2703 </w:instrText>
      </w:r>
      <w:r>
        <w:rPr>
          <w:sz w:val="24"/>
          <w:szCs w:val="24"/>
        </w:rPr>
        <w:fldChar w:fldCharType="separate"/>
      </w:r>
      <w:r>
        <w:rPr>
          <w:bCs/>
          <w:sz w:val="24"/>
          <w:szCs w:val="24"/>
        </w:rPr>
        <w:t>附图</w:t>
      </w:r>
      <w:r>
        <w:rPr>
          <w:rFonts w:hint="eastAsia"/>
          <w:bCs/>
          <w:sz w:val="24"/>
          <w:szCs w:val="24"/>
          <w:lang w:val="en-US" w:eastAsia="zh-CN"/>
        </w:rPr>
        <w:t>5</w:t>
      </w:r>
      <w:r>
        <w:rPr>
          <w:bCs/>
          <w:sz w:val="24"/>
          <w:szCs w:val="24"/>
        </w:rPr>
        <w:t xml:space="preserve"> </w:t>
      </w:r>
      <w:r>
        <w:rPr>
          <w:rFonts w:hint="eastAsia"/>
          <w:bCs/>
          <w:sz w:val="24"/>
          <w:szCs w:val="24"/>
          <w:lang w:val="en-US" w:eastAsia="zh-CN"/>
        </w:rPr>
        <w:t>本项目与湖南东洞庭湖国家级自然保护区位置示意图（调整前及调整后）</w:t>
      </w:r>
      <w:r>
        <w:rPr>
          <w:sz w:val="24"/>
          <w:szCs w:val="24"/>
        </w:rPr>
        <w:tab/>
      </w:r>
      <w:r>
        <w:rPr>
          <w:sz w:val="24"/>
          <w:szCs w:val="24"/>
        </w:rPr>
        <w:fldChar w:fldCharType="begin"/>
      </w:r>
      <w:r>
        <w:rPr>
          <w:sz w:val="24"/>
          <w:szCs w:val="24"/>
        </w:rPr>
        <w:instrText xml:space="preserve"> PAGEREF _Toc2703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_Toc2016 </w:instrText>
      </w:r>
      <w:r>
        <w:rPr>
          <w:sz w:val="24"/>
          <w:szCs w:val="24"/>
        </w:rPr>
        <w:fldChar w:fldCharType="separate"/>
      </w:r>
      <w:r>
        <w:rPr>
          <w:bCs/>
          <w:sz w:val="24"/>
          <w:szCs w:val="24"/>
        </w:rPr>
        <w:t>附图</w:t>
      </w:r>
      <w:r>
        <w:rPr>
          <w:rFonts w:hint="eastAsia"/>
          <w:bCs/>
          <w:sz w:val="24"/>
          <w:szCs w:val="24"/>
          <w:lang w:val="en-US" w:eastAsia="zh-CN"/>
        </w:rPr>
        <w:t>6</w:t>
      </w:r>
      <w:r>
        <w:rPr>
          <w:bCs/>
          <w:sz w:val="24"/>
          <w:szCs w:val="24"/>
        </w:rPr>
        <w:t xml:space="preserve"> </w:t>
      </w:r>
      <w:r>
        <w:rPr>
          <w:rFonts w:hint="eastAsia"/>
          <w:bCs/>
          <w:sz w:val="24"/>
          <w:szCs w:val="24"/>
          <w:lang w:val="en-US" w:eastAsia="zh-CN"/>
        </w:rPr>
        <w:t>项目及周边土地利用现状图</w:t>
      </w:r>
      <w:r>
        <w:rPr>
          <w:sz w:val="24"/>
          <w:szCs w:val="24"/>
        </w:rPr>
        <w:tab/>
      </w:r>
      <w:r>
        <w:rPr>
          <w:sz w:val="24"/>
          <w:szCs w:val="24"/>
        </w:rPr>
        <w:fldChar w:fldCharType="begin"/>
      </w:r>
      <w:r>
        <w:rPr>
          <w:sz w:val="24"/>
          <w:szCs w:val="24"/>
        </w:rPr>
        <w:instrText xml:space="preserve"> PAGEREF _Toc2016 \h </w:instrText>
      </w:r>
      <w:r>
        <w:rPr>
          <w:sz w:val="24"/>
          <w:szCs w:val="24"/>
        </w:rPr>
        <w:fldChar w:fldCharType="separate"/>
      </w:r>
      <w:r>
        <w:rPr>
          <w:sz w:val="24"/>
          <w:szCs w:val="24"/>
        </w:rPr>
        <w:t>41</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_Toc436 </w:instrText>
      </w:r>
      <w:r>
        <w:rPr>
          <w:sz w:val="24"/>
          <w:szCs w:val="24"/>
        </w:rPr>
        <w:fldChar w:fldCharType="separate"/>
      </w:r>
      <w:r>
        <w:rPr>
          <w:bCs/>
          <w:sz w:val="24"/>
          <w:szCs w:val="24"/>
        </w:rPr>
        <w:t>附图</w:t>
      </w:r>
      <w:r>
        <w:rPr>
          <w:rFonts w:hint="eastAsia"/>
          <w:bCs/>
          <w:sz w:val="24"/>
          <w:szCs w:val="24"/>
          <w:lang w:val="en-US" w:eastAsia="zh-CN"/>
        </w:rPr>
        <w:t>7</w:t>
      </w:r>
      <w:r>
        <w:rPr>
          <w:bCs/>
          <w:sz w:val="24"/>
          <w:szCs w:val="24"/>
        </w:rPr>
        <w:t xml:space="preserve"> </w:t>
      </w:r>
      <w:r>
        <w:rPr>
          <w:rFonts w:hint="eastAsia"/>
          <w:bCs/>
          <w:sz w:val="24"/>
          <w:szCs w:val="24"/>
          <w:lang w:val="en-US" w:eastAsia="zh-CN"/>
        </w:rPr>
        <w:t>项目及周边区域植被分布图</w:t>
      </w:r>
      <w:r>
        <w:rPr>
          <w:sz w:val="24"/>
          <w:szCs w:val="24"/>
        </w:rPr>
        <w:tab/>
      </w:r>
      <w:r>
        <w:rPr>
          <w:sz w:val="24"/>
          <w:szCs w:val="24"/>
        </w:rPr>
        <w:fldChar w:fldCharType="begin"/>
      </w:r>
      <w:r>
        <w:rPr>
          <w:sz w:val="24"/>
          <w:szCs w:val="24"/>
        </w:rPr>
        <w:instrText xml:space="preserve"> PAGEREF _Toc436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_Toc9553 </w:instrText>
      </w:r>
      <w:r>
        <w:rPr>
          <w:sz w:val="24"/>
          <w:szCs w:val="24"/>
        </w:rPr>
        <w:fldChar w:fldCharType="separate"/>
      </w:r>
      <w:r>
        <w:rPr>
          <w:bCs/>
          <w:sz w:val="24"/>
          <w:szCs w:val="24"/>
        </w:rPr>
        <w:t>附图</w:t>
      </w:r>
      <w:r>
        <w:rPr>
          <w:rFonts w:hint="eastAsia"/>
          <w:bCs/>
          <w:sz w:val="24"/>
          <w:szCs w:val="24"/>
          <w:lang w:val="en-US" w:eastAsia="zh-CN"/>
        </w:rPr>
        <w:t>8</w:t>
      </w:r>
      <w:r>
        <w:rPr>
          <w:bCs/>
          <w:sz w:val="24"/>
          <w:szCs w:val="24"/>
        </w:rPr>
        <w:t xml:space="preserve"> </w:t>
      </w:r>
      <w:r>
        <w:rPr>
          <w:rFonts w:hint="eastAsia"/>
          <w:bCs/>
          <w:sz w:val="24"/>
          <w:szCs w:val="24"/>
          <w:lang w:val="en-US" w:eastAsia="zh-CN"/>
        </w:rPr>
        <w:t>项目三区三线套合图</w:t>
      </w:r>
      <w:r>
        <w:rPr>
          <w:sz w:val="24"/>
          <w:szCs w:val="24"/>
        </w:rPr>
        <w:tab/>
      </w:r>
      <w:r>
        <w:rPr>
          <w:sz w:val="24"/>
          <w:szCs w:val="24"/>
        </w:rPr>
        <w:fldChar w:fldCharType="begin"/>
      </w:r>
      <w:r>
        <w:rPr>
          <w:sz w:val="24"/>
          <w:szCs w:val="24"/>
        </w:rPr>
        <w:instrText xml:space="preserve"> PAGEREF _Toc9553 \h </w:instrText>
      </w:r>
      <w:r>
        <w:rPr>
          <w:sz w:val="24"/>
          <w:szCs w:val="24"/>
        </w:rPr>
        <w:fldChar w:fldCharType="separate"/>
      </w:r>
      <w:r>
        <w:rPr>
          <w:sz w:val="24"/>
          <w:szCs w:val="24"/>
        </w:rPr>
        <w:t>43</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_Toc5080 </w:instrText>
      </w:r>
      <w:r>
        <w:rPr>
          <w:sz w:val="24"/>
          <w:szCs w:val="24"/>
        </w:rPr>
        <w:fldChar w:fldCharType="separate"/>
      </w:r>
      <w:r>
        <w:rPr>
          <w:bCs/>
          <w:sz w:val="24"/>
          <w:szCs w:val="24"/>
        </w:rPr>
        <w:t>附图</w:t>
      </w:r>
      <w:r>
        <w:rPr>
          <w:rFonts w:hint="eastAsia"/>
          <w:bCs/>
          <w:sz w:val="24"/>
          <w:szCs w:val="24"/>
          <w:lang w:val="en-US" w:eastAsia="zh-CN"/>
        </w:rPr>
        <w:t>9</w:t>
      </w:r>
      <w:r>
        <w:rPr>
          <w:bCs/>
          <w:sz w:val="24"/>
          <w:szCs w:val="24"/>
        </w:rPr>
        <w:t xml:space="preserve"> </w:t>
      </w:r>
      <w:r>
        <w:rPr>
          <w:rFonts w:hint="eastAsia"/>
          <w:bCs/>
          <w:sz w:val="24"/>
          <w:szCs w:val="24"/>
          <w:lang w:val="en-US" w:eastAsia="zh-CN"/>
        </w:rPr>
        <w:t>项目调查样方调查分布图</w:t>
      </w:r>
      <w:r>
        <w:rPr>
          <w:sz w:val="24"/>
          <w:szCs w:val="24"/>
        </w:rPr>
        <w:tab/>
      </w:r>
      <w:r>
        <w:rPr>
          <w:sz w:val="24"/>
          <w:szCs w:val="24"/>
        </w:rPr>
        <w:fldChar w:fldCharType="begin"/>
      </w:r>
      <w:r>
        <w:rPr>
          <w:sz w:val="24"/>
          <w:szCs w:val="24"/>
        </w:rPr>
        <w:instrText xml:space="preserve"> PAGEREF _Toc5080 \h </w:instrText>
      </w:r>
      <w:r>
        <w:rPr>
          <w:sz w:val="24"/>
          <w:szCs w:val="24"/>
        </w:rPr>
        <w:fldChar w:fldCharType="separate"/>
      </w:r>
      <w:r>
        <w:rPr>
          <w:sz w:val="24"/>
          <w:szCs w:val="24"/>
        </w:rPr>
        <w:t>44</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_Toc22042 </w:instrText>
      </w:r>
      <w:r>
        <w:rPr>
          <w:sz w:val="24"/>
          <w:szCs w:val="24"/>
        </w:rPr>
        <w:fldChar w:fldCharType="separate"/>
      </w:r>
      <w:r>
        <w:rPr>
          <w:rFonts w:hint="eastAsia" w:ascii="方正小标宋_GBK" w:hAnsi="黑体" w:eastAsia="方正小标宋_GBK"/>
          <w:snapToGrid w:val="0"/>
          <w:kern w:val="0"/>
          <w:sz w:val="24"/>
          <w:szCs w:val="24"/>
        </w:rPr>
        <w:t>附件</w:t>
      </w:r>
      <w:r>
        <w:rPr>
          <w:sz w:val="24"/>
          <w:szCs w:val="24"/>
        </w:rPr>
        <w:tab/>
      </w:r>
      <w:r>
        <w:rPr>
          <w:sz w:val="24"/>
          <w:szCs w:val="24"/>
        </w:rPr>
        <w:fldChar w:fldCharType="begin"/>
      </w:r>
      <w:r>
        <w:rPr>
          <w:sz w:val="24"/>
          <w:szCs w:val="24"/>
        </w:rPr>
        <w:instrText xml:space="preserve"> PAGEREF _Toc22042 \h </w:instrText>
      </w:r>
      <w:r>
        <w:rPr>
          <w:sz w:val="24"/>
          <w:szCs w:val="24"/>
        </w:rPr>
        <w:fldChar w:fldCharType="separate"/>
      </w:r>
      <w:r>
        <w:rPr>
          <w:sz w:val="24"/>
          <w:szCs w:val="24"/>
        </w:rPr>
        <w:t>45</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_Toc22529 </w:instrText>
      </w:r>
      <w:r>
        <w:rPr>
          <w:sz w:val="24"/>
          <w:szCs w:val="24"/>
        </w:rPr>
        <w:fldChar w:fldCharType="separate"/>
      </w:r>
      <w:r>
        <w:rPr>
          <w:bCs/>
          <w:sz w:val="24"/>
          <w:szCs w:val="24"/>
        </w:rPr>
        <w:t>附</w:t>
      </w:r>
      <w:r>
        <w:rPr>
          <w:rFonts w:hint="eastAsia"/>
          <w:bCs/>
          <w:sz w:val="24"/>
          <w:szCs w:val="24"/>
        </w:rPr>
        <w:t>件</w:t>
      </w:r>
      <w:r>
        <w:rPr>
          <w:bCs/>
          <w:sz w:val="24"/>
          <w:szCs w:val="24"/>
        </w:rPr>
        <w:t xml:space="preserve">1 </w:t>
      </w:r>
      <w:r>
        <w:rPr>
          <w:rFonts w:hint="eastAsia"/>
          <w:bCs/>
          <w:sz w:val="24"/>
          <w:szCs w:val="24"/>
        </w:rPr>
        <w:t>环评委托书</w:t>
      </w:r>
      <w:r>
        <w:rPr>
          <w:sz w:val="24"/>
          <w:szCs w:val="24"/>
        </w:rPr>
        <w:tab/>
      </w:r>
      <w:r>
        <w:rPr>
          <w:sz w:val="24"/>
          <w:szCs w:val="24"/>
        </w:rPr>
        <w:fldChar w:fldCharType="begin"/>
      </w:r>
      <w:r>
        <w:rPr>
          <w:sz w:val="24"/>
          <w:szCs w:val="24"/>
        </w:rPr>
        <w:instrText xml:space="preserve"> PAGEREF _Toc22529 \h </w:instrText>
      </w:r>
      <w:r>
        <w:rPr>
          <w:sz w:val="24"/>
          <w:szCs w:val="24"/>
        </w:rPr>
        <w:fldChar w:fldCharType="separate"/>
      </w:r>
      <w:r>
        <w:rPr>
          <w:sz w:val="24"/>
          <w:szCs w:val="24"/>
        </w:rPr>
        <w:t>45</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_Toc25018 </w:instrText>
      </w:r>
      <w:r>
        <w:rPr>
          <w:sz w:val="24"/>
          <w:szCs w:val="24"/>
        </w:rPr>
        <w:fldChar w:fldCharType="separate"/>
      </w:r>
      <w:r>
        <w:rPr>
          <w:bCs/>
          <w:sz w:val="24"/>
          <w:szCs w:val="24"/>
          <w:highlight w:val="none"/>
        </w:rPr>
        <w:t>附</w:t>
      </w:r>
      <w:r>
        <w:rPr>
          <w:rFonts w:hint="eastAsia"/>
          <w:bCs/>
          <w:sz w:val="24"/>
          <w:szCs w:val="24"/>
          <w:highlight w:val="none"/>
        </w:rPr>
        <w:t>件2</w:t>
      </w:r>
      <w:r>
        <w:rPr>
          <w:bCs/>
          <w:sz w:val="24"/>
          <w:szCs w:val="24"/>
          <w:highlight w:val="none"/>
        </w:rPr>
        <w:t xml:space="preserve"> </w:t>
      </w:r>
      <w:r>
        <w:rPr>
          <w:rFonts w:hint="eastAsia"/>
          <w:bCs/>
          <w:sz w:val="24"/>
          <w:szCs w:val="24"/>
          <w:highlight w:val="none"/>
        </w:rPr>
        <w:t>营业执照</w:t>
      </w:r>
      <w:r>
        <w:rPr>
          <w:sz w:val="24"/>
          <w:szCs w:val="24"/>
        </w:rPr>
        <w:tab/>
      </w:r>
      <w:r>
        <w:rPr>
          <w:sz w:val="24"/>
          <w:szCs w:val="24"/>
        </w:rPr>
        <w:fldChar w:fldCharType="begin"/>
      </w:r>
      <w:r>
        <w:rPr>
          <w:sz w:val="24"/>
          <w:szCs w:val="24"/>
        </w:rPr>
        <w:instrText xml:space="preserve"> PAGEREF _Toc25018 \h </w:instrText>
      </w:r>
      <w:r>
        <w:rPr>
          <w:sz w:val="24"/>
          <w:szCs w:val="24"/>
        </w:rPr>
        <w:fldChar w:fldCharType="separate"/>
      </w:r>
      <w:r>
        <w:rPr>
          <w:sz w:val="24"/>
          <w:szCs w:val="24"/>
        </w:rPr>
        <w:t>46</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_Toc6647 </w:instrText>
      </w:r>
      <w:r>
        <w:rPr>
          <w:sz w:val="24"/>
          <w:szCs w:val="24"/>
        </w:rPr>
        <w:fldChar w:fldCharType="separate"/>
      </w:r>
      <w:r>
        <w:rPr>
          <w:bCs/>
          <w:sz w:val="24"/>
          <w:szCs w:val="24"/>
        </w:rPr>
        <w:t>附</w:t>
      </w:r>
      <w:r>
        <w:rPr>
          <w:rFonts w:hint="eastAsia"/>
          <w:bCs/>
          <w:sz w:val="24"/>
          <w:szCs w:val="24"/>
        </w:rPr>
        <w:t>件3</w:t>
      </w:r>
      <w:r>
        <w:rPr>
          <w:bCs/>
          <w:sz w:val="24"/>
          <w:szCs w:val="24"/>
        </w:rPr>
        <w:t xml:space="preserve"> </w:t>
      </w:r>
      <w:r>
        <w:rPr>
          <w:rFonts w:hint="eastAsia"/>
          <w:bCs/>
          <w:sz w:val="24"/>
          <w:szCs w:val="24"/>
          <w:lang w:val="en-US" w:eastAsia="zh-CN"/>
        </w:rPr>
        <w:t>用地预审意见书</w:t>
      </w:r>
      <w:r>
        <w:rPr>
          <w:sz w:val="24"/>
          <w:szCs w:val="24"/>
        </w:rPr>
        <w:tab/>
      </w:r>
      <w:r>
        <w:rPr>
          <w:sz w:val="24"/>
          <w:szCs w:val="24"/>
        </w:rPr>
        <w:fldChar w:fldCharType="begin"/>
      </w:r>
      <w:r>
        <w:rPr>
          <w:sz w:val="24"/>
          <w:szCs w:val="24"/>
        </w:rPr>
        <w:instrText xml:space="preserve"> PAGEREF _Toc6647 \h </w:instrText>
      </w:r>
      <w:r>
        <w:rPr>
          <w:sz w:val="24"/>
          <w:szCs w:val="24"/>
        </w:rPr>
        <w:fldChar w:fldCharType="separate"/>
      </w:r>
      <w:r>
        <w:rPr>
          <w:sz w:val="24"/>
          <w:szCs w:val="24"/>
        </w:rPr>
        <w:t>47</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_Toc9717 </w:instrText>
      </w:r>
      <w:r>
        <w:rPr>
          <w:sz w:val="24"/>
          <w:szCs w:val="24"/>
        </w:rPr>
        <w:fldChar w:fldCharType="separate"/>
      </w:r>
      <w:r>
        <w:rPr>
          <w:rFonts w:hint="eastAsia" w:ascii="Times New Roman" w:hAnsi="Times New Roman" w:eastAsia="宋体" w:cs="Times New Roman"/>
          <w:bCs/>
          <w:sz w:val="24"/>
          <w:szCs w:val="24"/>
          <w:lang w:val="en-US" w:eastAsia="zh-CN"/>
        </w:rPr>
        <w:t>附件4华容县住房和城乡建设局关于华容县团洲垸灾后重建安置房建设项目</w:t>
      </w:r>
      <w:r>
        <w:rPr>
          <w:rFonts w:hint="eastAsia" w:cs="Times New Roman"/>
          <w:bCs/>
          <w:sz w:val="24"/>
          <w:szCs w:val="24"/>
          <w:lang w:val="en-US" w:eastAsia="zh-CN"/>
        </w:rPr>
        <w:t>（二期）</w:t>
      </w:r>
      <w:r>
        <w:rPr>
          <w:rFonts w:hint="eastAsia" w:ascii="Times New Roman" w:hAnsi="Times New Roman" w:eastAsia="宋体" w:cs="Times New Roman"/>
          <w:bCs/>
          <w:sz w:val="24"/>
          <w:szCs w:val="24"/>
          <w:lang w:val="en-US" w:eastAsia="zh-CN"/>
        </w:rPr>
        <w:t>的审查意见</w:t>
      </w:r>
      <w:r>
        <w:rPr>
          <w:sz w:val="24"/>
          <w:szCs w:val="24"/>
        </w:rPr>
        <w:tab/>
      </w:r>
      <w:r>
        <w:rPr>
          <w:sz w:val="24"/>
          <w:szCs w:val="24"/>
        </w:rPr>
        <w:fldChar w:fldCharType="begin"/>
      </w:r>
      <w:r>
        <w:rPr>
          <w:sz w:val="24"/>
          <w:szCs w:val="24"/>
        </w:rPr>
        <w:instrText xml:space="preserve"> PAGEREF _Toc9717 \h </w:instrText>
      </w:r>
      <w:r>
        <w:rPr>
          <w:sz w:val="24"/>
          <w:szCs w:val="24"/>
        </w:rPr>
        <w:fldChar w:fldCharType="separate"/>
      </w:r>
      <w:r>
        <w:rPr>
          <w:sz w:val="24"/>
          <w:szCs w:val="24"/>
        </w:rPr>
        <w:t>49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_Toc1289 </w:instrText>
      </w:r>
      <w:r>
        <w:rPr>
          <w:sz w:val="24"/>
          <w:szCs w:val="24"/>
        </w:rPr>
        <w:fldChar w:fldCharType="separate"/>
      </w:r>
      <w:r>
        <w:rPr>
          <w:rFonts w:hint="eastAsia" w:ascii="Times New Roman" w:hAnsi="Times New Roman" w:eastAsia="宋体" w:cs="Times New Roman"/>
          <w:bCs/>
          <w:sz w:val="24"/>
          <w:szCs w:val="24"/>
        </w:rPr>
        <w:t xml:space="preserve">附件5 </w:t>
      </w:r>
      <w:r>
        <w:rPr>
          <w:rFonts w:hint="eastAsia" w:cs="Times New Roman"/>
          <w:bCs/>
          <w:sz w:val="24"/>
          <w:szCs w:val="24"/>
          <w:lang w:val="en-US" w:eastAsia="zh-CN"/>
        </w:rPr>
        <w:t>生物多样性影响评价报告</w:t>
      </w:r>
      <w:r>
        <w:rPr>
          <w:sz w:val="24"/>
          <w:szCs w:val="24"/>
        </w:rPr>
        <w:tab/>
      </w:r>
      <w:r>
        <w:rPr>
          <w:sz w:val="24"/>
          <w:szCs w:val="24"/>
        </w:rPr>
        <w:fldChar w:fldCharType="begin"/>
      </w:r>
      <w:r>
        <w:rPr>
          <w:sz w:val="24"/>
          <w:szCs w:val="24"/>
        </w:rPr>
        <w:instrText xml:space="preserve"> PAGEREF _Toc1289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_Toc15126 </w:instrText>
      </w:r>
      <w:r>
        <w:rPr>
          <w:sz w:val="24"/>
          <w:szCs w:val="24"/>
        </w:rPr>
        <w:fldChar w:fldCharType="separate"/>
      </w:r>
      <w:r>
        <w:rPr>
          <w:rFonts w:hint="eastAsia" w:cs="Times New Roman"/>
          <w:bCs/>
          <w:sz w:val="24"/>
          <w:szCs w:val="24"/>
          <w:lang w:val="en-US" w:eastAsia="zh-CN"/>
        </w:rPr>
        <w:t>附件6 林业局关于</w:t>
      </w:r>
      <w:r>
        <w:rPr>
          <w:rFonts w:hint="eastAsia" w:ascii="Times New Roman" w:hAnsi="Times New Roman" w:eastAsia="宋体" w:cs="Times New Roman"/>
          <w:bCs/>
          <w:sz w:val="24"/>
          <w:szCs w:val="24"/>
          <w:lang w:val="en-US" w:eastAsia="zh-CN"/>
        </w:rPr>
        <w:t>华容县团洲垸灾后重建安置房建设项目的</w:t>
      </w:r>
      <w:r>
        <w:rPr>
          <w:rFonts w:hint="eastAsia" w:cs="Times New Roman"/>
          <w:bCs/>
          <w:sz w:val="24"/>
          <w:szCs w:val="24"/>
          <w:lang w:val="en-US" w:eastAsia="zh-CN"/>
        </w:rPr>
        <w:t>意见</w:t>
      </w:r>
      <w:r>
        <w:rPr>
          <w:sz w:val="24"/>
          <w:szCs w:val="24"/>
        </w:rPr>
        <w:tab/>
      </w:r>
      <w:r>
        <w:rPr>
          <w:sz w:val="24"/>
          <w:szCs w:val="24"/>
        </w:rPr>
        <w:fldChar w:fldCharType="begin"/>
      </w:r>
      <w:r>
        <w:rPr>
          <w:sz w:val="24"/>
          <w:szCs w:val="24"/>
        </w:rPr>
        <w:instrText xml:space="preserve"> PAGEREF _Toc15126 \h </w:instrText>
      </w:r>
      <w:r>
        <w:rPr>
          <w:sz w:val="24"/>
          <w:szCs w:val="24"/>
        </w:rPr>
        <w:fldChar w:fldCharType="separate"/>
      </w:r>
      <w:r>
        <w:rPr>
          <w:sz w:val="24"/>
          <w:szCs w:val="24"/>
        </w:rPr>
        <w:t>83</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_Toc19273 </w:instrText>
      </w:r>
      <w:r>
        <w:rPr>
          <w:sz w:val="24"/>
          <w:szCs w:val="24"/>
        </w:rPr>
        <w:fldChar w:fldCharType="separate"/>
      </w:r>
      <w:r>
        <w:rPr>
          <w:rFonts w:hint="eastAsia" w:cs="Times New Roman"/>
          <w:bCs/>
          <w:sz w:val="24"/>
          <w:szCs w:val="24"/>
          <w:lang w:val="en-US" w:eastAsia="zh-CN"/>
        </w:rPr>
        <w:t xml:space="preserve">附件7 </w:t>
      </w:r>
      <w:r>
        <w:rPr>
          <w:rFonts w:hint="eastAsia" w:ascii="Times New Roman" w:hAnsi="Times New Roman" w:eastAsia="宋体" w:cs="Times New Roman"/>
          <w:bCs/>
          <w:sz w:val="24"/>
          <w:szCs w:val="24"/>
          <w:lang w:val="en-US" w:eastAsia="zh-CN"/>
        </w:rPr>
        <w:t>华容县人民政府县长办公会议纪要</w:t>
      </w:r>
      <w:r>
        <w:rPr>
          <w:sz w:val="24"/>
          <w:szCs w:val="24"/>
        </w:rPr>
        <w:tab/>
      </w:r>
      <w:r>
        <w:rPr>
          <w:sz w:val="24"/>
          <w:szCs w:val="24"/>
        </w:rPr>
        <w:fldChar w:fldCharType="begin"/>
      </w:r>
      <w:r>
        <w:rPr>
          <w:sz w:val="24"/>
          <w:szCs w:val="24"/>
        </w:rPr>
        <w:instrText xml:space="preserve"> PAGEREF _Toc19273 \h </w:instrText>
      </w:r>
      <w:r>
        <w:rPr>
          <w:sz w:val="24"/>
          <w:szCs w:val="24"/>
        </w:rPr>
        <w:fldChar w:fldCharType="separate"/>
      </w:r>
      <w:r>
        <w:rPr>
          <w:sz w:val="24"/>
          <w:szCs w:val="24"/>
        </w:rPr>
        <w:t>87</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_Toc15955 </w:instrText>
      </w:r>
      <w:r>
        <w:rPr>
          <w:sz w:val="24"/>
          <w:szCs w:val="24"/>
        </w:rPr>
        <w:fldChar w:fldCharType="separate"/>
      </w:r>
      <w:r>
        <w:rPr>
          <w:rFonts w:hint="eastAsia"/>
          <w:bCs/>
          <w:sz w:val="24"/>
          <w:szCs w:val="24"/>
          <w:lang w:val="en-US" w:eastAsia="zh-CN"/>
        </w:rPr>
        <w:t>附件8 备案文件</w:t>
      </w:r>
      <w:r>
        <w:rPr>
          <w:sz w:val="24"/>
          <w:szCs w:val="24"/>
        </w:rPr>
        <w:tab/>
      </w:r>
      <w:r>
        <w:rPr>
          <w:sz w:val="24"/>
          <w:szCs w:val="24"/>
        </w:rPr>
        <w:fldChar w:fldCharType="begin"/>
      </w:r>
      <w:r>
        <w:rPr>
          <w:sz w:val="24"/>
          <w:szCs w:val="24"/>
        </w:rPr>
        <w:instrText xml:space="preserve"> PAGEREF _Toc15955 \h </w:instrText>
      </w:r>
      <w:r>
        <w:rPr>
          <w:sz w:val="24"/>
          <w:szCs w:val="24"/>
        </w:rPr>
        <w:fldChar w:fldCharType="separate"/>
      </w:r>
      <w:r>
        <w:rPr>
          <w:sz w:val="24"/>
          <w:szCs w:val="24"/>
        </w:rPr>
        <w:t>92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_Toc15785 </w:instrText>
      </w:r>
      <w:r>
        <w:rPr>
          <w:sz w:val="24"/>
          <w:szCs w:val="24"/>
        </w:rPr>
        <w:fldChar w:fldCharType="separate"/>
      </w:r>
      <w:r>
        <w:rPr>
          <w:rFonts w:hint="eastAsia"/>
          <w:bCs/>
          <w:sz w:val="24"/>
          <w:szCs w:val="24"/>
          <w:lang w:val="en-US" w:eastAsia="zh-CN"/>
        </w:rPr>
        <w:t xml:space="preserve">附件9 </w:t>
      </w:r>
      <w:r>
        <w:rPr>
          <w:bCs/>
          <w:sz w:val="24"/>
          <w:szCs w:val="24"/>
        </w:rPr>
        <w:t>环境现状监测报告</w:t>
      </w:r>
      <w:r>
        <w:rPr>
          <w:sz w:val="24"/>
          <w:szCs w:val="24"/>
        </w:rPr>
        <w:tab/>
      </w:r>
      <w:r>
        <w:rPr>
          <w:sz w:val="24"/>
          <w:szCs w:val="24"/>
        </w:rPr>
        <w:fldChar w:fldCharType="begin"/>
      </w:r>
      <w:r>
        <w:rPr>
          <w:sz w:val="24"/>
          <w:szCs w:val="24"/>
        </w:rPr>
        <w:instrText xml:space="preserve"> PAGEREF _Toc15785 \h </w:instrText>
      </w:r>
      <w:r>
        <w:rPr>
          <w:sz w:val="24"/>
          <w:szCs w:val="24"/>
        </w:rPr>
        <w:fldChar w:fldCharType="separate"/>
      </w:r>
      <w:r>
        <w:rPr>
          <w:sz w:val="24"/>
          <w:szCs w:val="24"/>
        </w:rPr>
        <w:t>95</w:t>
      </w:r>
      <w:r>
        <w:rPr>
          <w:sz w:val="24"/>
          <w:szCs w:val="24"/>
        </w:rPr>
        <w:fldChar w:fldCharType="end"/>
      </w:r>
      <w:r>
        <w:rPr>
          <w:color w:val="auto"/>
          <w:sz w:val="24"/>
          <w:szCs w:val="24"/>
        </w:rPr>
        <w:fldChar w:fldCharType="end"/>
      </w:r>
    </w:p>
    <w:p>
      <w:pPr>
        <w:pStyle w:val="17"/>
        <w:tabs>
          <w:tab w:val="right" w:leader="dot" w:pos="8844"/>
        </w:tabs>
        <w:rPr>
          <w:color w:val="auto"/>
          <w:sz w:val="24"/>
          <w:szCs w:val="24"/>
        </w:rPr>
      </w:pPr>
    </w:p>
    <w:p>
      <w:pPr>
        <w:pStyle w:val="17"/>
        <w:tabs>
          <w:tab w:val="right" w:leader="dot" w:pos="8844"/>
        </w:tabs>
        <w:rPr>
          <w:sz w:val="24"/>
          <w:szCs w:val="24"/>
        </w:rPr>
      </w:pPr>
      <w:r>
        <w:rPr>
          <w:color w:val="auto"/>
          <w:sz w:val="24"/>
          <w:szCs w:val="24"/>
        </w:rPr>
        <w:fldChar w:fldCharType="begin"/>
      </w:r>
      <w:r>
        <w:rPr>
          <w:sz w:val="24"/>
          <w:szCs w:val="24"/>
        </w:rPr>
        <w:instrText xml:space="preserve"> HYPERLINK \l _Toc14330 </w:instrText>
      </w:r>
      <w:r>
        <w:rPr>
          <w:sz w:val="24"/>
          <w:szCs w:val="24"/>
        </w:rPr>
        <w:fldChar w:fldCharType="separate"/>
      </w:r>
      <w:r>
        <w:rPr>
          <w:rFonts w:hint="eastAsia" w:ascii="方正小标宋_GBK" w:hAnsi="黑体" w:eastAsia="方正小标宋_GBK" w:cs="Times New Roman"/>
          <w:snapToGrid w:val="0"/>
          <w:kern w:val="0"/>
          <w:sz w:val="24"/>
          <w:szCs w:val="24"/>
          <w:lang w:val="en-US" w:eastAsia="zh-CN"/>
        </w:rPr>
        <w:t>华容县团洲垸灾后重建安置房建设项目（二期）</w:t>
      </w:r>
      <w:r>
        <w:rPr>
          <w:color w:val="auto"/>
          <w:sz w:val="24"/>
          <w:szCs w:val="24"/>
        </w:rPr>
        <w:fldChar w:fldCharType="end"/>
      </w:r>
      <w:r>
        <w:rPr>
          <w:color w:val="auto"/>
          <w:sz w:val="24"/>
          <w:szCs w:val="24"/>
        </w:rPr>
        <w:fldChar w:fldCharType="begin"/>
      </w:r>
      <w:r>
        <w:rPr>
          <w:sz w:val="24"/>
          <w:szCs w:val="24"/>
        </w:rPr>
        <w:instrText xml:space="preserve"> HYPERLINK \l _Toc6912 </w:instrText>
      </w:r>
      <w:r>
        <w:rPr>
          <w:sz w:val="24"/>
          <w:szCs w:val="24"/>
        </w:rPr>
        <w:fldChar w:fldCharType="separate"/>
      </w:r>
      <w:r>
        <w:rPr>
          <w:rFonts w:hint="eastAsia" w:ascii="方正小标宋_GBK" w:hAnsi="黑体" w:eastAsia="方正小标宋_GBK" w:cs="Times New Roman"/>
          <w:snapToGrid w:val="0"/>
          <w:kern w:val="0"/>
          <w:sz w:val="24"/>
          <w:szCs w:val="24"/>
          <w:lang w:eastAsia="zh-CN"/>
        </w:rPr>
        <w:t>生态</w:t>
      </w:r>
      <w:r>
        <w:rPr>
          <w:rFonts w:hint="default" w:ascii="方正小标宋_GBK" w:hAnsi="黑体" w:eastAsia="方正小标宋_GBK" w:cs="Times New Roman"/>
          <w:snapToGrid w:val="0"/>
          <w:kern w:val="0"/>
          <w:sz w:val="24"/>
          <w:szCs w:val="24"/>
        </w:rPr>
        <w:t>环境影响专项报告</w:t>
      </w:r>
      <w:r>
        <w:rPr>
          <w:sz w:val="24"/>
          <w:szCs w:val="24"/>
        </w:rPr>
        <w:tab/>
      </w:r>
      <w:r>
        <w:rPr>
          <w:sz w:val="24"/>
          <w:szCs w:val="24"/>
        </w:rPr>
        <w:fldChar w:fldCharType="begin"/>
      </w:r>
      <w:r>
        <w:rPr>
          <w:sz w:val="24"/>
          <w:szCs w:val="24"/>
        </w:rPr>
        <w:instrText xml:space="preserve"> PAGEREF _Toc6912 \h </w:instrText>
      </w:r>
      <w:r>
        <w:rPr>
          <w:sz w:val="24"/>
          <w:szCs w:val="24"/>
        </w:rPr>
        <w:fldChar w:fldCharType="separate"/>
      </w:r>
      <w:r>
        <w:rPr>
          <w:sz w:val="24"/>
          <w:szCs w:val="24"/>
        </w:rPr>
        <w:t>96</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_Toc2863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1总则</w:t>
      </w:r>
      <w:r>
        <w:rPr>
          <w:sz w:val="24"/>
          <w:szCs w:val="24"/>
        </w:rPr>
        <w:tab/>
      </w:r>
      <w:r>
        <w:rPr>
          <w:sz w:val="24"/>
          <w:szCs w:val="24"/>
        </w:rPr>
        <w:fldChar w:fldCharType="begin"/>
      </w:r>
      <w:r>
        <w:rPr>
          <w:sz w:val="24"/>
          <w:szCs w:val="24"/>
        </w:rPr>
        <w:instrText xml:space="preserve"> PAGEREF _Toc2863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_Toc333 </w:instrText>
      </w:r>
      <w:r>
        <w:rPr>
          <w:sz w:val="24"/>
          <w:szCs w:val="24"/>
        </w:rPr>
        <w:fldChar w:fldCharType="separate"/>
      </w:r>
      <w:r>
        <w:rPr>
          <w:rFonts w:ascii="Times New Roman" w:hAnsi="Times New Roman" w:eastAsia="宋体" w:cs="Times New Roman"/>
          <w:bCs/>
          <w:kern w:val="2"/>
          <w:sz w:val="24"/>
          <w:szCs w:val="24"/>
          <w:lang w:val="en-US" w:eastAsia="zh-CN" w:bidi="ar-SA"/>
        </w:rPr>
        <w:t>1.1项目由来</w:t>
      </w:r>
      <w:r>
        <w:rPr>
          <w:sz w:val="24"/>
          <w:szCs w:val="24"/>
        </w:rPr>
        <w:tab/>
      </w:r>
      <w:r>
        <w:rPr>
          <w:sz w:val="24"/>
          <w:szCs w:val="24"/>
        </w:rPr>
        <w:fldChar w:fldCharType="begin"/>
      </w:r>
      <w:r>
        <w:rPr>
          <w:sz w:val="24"/>
          <w:szCs w:val="24"/>
        </w:rPr>
        <w:instrText xml:space="preserve"> PAGEREF _Toc333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_Toc21413 </w:instrText>
      </w:r>
      <w:r>
        <w:rPr>
          <w:sz w:val="24"/>
          <w:szCs w:val="24"/>
        </w:rPr>
        <w:fldChar w:fldCharType="separate"/>
      </w:r>
      <w:r>
        <w:rPr>
          <w:rFonts w:ascii="Times New Roman" w:hAnsi="Times New Roman" w:eastAsia="宋体" w:cs="Times New Roman"/>
          <w:bCs/>
          <w:kern w:val="2"/>
          <w:sz w:val="24"/>
          <w:szCs w:val="24"/>
          <w:lang w:val="en-US" w:eastAsia="zh-CN" w:bidi="ar-SA"/>
        </w:rPr>
        <w:t>1.2评价目的和评价原则</w:t>
      </w:r>
      <w:r>
        <w:rPr>
          <w:sz w:val="24"/>
          <w:szCs w:val="24"/>
        </w:rPr>
        <w:tab/>
      </w:r>
      <w:r>
        <w:rPr>
          <w:sz w:val="24"/>
          <w:szCs w:val="24"/>
        </w:rPr>
        <w:fldChar w:fldCharType="begin"/>
      </w:r>
      <w:r>
        <w:rPr>
          <w:sz w:val="24"/>
          <w:szCs w:val="24"/>
        </w:rPr>
        <w:instrText xml:space="preserve"> PAGEREF _Toc21413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_Toc25723 </w:instrText>
      </w:r>
      <w:r>
        <w:rPr>
          <w:sz w:val="24"/>
          <w:szCs w:val="24"/>
        </w:rPr>
        <w:fldChar w:fldCharType="separate"/>
      </w:r>
      <w:r>
        <w:rPr>
          <w:rFonts w:ascii="Times New Roman" w:hAnsi="Times New Roman" w:eastAsia="宋体" w:cs="Times New Roman"/>
          <w:bCs/>
          <w:kern w:val="2"/>
          <w:sz w:val="24"/>
          <w:szCs w:val="24"/>
          <w:lang w:val="en-US" w:eastAsia="zh-CN" w:bidi="ar-SA"/>
        </w:rPr>
        <w:t>1.3工作原则</w:t>
      </w:r>
      <w:r>
        <w:rPr>
          <w:sz w:val="24"/>
          <w:szCs w:val="24"/>
        </w:rPr>
        <w:tab/>
      </w:r>
      <w:r>
        <w:rPr>
          <w:sz w:val="24"/>
          <w:szCs w:val="24"/>
        </w:rPr>
        <w:fldChar w:fldCharType="begin"/>
      </w:r>
      <w:r>
        <w:rPr>
          <w:sz w:val="24"/>
          <w:szCs w:val="24"/>
        </w:rPr>
        <w:instrText xml:space="preserve"> PAGEREF _Toc25723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_Toc26767 </w:instrText>
      </w:r>
      <w:r>
        <w:rPr>
          <w:sz w:val="24"/>
          <w:szCs w:val="24"/>
        </w:rPr>
        <w:fldChar w:fldCharType="separate"/>
      </w:r>
      <w:r>
        <w:rPr>
          <w:rFonts w:ascii="Times New Roman" w:hAnsi="Times New Roman" w:eastAsia="宋体" w:cs="Times New Roman"/>
          <w:bCs/>
          <w:kern w:val="2"/>
          <w:sz w:val="24"/>
          <w:szCs w:val="24"/>
          <w:lang w:val="en-US" w:eastAsia="zh-CN" w:bidi="ar-SA"/>
        </w:rPr>
        <w:t>1.4评价依据</w:t>
      </w:r>
      <w:r>
        <w:rPr>
          <w:sz w:val="24"/>
          <w:szCs w:val="24"/>
        </w:rPr>
        <w:tab/>
      </w:r>
      <w:r>
        <w:rPr>
          <w:sz w:val="24"/>
          <w:szCs w:val="24"/>
        </w:rPr>
        <w:fldChar w:fldCharType="begin"/>
      </w:r>
      <w:r>
        <w:rPr>
          <w:sz w:val="24"/>
          <w:szCs w:val="24"/>
        </w:rPr>
        <w:instrText xml:space="preserve"> PAGEREF _Toc26767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_Toc3582 </w:instrText>
      </w:r>
      <w:r>
        <w:rPr>
          <w:sz w:val="24"/>
          <w:szCs w:val="24"/>
        </w:rPr>
        <w:fldChar w:fldCharType="separate"/>
      </w:r>
      <w:r>
        <w:rPr>
          <w:rFonts w:ascii="Times New Roman" w:hAnsi="Times New Roman" w:eastAsia="宋体" w:cs="Times New Roman"/>
          <w:bCs/>
          <w:kern w:val="2"/>
          <w:sz w:val="24"/>
          <w:szCs w:val="24"/>
          <w:lang w:val="en-US" w:eastAsia="zh-CN" w:bidi="ar-SA"/>
        </w:rPr>
        <w:t>1.5生态环境评价工作等级及范围</w:t>
      </w:r>
      <w:r>
        <w:rPr>
          <w:sz w:val="24"/>
          <w:szCs w:val="24"/>
        </w:rPr>
        <w:tab/>
      </w:r>
      <w:r>
        <w:rPr>
          <w:sz w:val="24"/>
          <w:szCs w:val="24"/>
        </w:rPr>
        <w:fldChar w:fldCharType="begin"/>
      </w:r>
      <w:r>
        <w:rPr>
          <w:sz w:val="24"/>
          <w:szCs w:val="24"/>
        </w:rPr>
        <w:instrText xml:space="preserve"> PAGEREF _Toc3582 \h </w:instrText>
      </w:r>
      <w:r>
        <w:rPr>
          <w:sz w:val="24"/>
          <w:szCs w:val="24"/>
        </w:rPr>
        <w:fldChar w:fldCharType="separate"/>
      </w:r>
      <w:r>
        <w:rPr>
          <w:sz w:val="24"/>
          <w:szCs w:val="24"/>
        </w:rPr>
        <w:t>5</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_Toc18524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1.6评价因子筛选及评价重点</w:t>
      </w:r>
      <w:r>
        <w:rPr>
          <w:sz w:val="24"/>
          <w:szCs w:val="24"/>
        </w:rPr>
        <w:tab/>
      </w:r>
      <w:r>
        <w:rPr>
          <w:sz w:val="24"/>
          <w:szCs w:val="24"/>
        </w:rPr>
        <w:fldChar w:fldCharType="begin"/>
      </w:r>
      <w:r>
        <w:rPr>
          <w:sz w:val="24"/>
          <w:szCs w:val="24"/>
        </w:rPr>
        <w:instrText xml:space="preserve"> PAGEREF _Toc18524 \h </w:instrText>
      </w:r>
      <w:r>
        <w:rPr>
          <w:sz w:val="24"/>
          <w:szCs w:val="24"/>
        </w:rPr>
        <w:fldChar w:fldCharType="separate"/>
      </w:r>
      <w:r>
        <w:rPr>
          <w:sz w:val="24"/>
          <w:szCs w:val="24"/>
        </w:rPr>
        <w:t>6</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_Toc6705 </w:instrText>
      </w:r>
      <w:r>
        <w:rPr>
          <w:sz w:val="24"/>
          <w:szCs w:val="24"/>
        </w:rPr>
        <w:fldChar w:fldCharType="separate"/>
      </w:r>
      <w:r>
        <w:rPr>
          <w:rFonts w:ascii="Times New Roman" w:hAnsi="Times New Roman" w:eastAsia="宋体" w:cs="Times New Roman"/>
          <w:kern w:val="2"/>
          <w:sz w:val="24"/>
          <w:szCs w:val="24"/>
          <w:lang w:val="en-US" w:eastAsia="zh-CN" w:bidi="ar-SA"/>
        </w:rPr>
        <w:t>1.</w:t>
      </w:r>
      <w:r>
        <w:rPr>
          <w:rFonts w:hint="eastAsia" w:ascii="Times New Roman" w:hAnsi="Times New Roman" w:eastAsia="宋体" w:cs="Times New Roman"/>
          <w:kern w:val="2"/>
          <w:sz w:val="24"/>
          <w:szCs w:val="24"/>
          <w:lang w:val="en-US" w:eastAsia="zh-CN" w:bidi="ar-SA"/>
        </w:rPr>
        <w:t>7</w:t>
      </w:r>
      <w:r>
        <w:rPr>
          <w:rFonts w:ascii="Times New Roman" w:hAnsi="Times New Roman" w:eastAsia="宋体" w:cs="Times New Roman"/>
          <w:kern w:val="2"/>
          <w:sz w:val="24"/>
          <w:szCs w:val="24"/>
          <w:lang w:val="en-US" w:eastAsia="zh-CN" w:bidi="ar-SA"/>
        </w:rPr>
        <w:t>生态环境保护目标</w:t>
      </w:r>
      <w:r>
        <w:rPr>
          <w:sz w:val="24"/>
          <w:szCs w:val="24"/>
        </w:rPr>
        <w:tab/>
      </w:r>
      <w:r>
        <w:rPr>
          <w:sz w:val="24"/>
          <w:szCs w:val="24"/>
        </w:rPr>
        <w:fldChar w:fldCharType="begin"/>
      </w:r>
      <w:r>
        <w:rPr>
          <w:sz w:val="24"/>
          <w:szCs w:val="24"/>
        </w:rPr>
        <w:instrText xml:space="preserve"> PAGEREF _Toc6705 \h </w:instrText>
      </w:r>
      <w:r>
        <w:rPr>
          <w:sz w:val="24"/>
          <w:szCs w:val="24"/>
        </w:rPr>
        <w:fldChar w:fldCharType="separate"/>
      </w:r>
      <w:r>
        <w:rPr>
          <w:sz w:val="24"/>
          <w:szCs w:val="24"/>
        </w:rPr>
        <w:t>7</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_Toc24344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2项目工程分析</w:t>
      </w:r>
      <w:r>
        <w:rPr>
          <w:sz w:val="24"/>
          <w:szCs w:val="24"/>
        </w:rPr>
        <w:tab/>
      </w:r>
      <w:r>
        <w:rPr>
          <w:sz w:val="24"/>
          <w:szCs w:val="24"/>
        </w:rPr>
        <w:fldChar w:fldCharType="begin"/>
      </w:r>
      <w:r>
        <w:rPr>
          <w:sz w:val="24"/>
          <w:szCs w:val="24"/>
        </w:rPr>
        <w:instrText xml:space="preserve"> PAGEREF _Toc24344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_Toc27036 </w:instrText>
      </w:r>
      <w:r>
        <w:rPr>
          <w:sz w:val="24"/>
          <w:szCs w:val="24"/>
        </w:rPr>
        <w:fldChar w:fldCharType="separate"/>
      </w:r>
      <w:r>
        <w:rPr>
          <w:rFonts w:ascii="Times New Roman" w:hAnsi="Times New Roman" w:eastAsia="宋体" w:cs="Times New Roman"/>
          <w:bCs/>
          <w:kern w:val="2"/>
          <w:sz w:val="24"/>
          <w:szCs w:val="24"/>
          <w:lang w:val="en-US" w:eastAsia="zh-CN" w:bidi="ar-SA"/>
        </w:rPr>
        <w:t>2.1</w:t>
      </w:r>
      <w:r>
        <w:rPr>
          <w:rFonts w:hint="eastAsia" w:ascii="Times New Roman" w:hAnsi="Times New Roman" w:eastAsia="宋体" w:cs="Times New Roman"/>
          <w:bCs/>
          <w:kern w:val="2"/>
          <w:sz w:val="24"/>
          <w:szCs w:val="24"/>
          <w:lang w:val="en-US" w:eastAsia="zh-CN" w:bidi="ar-SA"/>
        </w:rPr>
        <w:t>项目概况</w:t>
      </w:r>
      <w:r>
        <w:rPr>
          <w:sz w:val="24"/>
          <w:szCs w:val="24"/>
        </w:rPr>
        <w:tab/>
      </w:r>
      <w:r>
        <w:rPr>
          <w:sz w:val="24"/>
          <w:szCs w:val="24"/>
        </w:rPr>
        <w:fldChar w:fldCharType="begin"/>
      </w:r>
      <w:r>
        <w:rPr>
          <w:sz w:val="24"/>
          <w:szCs w:val="24"/>
        </w:rPr>
        <w:instrText xml:space="preserve"> PAGEREF _Toc27036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_Toc25875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2.2</w:t>
      </w:r>
      <w:r>
        <w:rPr>
          <w:rFonts w:ascii="Times New Roman" w:hAnsi="Times New Roman" w:eastAsia="宋体" w:cs="Times New Roman"/>
          <w:bCs/>
          <w:kern w:val="2"/>
          <w:sz w:val="24"/>
          <w:szCs w:val="24"/>
          <w:lang w:val="en-US" w:eastAsia="zh-CN" w:bidi="ar-SA"/>
        </w:rPr>
        <w:t>工程建设内容</w:t>
      </w:r>
      <w:r>
        <w:rPr>
          <w:sz w:val="24"/>
          <w:szCs w:val="24"/>
        </w:rPr>
        <w:tab/>
      </w:r>
      <w:r>
        <w:rPr>
          <w:sz w:val="24"/>
          <w:szCs w:val="24"/>
        </w:rPr>
        <w:fldChar w:fldCharType="begin"/>
      </w:r>
      <w:r>
        <w:rPr>
          <w:sz w:val="24"/>
          <w:szCs w:val="24"/>
        </w:rPr>
        <w:instrText xml:space="preserve"> PAGEREF _Toc25875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_Toc28057 </w:instrText>
      </w:r>
      <w:r>
        <w:rPr>
          <w:sz w:val="24"/>
          <w:szCs w:val="24"/>
        </w:rPr>
        <w:fldChar w:fldCharType="separate"/>
      </w:r>
      <w:r>
        <w:rPr>
          <w:rFonts w:ascii="Times New Roman" w:hAnsi="Times New Roman" w:eastAsia="宋体" w:cs="Times New Roman"/>
          <w:bCs w:val="0"/>
          <w:snapToGrid w:val="0"/>
          <w:kern w:val="0"/>
          <w:sz w:val="24"/>
          <w:szCs w:val="24"/>
          <w:lang w:val="en-US" w:eastAsia="zh-CN" w:bidi="ar-SA"/>
        </w:rPr>
        <w:t>3生态环境现状调查与评价</w:t>
      </w:r>
      <w:r>
        <w:rPr>
          <w:sz w:val="24"/>
          <w:szCs w:val="24"/>
        </w:rPr>
        <w:tab/>
      </w:r>
      <w:r>
        <w:rPr>
          <w:sz w:val="24"/>
          <w:szCs w:val="24"/>
        </w:rPr>
        <w:fldChar w:fldCharType="begin"/>
      </w:r>
      <w:r>
        <w:rPr>
          <w:sz w:val="24"/>
          <w:szCs w:val="24"/>
        </w:rPr>
        <w:instrText xml:space="preserve"> PAGEREF _Toc28057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_Toc16249 </w:instrText>
      </w:r>
      <w:r>
        <w:rPr>
          <w:sz w:val="24"/>
          <w:szCs w:val="24"/>
        </w:rPr>
        <w:fldChar w:fldCharType="separate"/>
      </w:r>
      <w:r>
        <w:rPr>
          <w:rFonts w:ascii="Times New Roman" w:hAnsi="Times New Roman" w:eastAsia="宋体" w:cs="Times New Roman"/>
          <w:bCs/>
          <w:kern w:val="2"/>
          <w:sz w:val="24"/>
          <w:szCs w:val="24"/>
          <w:lang w:val="en-US" w:eastAsia="zh-CN" w:bidi="ar-SA"/>
        </w:rPr>
        <w:t>3.1</w:t>
      </w:r>
      <w:r>
        <w:rPr>
          <w:rFonts w:hint="eastAsia" w:ascii="Times New Roman" w:hAnsi="Times New Roman" w:eastAsia="宋体" w:cs="Times New Roman"/>
          <w:bCs/>
          <w:kern w:val="2"/>
          <w:sz w:val="24"/>
          <w:szCs w:val="24"/>
          <w:lang w:val="en-US" w:eastAsia="zh-CN" w:bidi="ar-SA"/>
        </w:rPr>
        <w:t>土地利用现状</w:t>
      </w:r>
      <w:r>
        <w:rPr>
          <w:sz w:val="24"/>
          <w:szCs w:val="24"/>
        </w:rPr>
        <w:tab/>
      </w:r>
      <w:r>
        <w:rPr>
          <w:sz w:val="24"/>
          <w:szCs w:val="24"/>
        </w:rPr>
        <w:fldChar w:fldCharType="begin"/>
      </w:r>
      <w:r>
        <w:rPr>
          <w:sz w:val="24"/>
          <w:szCs w:val="24"/>
        </w:rPr>
        <w:instrText xml:space="preserve"> PAGEREF _Toc16249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_Toc13037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.2生态环境</w:t>
      </w:r>
      <w:r>
        <w:rPr>
          <w:rFonts w:hint="eastAsia" w:ascii="Times New Roman" w:hAnsi="Times New Roman" w:eastAsia="宋体" w:cs="Times New Roman"/>
          <w:bCs/>
          <w:kern w:val="2"/>
          <w:sz w:val="24"/>
          <w:szCs w:val="24"/>
          <w:lang w:val="en-US" w:eastAsia="zh-CN" w:bidi="ar-SA"/>
        </w:rPr>
        <w:t>调查与评价</w:t>
      </w:r>
      <w:r>
        <w:rPr>
          <w:sz w:val="24"/>
          <w:szCs w:val="24"/>
        </w:rPr>
        <w:tab/>
      </w:r>
      <w:r>
        <w:rPr>
          <w:sz w:val="24"/>
          <w:szCs w:val="24"/>
        </w:rPr>
        <w:fldChar w:fldCharType="begin"/>
      </w:r>
      <w:r>
        <w:rPr>
          <w:sz w:val="24"/>
          <w:szCs w:val="24"/>
        </w:rPr>
        <w:instrText xml:space="preserve"> PAGEREF _Toc13037 \h </w:instrText>
      </w:r>
      <w:r>
        <w:rPr>
          <w:sz w:val="24"/>
          <w:szCs w:val="24"/>
        </w:rPr>
        <w:fldChar w:fldCharType="separate"/>
      </w:r>
      <w:r>
        <w:rPr>
          <w:sz w:val="24"/>
          <w:szCs w:val="24"/>
        </w:rPr>
        <w:t>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_Toc23303 </w:instrText>
      </w:r>
      <w:r>
        <w:rPr>
          <w:sz w:val="24"/>
          <w:szCs w:val="24"/>
        </w:rPr>
        <w:fldChar w:fldCharType="separate"/>
      </w:r>
      <w:r>
        <w:rPr>
          <w:rFonts w:hint="eastAsia" w:ascii="Times New Roman" w:hAnsi="Times New Roman" w:eastAsia="宋体" w:cs="Times New Roman"/>
          <w:bCs/>
          <w:kern w:val="2"/>
          <w:sz w:val="24"/>
          <w:szCs w:val="24"/>
          <w:lang w:val="en-US" w:eastAsia="zh-CN" w:bidi="ar-SA"/>
        </w:rPr>
        <w:t>3</w:t>
      </w:r>
      <w:r>
        <w:rPr>
          <w:rFonts w:hint="default" w:ascii="Times New Roman" w:hAnsi="Times New Roman" w:eastAsia="宋体" w:cs="Times New Roman"/>
          <w:bCs/>
          <w:kern w:val="2"/>
          <w:sz w:val="24"/>
          <w:szCs w:val="24"/>
          <w:lang w:val="en-US" w:eastAsia="zh-CN" w:bidi="ar-SA"/>
        </w:rPr>
        <w:t>.</w:t>
      </w:r>
      <w:r>
        <w:rPr>
          <w:rFonts w:hint="eastAsia" w:ascii="Times New Roman" w:hAnsi="Times New Roman" w:eastAsia="宋体" w:cs="Times New Roman"/>
          <w:bCs/>
          <w:kern w:val="2"/>
          <w:sz w:val="24"/>
          <w:szCs w:val="24"/>
          <w:lang w:val="en-US" w:eastAsia="zh-CN" w:bidi="ar-SA"/>
        </w:rPr>
        <w:t>3湖南东洞庭湖国家级自然保护区</w:t>
      </w:r>
      <w:r>
        <w:rPr>
          <w:sz w:val="24"/>
          <w:szCs w:val="24"/>
        </w:rPr>
        <w:tab/>
      </w:r>
      <w:r>
        <w:rPr>
          <w:sz w:val="24"/>
          <w:szCs w:val="24"/>
        </w:rPr>
        <w:fldChar w:fldCharType="begin"/>
      </w:r>
      <w:r>
        <w:rPr>
          <w:sz w:val="24"/>
          <w:szCs w:val="24"/>
        </w:rPr>
        <w:instrText xml:space="preserve"> PAGEREF _Toc23303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_Toc25163 </w:instrText>
      </w:r>
      <w:r>
        <w:rPr>
          <w:sz w:val="24"/>
          <w:szCs w:val="24"/>
        </w:rPr>
        <w:fldChar w:fldCharType="separate"/>
      </w:r>
      <w:r>
        <w:rPr>
          <w:rFonts w:hint="eastAsia" w:ascii="Times New Roman" w:hAnsi="Times New Roman" w:eastAsia="宋体" w:cs="Times New Roman"/>
          <w:bCs w:val="0"/>
          <w:snapToGrid w:val="0"/>
          <w:kern w:val="0"/>
          <w:sz w:val="24"/>
          <w:szCs w:val="24"/>
          <w:lang w:val="en-US" w:eastAsia="zh-CN" w:bidi="ar-SA"/>
        </w:rPr>
        <w:t>4</w:t>
      </w:r>
      <w:r>
        <w:rPr>
          <w:rFonts w:ascii="Times New Roman" w:hAnsi="Times New Roman" w:eastAsia="宋体" w:cs="Times New Roman"/>
          <w:bCs w:val="0"/>
          <w:snapToGrid w:val="0"/>
          <w:kern w:val="0"/>
          <w:sz w:val="24"/>
          <w:szCs w:val="24"/>
          <w:lang w:val="en-US" w:eastAsia="zh-CN" w:bidi="ar-SA"/>
        </w:rPr>
        <w:t>生态环境</w:t>
      </w:r>
      <w:r>
        <w:rPr>
          <w:rFonts w:hint="eastAsia" w:ascii="Times New Roman" w:hAnsi="Times New Roman" w:eastAsia="宋体" w:cs="Times New Roman"/>
          <w:bCs w:val="0"/>
          <w:snapToGrid w:val="0"/>
          <w:kern w:val="0"/>
          <w:sz w:val="24"/>
          <w:szCs w:val="24"/>
          <w:lang w:val="en-US" w:eastAsia="zh-CN" w:bidi="ar-SA"/>
        </w:rPr>
        <w:t>影响</w:t>
      </w:r>
      <w:r>
        <w:rPr>
          <w:rFonts w:ascii="Times New Roman" w:hAnsi="Times New Roman" w:eastAsia="宋体" w:cs="Times New Roman"/>
          <w:bCs w:val="0"/>
          <w:snapToGrid w:val="0"/>
          <w:kern w:val="0"/>
          <w:sz w:val="24"/>
          <w:szCs w:val="24"/>
          <w:lang w:val="en-US" w:eastAsia="zh-CN" w:bidi="ar-SA"/>
        </w:rPr>
        <w:t>评价</w:t>
      </w:r>
      <w:r>
        <w:rPr>
          <w:sz w:val="24"/>
          <w:szCs w:val="24"/>
        </w:rPr>
        <w:tab/>
      </w:r>
      <w:r>
        <w:rPr>
          <w:sz w:val="24"/>
          <w:szCs w:val="24"/>
        </w:rPr>
        <w:fldChar w:fldCharType="begin"/>
      </w:r>
      <w:r>
        <w:rPr>
          <w:sz w:val="24"/>
          <w:szCs w:val="24"/>
        </w:rPr>
        <w:instrText xml:space="preserve"> PAGEREF _Toc25163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_Toc30972 </w:instrText>
      </w:r>
      <w:r>
        <w:rPr>
          <w:sz w:val="24"/>
          <w:szCs w:val="24"/>
        </w:rPr>
        <w:fldChar w:fldCharType="separate"/>
      </w:r>
      <w:r>
        <w:rPr>
          <w:rFonts w:ascii="Times New Roman" w:hAnsi="Times New Roman" w:eastAsia="宋体" w:cs="Times New Roman"/>
          <w:bCs/>
          <w:kern w:val="2"/>
          <w:sz w:val="24"/>
          <w:szCs w:val="24"/>
          <w:lang w:val="en-US" w:eastAsia="zh-CN" w:bidi="ar-SA"/>
        </w:rPr>
        <w:t xml:space="preserve">4.1 </w:t>
      </w:r>
      <w:r>
        <w:rPr>
          <w:rFonts w:hint="eastAsia" w:ascii="Times New Roman" w:hAnsi="Times New Roman" w:eastAsia="宋体" w:cs="Times New Roman"/>
          <w:bCs/>
          <w:kern w:val="2"/>
          <w:sz w:val="24"/>
          <w:szCs w:val="24"/>
          <w:lang w:val="en-US" w:eastAsia="zh-CN" w:bidi="ar-SA"/>
        </w:rPr>
        <w:t>施工期生态环境影响分析与评价</w:t>
      </w:r>
      <w:r>
        <w:rPr>
          <w:sz w:val="24"/>
          <w:szCs w:val="24"/>
        </w:rPr>
        <w:tab/>
      </w:r>
      <w:r>
        <w:rPr>
          <w:sz w:val="24"/>
          <w:szCs w:val="24"/>
        </w:rPr>
        <w:fldChar w:fldCharType="begin"/>
      </w:r>
      <w:r>
        <w:rPr>
          <w:sz w:val="24"/>
          <w:szCs w:val="24"/>
        </w:rPr>
        <w:instrText xml:space="preserve"> PAGEREF _Toc30972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_Toc28130 </w:instrText>
      </w:r>
      <w:r>
        <w:rPr>
          <w:sz w:val="24"/>
          <w:szCs w:val="24"/>
        </w:rPr>
        <w:fldChar w:fldCharType="separate"/>
      </w:r>
      <w:r>
        <w:rPr>
          <w:rFonts w:ascii="Times New Roman" w:hAnsi="Times New Roman" w:eastAsia="宋体" w:cs="Times New Roman"/>
          <w:bCs/>
          <w:kern w:val="2"/>
          <w:sz w:val="24"/>
          <w:szCs w:val="24"/>
          <w:lang w:val="en-US" w:eastAsia="zh-CN" w:bidi="ar-SA"/>
        </w:rPr>
        <w:t>4.</w:t>
      </w:r>
      <w:r>
        <w:rPr>
          <w:rFonts w:hint="eastAsia" w:ascii="Times New Roman" w:hAnsi="Times New Roman" w:eastAsia="宋体" w:cs="Times New Roman"/>
          <w:bCs/>
          <w:kern w:val="2"/>
          <w:sz w:val="24"/>
          <w:szCs w:val="24"/>
          <w:lang w:val="en-US" w:eastAsia="zh-CN" w:bidi="ar-SA"/>
        </w:rPr>
        <w:t>2</w:t>
      </w:r>
      <w:r>
        <w:rPr>
          <w:rFonts w:ascii="Times New Roman" w:hAnsi="Times New Roman" w:eastAsia="宋体" w:cs="Times New Roman"/>
          <w:bCs/>
          <w:kern w:val="2"/>
          <w:sz w:val="24"/>
          <w:szCs w:val="24"/>
          <w:lang w:val="en-US" w:eastAsia="zh-CN" w:bidi="ar-SA"/>
        </w:rPr>
        <w:t xml:space="preserve"> </w:t>
      </w:r>
      <w:r>
        <w:rPr>
          <w:rFonts w:hint="eastAsia" w:ascii="Times New Roman" w:hAnsi="Times New Roman" w:eastAsia="宋体" w:cs="Times New Roman"/>
          <w:bCs/>
          <w:kern w:val="2"/>
          <w:sz w:val="24"/>
          <w:szCs w:val="24"/>
          <w:lang w:val="en-US" w:eastAsia="zh-CN" w:bidi="ar-SA"/>
        </w:rPr>
        <w:t>运营期生态环境影响分析与评价</w:t>
      </w:r>
      <w:r>
        <w:rPr>
          <w:sz w:val="24"/>
          <w:szCs w:val="24"/>
        </w:rPr>
        <w:tab/>
      </w:r>
      <w:r>
        <w:rPr>
          <w:sz w:val="24"/>
          <w:szCs w:val="24"/>
        </w:rPr>
        <w:fldChar w:fldCharType="begin"/>
      </w:r>
      <w:r>
        <w:rPr>
          <w:sz w:val="24"/>
          <w:szCs w:val="24"/>
        </w:rPr>
        <w:instrText xml:space="preserve"> PAGEREF _Toc28130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_Toc26868 </w:instrText>
      </w:r>
      <w:r>
        <w:rPr>
          <w:sz w:val="24"/>
          <w:szCs w:val="24"/>
        </w:rPr>
        <w:fldChar w:fldCharType="separate"/>
      </w:r>
      <w:r>
        <w:rPr>
          <w:rFonts w:ascii="Times New Roman" w:hAnsi="Times New Roman" w:eastAsia="宋体" w:cs="Times New Roman"/>
          <w:bCs w:val="0"/>
          <w:snapToGrid w:val="0"/>
          <w:kern w:val="0"/>
          <w:sz w:val="24"/>
          <w:szCs w:val="24"/>
          <w:lang w:val="en-US" w:eastAsia="zh-CN" w:bidi="ar-SA"/>
        </w:rPr>
        <w:t>5生态保护对策措施</w:t>
      </w:r>
      <w:r>
        <w:rPr>
          <w:sz w:val="24"/>
          <w:szCs w:val="24"/>
        </w:rPr>
        <w:tab/>
      </w:r>
      <w:r>
        <w:rPr>
          <w:sz w:val="24"/>
          <w:szCs w:val="24"/>
        </w:rPr>
        <w:fldChar w:fldCharType="begin"/>
      </w:r>
      <w:r>
        <w:rPr>
          <w:sz w:val="24"/>
          <w:szCs w:val="24"/>
        </w:rPr>
        <w:instrText xml:space="preserve"> PAGEREF _Toc26868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_Toc7266 </w:instrText>
      </w:r>
      <w:r>
        <w:rPr>
          <w:sz w:val="24"/>
          <w:szCs w:val="24"/>
        </w:rPr>
        <w:fldChar w:fldCharType="separate"/>
      </w:r>
      <w:r>
        <w:rPr>
          <w:rFonts w:ascii="Times New Roman" w:hAnsi="Times New Roman" w:eastAsia="宋体" w:cs="Times New Roman"/>
          <w:bCs/>
          <w:kern w:val="2"/>
          <w:sz w:val="24"/>
          <w:szCs w:val="24"/>
          <w:lang w:val="en-US" w:eastAsia="zh-CN" w:bidi="ar-SA"/>
        </w:rPr>
        <w:t>5.1施工期生态保护措施</w:t>
      </w:r>
      <w:r>
        <w:rPr>
          <w:sz w:val="24"/>
          <w:szCs w:val="24"/>
        </w:rPr>
        <w:tab/>
      </w:r>
      <w:r>
        <w:rPr>
          <w:sz w:val="24"/>
          <w:szCs w:val="24"/>
        </w:rPr>
        <w:fldChar w:fldCharType="begin"/>
      </w:r>
      <w:r>
        <w:rPr>
          <w:sz w:val="24"/>
          <w:szCs w:val="24"/>
        </w:rPr>
        <w:instrText xml:space="preserve"> PAGEREF _Toc7266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_Toc15962 </w:instrText>
      </w:r>
      <w:r>
        <w:rPr>
          <w:sz w:val="24"/>
          <w:szCs w:val="24"/>
        </w:rPr>
        <w:fldChar w:fldCharType="separate"/>
      </w:r>
      <w:r>
        <w:rPr>
          <w:rFonts w:ascii="Times New Roman" w:hAnsi="Times New Roman" w:eastAsia="宋体" w:cs="Times New Roman"/>
          <w:bCs/>
          <w:kern w:val="2"/>
          <w:sz w:val="24"/>
          <w:szCs w:val="24"/>
          <w:lang w:val="en-US" w:eastAsia="zh-CN" w:bidi="ar-SA"/>
        </w:rPr>
        <w:t>5.2营运期生态保护措施</w:t>
      </w:r>
      <w:r>
        <w:rPr>
          <w:sz w:val="24"/>
          <w:szCs w:val="24"/>
        </w:rPr>
        <w:tab/>
      </w:r>
      <w:r>
        <w:rPr>
          <w:sz w:val="24"/>
          <w:szCs w:val="24"/>
        </w:rPr>
        <w:fldChar w:fldCharType="begin"/>
      </w:r>
      <w:r>
        <w:rPr>
          <w:sz w:val="24"/>
          <w:szCs w:val="24"/>
        </w:rPr>
        <w:instrText xml:space="preserve"> PAGEREF _Toc15962 \h </w:instrText>
      </w:r>
      <w:r>
        <w:rPr>
          <w:sz w:val="24"/>
          <w:szCs w:val="24"/>
        </w:rPr>
        <w:fldChar w:fldCharType="separate"/>
      </w:r>
      <w:r>
        <w:rPr>
          <w:sz w:val="24"/>
          <w:szCs w:val="24"/>
        </w:rPr>
        <w:t>41</w:t>
      </w:r>
      <w:r>
        <w:rPr>
          <w:sz w:val="24"/>
          <w:szCs w:val="24"/>
        </w:rPr>
        <w:fldChar w:fldCharType="end"/>
      </w:r>
      <w:r>
        <w:rPr>
          <w:color w:val="auto"/>
          <w:sz w:val="24"/>
          <w:szCs w:val="24"/>
        </w:rPr>
        <w:fldChar w:fldCharType="end"/>
      </w:r>
    </w:p>
    <w:p>
      <w:pPr>
        <w:pStyle w:val="17"/>
        <w:tabs>
          <w:tab w:val="right" w:leader="dot" w:pos="8844"/>
        </w:tabs>
        <w:rPr>
          <w:sz w:val="24"/>
          <w:szCs w:val="24"/>
        </w:rPr>
      </w:pPr>
      <w:r>
        <w:rPr>
          <w:color w:val="auto"/>
          <w:sz w:val="24"/>
          <w:szCs w:val="24"/>
        </w:rPr>
        <w:fldChar w:fldCharType="begin"/>
      </w:r>
      <w:r>
        <w:rPr>
          <w:sz w:val="24"/>
          <w:szCs w:val="24"/>
        </w:rPr>
        <w:instrText xml:space="preserve"> HYPERLINK \l _Toc25883 </w:instrText>
      </w:r>
      <w:r>
        <w:rPr>
          <w:sz w:val="24"/>
          <w:szCs w:val="24"/>
        </w:rPr>
        <w:fldChar w:fldCharType="separate"/>
      </w:r>
      <w:r>
        <w:rPr>
          <w:rFonts w:ascii="Times New Roman" w:hAnsi="Times New Roman" w:eastAsia="宋体" w:cs="Times New Roman"/>
          <w:snapToGrid w:val="0"/>
          <w:kern w:val="0"/>
          <w:sz w:val="24"/>
          <w:szCs w:val="24"/>
          <w:lang w:val="en-US" w:eastAsia="zh-CN" w:bidi="ar-SA"/>
        </w:rPr>
        <w:t>6评价结论和建议</w:t>
      </w:r>
      <w:r>
        <w:rPr>
          <w:sz w:val="24"/>
          <w:szCs w:val="24"/>
        </w:rPr>
        <w:tab/>
      </w:r>
      <w:r>
        <w:rPr>
          <w:sz w:val="24"/>
          <w:szCs w:val="24"/>
        </w:rPr>
        <w:fldChar w:fldCharType="begin"/>
      </w:r>
      <w:r>
        <w:rPr>
          <w:sz w:val="24"/>
          <w:szCs w:val="24"/>
        </w:rPr>
        <w:instrText xml:space="preserve"> PAGEREF _Toc25883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_Toc18056 </w:instrText>
      </w:r>
      <w:r>
        <w:rPr>
          <w:sz w:val="24"/>
          <w:szCs w:val="24"/>
        </w:rPr>
        <w:fldChar w:fldCharType="separate"/>
      </w:r>
      <w:r>
        <w:rPr>
          <w:rFonts w:ascii="Times New Roman" w:hAnsi="Times New Roman" w:eastAsia="宋体" w:cs="Times New Roman"/>
          <w:bCs/>
          <w:kern w:val="2"/>
          <w:sz w:val="24"/>
          <w:szCs w:val="24"/>
          <w:lang w:val="en-US" w:eastAsia="zh-CN" w:bidi="ar-SA"/>
        </w:rPr>
        <w:t>6.1评价结论</w:t>
      </w:r>
      <w:r>
        <w:rPr>
          <w:sz w:val="24"/>
          <w:szCs w:val="24"/>
        </w:rPr>
        <w:tab/>
      </w:r>
      <w:r>
        <w:rPr>
          <w:sz w:val="24"/>
          <w:szCs w:val="24"/>
        </w:rPr>
        <w:fldChar w:fldCharType="begin"/>
      </w:r>
      <w:r>
        <w:rPr>
          <w:sz w:val="24"/>
          <w:szCs w:val="24"/>
        </w:rPr>
        <w:instrText xml:space="preserve"> PAGEREF _Toc18056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8"/>
        <w:tabs>
          <w:tab w:val="right" w:leader="dot" w:pos="8844"/>
        </w:tabs>
        <w:rPr>
          <w:sz w:val="24"/>
          <w:szCs w:val="24"/>
        </w:rPr>
      </w:pPr>
      <w:r>
        <w:rPr>
          <w:color w:val="auto"/>
          <w:sz w:val="24"/>
          <w:szCs w:val="24"/>
        </w:rPr>
        <w:fldChar w:fldCharType="begin"/>
      </w:r>
      <w:r>
        <w:rPr>
          <w:sz w:val="24"/>
          <w:szCs w:val="24"/>
        </w:rPr>
        <w:instrText xml:space="preserve"> HYPERLINK \l _Toc28196 </w:instrText>
      </w:r>
      <w:r>
        <w:rPr>
          <w:sz w:val="24"/>
          <w:szCs w:val="24"/>
        </w:rPr>
        <w:fldChar w:fldCharType="separate"/>
      </w:r>
      <w:r>
        <w:rPr>
          <w:rFonts w:ascii="Times New Roman" w:hAnsi="Times New Roman" w:eastAsia="宋体" w:cs="Times New Roman"/>
          <w:bCs/>
          <w:kern w:val="2"/>
          <w:sz w:val="24"/>
          <w:szCs w:val="24"/>
          <w:lang w:val="en-US" w:eastAsia="zh-CN" w:bidi="ar-SA"/>
        </w:rPr>
        <w:t>6.2评价建议</w:t>
      </w:r>
      <w:r>
        <w:rPr>
          <w:sz w:val="24"/>
          <w:szCs w:val="24"/>
        </w:rPr>
        <w:tab/>
      </w:r>
      <w:r>
        <w:rPr>
          <w:sz w:val="24"/>
          <w:szCs w:val="24"/>
        </w:rPr>
        <w:fldChar w:fldCharType="begin"/>
      </w:r>
      <w:r>
        <w:rPr>
          <w:sz w:val="24"/>
          <w:szCs w:val="24"/>
        </w:rPr>
        <w:instrText xml:space="preserve"> PAGEREF _Toc28196 \h </w:instrText>
      </w:r>
      <w:r>
        <w:rPr>
          <w:sz w:val="24"/>
          <w:szCs w:val="24"/>
        </w:rPr>
        <w:fldChar w:fldCharType="separate"/>
      </w:r>
      <w:r>
        <w:rPr>
          <w:sz w:val="24"/>
          <w:szCs w:val="24"/>
        </w:rPr>
        <w:t>42</w:t>
      </w:r>
      <w:r>
        <w:rPr>
          <w:sz w:val="24"/>
          <w:szCs w:val="24"/>
        </w:rPr>
        <w:fldChar w:fldCharType="end"/>
      </w:r>
      <w:r>
        <w:rPr>
          <w:color w:val="auto"/>
          <w:sz w:val="24"/>
          <w:szCs w:val="24"/>
        </w:rPr>
        <w:fldChar w:fldCharType="end"/>
      </w:r>
    </w:p>
    <w:p>
      <w:pPr>
        <w:pStyle w:val="18"/>
        <w:tabs>
          <w:tab w:val="right" w:leader="dot" w:pos="8844"/>
        </w:tabs>
      </w:pPr>
      <w:r>
        <w:rPr>
          <w:color w:val="auto"/>
          <w:sz w:val="24"/>
          <w:szCs w:val="24"/>
        </w:rPr>
        <w:fldChar w:fldCharType="begin"/>
      </w:r>
      <w:r>
        <w:rPr>
          <w:sz w:val="24"/>
          <w:szCs w:val="24"/>
        </w:rPr>
        <w:instrText xml:space="preserve"> HYPERLINK \l _Toc27860 </w:instrText>
      </w:r>
      <w:r>
        <w:rPr>
          <w:sz w:val="24"/>
          <w:szCs w:val="24"/>
        </w:rPr>
        <w:fldChar w:fldCharType="separate"/>
      </w:r>
      <w:r>
        <w:rPr>
          <w:rFonts w:hint="default" w:ascii="Times New Roman" w:hAnsi="Times New Roman" w:eastAsia="宋体" w:cs="Times New Roman"/>
          <w:bCs/>
          <w:sz w:val="24"/>
          <w:szCs w:val="24"/>
          <w:lang w:val="en-US" w:eastAsia="zh-CN"/>
        </w:rPr>
        <w:t>生态影响评价自查表</w:t>
      </w:r>
      <w:r>
        <w:rPr>
          <w:sz w:val="24"/>
          <w:szCs w:val="24"/>
        </w:rPr>
        <w:tab/>
      </w:r>
      <w:r>
        <w:rPr>
          <w:sz w:val="24"/>
          <w:szCs w:val="24"/>
        </w:rPr>
        <w:fldChar w:fldCharType="begin"/>
      </w:r>
      <w:r>
        <w:rPr>
          <w:sz w:val="24"/>
          <w:szCs w:val="24"/>
        </w:rPr>
        <w:instrText xml:space="preserve"> PAGEREF _Toc27860 \h </w:instrText>
      </w:r>
      <w:r>
        <w:rPr>
          <w:sz w:val="24"/>
          <w:szCs w:val="24"/>
        </w:rPr>
        <w:fldChar w:fldCharType="separate"/>
      </w:r>
      <w:r>
        <w:rPr>
          <w:sz w:val="24"/>
          <w:szCs w:val="24"/>
        </w:rPr>
        <w:t>43</w:t>
      </w:r>
      <w:r>
        <w:rPr>
          <w:sz w:val="24"/>
          <w:szCs w:val="24"/>
        </w:rPr>
        <w:fldChar w:fldCharType="end"/>
      </w:r>
      <w:r>
        <w:rPr>
          <w:color w:val="auto"/>
          <w:sz w:val="24"/>
          <w:szCs w:val="24"/>
        </w:rPr>
        <w:fldChar w:fldCharType="end"/>
      </w:r>
    </w:p>
    <w:p>
      <w:pPr>
        <w:rPr>
          <w:color w:val="auto"/>
          <w:sz w:val="24"/>
          <w:szCs w:val="24"/>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szCs w:val="24"/>
        </w:rPr>
        <w:fldChar w:fldCharType="end"/>
      </w:r>
    </w:p>
    <w:p>
      <w:pPr>
        <w:pStyle w:val="19"/>
        <w:jc w:val="center"/>
        <w:outlineLvl w:val="0"/>
        <w:rPr>
          <w:rFonts w:ascii="黑体" w:hAnsi="黑体" w:eastAsia="黑体"/>
          <w:snapToGrid w:val="0"/>
          <w:color w:val="auto"/>
          <w:sz w:val="30"/>
          <w:szCs w:val="30"/>
        </w:rPr>
      </w:pPr>
      <w:bookmarkStart w:id="8" w:name="_Toc19136"/>
      <w:bookmarkStart w:id="9" w:name="_Toc29286"/>
      <w:r>
        <w:rPr>
          <w:rFonts w:hint="eastAsia" w:ascii="黑体" w:hAnsi="黑体" w:eastAsia="黑体"/>
          <w:snapToGrid w:val="0"/>
          <w:color w:val="auto"/>
          <w:sz w:val="30"/>
          <w:szCs w:val="30"/>
        </w:rPr>
        <w:t>一、建设项目基本情况</w:t>
      </w:r>
      <w:bookmarkEnd w:id="8"/>
      <w:bookmarkEnd w:id="9"/>
    </w:p>
    <w:tbl>
      <w:tblPr>
        <w:tblStyle w:val="22"/>
        <w:tblW w:w="90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82"/>
        <w:gridCol w:w="2837"/>
        <w:gridCol w:w="2212"/>
        <w:gridCol w:w="2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名称</w:t>
            </w:r>
          </w:p>
        </w:tc>
        <w:tc>
          <w:tcPr>
            <w:tcW w:w="7838" w:type="dxa"/>
            <w:gridSpan w:val="3"/>
            <w:vAlign w:val="center"/>
          </w:tcPr>
          <w:p>
            <w:pPr>
              <w:adjustRightInd w:val="0"/>
              <w:snapToGrid w:val="0"/>
              <w:jc w:val="center"/>
              <w:rPr>
                <w:rFonts w:cs="宋体"/>
                <w:color w:val="auto"/>
                <w:sz w:val="24"/>
                <w:szCs w:val="21"/>
              </w:rPr>
            </w:pPr>
            <w:r>
              <w:rPr>
                <w:rFonts w:hint="eastAsia" w:ascii="Times New Roman" w:hAnsi="Times New Roman" w:cs="宋体"/>
                <w:color w:val="auto"/>
                <w:sz w:val="24"/>
                <w:szCs w:val="21"/>
                <w:lang w:val="en-US" w:eastAsia="zh-CN"/>
              </w:rPr>
              <w:t>华容县团洲垸灾后重建安置房建设项目（</w:t>
            </w:r>
            <w:r>
              <w:rPr>
                <w:rFonts w:hint="eastAsia" w:cs="宋体"/>
                <w:color w:val="auto"/>
                <w:sz w:val="24"/>
                <w:szCs w:val="21"/>
                <w:lang w:val="en-US" w:eastAsia="zh-CN"/>
              </w:rPr>
              <w:t>二</w:t>
            </w:r>
            <w:r>
              <w:rPr>
                <w:rFonts w:hint="eastAsia" w:ascii="Times New Roman" w:hAnsi="Times New Roman" w:cs="宋体"/>
                <w:color w:val="auto"/>
                <w:sz w:val="24"/>
                <w:szCs w:val="21"/>
                <w:lang w:val="en-US" w:eastAsia="zh-CN"/>
              </w:rPr>
              <w:t>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项目代码</w:t>
            </w:r>
          </w:p>
        </w:tc>
        <w:tc>
          <w:tcPr>
            <w:tcW w:w="7838" w:type="dxa"/>
            <w:gridSpan w:val="3"/>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2503-430623-04-01-245306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建设单位</w:t>
            </w:r>
          </w:p>
          <w:p>
            <w:pPr>
              <w:adjustRightInd w:val="0"/>
              <w:snapToGrid w:val="0"/>
              <w:jc w:val="center"/>
              <w:rPr>
                <w:rFonts w:cs="宋体"/>
                <w:color w:val="auto"/>
                <w:sz w:val="24"/>
                <w:szCs w:val="21"/>
              </w:rPr>
            </w:pPr>
            <w:r>
              <w:rPr>
                <w:rFonts w:hint="eastAsia" w:cs="宋体"/>
                <w:color w:val="auto"/>
                <w:sz w:val="24"/>
                <w:szCs w:val="21"/>
              </w:rPr>
              <w:t>联系人</w:t>
            </w:r>
          </w:p>
        </w:tc>
        <w:tc>
          <w:tcPr>
            <w:tcW w:w="28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蔡祥</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联系方式</w:t>
            </w:r>
          </w:p>
        </w:tc>
        <w:tc>
          <w:tcPr>
            <w:tcW w:w="2789"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highlight w:val="none"/>
                <w:lang w:val="en-US" w:eastAsia="zh-CN"/>
              </w:rPr>
              <w:t>13337301653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建设地点</w:t>
            </w:r>
          </w:p>
        </w:tc>
        <w:tc>
          <w:tcPr>
            <w:tcW w:w="7838" w:type="dxa"/>
            <w:gridSpan w:val="3"/>
            <w:vAlign w:val="center"/>
          </w:tcPr>
          <w:p>
            <w:pPr>
              <w:adjustRightInd w:val="0"/>
              <w:snapToGrid w:val="0"/>
              <w:jc w:val="center"/>
              <w:rPr>
                <w:rFonts w:hint="default" w:ascii="Times New Roman" w:hAnsi="Times New Roman" w:cs="宋体"/>
                <w:color w:val="auto"/>
                <w:sz w:val="24"/>
                <w:szCs w:val="21"/>
                <w:lang w:val="en-US" w:eastAsia="zh-CN"/>
              </w:rPr>
            </w:pPr>
            <w:r>
              <w:rPr>
                <w:rFonts w:hint="eastAsia" w:ascii="Times New Roman" w:hAnsi="Times New Roman" w:cs="宋体"/>
                <w:color w:val="auto"/>
                <w:sz w:val="24"/>
                <w:szCs w:val="21"/>
                <w:lang w:val="en-US" w:eastAsia="zh-CN"/>
              </w:rPr>
              <w:t>位于</w:t>
            </w:r>
            <w:r>
              <w:rPr>
                <w:rFonts w:hint="eastAsia" w:cs="宋体"/>
                <w:color w:val="auto"/>
                <w:sz w:val="24"/>
                <w:szCs w:val="21"/>
                <w:lang w:val="en-US" w:eastAsia="zh-CN"/>
              </w:rPr>
              <w:t>湖南省岳阳市</w:t>
            </w:r>
            <w:r>
              <w:rPr>
                <w:rFonts w:hint="eastAsia" w:ascii="Times New Roman" w:hAnsi="Times New Roman" w:cs="宋体"/>
                <w:color w:val="auto"/>
                <w:sz w:val="24"/>
                <w:szCs w:val="21"/>
                <w:lang w:val="en-US" w:eastAsia="zh-CN"/>
              </w:rPr>
              <w:t>华容县团洲安全垸内团洲花园小区</w:t>
            </w:r>
            <w:r>
              <w:rPr>
                <w:rFonts w:hint="eastAsia" w:cs="宋体"/>
                <w:color w:val="auto"/>
                <w:sz w:val="24"/>
                <w:szCs w:val="21"/>
                <w:lang w:val="en-US" w:eastAsia="zh-CN"/>
              </w:rPr>
              <w:t>东侧，南电排渠西侧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地理坐标</w:t>
            </w:r>
          </w:p>
        </w:tc>
        <w:tc>
          <w:tcPr>
            <w:tcW w:w="7838" w:type="dxa"/>
            <w:gridSpan w:val="3"/>
            <w:vAlign w:val="center"/>
          </w:tcPr>
          <w:p>
            <w:pPr>
              <w:pStyle w:val="2"/>
              <w:ind w:left="0" w:leftChars="0" w:firstLine="0" w:firstLineChars="0"/>
              <w:rPr>
                <w:rFonts w:hint="default"/>
                <w:lang w:val="en-US" w:eastAsia="zh-CN"/>
              </w:rPr>
            </w:pPr>
            <w:r>
              <w:rPr>
                <w:rFonts w:hint="eastAsia" w:ascii="Times New Roman" w:hAnsi="Times New Roman" w:cs="宋体"/>
                <w:color w:val="auto"/>
                <w:sz w:val="24"/>
                <w:szCs w:val="21"/>
                <w:highlight w:val="none"/>
                <w:lang w:val="en-US" w:eastAsia="zh-CN"/>
              </w:rPr>
              <w:t>东经</w:t>
            </w:r>
            <w:r>
              <w:rPr>
                <w:rFonts w:hint="eastAsia" w:cs="宋体"/>
                <w:color w:val="auto"/>
                <w:sz w:val="24"/>
                <w:szCs w:val="21"/>
                <w:highlight w:val="none"/>
                <w:lang w:val="en-US" w:eastAsia="zh-CN"/>
              </w:rPr>
              <w:t>：</w:t>
            </w:r>
            <w:r>
              <w:rPr>
                <w:rFonts w:hint="default" w:ascii="Times New Roman" w:hAnsi="Times New Roman" w:cs="Times New Roman"/>
                <w:szCs w:val="21"/>
                <w:u w:val="single"/>
              </w:rPr>
              <w:t xml:space="preserve"> 112  </w:t>
            </w:r>
            <w:r>
              <w:rPr>
                <w:rFonts w:hint="default" w:ascii="Times New Roman" w:hAnsi="Times New Roman" w:cs="Times New Roman"/>
                <w:szCs w:val="21"/>
              </w:rPr>
              <w:t>度</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47</w:t>
            </w:r>
            <w:r>
              <w:rPr>
                <w:rFonts w:hint="default" w:ascii="Times New Roman" w:hAnsi="Times New Roman" w:cs="Times New Roman"/>
                <w:szCs w:val="21"/>
                <w:u w:val="single"/>
              </w:rPr>
              <w:t xml:space="preserve"> </w:t>
            </w:r>
            <w:r>
              <w:rPr>
                <w:rFonts w:hint="default" w:ascii="Times New Roman" w:hAnsi="Times New Roman" w:cs="Times New Roman"/>
                <w:szCs w:val="21"/>
              </w:rPr>
              <w:t>分</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53.34</w:t>
            </w:r>
            <w:r>
              <w:rPr>
                <w:rFonts w:hint="default" w:ascii="Times New Roman" w:hAnsi="Times New Roman" w:cs="Times New Roman"/>
                <w:szCs w:val="21"/>
                <w:u w:val="single"/>
              </w:rPr>
              <w:t xml:space="preserve">000 </w:t>
            </w:r>
            <w:r>
              <w:rPr>
                <w:rFonts w:hint="default" w:ascii="Times New Roman" w:hAnsi="Times New Roman" w:cs="Times New Roman"/>
                <w:szCs w:val="21"/>
              </w:rPr>
              <w:t>秒</w:t>
            </w:r>
            <w:r>
              <w:rPr>
                <w:rFonts w:hint="default" w:ascii="Times New Roman" w:hAnsi="Times New Roman" w:cs="Times New Roman"/>
                <w:color w:val="auto"/>
                <w:sz w:val="24"/>
                <w:szCs w:val="21"/>
                <w:highlight w:val="none"/>
                <w:lang w:val="en-US" w:eastAsia="zh-CN"/>
              </w:rPr>
              <w:t>；北纬：</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29</w:t>
            </w:r>
            <w:r>
              <w:rPr>
                <w:rFonts w:hint="default" w:ascii="Times New Roman" w:hAnsi="Times New Roman" w:cs="Times New Roman"/>
                <w:szCs w:val="21"/>
                <w:u w:val="single"/>
              </w:rPr>
              <w:t xml:space="preserve">  </w:t>
            </w:r>
            <w:r>
              <w:rPr>
                <w:rFonts w:hint="default" w:ascii="Times New Roman" w:hAnsi="Times New Roman" w:cs="Times New Roman"/>
                <w:szCs w:val="21"/>
              </w:rPr>
              <w:t>度</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20</w:t>
            </w:r>
            <w:r>
              <w:rPr>
                <w:rFonts w:hint="default" w:ascii="Times New Roman" w:hAnsi="Times New Roman" w:cs="Times New Roman"/>
                <w:szCs w:val="21"/>
                <w:u w:val="single"/>
              </w:rPr>
              <w:t xml:space="preserve"> </w:t>
            </w:r>
            <w:r>
              <w:rPr>
                <w:rFonts w:hint="default" w:ascii="Times New Roman" w:hAnsi="Times New Roman" w:cs="Times New Roman"/>
                <w:szCs w:val="21"/>
              </w:rPr>
              <w:t>分</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11.19840</w:t>
            </w:r>
            <w:r>
              <w:rPr>
                <w:rFonts w:hint="default" w:ascii="Times New Roman" w:hAnsi="Times New Roman" w:cs="Times New Roman"/>
                <w:szCs w:val="21"/>
                <w:u w:val="single"/>
              </w:rPr>
              <w:t xml:space="preserve"> </w:t>
            </w:r>
            <w:r>
              <w:rPr>
                <w:rFonts w:hint="default" w:ascii="Times New Roman" w:hAnsi="Times New Roman" w:cs="Times New Roman"/>
                <w:szCs w:val="21"/>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国民经济</w:t>
            </w:r>
          </w:p>
          <w:p>
            <w:pPr>
              <w:adjustRightInd w:val="0"/>
              <w:snapToGrid w:val="0"/>
              <w:jc w:val="center"/>
              <w:rPr>
                <w:rFonts w:cs="宋体"/>
                <w:color w:val="auto"/>
                <w:sz w:val="24"/>
                <w:szCs w:val="21"/>
              </w:rPr>
            </w:pPr>
            <w:r>
              <w:rPr>
                <w:rFonts w:hint="eastAsia" w:cs="宋体"/>
                <w:color w:val="auto"/>
                <w:sz w:val="24"/>
                <w:szCs w:val="21"/>
              </w:rPr>
              <w:t>行业类别</w:t>
            </w:r>
          </w:p>
        </w:tc>
        <w:tc>
          <w:tcPr>
            <w:tcW w:w="2837" w:type="dxa"/>
            <w:vAlign w:val="center"/>
          </w:tcPr>
          <w:p>
            <w:pPr>
              <w:adjustRightInd w:val="0"/>
              <w:snapToGrid w:val="0"/>
              <w:jc w:val="center"/>
              <w:rPr>
                <w:rFonts w:hint="default" w:eastAsia="宋体" w:cs="宋体"/>
                <w:color w:val="auto"/>
                <w:sz w:val="24"/>
                <w:szCs w:val="21"/>
                <w:highlight w:val="none"/>
                <w:lang w:val="en-US" w:eastAsia="zh-CN"/>
              </w:rPr>
            </w:pPr>
            <w:r>
              <w:rPr>
                <w:rFonts w:hint="eastAsia" w:cs="宋体"/>
                <w:color w:val="auto"/>
                <w:sz w:val="24"/>
                <w:szCs w:val="21"/>
                <w:highlight w:val="none"/>
                <w:lang w:val="en-US" w:eastAsia="zh-CN"/>
              </w:rPr>
              <w:t>K7010房地产开发经营</w:t>
            </w:r>
          </w:p>
        </w:tc>
        <w:tc>
          <w:tcPr>
            <w:tcW w:w="2212" w:type="dxa"/>
            <w:vAlign w:val="center"/>
          </w:tcPr>
          <w:p>
            <w:pPr>
              <w:adjustRightInd w:val="0"/>
              <w:snapToGrid w:val="0"/>
              <w:jc w:val="center"/>
              <w:rPr>
                <w:rFonts w:cs="宋体"/>
                <w:color w:val="auto"/>
                <w:spacing w:val="-6"/>
                <w:sz w:val="24"/>
                <w:szCs w:val="21"/>
              </w:rPr>
            </w:pPr>
            <w:r>
              <w:rPr>
                <w:rFonts w:hint="eastAsia" w:cs="宋体"/>
                <w:color w:val="auto"/>
                <w:spacing w:val="-6"/>
                <w:sz w:val="24"/>
                <w:szCs w:val="21"/>
              </w:rPr>
              <w:t>用地（用海）</w:t>
            </w:r>
          </w:p>
          <w:p>
            <w:pPr>
              <w:adjustRightInd w:val="0"/>
              <w:snapToGrid w:val="0"/>
              <w:jc w:val="center"/>
              <w:rPr>
                <w:rFonts w:cs="宋体"/>
                <w:color w:val="auto"/>
                <w:sz w:val="24"/>
                <w:szCs w:val="21"/>
                <w:highlight w:val="none"/>
              </w:rPr>
            </w:pPr>
            <w:r>
              <w:rPr>
                <w:rFonts w:hint="eastAsia" w:cs="宋体"/>
                <w:color w:val="auto"/>
                <w:spacing w:val="-6"/>
                <w:sz w:val="24"/>
                <w:szCs w:val="21"/>
              </w:rPr>
              <w:t>面积（</w:t>
            </w:r>
            <w:r>
              <w:rPr>
                <w:rFonts w:cs="宋体"/>
                <w:color w:val="auto"/>
                <w:spacing w:val="-6"/>
                <w:sz w:val="24"/>
                <w:szCs w:val="21"/>
              </w:rPr>
              <w:t>m</w:t>
            </w:r>
            <w:r>
              <w:rPr>
                <w:rFonts w:cs="宋体"/>
                <w:color w:val="auto"/>
                <w:spacing w:val="-6"/>
                <w:sz w:val="24"/>
                <w:szCs w:val="21"/>
                <w:vertAlign w:val="superscript"/>
              </w:rPr>
              <w:t>2</w:t>
            </w:r>
            <w:r>
              <w:rPr>
                <w:rFonts w:hint="eastAsia" w:cs="宋体"/>
                <w:color w:val="auto"/>
                <w:spacing w:val="-6"/>
                <w:sz w:val="24"/>
                <w:szCs w:val="21"/>
              </w:rPr>
              <w:t>）</w:t>
            </w:r>
          </w:p>
        </w:tc>
        <w:tc>
          <w:tcPr>
            <w:tcW w:w="2789" w:type="dxa"/>
            <w:vAlign w:val="center"/>
          </w:tcPr>
          <w:p>
            <w:pPr>
              <w:adjustRightInd w:val="0"/>
              <w:snapToGrid w:val="0"/>
              <w:jc w:val="center"/>
              <w:rPr>
                <w:rFonts w:cs="宋体"/>
                <w:color w:val="auto"/>
                <w:sz w:val="24"/>
                <w:szCs w:val="21"/>
                <w:highlight w:val="none"/>
              </w:rPr>
            </w:pPr>
            <w:r>
              <w:rPr>
                <w:rFonts w:hint="eastAsia" w:cs="宋体"/>
                <w:color w:val="auto"/>
                <w:sz w:val="24"/>
                <w:szCs w:val="21"/>
                <w:lang w:val="en-US" w:eastAsia="zh-CN"/>
              </w:rPr>
              <w:t>57672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建设性质</w:t>
            </w:r>
          </w:p>
        </w:tc>
        <w:tc>
          <w:tcPr>
            <w:tcW w:w="2837"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新建（迁建）</w:t>
            </w:r>
          </w:p>
          <w:p>
            <w:pPr>
              <w:jc w:val="left"/>
              <w:rPr>
                <w:rFonts w:cs="宋体"/>
                <w:color w:val="auto"/>
                <w:sz w:val="24"/>
                <w:szCs w:val="21"/>
              </w:rPr>
            </w:pPr>
            <w:r>
              <w:rPr>
                <w:rFonts w:hint="eastAsia" w:cs="宋体"/>
                <w:color w:val="auto"/>
                <w:sz w:val="24"/>
                <w:szCs w:val="21"/>
              </w:rPr>
              <w:t>□改建</w:t>
            </w:r>
          </w:p>
          <w:p>
            <w:pPr>
              <w:jc w:val="left"/>
              <w:rPr>
                <w:rFonts w:cs="宋体"/>
                <w:color w:val="auto"/>
                <w:sz w:val="24"/>
                <w:szCs w:val="21"/>
              </w:rPr>
            </w:pPr>
            <w:r>
              <w:rPr>
                <w:rFonts w:hint="eastAsia" w:cs="宋体"/>
                <w:color w:val="auto"/>
                <w:sz w:val="24"/>
                <w:szCs w:val="21"/>
              </w:rPr>
              <w:t>□扩建</w:t>
            </w:r>
          </w:p>
          <w:p>
            <w:pPr>
              <w:jc w:val="left"/>
              <w:rPr>
                <w:rFonts w:cs="宋体"/>
                <w:color w:val="auto"/>
                <w:sz w:val="24"/>
                <w:szCs w:val="21"/>
              </w:rPr>
            </w:pPr>
            <w:r>
              <w:rPr>
                <w:rFonts w:hint="eastAsia" w:cs="宋体"/>
                <w:color w:val="auto"/>
                <w:sz w:val="24"/>
                <w:szCs w:val="21"/>
              </w:rPr>
              <w:t>□技术改造</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建设项目</w:t>
            </w:r>
          </w:p>
          <w:p>
            <w:pPr>
              <w:adjustRightInd w:val="0"/>
              <w:snapToGrid w:val="0"/>
              <w:jc w:val="center"/>
              <w:rPr>
                <w:rFonts w:cs="宋体"/>
                <w:color w:val="auto"/>
                <w:sz w:val="24"/>
                <w:szCs w:val="21"/>
              </w:rPr>
            </w:pPr>
            <w:r>
              <w:rPr>
                <w:rFonts w:hint="eastAsia" w:cs="宋体"/>
                <w:color w:val="auto"/>
                <w:sz w:val="24"/>
                <w:szCs w:val="21"/>
              </w:rPr>
              <w:t>申报情形</w:t>
            </w:r>
          </w:p>
        </w:tc>
        <w:tc>
          <w:tcPr>
            <w:tcW w:w="2789" w:type="dxa"/>
            <w:vAlign w:val="center"/>
          </w:tcPr>
          <w:p>
            <w:pPr>
              <w:jc w:val="left"/>
              <w:rPr>
                <w:rFonts w:cs="宋体"/>
                <w:color w:val="auto"/>
                <w:sz w:val="24"/>
                <w:szCs w:val="21"/>
              </w:rPr>
            </w:pPr>
            <w:r>
              <w:rPr>
                <w:rFonts w:hint="eastAsia" w:cs="宋体"/>
                <w:color w:val="auto"/>
                <w:sz w:val="24"/>
                <w:szCs w:val="21"/>
              </w:rPr>
              <w:sym w:font="Wingdings 2" w:char="0052"/>
            </w:r>
            <w:r>
              <w:rPr>
                <w:rFonts w:hint="eastAsia" w:cs="宋体"/>
                <w:color w:val="auto"/>
                <w:sz w:val="24"/>
                <w:szCs w:val="21"/>
              </w:rPr>
              <w:t>首次申报项目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lang w:eastAsia="zh-CN"/>
              </w:rPr>
              <w:t>☑</w:t>
            </w:r>
            <w:r>
              <w:rPr>
                <w:rFonts w:hint="eastAsia" w:cs="宋体"/>
                <w:color w:val="auto"/>
                <w:sz w:val="24"/>
                <w:szCs w:val="21"/>
              </w:rPr>
              <w:t>不予批准后再次申报项目</w:t>
            </w:r>
          </w:p>
          <w:p>
            <w:pPr>
              <w:jc w:val="left"/>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超五年重新审核项目</w:t>
            </w:r>
            <w:r>
              <w:rPr>
                <w:rFonts w:cs="宋体"/>
                <w:color w:val="auto"/>
                <w:sz w:val="24"/>
                <w:szCs w:val="21"/>
              </w:rPr>
              <w:t xml:space="preserve">     </w:t>
            </w:r>
          </w:p>
          <w:p>
            <w:pPr>
              <w:jc w:val="left"/>
              <w:rPr>
                <w:rFonts w:cs="宋体"/>
                <w:color w:val="auto"/>
                <w:sz w:val="24"/>
                <w:szCs w:val="21"/>
              </w:rPr>
            </w:pPr>
            <w:r>
              <w:rPr>
                <w:rFonts w:hint="eastAsia" w:cs="宋体"/>
                <w:color w:val="auto"/>
                <w:sz w:val="24"/>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w:t>
            </w:r>
          </w:p>
          <w:p>
            <w:pPr>
              <w:adjustRightInd w:val="0"/>
              <w:snapToGrid w:val="0"/>
              <w:jc w:val="center"/>
              <w:rPr>
                <w:rFonts w:cs="宋体"/>
                <w:color w:val="auto"/>
                <w:sz w:val="24"/>
                <w:szCs w:val="21"/>
              </w:rPr>
            </w:pPr>
            <w:r>
              <w:rPr>
                <w:rFonts w:hint="eastAsia" w:cs="宋体"/>
                <w:color w:val="auto"/>
                <w:sz w:val="24"/>
                <w:szCs w:val="21"/>
              </w:rPr>
              <w:t>部门（选填）</w:t>
            </w:r>
          </w:p>
        </w:tc>
        <w:tc>
          <w:tcPr>
            <w:tcW w:w="2837" w:type="dxa"/>
            <w:vAlign w:val="center"/>
          </w:tcPr>
          <w:p>
            <w:pPr>
              <w:adjustRightInd w:val="0"/>
              <w:snapToGrid w:val="0"/>
              <w:jc w:val="center"/>
              <w:rPr>
                <w:rFonts w:cs="宋体"/>
                <w:color w:val="auto"/>
                <w:sz w:val="24"/>
                <w:szCs w:val="21"/>
              </w:rPr>
            </w:pPr>
            <w:r>
              <w:rPr>
                <w:rFonts w:hint="default" w:ascii="Times New Roman" w:hAnsi="Times New Roman" w:cs="Times New Roman"/>
                <w:color w:val="auto"/>
                <w:kern w:val="21"/>
                <w:sz w:val="24"/>
                <w:szCs w:val="24"/>
              </w:rPr>
              <w:t>华容县发展和改革局</w:t>
            </w:r>
          </w:p>
        </w:tc>
        <w:tc>
          <w:tcPr>
            <w:tcW w:w="2212" w:type="dxa"/>
            <w:vAlign w:val="center"/>
          </w:tcPr>
          <w:p>
            <w:pPr>
              <w:adjustRightInd w:val="0"/>
              <w:snapToGrid w:val="0"/>
              <w:jc w:val="center"/>
              <w:rPr>
                <w:rFonts w:cs="宋体"/>
                <w:color w:val="auto"/>
                <w:sz w:val="24"/>
                <w:szCs w:val="21"/>
              </w:rPr>
            </w:pPr>
            <w:r>
              <w:rPr>
                <w:rFonts w:hint="eastAsia" w:cs="宋体"/>
                <w:color w:val="auto"/>
                <w:sz w:val="24"/>
                <w:szCs w:val="21"/>
              </w:rPr>
              <w:t>项目审批（核准</w:t>
            </w:r>
            <w:r>
              <w:rPr>
                <w:rFonts w:cs="宋体"/>
                <w:color w:val="auto"/>
                <w:sz w:val="24"/>
                <w:szCs w:val="21"/>
              </w:rPr>
              <w:t>/</w:t>
            </w:r>
          </w:p>
          <w:p>
            <w:pPr>
              <w:adjustRightInd w:val="0"/>
              <w:snapToGrid w:val="0"/>
              <w:jc w:val="center"/>
              <w:rPr>
                <w:rFonts w:cs="宋体"/>
                <w:color w:val="auto"/>
                <w:sz w:val="24"/>
                <w:szCs w:val="21"/>
              </w:rPr>
            </w:pPr>
            <w:r>
              <w:rPr>
                <w:rFonts w:hint="eastAsia" w:cs="宋体"/>
                <w:color w:val="auto"/>
                <w:sz w:val="24"/>
                <w:szCs w:val="21"/>
              </w:rPr>
              <w:t>备案）文号（选填）</w:t>
            </w:r>
          </w:p>
        </w:tc>
        <w:tc>
          <w:tcPr>
            <w:tcW w:w="2789" w:type="dxa"/>
            <w:vAlign w:val="center"/>
          </w:tcPr>
          <w:p>
            <w:pPr>
              <w:adjustRightInd w:val="0"/>
              <w:snapToGrid w:val="0"/>
              <w:jc w:val="center"/>
              <w:rPr>
                <w:rFonts w:cs="宋体"/>
                <w:color w:val="auto"/>
                <w:sz w:val="24"/>
                <w:szCs w:val="21"/>
              </w:rPr>
            </w:pPr>
            <w:r>
              <w:rPr>
                <w:rFonts w:hint="eastAsia" w:cs="宋体"/>
                <w:color w:val="auto"/>
                <w:sz w:val="24"/>
                <w:szCs w:val="21"/>
                <w:lang w:val="en-US" w:eastAsia="zh-CN"/>
              </w:rPr>
              <w:t>华发改投审[2025]45号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总投资</w:t>
            </w:r>
          </w:p>
          <w:p>
            <w:pPr>
              <w:adjustRightInd w:val="0"/>
              <w:snapToGrid w:val="0"/>
              <w:jc w:val="center"/>
              <w:rPr>
                <w:rFonts w:cs="宋体"/>
                <w:color w:val="auto"/>
                <w:sz w:val="24"/>
                <w:szCs w:val="21"/>
              </w:rPr>
            </w:pPr>
            <w:r>
              <w:rPr>
                <w:rFonts w:hint="eastAsia" w:cs="宋体"/>
                <w:color w:val="auto"/>
                <w:sz w:val="24"/>
                <w:szCs w:val="21"/>
              </w:rPr>
              <w:t>（万元）</w:t>
            </w:r>
          </w:p>
        </w:tc>
        <w:tc>
          <w:tcPr>
            <w:tcW w:w="28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19995</w:t>
            </w:r>
          </w:p>
        </w:tc>
        <w:tc>
          <w:tcPr>
            <w:tcW w:w="221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环保投资（万元）</w:t>
            </w:r>
          </w:p>
        </w:tc>
        <w:tc>
          <w:tcPr>
            <w:tcW w:w="2789"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158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环保投资</w:t>
            </w:r>
          </w:p>
          <w:p>
            <w:pPr>
              <w:adjustRightInd w:val="0"/>
              <w:snapToGrid w:val="0"/>
              <w:jc w:val="center"/>
              <w:rPr>
                <w:rFonts w:cs="宋体"/>
                <w:color w:val="auto"/>
                <w:sz w:val="24"/>
                <w:szCs w:val="21"/>
              </w:rPr>
            </w:pPr>
            <w:r>
              <w:rPr>
                <w:rFonts w:hint="eastAsia" w:cs="宋体"/>
                <w:color w:val="auto"/>
                <w:sz w:val="24"/>
                <w:szCs w:val="21"/>
              </w:rPr>
              <w:t>占比（</w:t>
            </w:r>
            <w:r>
              <w:rPr>
                <w:rFonts w:cs="宋体"/>
                <w:color w:val="auto"/>
                <w:sz w:val="24"/>
                <w:szCs w:val="21"/>
              </w:rPr>
              <w:t>%</w:t>
            </w:r>
            <w:r>
              <w:rPr>
                <w:rFonts w:hint="eastAsia" w:cs="宋体"/>
                <w:color w:val="auto"/>
                <w:sz w:val="24"/>
                <w:szCs w:val="21"/>
              </w:rPr>
              <w:t>）</w:t>
            </w:r>
          </w:p>
        </w:tc>
        <w:tc>
          <w:tcPr>
            <w:tcW w:w="2837" w:type="dxa"/>
            <w:vAlign w:val="center"/>
          </w:tcPr>
          <w:p>
            <w:pPr>
              <w:adjustRightInd w:val="0"/>
              <w:snapToGrid w:val="0"/>
              <w:jc w:val="center"/>
              <w:rPr>
                <w:rFonts w:hint="default" w:eastAsia="宋体" w:cs="宋体"/>
                <w:color w:val="auto"/>
                <w:sz w:val="24"/>
                <w:szCs w:val="21"/>
                <w:lang w:val="en-US" w:eastAsia="zh-CN"/>
              </w:rPr>
            </w:pPr>
            <w:r>
              <w:rPr>
                <w:rFonts w:hint="eastAsia" w:cs="宋体"/>
                <w:color w:val="auto"/>
                <w:sz w:val="24"/>
                <w:szCs w:val="21"/>
                <w:lang w:val="en-US" w:eastAsia="zh-CN"/>
              </w:rPr>
              <w:t>0.79</w:t>
            </w:r>
          </w:p>
        </w:tc>
        <w:tc>
          <w:tcPr>
            <w:tcW w:w="221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施工工期</w:t>
            </w:r>
          </w:p>
        </w:tc>
        <w:tc>
          <w:tcPr>
            <w:tcW w:w="2789" w:type="dxa"/>
            <w:vAlign w:val="center"/>
          </w:tcPr>
          <w:p>
            <w:pPr>
              <w:adjustRightInd w:val="0"/>
              <w:snapToGrid w:val="0"/>
              <w:jc w:val="center"/>
              <w:rPr>
                <w:rFonts w:hint="eastAsia" w:eastAsia="宋体" w:cs="宋体"/>
                <w:color w:val="auto"/>
                <w:sz w:val="24"/>
                <w:szCs w:val="21"/>
                <w:lang w:val="en-US" w:eastAsia="zh-CN"/>
              </w:rPr>
            </w:pPr>
            <w:r>
              <w:rPr>
                <w:rFonts w:hint="eastAsia" w:cs="宋体"/>
                <w:color w:val="auto"/>
                <w:sz w:val="24"/>
                <w:szCs w:val="21"/>
                <w:lang w:val="en-US" w:eastAsia="zh-CN"/>
              </w:rPr>
              <w:t>已建成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82" w:type="dxa"/>
            <w:tcMar>
              <w:top w:w="16" w:type="dxa"/>
              <w:left w:w="16" w:type="dxa"/>
              <w:right w:w="16" w:type="dxa"/>
            </w:tcMar>
            <w:vAlign w:val="center"/>
          </w:tcPr>
          <w:p>
            <w:pPr>
              <w:adjustRightInd w:val="0"/>
              <w:snapToGrid w:val="0"/>
              <w:jc w:val="center"/>
              <w:rPr>
                <w:rFonts w:cs="宋体"/>
                <w:color w:val="auto"/>
                <w:sz w:val="24"/>
                <w:szCs w:val="21"/>
              </w:rPr>
            </w:pPr>
            <w:r>
              <w:rPr>
                <w:rFonts w:hint="eastAsia" w:cs="宋体"/>
                <w:color w:val="auto"/>
                <w:sz w:val="24"/>
                <w:szCs w:val="21"/>
              </w:rPr>
              <w:t>是否开工</w:t>
            </w:r>
          </w:p>
          <w:p>
            <w:pPr>
              <w:adjustRightInd w:val="0"/>
              <w:snapToGrid w:val="0"/>
              <w:jc w:val="center"/>
              <w:rPr>
                <w:rFonts w:cs="宋体"/>
                <w:color w:val="auto"/>
                <w:sz w:val="24"/>
                <w:szCs w:val="21"/>
              </w:rPr>
            </w:pPr>
            <w:r>
              <w:rPr>
                <w:rFonts w:hint="eastAsia" w:cs="宋体"/>
                <w:color w:val="auto"/>
                <w:sz w:val="24"/>
                <w:szCs w:val="21"/>
              </w:rPr>
              <w:t>建设</w:t>
            </w:r>
          </w:p>
        </w:tc>
        <w:tc>
          <w:tcPr>
            <w:tcW w:w="7838" w:type="dxa"/>
            <w:gridSpan w:val="3"/>
            <w:vAlign w:val="center"/>
          </w:tcPr>
          <w:p>
            <w:pPr>
              <w:adjustRightInd w:val="0"/>
              <w:snapToGrid w:val="0"/>
              <w:rPr>
                <w:rFonts w:cs="宋体"/>
                <w:color w:val="auto"/>
                <w:sz w:val="24"/>
                <w:szCs w:val="21"/>
              </w:rPr>
            </w:pPr>
            <w:r>
              <w:rPr>
                <w:rFonts w:hint="eastAsia" w:cs="宋体"/>
                <w:color w:val="auto"/>
                <w:sz w:val="24"/>
                <w:szCs w:val="21"/>
              </w:rPr>
              <w:sym w:font="Wingdings 2" w:char="00A3"/>
            </w:r>
            <w:r>
              <w:rPr>
                <w:rFonts w:hint="eastAsia" w:cs="宋体"/>
                <w:color w:val="auto"/>
                <w:sz w:val="24"/>
                <w:szCs w:val="21"/>
              </w:rPr>
              <w:t>否</w:t>
            </w:r>
          </w:p>
          <w:p>
            <w:pPr>
              <w:adjustRightInd w:val="0"/>
              <w:snapToGrid w:val="0"/>
              <w:jc w:val="center"/>
              <w:rPr>
                <w:rFonts w:hint="default" w:eastAsia="宋体" w:cs="宋体"/>
                <w:color w:val="auto"/>
                <w:sz w:val="24"/>
                <w:szCs w:val="21"/>
                <w:lang w:val="en-US" w:eastAsia="zh-CN"/>
              </w:rPr>
            </w:pPr>
            <w:r>
              <w:rPr>
                <w:rFonts w:hint="eastAsia" w:cs="宋体"/>
                <w:color w:val="auto"/>
                <w:sz w:val="24"/>
                <w:szCs w:val="21"/>
              </w:rPr>
              <w:sym w:font="Wingdings 2" w:char="0052"/>
            </w:r>
            <w:r>
              <w:rPr>
                <w:rFonts w:hint="eastAsia" w:cs="宋体"/>
                <w:color w:val="auto"/>
                <w:sz w:val="24"/>
                <w:szCs w:val="21"/>
              </w:rPr>
              <w:t>是：</w:t>
            </w:r>
            <w:r>
              <w:rPr>
                <w:rFonts w:hint="eastAsia" w:cs="宋体"/>
                <w:color w:val="auto"/>
                <w:sz w:val="24"/>
                <w:szCs w:val="21"/>
                <w:u w:val="single"/>
                <w:lang w:val="en-US" w:eastAsia="zh-CN"/>
              </w:rPr>
              <w:t>项目为灾后重建应急工程，为保证进度提前开工建设，项目已建设完成，暂未入住。</w:t>
            </w:r>
            <w:r>
              <w:rPr>
                <w:rFonts w:hint="eastAsia" w:cs="宋体"/>
                <w:color w:val="auto"/>
                <w:sz w:val="24"/>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专项评价设置情况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新宋体" w:cs="Times New Roman"/>
                <w:color w:val="auto"/>
                <w:kern w:val="0"/>
                <w:sz w:val="24"/>
                <w:szCs w:val="24"/>
                <w:u w:val="single"/>
                <w:lang w:val="en-US" w:eastAsia="zh-CN"/>
              </w:rPr>
            </w:pPr>
            <w:r>
              <w:rPr>
                <w:rFonts w:hint="default" w:ascii="Times New Roman" w:hAnsi="Times New Roman" w:eastAsia="新宋体" w:cs="Times New Roman"/>
                <w:color w:val="auto"/>
                <w:kern w:val="0"/>
                <w:sz w:val="24"/>
                <w:szCs w:val="24"/>
                <w:lang w:val="en-US" w:eastAsia="zh-CN"/>
              </w:rPr>
              <w:t>本项目</w:t>
            </w:r>
            <w:r>
              <w:rPr>
                <w:rFonts w:hint="eastAsia" w:eastAsia="新宋体" w:cs="Times New Roman"/>
                <w:color w:val="auto"/>
                <w:kern w:val="0"/>
                <w:sz w:val="24"/>
                <w:szCs w:val="24"/>
                <w:lang w:val="en-US" w:eastAsia="zh-CN"/>
              </w:rPr>
              <w:t>涉及房地产业</w:t>
            </w:r>
            <w:r>
              <w:rPr>
                <w:rFonts w:hint="default" w:ascii="Times New Roman" w:hAnsi="Times New Roman" w:eastAsia="新宋体" w:cs="Times New Roman"/>
                <w:color w:val="auto"/>
                <w:kern w:val="0"/>
                <w:sz w:val="24"/>
                <w:szCs w:val="24"/>
                <w:lang w:val="en-US" w:eastAsia="zh-CN"/>
              </w:rPr>
              <w:t>，该部分为生态影响类，应参照</w:t>
            </w:r>
            <w:r>
              <w:rPr>
                <w:rFonts w:hint="default" w:ascii="Times New Roman" w:hAnsi="Times New Roman" w:eastAsia="新宋体" w:cs="Times New Roman"/>
                <w:color w:val="auto"/>
                <w:kern w:val="0"/>
                <w:sz w:val="24"/>
                <w:szCs w:val="24"/>
              </w:rPr>
              <w:t>《建设项目环境影响报告表编制技术指南（</w:t>
            </w:r>
            <w:r>
              <w:rPr>
                <w:rFonts w:hint="default" w:ascii="Times New Roman" w:hAnsi="Times New Roman" w:eastAsia="新宋体" w:cs="Times New Roman"/>
                <w:color w:val="auto"/>
                <w:kern w:val="0"/>
                <w:sz w:val="24"/>
                <w:szCs w:val="24"/>
                <w:lang w:val="en-US" w:eastAsia="zh-CN"/>
              </w:rPr>
              <w:t>生态</w:t>
            </w:r>
            <w:r>
              <w:rPr>
                <w:rFonts w:hint="default" w:ascii="Times New Roman" w:hAnsi="Times New Roman" w:eastAsia="新宋体" w:cs="Times New Roman"/>
                <w:color w:val="auto"/>
                <w:kern w:val="0"/>
                <w:sz w:val="24"/>
                <w:szCs w:val="24"/>
              </w:rPr>
              <w:t>影响类）（试行）》</w:t>
            </w:r>
            <w:r>
              <w:rPr>
                <w:rFonts w:hint="default" w:ascii="Times New Roman" w:hAnsi="Times New Roman" w:eastAsia="新宋体" w:cs="Times New Roman"/>
                <w:color w:val="auto"/>
                <w:kern w:val="0"/>
                <w:sz w:val="24"/>
                <w:szCs w:val="24"/>
                <w:lang w:val="en-US" w:eastAsia="zh-CN"/>
              </w:rPr>
              <w:t>进行</w:t>
            </w:r>
            <w:r>
              <w:rPr>
                <w:rFonts w:hint="default" w:ascii="Times New Roman" w:hAnsi="Times New Roman" w:eastAsia="新宋体" w:cs="Times New Roman"/>
                <w:color w:val="auto"/>
                <w:kern w:val="0"/>
                <w:sz w:val="24"/>
                <w:szCs w:val="24"/>
              </w:rPr>
              <w:t>专项评价设置情况</w:t>
            </w:r>
            <w:r>
              <w:rPr>
                <w:rFonts w:hint="default" w:ascii="Times New Roman" w:hAnsi="Times New Roman" w:eastAsia="新宋体" w:cs="Times New Roman"/>
                <w:color w:val="auto"/>
                <w:kern w:val="0"/>
                <w:sz w:val="24"/>
                <w:szCs w:val="24"/>
                <w:lang w:val="en-US" w:eastAsia="zh-CN"/>
              </w:rPr>
              <w:t>的分析，</w:t>
            </w:r>
            <w:r>
              <w:rPr>
                <w:rFonts w:hint="eastAsia" w:ascii="Times New Roman" w:hAnsi="Times New Roman" w:eastAsia="新宋体" w:cs="Times New Roman"/>
                <w:color w:val="auto"/>
                <w:kern w:val="0"/>
                <w:sz w:val="24"/>
                <w:szCs w:val="24"/>
                <w:lang w:val="en-US" w:eastAsia="zh-CN"/>
              </w:rPr>
              <w:t>专题设置判定</w:t>
            </w:r>
            <w:r>
              <w:rPr>
                <w:rFonts w:hint="default" w:ascii="Times New Roman" w:hAnsi="Times New Roman" w:eastAsia="新宋体" w:cs="Times New Roman"/>
                <w:color w:val="auto"/>
                <w:kern w:val="0"/>
                <w:sz w:val="24"/>
                <w:szCs w:val="24"/>
                <w:lang w:val="en-US" w:eastAsia="zh-CN"/>
              </w:rPr>
              <w:t>详见</w:t>
            </w:r>
            <w:r>
              <w:rPr>
                <w:rFonts w:hint="default" w:ascii="Times New Roman" w:hAnsi="Times New Roman" w:eastAsia="新宋体" w:cs="Times New Roman"/>
                <w:color w:val="auto"/>
                <w:kern w:val="0"/>
                <w:sz w:val="24"/>
                <w:szCs w:val="24"/>
              </w:rPr>
              <w:t>下</w:t>
            </w:r>
            <w:r>
              <w:rPr>
                <w:rFonts w:hint="default" w:ascii="Times New Roman" w:hAnsi="Times New Roman" w:eastAsia="新宋体" w:cs="Times New Roman"/>
                <w:color w:val="auto"/>
                <w:kern w:val="0"/>
                <w:sz w:val="24"/>
                <w:szCs w:val="24"/>
                <w:lang w:val="en-US" w:eastAsia="zh-CN"/>
              </w:rPr>
              <w:t>表1-1</w:t>
            </w:r>
            <w:r>
              <w:rPr>
                <w:rFonts w:hint="eastAsia" w:ascii="Times New Roman" w:hAnsi="Times New Roman" w:eastAsia="新宋体" w:cs="Times New Roman"/>
                <w:color w:val="auto"/>
                <w:kern w:val="0"/>
                <w:sz w:val="24"/>
                <w:szCs w:val="24"/>
                <w:lang w:val="en-US" w:eastAsia="zh-CN"/>
              </w:rPr>
              <w:t>所示</w:t>
            </w:r>
            <w:r>
              <w:rPr>
                <w:rFonts w:hint="default" w:ascii="Times New Roman" w:hAnsi="Times New Roman" w:eastAsia="新宋体" w:cs="Times New Roman"/>
                <w:color w:val="auto"/>
                <w:kern w:val="0"/>
                <w:sz w:val="24"/>
                <w:szCs w:val="24"/>
                <w:lang w:eastAsia="zh-CN"/>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u w:val="none"/>
                <w:lang w:eastAsia="zh-CN"/>
              </w:rPr>
            </w:pPr>
            <w:r>
              <w:rPr>
                <w:rFonts w:hint="default" w:ascii="Times New Roman" w:hAnsi="Times New Roman" w:cs="Times New Roman"/>
                <w:color w:val="auto"/>
                <w:u w:val="none"/>
              </w:rPr>
              <w:t>表1-1专项评价设置原则表</w:t>
            </w:r>
            <w:r>
              <w:rPr>
                <w:rFonts w:hint="eastAsia" w:cs="Times New Roman"/>
                <w:color w:val="auto"/>
                <w:u w:val="none"/>
                <w:lang w:eastAsia="zh-CN"/>
              </w:rPr>
              <w:t>（</w:t>
            </w:r>
            <w:r>
              <w:rPr>
                <w:rFonts w:hint="eastAsia" w:cs="Times New Roman"/>
                <w:color w:val="auto"/>
                <w:u w:val="none"/>
                <w:lang w:val="en-US" w:eastAsia="zh-CN"/>
              </w:rPr>
              <w:t>生态影响类</w:t>
            </w:r>
            <w:r>
              <w:rPr>
                <w:rFonts w:hint="eastAsia" w:cs="Times New Roman"/>
                <w:color w:val="auto"/>
                <w:u w:val="none"/>
                <w:lang w:eastAsia="zh-CN"/>
              </w:rPr>
              <w:t>）</w:t>
            </w:r>
          </w:p>
          <w:tbl>
            <w:tblPr>
              <w:tblStyle w:val="22"/>
              <w:tblW w:w="507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0" w:type="dxa"/>
                <w:bottom w:w="28" w:type="dxa"/>
                <w:right w:w="0" w:type="dxa"/>
              </w:tblCellMar>
            </w:tblPr>
            <w:tblGrid>
              <w:gridCol w:w="922"/>
              <w:gridCol w:w="3501"/>
              <w:gridCol w:w="2349"/>
              <w:gridCol w:w="9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8" w:hRule="atLeast"/>
                <w:jc w:val="center"/>
              </w:trPr>
              <w:tc>
                <w:tcPr>
                  <w:tcW w:w="597"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专项评价的类别</w:t>
                  </w:r>
                </w:p>
              </w:tc>
              <w:tc>
                <w:tcPr>
                  <w:tcW w:w="2270"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涉及项目类别</w:t>
                  </w:r>
                </w:p>
              </w:tc>
              <w:tc>
                <w:tcPr>
                  <w:tcW w:w="1523"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本项目情况</w:t>
                  </w:r>
                </w:p>
              </w:tc>
              <w:tc>
                <w:tcPr>
                  <w:tcW w:w="608" w:type="pct"/>
                  <w:tcBorders>
                    <w:tl2br w:val="nil"/>
                    <w:tr2bl w:val="nil"/>
                  </w:tcBorders>
                  <w:noWrap w:val="0"/>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是否设置专项评价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34"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地表水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水力发电：引水式发电、涉及发电的项目；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人工湖、人工湿地：全部水库：全部；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引水工程：全部（配套的管线工程等除外）；</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防洪除涝工程：包含水库的项目；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河湖整治：涉及清淤且底泥存在重金属污染的项目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076"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地下水</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陆地石油和天然气开采：全部；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地下水（含矿泉水）开采：全部；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水利、水电、交通等：含穿越可溶岩地层隧道的项目</w:t>
                  </w:r>
                </w:p>
              </w:tc>
              <w:tc>
                <w:tcPr>
                  <w:tcW w:w="1523"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543"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生态</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涉及环境敏感区（不包括饮用水水源保护区、以居住、医疗卫生、文化教育、科研、行政办公为主要功能的区域，以及文物保护单位）的项目</w:t>
                  </w:r>
                </w:p>
              </w:tc>
              <w:tc>
                <w:tcPr>
                  <w:tcW w:w="1523" w:type="pct"/>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涉及</w:t>
                  </w:r>
                  <w:r>
                    <w:rPr>
                      <w:rFonts w:hint="eastAsia" w:ascii="Times New Roman" w:hAnsi="Times New Roman" w:eastAsia="宋体" w:cs="Times New Roman"/>
                      <w:color w:val="auto"/>
                      <w:lang w:val="en-US" w:eastAsia="zh-CN"/>
                    </w:rPr>
                    <w:t>湖南东洞庭湖国家级自然保护区</w:t>
                  </w:r>
                </w:p>
              </w:tc>
              <w:tc>
                <w:tcPr>
                  <w:tcW w:w="608" w:type="pct"/>
                  <w:tcBorders>
                    <w:tl2br w:val="nil"/>
                    <w:tr2bl w:val="nil"/>
                  </w:tcBorders>
                  <w:noWrap w:val="0"/>
                  <w:vAlign w:val="center"/>
                </w:tcPr>
                <w:p>
                  <w:pPr>
                    <w:jc w:val="center"/>
                    <w:rPr>
                      <w:rFonts w:hint="eastAsia"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10"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大气</w:t>
                  </w:r>
                </w:p>
              </w:tc>
              <w:tc>
                <w:tcPr>
                  <w:tcW w:w="2270" w:type="pct"/>
                  <w:tcBorders>
                    <w:tl2br w:val="nil"/>
                    <w:tr2bl w:val="nil"/>
                  </w:tcBorders>
                  <w:noWrap w:val="0"/>
                  <w:vAlign w:val="center"/>
                </w:tcPr>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油气、液体化工码头：全部；</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干散货（含煤炭、矿石）、件杂、多用途、通用码头：涉及粉尘、挥发性有机物排放的项目</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1342"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噪声</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公路、铁路、机场等交通运输业涉及环境敏感区（以居住、医疗卫生、文化教育、科研、行政办公为主要功能的区域）的项目；</w:t>
                  </w:r>
                </w:p>
                <w:p>
                  <w:pPr>
                    <w:autoSpaceDE w:val="0"/>
                    <w:autoSpaceDN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城市道路（不含维护，不含支路、人行天桥、人行地道）：全部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337" w:hRule="atLeast"/>
                <w:jc w:val="center"/>
              </w:trPr>
              <w:tc>
                <w:tcPr>
                  <w:tcW w:w="597" w:type="pct"/>
                  <w:tcBorders>
                    <w:tl2br w:val="nil"/>
                    <w:tr2bl w:val="nil"/>
                  </w:tcBorders>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环境风险</w:t>
                  </w:r>
                </w:p>
              </w:tc>
              <w:tc>
                <w:tcPr>
                  <w:tcW w:w="2270" w:type="pct"/>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石油和天然气开采：全部；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油气、液体化工码头：全部；</w:t>
                  </w:r>
                </w:p>
                <w:p>
                  <w:pPr>
                    <w:autoSpaceDE w:val="0"/>
                    <w:autoSpaceDN w:val="0"/>
                    <w:adjustRightIn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原油、成品油、天然气管线（不含城镇天然气管线、企业厂区内管线），危险化学品输送管线（不含企业厂区内管线）：全部</w:t>
                  </w:r>
                </w:p>
              </w:tc>
              <w:tc>
                <w:tcPr>
                  <w:tcW w:w="1523"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本项目</w:t>
                  </w:r>
                  <w:r>
                    <w:rPr>
                      <w:rFonts w:hint="eastAsia" w:eastAsia="宋体" w:cs="Times New Roman"/>
                      <w:bCs/>
                      <w:color w:val="auto"/>
                      <w:sz w:val="21"/>
                      <w:szCs w:val="21"/>
                      <w:lang w:val="en-US" w:eastAsia="zh-CN"/>
                    </w:rPr>
                    <w:t>不涉及左述项目类别</w:t>
                  </w:r>
                </w:p>
              </w:tc>
              <w:tc>
                <w:tcPr>
                  <w:tcW w:w="608" w:type="pct"/>
                  <w:tcBorders>
                    <w:tl2br w:val="nil"/>
                    <w:tr2bl w:val="nil"/>
                  </w:tcBorders>
                  <w:noWrap w:val="0"/>
                  <w:vAlign w:val="center"/>
                </w:tcPr>
                <w:p>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0" w:type="dxa"/>
                  <w:bottom w:w="28" w:type="dxa"/>
                  <w:right w:w="0" w:type="dxa"/>
                </w:tblCellMar>
              </w:tblPrEx>
              <w:trPr>
                <w:trHeight w:val="825" w:hRule="atLeast"/>
                <w:jc w:val="center"/>
              </w:trPr>
              <w:tc>
                <w:tcPr>
                  <w:tcW w:w="5000" w:type="pct"/>
                  <w:gridSpan w:val="4"/>
                  <w:tcBorders>
                    <w:tl2br w:val="nil"/>
                    <w:tr2bl w:val="nil"/>
                  </w:tcBorders>
                  <w:noWrap w:val="0"/>
                  <w:vAlign w:val="center"/>
                </w:tcPr>
                <w:p>
                  <w:pPr>
                    <w:autoSpaceDE w:val="0"/>
                    <w:autoSpaceDN w:val="0"/>
                    <w:adjustRightInd w:val="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涉及环境敏感区</w:t>
                  </w:r>
                  <w:r>
                    <w:rPr>
                      <w:rFonts w:hint="default" w:ascii="Times New Roman" w:hAnsi="Times New Roman"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rPr>
                    <w:t>是指建设项目位于、穿（跨）越（无害化通过的除外）环境敏感区，或环境影响范围涵盖环境敏感区。环境敏感区是指《建设项目环境影响评价分类管理名录》中针对该类项目所列的敏感区。</w:t>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eastAsia="zh-CN"/>
              </w:rPr>
            </w:pPr>
            <w:r>
              <w:rPr>
                <w:rFonts w:hint="default" w:ascii="Times New Roman" w:hAnsi="Times New Roman" w:cs="Times New Roman"/>
                <w:color w:val="auto"/>
                <w:kern w:val="0"/>
                <w:sz w:val="24"/>
              </w:rPr>
              <w:t>综上所述，本项目</w:t>
            </w:r>
            <w:r>
              <w:rPr>
                <w:rFonts w:hint="default" w:ascii="Times New Roman" w:hAnsi="Times New Roman" w:cs="Times New Roman"/>
                <w:color w:val="auto"/>
                <w:kern w:val="0"/>
                <w:sz w:val="24"/>
                <w:lang w:val="en-US" w:eastAsia="zh-CN"/>
              </w:rPr>
              <w:t>需</w:t>
            </w:r>
            <w:r>
              <w:rPr>
                <w:rFonts w:hint="default" w:ascii="Times New Roman" w:hAnsi="Times New Roman" w:cs="Times New Roman"/>
                <w:color w:val="auto"/>
                <w:kern w:val="0"/>
                <w:sz w:val="24"/>
              </w:rPr>
              <w:t>设置</w:t>
            </w:r>
            <w:r>
              <w:rPr>
                <w:rFonts w:hint="eastAsia" w:cs="Times New Roman"/>
                <w:color w:val="auto"/>
                <w:kern w:val="0"/>
                <w:sz w:val="24"/>
                <w:lang w:val="en-US" w:eastAsia="zh-CN"/>
              </w:rPr>
              <w:t>生态</w:t>
            </w:r>
            <w:r>
              <w:rPr>
                <w:rFonts w:hint="default" w:ascii="Times New Roman" w:hAnsi="Times New Roman" w:cs="Times New Roman"/>
                <w:color w:val="auto"/>
                <w:kern w:val="0"/>
                <w:sz w:val="24"/>
              </w:rPr>
              <w:t>专项评价</w:t>
            </w:r>
            <w:r>
              <w:rPr>
                <w:rFonts w:hint="eastAsia" w:cs="Times New Roman"/>
                <w:color w:val="auto"/>
                <w:kern w:val="0"/>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sz w:val="24"/>
                <w:szCs w:val="21"/>
              </w:rPr>
              <w:t>规划情况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val="en-US"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djustRightInd w:val="0"/>
              <w:snapToGrid w:val="0"/>
              <w:jc w:val="center"/>
              <w:rPr>
                <w:rFonts w:cs="宋体"/>
                <w:color w:val="auto"/>
                <w:sz w:val="24"/>
                <w:szCs w:val="21"/>
              </w:rPr>
            </w:pPr>
            <w:r>
              <w:rPr>
                <w:rFonts w:hint="eastAsia" w:cs="宋体"/>
                <w:color w:val="auto"/>
                <w:sz w:val="24"/>
                <w:szCs w:val="21"/>
              </w:rPr>
              <w:t>规划环境影响</w:t>
            </w:r>
          </w:p>
          <w:p>
            <w:pPr>
              <w:adjustRightInd w:val="0"/>
              <w:snapToGrid w:val="0"/>
              <w:jc w:val="center"/>
              <w:rPr>
                <w:rFonts w:cs="宋体"/>
                <w:color w:val="auto"/>
                <w:kern w:val="0"/>
                <w:sz w:val="24"/>
                <w:szCs w:val="21"/>
              </w:rPr>
            </w:pPr>
            <w:r>
              <w:rPr>
                <w:rFonts w:hint="eastAsia" w:cs="宋体"/>
                <w:color w:val="auto"/>
                <w:sz w:val="24"/>
                <w:szCs w:val="21"/>
              </w:rPr>
              <w:t>评价情况</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s="宋体"/>
                <w:color w:val="auto"/>
                <w:kern w:val="0"/>
                <w:sz w:val="24"/>
                <w:szCs w:val="21"/>
                <w:lang w:eastAsia="zh-CN"/>
              </w:rPr>
            </w:pPr>
            <w:r>
              <w:rPr>
                <w:rFonts w:hint="eastAsia"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规划及规划环境</w:t>
            </w:r>
          </w:p>
          <w:p>
            <w:pPr>
              <w:autoSpaceDE w:val="0"/>
              <w:autoSpaceDN w:val="0"/>
              <w:adjustRightInd w:val="0"/>
              <w:snapToGrid w:val="0"/>
              <w:jc w:val="center"/>
              <w:rPr>
                <w:rFonts w:cs="宋体"/>
                <w:color w:val="auto"/>
                <w:kern w:val="0"/>
                <w:sz w:val="24"/>
                <w:szCs w:val="21"/>
              </w:rPr>
            </w:pPr>
            <w:r>
              <w:rPr>
                <w:rFonts w:hint="eastAsia" w:cs="宋体"/>
                <w:color w:val="auto"/>
                <w:kern w:val="0"/>
                <w:sz w:val="24"/>
                <w:szCs w:val="21"/>
              </w:rPr>
              <w:t>影响评价符合性分析</w:t>
            </w:r>
          </w:p>
        </w:tc>
        <w:tc>
          <w:tcPr>
            <w:tcW w:w="7838"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eastAsia="宋体"/>
                <w:color w:val="auto"/>
                <w:lang w:val="en-US" w:eastAsia="zh-CN"/>
              </w:rPr>
            </w:pPr>
            <w:r>
              <w:rPr>
                <w:rFonts w:hint="eastAsia" w:eastAsia="宋体" w:cs="宋体"/>
                <w:color w:val="auto"/>
                <w:kern w:val="0"/>
                <w:sz w:val="24"/>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82" w:type="dxa"/>
            <w:vAlign w:val="center"/>
          </w:tcPr>
          <w:p>
            <w:pPr>
              <w:autoSpaceDE w:val="0"/>
              <w:autoSpaceDN w:val="0"/>
              <w:adjustRightInd w:val="0"/>
              <w:snapToGrid w:val="0"/>
              <w:jc w:val="center"/>
              <w:rPr>
                <w:rFonts w:hint="eastAsia" w:cs="宋体"/>
                <w:color w:val="auto"/>
                <w:kern w:val="0"/>
                <w:sz w:val="24"/>
                <w:szCs w:val="21"/>
              </w:rPr>
            </w:pPr>
            <w:r>
              <w:rPr>
                <w:rFonts w:hint="eastAsia" w:cs="宋体"/>
                <w:color w:val="auto"/>
                <w:kern w:val="0"/>
                <w:sz w:val="24"/>
                <w:szCs w:val="21"/>
              </w:rPr>
              <w:t>其他符合性分析</w:t>
            </w:r>
          </w:p>
        </w:tc>
        <w:tc>
          <w:tcPr>
            <w:tcW w:w="7838" w:type="dxa"/>
            <w:gridSpan w:val="3"/>
            <w:vAlign w:val="center"/>
          </w:tcPr>
          <w:p>
            <w:pPr>
              <w:adjustRightInd w:val="0"/>
              <w:snapToGrid w:val="0"/>
              <w:spacing w:line="360" w:lineRule="auto"/>
              <w:ind w:firstLine="482" w:firstLineChars="200"/>
              <w:jc w:val="left"/>
              <w:rPr>
                <w:rFonts w:hint="default"/>
                <w:b/>
                <w:bCs/>
                <w:color w:val="auto"/>
                <w:sz w:val="24"/>
              </w:rPr>
            </w:pPr>
            <w:r>
              <w:rPr>
                <w:rFonts w:hint="eastAsia"/>
                <w:b/>
                <w:bCs/>
                <w:color w:val="auto"/>
                <w:sz w:val="24"/>
              </w:rPr>
              <w:t>（1）产业政策相符性</w:t>
            </w:r>
          </w:p>
          <w:p>
            <w:pPr>
              <w:topLinePunct/>
              <w:adjustRightInd w:val="0"/>
              <w:snapToGrid w:val="0"/>
              <w:spacing w:line="360" w:lineRule="auto"/>
              <w:ind w:firstLine="480" w:firstLineChars="200"/>
              <w:rPr>
                <w:color w:val="auto"/>
                <w:sz w:val="24"/>
              </w:rPr>
            </w:pPr>
            <w:r>
              <w:rPr>
                <w:rFonts w:hint="eastAsia" w:ascii="Times New Roman" w:hAnsi="Times New Roman" w:eastAsia="宋体" w:cs="Times New Roman"/>
                <w:color w:val="auto"/>
                <w:kern w:val="0"/>
                <w:sz w:val="24"/>
              </w:rPr>
              <w:t>建设项目主要为</w:t>
            </w:r>
            <w:r>
              <w:rPr>
                <w:rFonts w:hint="eastAsia" w:ascii="Times New Roman" w:hAnsi="Times New Roman" w:eastAsia="宋体" w:cs="Times New Roman"/>
                <w:color w:val="auto"/>
                <w:kern w:val="0"/>
                <w:sz w:val="24"/>
                <w:lang w:val="en-US" w:eastAsia="zh-CN"/>
              </w:rPr>
              <w:t>安置区安置房建设</w:t>
            </w:r>
            <w:r>
              <w:rPr>
                <w:rFonts w:hint="eastAsia" w:ascii="Times New Roman" w:hAnsi="Times New Roman" w:eastAsia="宋体" w:cs="Times New Roman"/>
                <w:color w:val="auto"/>
                <w:kern w:val="0"/>
                <w:sz w:val="24"/>
              </w:rPr>
              <w:t>项目，根据《产业结构调整指导目录（20</w:t>
            </w:r>
            <w:r>
              <w:rPr>
                <w:rFonts w:hint="eastAsia" w:ascii="Times New Roman" w:hAnsi="Times New Roman" w:eastAsia="宋体" w:cs="Times New Roman"/>
                <w:color w:val="auto"/>
                <w:kern w:val="0"/>
                <w:sz w:val="24"/>
                <w:lang w:val="en-US" w:eastAsia="zh-CN"/>
              </w:rPr>
              <w:t>24</w:t>
            </w:r>
            <w:r>
              <w:rPr>
                <w:rFonts w:hint="eastAsia" w:ascii="Times New Roman" w:hAnsi="Times New Roman" w:eastAsia="宋体" w:cs="Times New Roman"/>
                <w:color w:val="auto"/>
                <w:kern w:val="0"/>
                <w:sz w:val="24"/>
              </w:rPr>
              <w:t>年本）》，项目</w:t>
            </w:r>
            <w:r>
              <w:rPr>
                <w:rFonts w:hint="eastAsia" w:ascii="Times New Roman" w:hAnsi="Times New Roman" w:eastAsia="宋体" w:cs="Times New Roman"/>
                <w:color w:val="auto"/>
                <w:kern w:val="0"/>
                <w:sz w:val="24"/>
                <w:lang w:val="en-US" w:eastAsia="zh-CN"/>
              </w:rPr>
              <w:t>不</w:t>
            </w:r>
            <w:r>
              <w:rPr>
                <w:rFonts w:hint="eastAsia" w:ascii="Times New Roman" w:hAnsi="Times New Roman" w:eastAsia="宋体" w:cs="Times New Roman"/>
                <w:color w:val="auto"/>
                <w:kern w:val="0"/>
                <w:sz w:val="24"/>
              </w:rPr>
              <w:t>属于“鼓励类”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淘汰类</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以及“限制类”项目，属于允许类项目；项目不属于《市场准入负面清单（</w:t>
            </w:r>
            <w:r>
              <w:rPr>
                <w:rFonts w:hint="default" w:ascii="Times New Roman" w:hAnsi="Times New Roman" w:eastAsia="宋体" w:cs="Times New Roman"/>
                <w:color w:val="auto"/>
                <w:kern w:val="0"/>
                <w:sz w:val="24"/>
                <w:lang w:val="en-US" w:eastAsia="zh-CN"/>
              </w:rPr>
              <w:t xml:space="preserve">2022 </w:t>
            </w:r>
            <w:r>
              <w:rPr>
                <w:rFonts w:hint="eastAsia" w:ascii="Times New Roman" w:hAnsi="Times New Roman" w:eastAsia="宋体" w:cs="Times New Roman"/>
                <w:color w:val="auto"/>
                <w:kern w:val="0"/>
                <w:sz w:val="24"/>
                <w:lang w:val="en-US" w:eastAsia="zh-CN"/>
              </w:rPr>
              <w:t>年版）》中的项目</w:t>
            </w:r>
            <w:r>
              <w:rPr>
                <w:rFonts w:hint="eastAsia" w:ascii="Times New Roman" w:hAnsi="Times New Roman" w:eastAsia="宋体" w:cs="Times New Roman"/>
                <w:color w:val="auto"/>
                <w:kern w:val="0"/>
                <w:sz w:val="24"/>
              </w:rPr>
              <w:t>。因此，项目建设符合国家产业政策。</w:t>
            </w:r>
          </w:p>
          <w:p>
            <w:pPr>
              <w:adjustRightInd w:val="0"/>
              <w:snapToGrid w:val="0"/>
              <w:spacing w:line="360" w:lineRule="auto"/>
              <w:ind w:firstLine="482" w:firstLineChars="200"/>
              <w:jc w:val="left"/>
              <w:rPr>
                <w:b/>
                <w:bCs/>
                <w:color w:val="auto"/>
                <w:sz w:val="24"/>
              </w:rPr>
            </w:pPr>
            <w:r>
              <w:rPr>
                <w:rFonts w:hint="eastAsia"/>
                <w:b/>
                <w:bCs/>
                <w:color w:val="auto"/>
                <w:sz w:val="24"/>
              </w:rPr>
              <w:t>（2）规划及选址合理性分析</w:t>
            </w:r>
          </w:p>
          <w:p>
            <w:pPr>
              <w:topLinePunct/>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本项目位于</w:t>
            </w:r>
            <w:r>
              <w:rPr>
                <w:rFonts w:hint="eastAsia" w:ascii="Times New Roman" w:hAnsi="Times New Roman" w:eastAsia="宋体" w:cs="Times New Roman"/>
                <w:color w:val="auto"/>
                <w:kern w:val="0"/>
                <w:sz w:val="24"/>
                <w:lang w:val="en-US" w:eastAsia="zh-CN"/>
              </w:rPr>
              <w:t>项目建设地点位于</w:t>
            </w:r>
            <w:r>
              <w:rPr>
                <w:rFonts w:hint="eastAsia" w:ascii="Times New Roman" w:hAnsi="Times New Roman" w:cs="宋体"/>
                <w:color w:val="auto"/>
                <w:sz w:val="24"/>
                <w:szCs w:val="21"/>
                <w:lang w:val="en-US" w:eastAsia="zh-CN"/>
              </w:rPr>
              <w:t>华容县团洲安全垸内团洲花园小区</w:t>
            </w:r>
            <w:r>
              <w:rPr>
                <w:rFonts w:hint="eastAsia" w:cs="宋体"/>
                <w:color w:val="auto"/>
                <w:sz w:val="24"/>
                <w:szCs w:val="21"/>
                <w:lang w:val="en-US" w:eastAsia="zh-CN"/>
              </w:rPr>
              <w:t>东侧，南电排渠西侧</w:t>
            </w:r>
            <w:r>
              <w:rPr>
                <w:rFonts w:hint="eastAsia" w:ascii="Times New Roman" w:hAnsi="Times New Roman" w:eastAsia="宋体" w:cs="Times New Roman"/>
                <w:color w:val="auto"/>
                <w:kern w:val="0"/>
                <w:sz w:val="24"/>
                <w:lang w:val="en-US" w:eastAsia="zh-CN"/>
              </w:rPr>
              <w:t>，区域原为华容县团洲安全垸内耕地范围，地势较为平坦</w:t>
            </w:r>
            <w:r>
              <w:rPr>
                <w:rFonts w:hint="eastAsia" w:eastAsia="宋体" w:cs="Times New Roman"/>
                <w:color w:val="auto"/>
                <w:kern w:val="0"/>
                <w:sz w:val="24"/>
                <w:lang w:val="en-US" w:eastAsia="zh-CN"/>
              </w:rPr>
              <w:t>，适合房地产开发利用，项目已取得华容县自然资源局出具的《建设项目用地预审与选址意见书》</w:t>
            </w:r>
            <w:r>
              <w:rPr>
                <w:rFonts w:hint="eastAsia" w:ascii="Times New Roman" w:hAnsi="Times New Roman" w:eastAsia="宋体" w:cs="Times New Roman"/>
                <w:color w:val="auto"/>
                <w:kern w:val="0"/>
                <w:sz w:val="24"/>
                <w:lang w:val="en-US" w:eastAsia="zh-CN"/>
              </w:rPr>
              <w:t>；该区域</w:t>
            </w:r>
            <w:r>
              <w:rPr>
                <w:rFonts w:hint="eastAsia" w:eastAsia="宋体" w:cs="Times New Roman"/>
                <w:color w:val="auto"/>
                <w:kern w:val="0"/>
                <w:sz w:val="24"/>
                <w:lang w:val="en-US" w:eastAsia="zh-CN"/>
              </w:rPr>
              <w:t>位于</w:t>
            </w:r>
            <w:r>
              <w:rPr>
                <w:rFonts w:hint="eastAsia" w:ascii="Times New Roman" w:hAnsi="Times New Roman" w:eastAsia="宋体" w:cs="Times New Roman"/>
                <w:color w:val="auto"/>
                <w:kern w:val="0"/>
                <w:sz w:val="24"/>
                <w:lang w:val="en-US" w:eastAsia="zh-CN"/>
              </w:rPr>
              <w:t>华容县团洲安全垸内，</w:t>
            </w:r>
            <w:r>
              <w:rPr>
                <w:rFonts w:hint="default" w:ascii="Times New Roman" w:hAnsi="Times New Roman" w:eastAsia="宋体" w:cs="Times New Roman"/>
                <w:color w:val="auto"/>
                <w:kern w:val="0"/>
                <w:sz w:val="24"/>
              </w:rPr>
              <w:t>项目周边供电、供水、排水、交通道路等基础设施较完善，有利于本项目的建设和实施；</w:t>
            </w:r>
            <w:r>
              <w:rPr>
                <w:rFonts w:hint="eastAsia" w:ascii="Times New Roman" w:hAnsi="Times New Roman" w:eastAsia="宋体" w:cs="Times New Roman"/>
                <w:color w:val="auto"/>
                <w:kern w:val="0"/>
                <w:sz w:val="24"/>
                <w:lang w:val="en-US" w:eastAsia="zh-CN"/>
              </w:rPr>
              <w:t>项目周边无大型工业企业、采矿企业，</w:t>
            </w:r>
            <w:r>
              <w:rPr>
                <w:rFonts w:hint="default" w:ascii="Times New Roman" w:hAnsi="Times New Roman" w:eastAsia="宋体" w:cs="Times New Roman"/>
                <w:color w:val="auto"/>
                <w:kern w:val="0"/>
                <w:sz w:val="24"/>
              </w:rPr>
              <w:t>评价区域内环境空气质量、周围水体环境质量、声环境质量能满足相应功能区要求。因此，从项目区域场地条件、市政基础设施条件、环境可行性等方面综合分析，评价认为，项目选址是可行的。</w:t>
            </w:r>
          </w:p>
          <w:p>
            <w:pPr>
              <w:adjustRightInd w:val="0"/>
              <w:snapToGrid w:val="0"/>
              <w:spacing w:line="360" w:lineRule="auto"/>
              <w:ind w:firstLine="482" w:firstLineChars="200"/>
              <w:jc w:val="left"/>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eastAsia="zh-CN"/>
              </w:rPr>
              <w:t>（</w:t>
            </w:r>
            <w:r>
              <w:rPr>
                <w:rFonts w:hint="eastAsia" w:cs="Times New Roman"/>
                <w:b/>
                <w:bCs/>
                <w:color w:val="auto"/>
                <w:sz w:val="24"/>
                <w:lang w:val="en-US" w:eastAsia="zh-CN"/>
              </w:rPr>
              <w:t>3</w:t>
            </w:r>
            <w:r>
              <w:rPr>
                <w:rFonts w:hint="eastAsia" w:ascii="Times New Roman" w:hAnsi="Times New Roman" w:eastAsia="宋体" w:cs="Times New Roman"/>
                <w:b/>
                <w:bCs/>
                <w:color w:val="auto"/>
                <w:sz w:val="24"/>
                <w:lang w:eastAsia="zh-CN"/>
              </w:rPr>
              <w:t>）</w:t>
            </w:r>
            <w:r>
              <w:rPr>
                <w:rFonts w:hint="eastAsia" w:ascii="Times New Roman" w:hAnsi="Times New Roman" w:eastAsia="宋体" w:cs="Times New Roman"/>
                <w:b/>
                <w:bCs/>
                <w:color w:val="auto"/>
                <w:sz w:val="24"/>
              </w:rPr>
              <w:t>“三线一单”符合性分析</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1）生态保护红线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对照《华容县国土空间总体规划（2021-2035年）》中统筹划定三条控制线的图纸分析，本项目不涉及华容县生态保护红线。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2）环境质量底线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根据环境质量现状调查，项目地环境质量现状达标。项目</w:t>
            </w:r>
            <w:r>
              <w:rPr>
                <w:rFonts w:hint="eastAsia" w:ascii="Times New Roman" w:hAnsi="Times New Roman" w:cs="Times New Roman"/>
                <w:color w:val="auto"/>
                <w:lang w:val="en-US" w:eastAsia="zh-CN"/>
              </w:rPr>
              <w:t>不属于工业项目，</w:t>
            </w:r>
            <w:r>
              <w:rPr>
                <w:rFonts w:hint="default" w:ascii="Times New Roman" w:hAnsi="Times New Roman" w:cs="Times New Roman"/>
                <w:color w:val="auto"/>
                <w:lang w:val="en-US" w:eastAsia="zh-CN"/>
              </w:rPr>
              <w:t>为民生工程，</w:t>
            </w:r>
            <w:r>
              <w:rPr>
                <w:rFonts w:hint="eastAsia" w:ascii="Times New Roman" w:hAnsi="Times New Roman" w:cs="Times New Roman"/>
                <w:color w:val="auto"/>
                <w:lang w:val="en-US" w:eastAsia="zh-CN"/>
              </w:rPr>
              <w:t>旨在通过建设团洲垸灾后重建安置房，改善受灾群众的居住条件，提升区域抗灾能力，促进城乡统筹发展，项目建成运行后</w:t>
            </w:r>
            <w:r>
              <w:rPr>
                <w:rFonts w:hint="eastAsia" w:cs="Times New Roman"/>
                <w:color w:val="auto"/>
                <w:lang w:val="en-US" w:eastAsia="zh-CN"/>
              </w:rPr>
              <w:t>主要为受灾居民居住，无具体生产过程，污染物质排放量较少，</w:t>
            </w:r>
            <w:r>
              <w:rPr>
                <w:rFonts w:hint="default" w:ascii="Times New Roman" w:hAnsi="Times New Roman" w:cs="Times New Roman"/>
                <w:color w:val="auto"/>
              </w:rPr>
              <w:t>项目</w:t>
            </w:r>
            <w:r>
              <w:rPr>
                <w:rFonts w:hint="eastAsia" w:cs="Times New Roman"/>
                <w:color w:val="auto"/>
                <w:lang w:val="en-US" w:eastAsia="zh-CN"/>
              </w:rPr>
              <w:t>的</w:t>
            </w:r>
            <w:r>
              <w:rPr>
                <w:rFonts w:hint="default" w:ascii="Times New Roman" w:hAnsi="Times New Roman" w:cs="Times New Roman"/>
                <w:color w:val="auto"/>
              </w:rPr>
              <w:t>建设不会突破区域环境质量底线。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3）资源利用上线</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项目施工过程中消耗一定的建筑材料、电、水资源，资源消耗量相对区域资源利用总量很少，符合资源利用上限要求。</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4）生态环境准入清单</w:t>
            </w:r>
          </w:p>
          <w:p>
            <w:pPr>
              <w:pStyle w:val="65"/>
              <w:ind w:firstLine="480"/>
              <w:rPr>
                <w:rFonts w:hint="default" w:ascii="Times New Roman" w:hAnsi="Times New Roman" w:cs="Times New Roman"/>
                <w:bCs/>
                <w:color w:val="auto"/>
              </w:rPr>
            </w:pPr>
            <w:r>
              <w:rPr>
                <w:rFonts w:hint="default" w:ascii="Times New Roman" w:hAnsi="Times New Roman" w:cs="Times New Roman"/>
                <w:bCs/>
                <w:color w:val="auto"/>
              </w:rPr>
              <w:t>根据《国家发展改革委商务部关于印发〈市场准入负面清单（2022年版）〉的通知》中的产业准入负面清单以及《岳阳市生态环境分区管控基本要求（2023年版）》、《岳阳市其他环境管控单元（省级及以上产业园区除外）生态环境准入清单（2023年版）》，本项目不属于市场准入负面清单，且符合“三线一单”生态环境分区管控要求。</w:t>
            </w:r>
          </w:p>
          <w:p>
            <w:pPr>
              <w:pStyle w:val="65"/>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4</w:t>
            </w:r>
            <w:r>
              <w:rPr>
                <w:rFonts w:hint="eastAsia" w:cs="Times New Roman"/>
                <w:b/>
                <w:bCs/>
                <w:color w:val="auto"/>
                <w:lang w:eastAsia="zh-CN"/>
              </w:rPr>
              <w:t>）</w:t>
            </w:r>
            <w:r>
              <w:rPr>
                <w:rFonts w:hint="default" w:ascii="Times New Roman" w:hAnsi="Times New Roman" w:cs="Times New Roman"/>
                <w:b/>
                <w:bCs/>
                <w:color w:val="auto"/>
              </w:rPr>
              <w:t>与岳阳市生态环境分区管控基本要求（2023年版）符合性分析</w:t>
            </w:r>
          </w:p>
          <w:p>
            <w:pPr>
              <w:pStyle w:val="65"/>
              <w:ind w:firstLine="480"/>
              <w:rPr>
                <w:rFonts w:hint="default" w:ascii="Times New Roman" w:hAnsi="Times New Roman" w:cs="Times New Roman"/>
                <w:color w:val="auto"/>
              </w:rPr>
            </w:pPr>
            <w:r>
              <w:rPr>
                <w:rFonts w:hint="default" w:ascii="Times New Roman" w:hAnsi="Times New Roman" w:cs="Times New Roman"/>
                <w:bCs/>
                <w:color w:val="auto"/>
              </w:rPr>
              <w:t>项目位于</w:t>
            </w:r>
            <w:r>
              <w:rPr>
                <w:rFonts w:hint="eastAsia" w:ascii="Times New Roman" w:hAnsi="Times New Roman" w:cs="Times New Roman"/>
                <w:bCs/>
                <w:color w:val="auto"/>
                <w:lang w:val="en-US" w:eastAsia="zh-CN"/>
              </w:rPr>
              <w:t>华容县团洲乡，</w:t>
            </w:r>
            <w:r>
              <w:rPr>
                <w:rFonts w:hint="default" w:ascii="Times New Roman" w:hAnsi="Times New Roman" w:cs="Times New Roman"/>
                <w:bCs/>
                <w:color w:val="auto"/>
              </w:rPr>
              <w:t>其所在区域属于：“优先保护单元”，环境管控单元编码为：ZH43062310002，本项目相关符合性情况</w:t>
            </w:r>
            <w:r>
              <w:rPr>
                <w:rFonts w:hint="default" w:ascii="Times New Roman" w:hAnsi="Times New Roman" w:cs="Times New Roman"/>
                <w:bCs/>
                <w:color w:val="auto"/>
                <w:lang w:val="en-US" w:eastAsia="zh-CN"/>
              </w:rPr>
              <w:t>详</w:t>
            </w:r>
            <w:r>
              <w:rPr>
                <w:rFonts w:hint="default" w:ascii="Times New Roman" w:hAnsi="Times New Roman" w:cs="Times New Roman"/>
                <w:bCs/>
                <w:color w:val="auto"/>
              </w:rPr>
              <w:t>见下表</w:t>
            </w:r>
            <w:r>
              <w:rPr>
                <w:rFonts w:hint="default" w:ascii="Times New Roman" w:hAnsi="Times New Roman" w:cs="Times New Roman"/>
                <w:color w:val="auto"/>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项目所在地“三线一单”分区管控要求</w:t>
            </w:r>
          </w:p>
          <w:tbl>
            <w:tblPr>
              <w:tblStyle w:val="22"/>
              <w:tblW w:w="77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28" w:type="dxa"/>
                <w:left w:w="0" w:type="dxa"/>
                <w:bottom w:w="28" w:type="dxa"/>
                <w:right w:w="0" w:type="dxa"/>
              </w:tblCellMar>
            </w:tblPr>
            <w:tblGrid>
              <w:gridCol w:w="1240"/>
              <w:gridCol w:w="3375"/>
              <w:gridCol w:w="234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环境管控单元编码</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单元名称</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单元分类</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主体功能定位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ZH43062310002</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插旗镇/ 团洲乡/ 禹山镇/ 注滋口镇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优先保护单元</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经济产业布局</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lang w:val="en-US" w:eastAsia="zh-CN"/>
                    </w:rPr>
                    <w:t>重要敏感目标和主要环境问题</w:t>
                  </w:r>
                </w:p>
              </w:tc>
              <w:tc>
                <w:tcPr>
                  <w:tcW w:w="2007" w:type="pct"/>
                  <w:gridSpan w:val="2"/>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主要属性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农业种植、中药材种植、水产养殖、畜禽养殖、农副产品加工等其他食品加工业</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团洲乡、注滋口镇：湖南东洞庭湖国家级自然保护区</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p>
              </w:tc>
              <w:tc>
                <w:tcPr>
                  <w:tcW w:w="2007" w:type="pct"/>
                  <w:gridSpan w:val="2"/>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一般生态空间</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原生态红线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生物多样性保护功能重要区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三区三线生态红线</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水源涵养重要区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水产种质（国家级）</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东洞庭湖中国圆田螺国家级水产种质资源保护区、东洞庭湖鲤鲫黄颡国家级水产种质资源保护区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大气环境受体敏感重点管控区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湖南东洞庭湖国家级自然保护区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农用地优先保护区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建设用地重点管控区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一般管控区</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中高风险企业用地</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管控维度</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管控要求</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本项目情况</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bCs/>
                      <w:color w:val="auto"/>
                    </w:rPr>
                  </w:pPr>
                  <w:r>
                    <w:rPr>
                      <w:rFonts w:hint="default" w:ascii="Times New Roman" w:hAnsi="Times New Roman" w:cs="Times New Roman"/>
                      <w:b/>
                      <w:bCs/>
                      <w:color w:val="auto"/>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空间布局约束</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（1.1）持续开展河湖岸线生态修护，认真实施“十年禁渔”，有效恢复水生生物多样性。禁止在天然水域（开放性湖泊和常水位面积1500亩及以上的水域）投肥投饵养殖等破坏水生态行为。</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禁养区内畜禽养殖场立即关停退养，禁养区外沿江、河、湖、库、排（干）渠岸线500米内实施限养管理，禁止新增养殖场和扩大养殖规模，引导现有养殖场逐步退出；根据养殖规模配套粪污处理设施装备，坚决取缔一切外排粪污的养殖场（户）。</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（1.3）严禁秸秆、垃圾露天焚烧。提高秸秆综合利用率，严格管控烟花爆竹运输、销售、燃放，及餐饮油烟、露天烧烤。</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（1.4）加快建设完善城镇生活污水收集管网，更新修复混接、漏接、老旧破损管网，推进初期雨水污染控制；推进农村生活污水治理，强化农户生活污水分类处理处置，提高农村生活污水治理率。</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（1.5）禁止在国、省考断面和饮用水水源保护区上游三公里、下游0.3公里范围内进行非法采砂。</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1.6）禁止在自然保护区核心区、缓冲区开展旅游和其他生产经营活动，禁止建设任何生产设施，禁止引进、放生外来物种，缓冲区从事科学研究、教学实习标本采集活动等，应避免对保护区生态环境产生不利影响，及时清除活动产生废弃物。</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val="en-US" w:eastAsia="zh-CN"/>
                    </w:rPr>
                    <w:t>为</w:t>
                  </w:r>
                  <w:r>
                    <w:rPr>
                      <w:rFonts w:hint="eastAsia" w:cs="Times New Roman"/>
                      <w:color w:val="auto"/>
                      <w:lang w:val="en-US" w:eastAsia="zh-CN"/>
                    </w:rPr>
                    <w:t>安置区建设</w:t>
                  </w:r>
                  <w:r>
                    <w:rPr>
                      <w:rFonts w:hint="default" w:ascii="Times New Roman" w:hAnsi="Times New Roman" w:cs="Times New Roman"/>
                      <w:color w:val="auto"/>
                      <w:lang w:val="en-US" w:eastAsia="zh-CN"/>
                    </w:rPr>
                    <w:t>工程属于民生</w:t>
                  </w:r>
                  <w:r>
                    <w:rPr>
                      <w:rFonts w:hint="default" w:ascii="Times New Roman" w:hAnsi="Times New Roman" w:cs="Times New Roman"/>
                      <w:color w:val="auto"/>
                    </w:rPr>
                    <w:t>工程</w:t>
                  </w:r>
                  <w:r>
                    <w:rPr>
                      <w:rFonts w:hint="default" w:ascii="Times New Roman" w:hAnsi="Times New Roman" w:cs="Times New Roman"/>
                      <w:color w:val="auto"/>
                      <w:lang w:val="en-US" w:eastAsia="zh-CN"/>
                    </w:rPr>
                    <w:t>，</w:t>
                  </w:r>
                  <w:r>
                    <w:rPr>
                      <w:rFonts w:hint="default" w:ascii="Times New Roman" w:hAnsi="Times New Roman" w:cs="Times New Roman"/>
                      <w:color w:val="auto"/>
                    </w:rPr>
                    <w:t>不涉及渔业、畜禽养殖、秸秆焚烧</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采砂、污水处理</w:t>
                  </w:r>
                  <w:r>
                    <w:rPr>
                      <w:rFonts w:hint="default" w:ascii="Times New Roman" w:hAnsi="Times New Roman" w:cs="Times New Roman"/>
                      <w:color w:val="auto"/>
                    </w:rPr>
                    <w:t>等行业</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项目位于</w:t>
                  </w:r>
                  <w:r>
                    <w:rPr>
                      <w:rFonts w:hint="eastAsia" w:cs="Times New Roman"/>
                      <w:color w:val="auto"/>
                      <w:lang w:val="en-US" w:eastAsia="zh-CN"/>
                    </w:rPr>
                    <w:t>团洲乡</w:t>
                  </w:r>
                  <w:r>
                    <w:rPr>
                      <w:rFonts w:hint="default" w:ascii="Times New Roman" w:hAnsi="Times New Roman" w:cs="Times New Roman"/>
                      <w:color w:val="auto"/>
                      <w:lang w:val="en-US" w:eastAsia="zh-CN"/>
                    </w:rPr>
                    <w:t>镇域范围内（</w:t>
                  </w:r>
                  <w:r>
                    <w:rPr>
                      <w:rFonts w:hint="eastAsia" w:cs="Times New Roman"/>
                      <w:color w:val="auto"/>
                      <w:lang w:val="en-US" w:eastAsia="zh-CN"/>
                    </w:rPr>
                    <w:t>位于</w:t>
                  </w:r>
                  <w:r>
                    <w:rPr>
                      <w:rFonts w:hint="default" w:ascii="Times New Roman" w:hAnsi="Times New Roman" w:cs="Times New Roman"/>
                      <w:color w:val="auto"/>
                      <w:lang w:val="en-US" w:eastAsia="zh-CN"/>
                    </w:rPr>
                    <w:t>湖南</w:t>
                  </w:r>
                  <w:r>
                    <w:rPr>
                      <w:rFonts w:hint="eastAsia" w:cs="Times New Roman"/>
                      <w:color w:val="auto"/>
                      <w:lang w:val="en-US" w:eastAsia="zh-CN"/>
                    </w:rPr>
                    <w:t>东洞庭湖国家级自然保护实验区范围内</w:t>
                  </w:r>
                  <w:r>
                    <w:rPr>
                      <w:rFonts w:hint="default" w:ascii="Times New Roman" w:hAnsi="Times New Roman" w:cs="Times New Roman"/>
                      <w:color w:val="auto"/>
                      <w:lang w:val="en-US" w:eastAsia="zh-CN"/>
                    </w:rPr>
                    <w:t>），不属于自然保护区核心区、缓冲区</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污染物排放管控</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（2.1）废气：强化建筑施工、道路及裸土扬尘污染治理，有效防尘降尘；严禁秸秆、垃圾露天焚烧，推进餐饮油烟污染治理，深化餐饮油烟专项整治。</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（2.2）废水：</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2.2.1）加快建设完善城镇生活污水收集管网，更新修复老旧破损管网；推进农村生活污水治理，推进农村户用厕所建设和改造，强化农户生活污水分类处理处置；加速城乡黑臭水体整治，2025年底基本消除农村较大面积黑臭水体。</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2.2.2）按水功能区划和水体纳污能力及洞庭湖总磷控制和削减要求，从严控制新增入河（湖）排污口的数量，严格落实总磷等重点污染物特别排放限值和总量指标。落实水质管控要求，外排废水特别是枯水期外排水质总磷浓度必须达标排放。</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（2.3）固体废物：完善城乡一体化垃圾收集转运和处置体系建设，强化提升运维水平；以乡镇为单元统筹推进农村生活垃圾分类收集，加快推进农村生活垃圾源头分类减量，减少来及出村量。</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2.4）畜禽养殖：畜禽养殖场（专业户）按养殖规模配套建设相应粪便污水贮存、处理、利用设施，杜绝外排粪污。全面推动畜禽养殖废弃物资源化利用。推进水产养殖尾水治理和综合利用，加强水产养殖尾水监测，规范工厂化水产养殖尾水排污口设置。</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（2.5）农业面源：深入推进化肥农药减量增效，依法落实化肥使用总量控制，科学用药提高农药利用率。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2.1本次评价要求建设单位严格落实本次环评提出各项环保措施</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项目的建设不会对周边大气环境造成大的影响。</w:t>
                  </w:r>
                </w:p>
                <w:p>
                  <w:pPr>
                    <w:pStyle w:val="67"/>
                    <w:keepNext w:val="0"/>
                    <w:keepLines w:val="0"/>
                    <w:pageBreakBefore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highlight w:val="yellow"/>
                      <w:lang w:eastAsia="zh-CN"/>
                    </w:rPr>
                  </w:pPr>
                  <w:r>
                    <w:rPr>
                      <w:rFonts w:hint="default" w:ascii="Times New Roman" w:hAnsi="Times New Roman" w:cs="Times New Roman"/>
                      <w:color w:val="auto"/>
                    </w:rPr>
                    <w:t>2.</w:t>
                  </w:r>
                  <w:r>
                    <w:rPr>
                      <w:rFonts w:hint="default" w:ascii="Times New Roman" w:hAnsi="Times New Roman" w:cs="Times New Roman"/>
                      <w:color w:val="auto"/>
                      <w:highlight w:val="none"/>
                    </w:rPr>
                    <w:t>2项目废水可得到妥善处置，根据本次评价分析，本项目</w:t>
                  </w:r>
                  <w:r>
                    <w:rPr>
                      <w:rFonts w:hint="default" w:ascii="Times New Roman" w:hAnsi="Times New Roman" w:cs="Times New Roman"/>
                      <w:color w:val="auto"/>
                      <w:highlight w:val="none"/>
                      <w:lang w:val="en-US" w:eastAsia="zh-CN"/>
                    </w:rPr>
                    <w:t>废水均</w:t>
                  </w:r>
                  <w:r>
                    <w:rPr>
                      <w:rFonts w:hint="eastAsia" w:cs="Times New Roman"/>
                      <w:color w:val="auto"/>
                      <w:highlight w:val="none"/>
                      <w:lang w:val="en-US" w:eastAsia="zh-CN"/>
                    </w:rPr>
                    <w:t>有效收集处理达标后外排</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废水不会导致外环境地表水环境功能级别的降低</w:t>
                  </w:r>
                  <w:r>
                    <w:rPr>
                      <w:rFonts w:hint="eastAsia" w:cs="Times New Roman"/>
                      <w:color w:val="auto"/>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2.3本项目施工期生活垃圾分类收集后委托环卫部门处置</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2.4不涉及</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2.5不涉及</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0"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环境风险防控</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（3.1）加强在产企业土壤和地下水污染源头管控，加强地下水环境监测监管能力，推进地下水污染预防、风险管控与修复试点，加强地下水型饮用水水源安全保障。</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（3.2）加强枯水期饮用水安全保障，保障农村集中式和分散供水用水，加密饮用水水源水质监测频次，监控水质变化，防止水污染事件。</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（3.3）严格分类管理受污染耕地，确保受污染耕地安全利用率。</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3.1</w:t>
                  </w: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为</w:t>
                  </w:r>
                  <w:r>
                    <w:rPr>
                      <w:rFonts w:hint="eastAsia" w:cs="Times New Roman"/>
                      <w:color w:val="auto"/>
                      <w:highlight w:val="none"/>
                      <w:lang w:val="en-US" w:eastAsia="zh-CN"/>
                    </w:rPr>
                    <w:t>安置区建设</w:t>
                  </w:r>
                  <w:r>
                    <w:rPr>
                      <w:rFonts w:hint="default" w:ascii="Times New Roman" w:hAnsi="Times New Roman" w:cs="Times New Roman"/>
                      <w:color w:val="auto"/>
                      <w:highlight w:val="none"/>
                      <w:lang w:val="en-US" w:eastAsia="zh-CN"/>
                    </w:rPr>
                    <w:t>工程，不属于工业项目，不涉及土壤和地下水污染存在；项目</w:t>
                  </w:r>
                  <w:r>
                    <w:rPr>
                      <w:rFonts w:hint="eastAsia" w:cs="Times New Roman"/>
                      <w:color w:val="auto"/>
                      <w:highlight w:val="none"/>
                      <w:lang w:val="en-US" w:eastAsia="zh-CN"/>
                    </w:rPr>
                    <w:t>不</w:t>
                  </w:r>
                  <w:r>
                    <w:rPr>
                      <w:rFonts w:hint="default" w:ascii="Times New Roman" w:hAnsi="Times New Roman" w:cs="Times New Roman"/>
                      <w:color w:val="auto"/>
                      <w:highlight w:val="none"/>
                      <w:lang w:val="en-US" w:eastAsia="zh-CN"/>
                    </w:rPr>
                    <w:t>涉及地下取水</w:t>
                  </w:r>
                  <w:r>
                    <w:rPr>
                      <w:rFonts w:hint="default" w:ascii="Times New Roman" w:hAnsi="Times New Roman" w:cs="Times New Roman"/>
                      <w:color w:val="auto"/>
                      <w:szCs w:val="21"/>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3.2</w:t>
                  </w:r>
                  <w:r>
                    <w:rPr>
                      <w:rFonts w:hint="eastAsia" w:cs="Times New Roman"/>
                      <w:color w:val="auto"/>
                      <w:highlight w:val="none"/>
                      <w:lang w:val="en-US" w:eastAsia="zh-CN"/>
                    </w:rPr>
                    <w:t>不涉及</w:t>
                  </w:r>
                  <w:r>
                    <w:rPr>
                      <w:rFonts w:hint="default" w:ascii="Times New Roman" w:hAnsi="Times New Roman" w:cs="Times New Roman"/>
                      <w:color w:val="auto"/>
                      <w:szCs w:val="21"/>
                      <w:highlight w:val="none"/>
                      <w:lang w:eastAsia="zh-CN"/>
                    </w:rPr>
                    <w:t>。</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3.3</w:t>
                  </w:r>
                  <w:r>
                    <w:rPr>
                      <w:rFonts w:hint="eastAsia" w:cs="Times New Roman"/>
                      <w:color w:val="auto"/>
                      <w:lang w:val="en-US" w:eastAsia="zh-CN"/>
                    </w:rPr>
                    <w:t>不涉及</w:t>
                  </w:r>
                  <w:r>
                    <w:rPr>
                      <w:rFonts w:hint="default" w:ascii="Times New Roman" w:hAnsi="Times New Roman" w:cs="Times New Roman"/>
                      <w:color w:val="auto"/>
                      <w:lang w:val="en-US" w:eastAsia="zh-CN"/>
                    </w:rPr>
                    <w:t>。</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28" w:type="dxa"/>
                  <w:left w:w="0" w:type="dxa"/>
                  <w:bottom w:w="28" w:type="dxa"/>
                  <w:right w:w="0" w:type="dxa"/>
                </w:tblCellMar>
              </w:tblPrEx>
              <w:trPr>
                <w:trHeight w:val="4051" w:hRule="atLeast"/>
                <w:jc w:val="center"/>
              </w:trPr>
              <w:tc>
                <w:tcPr>
                  <w:tcW w:w="804"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kern w:val="0"/>
                      <w:szCs w:val="21"/>
                    </w:rPr>
                    <w:t>资源开发效率要求</w:t>
                  </w:r>
                </w:p>
              </w:tc>
              <w:tc>
                <w:tcPr>
                  <w:tcW w:w="2188"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（4.1）水资源：2025年华容县用水总量4.10亿立方米，万元地区生产总值用水量比2020年下降16.31%，万元工业增加值用水量比2020年下降17.67%，农田灌溉水有效利用系数0.555。</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（4.2）能源：华容县“十四五”时期能耗强度降低基本目标16%，激励目标16.5%。</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（4.3）土地资源：</w:t>
                  </w:r>
                </w:p>
                <w:p>
                  <w:pPr>
                    <w:pStyle w:val="67"/>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rPr>
                  </w:pPr>
                  <w:r>
                    <w:rPr>
                      <w:rFonts w:hint="default" w:ascii="Times New Roman" w:hAnsi="Times New Roman" w:cs="Times New Roman"/>
                      <w:color w:val="auto"/>
                    </w:rPr>
                    <w:t>插旗镇：耕地保有量3337.17公顷，基本农田保护面积2904.79公顷，生态保护红线面积172.75公顷，城镇开发边界规模83.80公顷，村庄建设用地510.05公顷。</w:t>
                  </w:r>
                </w:p>
              </w:tc>
              <w:tc>
                <w:tcPr>
                  <w:tcW w:w="1523" w:type="pct"/>
                  <w:tcBorders>
                    <w:tl2br w:val="nil"/>
                    <w:tr2bl w:val="nil"/>
                  </w:tcBorders>
                  <w:shd w:val="clear" w:color="auto" w:fill="auto"/>
                  <w:noWrap w:val="0"/>
                  <w:tcMar>
                    <w:left w:w="108" w:type="dxa"/>
                    <w:right w:w="108" w:type="dxa"/>
                  </w:tcMar>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4.1本项目属于</w:t>
                  </w:r>
                  <w:r>
                    <w:rPr>
                      <w:rFonts w:hint="eastAsia" w:cs="Times New Roman"/>
                      <w:color w:val="auto"/>
                      <w:lang w:val="en-US" w:eastAsia="zh-CN"/>
                    </w:rPr>
                    <w:t>民生</w:t>
                  </w:r>
                  <w:r>
                    <w:rPr>
                      <w:rFonts w:hint="default" w:ascii="Times New Roman" w:hAnsi="Times New Roman" w:cs="Times New Roman"/>
                      <w:color w:val="auto"/>
                      <w:lang w:val="en-US" w:eastAsia="zh-CN"/>
                    </w:rPr>
                    <w:t>工程</w:t>
                  </w:r>
                  <w:r>
                    <w:rPr>
                      <w:rFonts w:hint="eastAsia" w:cs="Times New Roman"/>
                      <w:color w:val="auto"/>
                      <w:lang w:val="en-US" w:eastAsia="zh-CN"/>
                    </w:rPr>
                    <w:t>，不涉及工业生产，用水量均为居民日常用水，用水量较少</w:t>
                  </w:r>
                  <w:r>
                    <w:rPr>
                      <w:rFonts w:hint="default" w:ascii="Times New Roman" w:hAnsi="Times New Roman" w:cs="Times New Roman"/>
                      <w:color w:val="auto"/>
                    </w:rPr>
                    <w:t>；</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4.2本项目运营期能耗主要为电能，能耗量较低；</w:t>
                  </w:r>
                </w:p>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4.3本项目永久用地</w:t>
                  </w:r>
                  <w:r>
                    <w:rPr>
                      <w:rFonts w:hint="default" w:ascii="Times New Roman" w:hAnsi="Times New Roman" w:cs="Times New Roman"/>
                      <w:color w:val="auto"/>
                      <w:lang w:val="en-US" w:eastAsia="zh-CN"/>
                    </w:rPr>
                    <w:t>位于城镇建设用地范围内</w:t>
                  </w:r>
                  <w:r>
                    <w:rPr>
                      <w:rFonts w:hint="default" w:ascii="Times New Roman" w:hAnsi="Times New Roman" w:cs="Times New Roman"/>
                      <w:color w:val="auto"/>
                    </w:rPr>
                    <w:t>，</w:t>
                  </w:r>
                  <w:r>
                    <w:rPr>
                      <w:rFonts w:hint="eastAsia" w:cs="Times New Roman"/>
                      <w:color w:val="auto"/>
                      <w:lang w:val="en-US" w:eastAsia="zh-CN"/>
                    </w:rPr>
                    <w:t>涉及</w:t>
                  </w:r>
                  <w:r>
                    <w:rPr>
                      <w:rFonts w:hint="default" w:ascii="Times New Roman" w:hAnsi="Times New Roman" w:cs="Times New Roman"/>
                      <w:color w:val="auto"/>
                    </w:rPr>
                    <w:t>不涉及</w:t>
                  </w:r>
                  <w:r>
                    <w:rPr>
                      <w:rFonts w:hint="default" w:ascii="Times New Roman" w:hAnsi="Times New Roman" w:cs="Times New Roman"/>
                      <w:color w:val="auto"/>
                      <w:lang w:val="en-US" w:eastAsia="zh-CN"/>
                    </w:rPr>
                    <w:t>永久占用基本农田、生态红线等敏感地区</w:t>
                  </w:r>
                  <w:r>
                    <w:rPr>
                      <w:rFonts w:hint="eastAsia" w:ascii="Times New Roman" w:hAnsi="Times New Roman" w:cs="Times New Roman"/>
                      <w:color w:val="auto"/>
                      <w:lang w:val="en-US" w:eastAsia="zh-CN"/>
                    </w:rPr>
                    <w:t>，项目用地已取得《建设项目用地预审与选址意见书》</w:t>
                  </w:r>
                </w:p>
              </w:tc>
              <w:tc>
                <w:tcPr>
                  <w:tcW w:w="483" w:type="pct"/>
                  <w:tcBorders>
                    <w:tl2br w:val="nil"/>
                    <w:tr2bl w:val="nil"/>
                  </w:tcBorders>
                  <w:shd w:val="clear" w:color="auto" w:fill="auto"/>
                  <w:noWrap w:val="0"/>
                  <w:vAlign w:val="center"/>
                </w:tcPr>
                <w:p>
                  <w:pPr>
                    <w:pStyle w:val="67"/>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符合</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由上表可知，本项目与空间布局约束各项管控要求不相冲突。本项目与污染物排放管控要求不相冲突。本项目所在地非污染地块，满足环境风险防控要求。总体而言，本项目污染排放可控、不需开发自然资源、项目用地无遗留污染、不涉及管控要求中的相关禁止项，符合当地“三线一单”分区管控要求。</w:t>
            </w:r>
          </w:p>
          <w:p>
            <w:pPr>
              <w:pStyle w:val="65"/>
              <w:numPr>
                <w:ilvl w:val="0"/>
                <w:numId w:val="0"/>
              </w:numPr>
              <w:ind w:leftChars="200"/>
              <w:rPr>
                <w:rFonts w:hint="default" w:ascii="Times New Roman" w:hAnsi="Times New Roman" w:cs="Times New Roman"/>
                <w:b/>
                <w:bCs/>
                <w:color w:val="auto"/>
                <w:lang w:val="en-US" w:eastAsia="zh-CN"/>
              </w:rPr>
            </w:pPr>
            <w:r>
              <w:rPr>
                <w:rFonts w:hint="eastAsia" w:cs="Times New Roman"/>
                <w:b/>
                <w:bCs/>
                <w:color w:val="auto"/>
                <w:lang w:val="en-US" w:eastAsia="zh-CN"/>
              </w:rPr>
              <w:t>（5）</w:t>
            </w:r>
            <w:r>
              <w:rPr>
                <w:rFonts w:hint="default" w:ascii="Times New Roman" w:hAnsi="Times New Roman" w:cs="Times New Roman"/>
                <w:b/>
                <w:bCs/>
                <w:color w:val="auto"/>
                <w:lang w:val="en-US" w:eastAsia="zh-CN"/>
              </w:rPr>
              <w:t>与《中华人民共和国长江保护法》符合性分析</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本项目建设内容与《中华人民共和国长江保护法》相关要求对比分析 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表</w:t>
            </w:r>
            <w:r>
              <w:rPr>
                <w:rFonts w:hint="default" w:ascii="Times New Roman" w:hAnsi="Times New Roman" w:eastAsia="宋体" w:cs="Times New Roman"/>
                <w:color w:val="auto"/>
              </w:rPr>
              <w:t>1-</w:t>
            </w:r>
            <w:r>
              <w:rPr>
                <w:rFonts w:hint="eastAsia" w:cs="Times New Roman"/>
                <w:color w:val="auto"/>
                <w:lang w:val="en-US" w:eastAsia="zh-CN"/>
              </w:rPr>
              <w:t>2</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与《中华人民共和国长江保护法》符合性分析一览表</w:t>
            </w:r>
          </w:p>
          <w:tbl>
            <w:tblPr>
              <w:tblStyle w:val="22"/>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97"/>
              <w:gridCol w:w="4557"/>
              <w:gridCol w:w="2206"/>
              <w:gridCol w:w="4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525" w:hRule="atLeast"/>
                <w:jc w:val="center"/>
              </w:trPr>
              <w:tc>
                <w:tcPr>
                  <w:tcW w:w="39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45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220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93"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30" w:hRule="atLeast"/>
                <w:jc w:val="center"/>
              </w:trPr>
              <w:tc>
                <w:tcPr>
                  <w:tcW w:w="39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45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第二十九条 长江流域水资源保护与利用，应当根据流域综合规划，优先满足城乡居民生活用水，保障基本生态用水，并统筹农业、工业用水以及航运等需要。</w:t>
                  </w:r>
                </w:p>
              </w:tc>
              <w:tc>
                <w:tcPr>
                  <w:tcW w:w="220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用水来</w:t>
                  </w:r>
                  <w:r>
                    <w:rPr>
                      <w:rFonts w:hint="default" w:ascii="Times New Roman" w:hAnsi="Times New Roman" w:eastAsia="宋体" w:cs="Times New Roman"/>
                      <w:color w:val="auto"/>
                      <w:lang w:val="en-US" w:eastAsia="zh-CN"/>
                    </w:rPr>
                    <w:t>自于</w:t>
                  </w:r>
                  <w:r>
                    <w:rPr>
                      <w:rFonts w:hint="eastAsia" w:cs="Times New Roman"/>
                      <w:color w:val="auto"/>
                      <w:lang w:val="en-US" w:eastAsia="zh-CN"/>
                    </w:rPr>
                    <w:t>幸福水厂，水厂取水来自于地下水，</w:t>
                  </w:r>
                  <w:r>
                    <w:rPr>
                      <w:rFonts w:hint="default" w:ascii="Times New Roman" w:hAnsi="Times New Roman" w:eastAsia="宋体" w:cs="Times New Roman"/>
                      <w:color w:val="auto"/>
                      <w:lang w:val="en-US" w:eastAsia="zh-CN"/>
                    </w:rPr>
                    <w:t>不涉及从长江取水</w:t>
                  </w:r>
                </w:p>
              </w:tc>
              <w:tc>
                <w:tcPr>
                  <w:tcW w:w="493"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9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45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第四十七条 在长江流域江河、湖泊新设、改设或者扩大排污口，应当按照国家有关规定报经有管辖权的生态环境主管部门或者长江流域生态场境监督管理机构同意。对未达到水质目标的水功能区，除污水集中处理设施排污口外，应当严格控制新设，改设或者扩大排污口。</w:t>
                  </w:r>
                </w:p>
              </w:tc>
              <w:tc>
                <w:tcPr>
                  <w:tcW w:w="220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本项目未在长江流域江河、湖泊新设、改设或者扩大排污口</w:t>
                  </w:r>
                </w:p>
              </w:tc>
              <w:tc>
                <w:tcPr>
                  <w:tcW w:w="493"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90" w:hRule="atLeast"/>
                <w:jc w:val="center"/>
              </w:trPr>
              <w:tc>
                <w:tcPr>
                  <w:tcW w:w="39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455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第五十条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220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本项目不属于垃圾填埋场、加油站、矿山、尾矿库、危险废物处置场、化工园区和化工项目等</w:t>
                  </w:r>
                </w:p>
              </w:tc>
              <w:tc>
                <w:tcPr>
                  <w:tcW w:w="493"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bl>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综上，项目与《中华人民共和国长江保护法》中相关条款并不冲突。</w:t>
            </w:r>
          </w:p>
          <w:p>
            <w:pPr>
              <w:pStyle w:val="65"/>
              <w:ind w:firstLine="482"/>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6</w:t>
            </w:r>
            <w:r>
              <w:rPr>
                <w:rFonts w:hint="eastAsia" w:cs="Times New Roman"/>
                <w:b/>
                <w:bCs/>
                <w:color w:val="auto"/>
                <w:lang w:eastAsia="zh-CN"/>
              </w:rPr>
              <w:t>）</w:t>
            </w:r>
            <w:r>
              <w:rPr>
                <w:rFonts w:hint="default" w:ascii="Times New Roman" w:hAnsi="Times New Roman" w:cs="Times New Roman"/>
                <w:b/>
                <w:bCs/>
                <w:color w:val="auto"/>
              </w:rPr>
              <w:t>与《湖南省长江经济带发展负面清单实施细则（试行，2022年版）》的符合性分析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2022年6月30日湖南省推动长江经济带发展领导小组办公室发布第70号文件《湖南省长江经济带发展负面清单实施细则（试行，2022年版）》，本项目与其相关要求对比分析情况详见下表：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表1-</w:t>
            </w:r>
            <w:r>
              <w:rPr>
                <w:rFonts w:hint="eastAsia" w:cs="Times New Roman"/>
                <w:color w:val="auto"/>
                <w:lang w:val="en-US" w:eastAsia="zh-CN"/>
              </w:rPr>
              <w:t>3</w:t>
            </w:r>
            <w:r>
              <w:rPr>
                <w:rFonts w:hint="default" w:ascii="Times New Roman" w:hAnsi="Times New Roman" w:eastAsia="宋体" w:cs="Times New Roman"/>
                <w:color w:val="auto"/>
                <w:lang w:val="en-US" w:eastAsia="zh-CN"/>
              </w:rPr>
              <w:t xml:space="preserve">   与《湖南省长江经济带发展负面清单实施细则（试行，2022 年版）》符合性分析一览表</w:t>
            </w:r>
          </w:p>
          <w:tbl>
            <w:tblPr>
              <w:tblStyle w:val="22"/>
              <w:tblW w:w="765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28" w:type="dxa"/>
                <w:left w:w="11" w:type="dxa"/>
                <w:bottom w:w="28" w:type="dxa"/>
                <w:right w:w="11" w:type="dxa"/>
              </w:tblCellMar>
            </w:tblPr>
            <w:tblGrid>
              <w:gridCol w:w="361"/>
              <w:gridCol w:w="5036"/>
              <w:gridCol w:w="1815"/>
              <w:gridCol w:w="4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序号</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要求内容</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本项目情况</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符合</w:t>
                  </w:r>
                </w:p>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第三条 禁止建设不符合全国和省级港口布局规划以及港口总体规划的码头项目。对不符合港口总体规划的新建、改建和扩建的码头工程（含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千线过江通道布局规划（2020-2035年）》的过长江通道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项目不属于码头项目，不属于长江通道项目。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本项目不在自然保护区核心区、缓冲区的岸线和河段范围。</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第六条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本项目不在风景名胜区内。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242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第七条 饮用水水源一级保护区内禁止新建、改建，扩建与供水设施和保护水源无关的建设项日：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842" w:type="dxa"/>
                  <w:vMerge w:val="restart"/>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cs="Times New Roman"/>
                      <w:color w:val="auto"/>
                      <w:lang w:val="en-US" w:eastAsia="zh-CN"/>
                    </w:rPr>
                    <w:t>不涉及</w:t>
                  </w:r>
                  <w:r>
                    <w:rPr>
                      <w:rFonts w:hint="default" w:ascii="Times New Roman" w:hAnsi="Times New Roman" w:eastAsia="宋体" w:cs="Times New Roman"/>
                      <w:color w:val="auto"/>
                      <w:lang w:val="en-US" w:eastAsia="zh-CN"/>
                    </w:rPr>
                    <w:t>饮用水水源保护区。</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第八条 饮用水水源二级保护区内禁止新建、改建、扩建向水体排放污染物的投资建设项目。原有排污口依法拆除或关闭。禁止设立装卸垃圾、粪便、油类和有毒物品的码头。</w:t>
                  </w:r>
                </w:p>
              </w:tc>
              <w:tc>
                <w:tcPr>
                  <w:tcW w:w="1842" w:type="dxa"/>
                  <w:vMerge w:val="continue"/>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第九条 禁止在水产种质资源保护区内新建排污口、从事围湖造田造地等投资建设项目。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本项目不在水产种质资源保护区内。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第十条 除《中华人民共和国防洪法》规定的紧急防汛期采取的紧急措施外，禁止在国家湿地公园的岸线和河段范围内、挖沙、采矿等不符合主体功能定位的行为和活动。</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本项目用地不在国家湿地公园的岸线和河段范围内。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第十一条 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禁止填湖造地、围湖造田及非法围垦河道，禁止非法建设矮围网围，填理湿地等段占河湖水域或者违法利用，古用河湖岸线的行为。</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本项目未利用、占用长江流域河湖岸线。本项目未填湖造地、围湖造田及非法围垦河道。</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第十二条 禁止在《全国重要江河湖泊水功能区划》划定的河段及湖泊保护区、保留区内投资建设不利于水资源及自然生态保护的项目。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本项目不在《全国重要江河湖泊水功能区划》划定的河段及湖泊保护区、保留区内。</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第十三条 禁止未经许可在长江干支流及湖泊新设、改设或扩大排污口。</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本项目未在长江干支流及湖泊新设、改设或扩大排污口。</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第十四条 禁止在洞庭湖、湘江、资江、沅江、遭水干流和45个水生生物保护区开展生产性捕捞。在相关自然保护区域和禁猎（渔）区、禁猎（渔）期内，禁止猎捕以及其他妨碍野生动物生息繁衍的活动，但法律法规另有规定的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本项目未开展生产性捕捞。</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第十五条 禁止在长江湖南段和洞庭湖、湘江、资江、沅江，遭水干流岸线一公里范围内新建、扩建化工园区和化工项目。禁止在长江湖南段岸线二公里范围内和湘江、资江、沅江遭水岸线一公里范围内新建、改建、扩建尾矿库、冶炼渣库和磷石膏库，以提升安全，生态环境保护水平为目的的改建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本项目不属于化工园区和化工项目：本项目不属于尾矿库、冶炼渣库和磷右膏库。</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13</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第十六条 禁止在合规园区外新建、扩建钢铁、石化、化工、焦化、建材、有色、制浆造纸等高污染项目。高污染项目严格按照生态环境部《环境保护综合名录（2021年版）》有关要求执行。</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本项目不属于钢铁、石化、化工、焦化、建材、有色、制浆造纸等高污染项目。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14</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第十七条 禁止新建、扩建不符合国家石化、现代煤化工等产业布局规划的项目。未通过认定的化工园区，不得新建改扩建化工项目（安全、环保、节能和智能化改造项目除外）。</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本项目不属于石化、现代煤化工等项目。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28" w:type="dxa"/>
                  <w:left w:w="11" w:type="dxa"/>
                  <w:bottom w:w="28" w:type="dxa"/>
                  <w:right w:w="11" w:type="dxa"/>
                </w:tblCellMar>
              </w:tblPrEx>
              <w:trPr>
                <w:trHeight w:val="0" w:hRule="atLeast"/>
                <w:jc w:val="center"/>
              </w:trPr>
              <w:tc>
                <w:tcPr>
                  <w:tcW w:w="366"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15</w:t>
                  </w:r>
                </w:p>
              </w:tc>
              <w:tc>
                <w:tcPr>
                  <w:tcW w:w="511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第十八条 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842"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本项目不属于落后产能项目，不属于严重过剩产能行业，不属于高耗能高排放项目。</w:t>
                  </w:r>
                </w:p>
              </w:tc>
              <w:tc>
                <w:tcPr>
                  <w:tcW w:w="447" w:type="dxa"/>
                  <w:tcBorders>
                    <w:tl2br w:val="nil"/>
                    <w:tr2bl w:val="nil"/>
                  </w:tcBorders>
                  <w:noWrap w:val="0"/>
                  <w:vAlign w:val="center"/>
                </w:tcPr>
                <w:p>
                  <w:pPr>
                    <w:pStyle w:val="67"/>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符合</w:t>
                  </w:r>
                </w:p>
              </w:tc>
            </w:tr>
          </w:tbl>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综上，</w:t>
            </w:r>
            <w:r>
              <w:rPr>
                <w:rFonts w:hint="default" w:ascii="Times New Roman" w:hAnsi="Times New Roman" w:cs="Times New Roman"/>
                <w:color w:val="auto"/>
                <w:sz w:val="24"/>
                <w:szCs w:val="24"/>
              </w:rPr>
              <w:t>本项目不涉及</w:t>
            </w:r>
            <w:r>
              <w:rPr>
                <w:rFonts w:hint="eastAsia" w:cs="Times New Roman"/>
                <w:color w:val="auto"/>
                <w:sz w:val="24"/>
                <w:szCs w:val="24"/>
                <w:lang w:val="en-US" w:eastAsia="zh-CN"/>
              </w:rPr>
              <w:t>上述表格</w:t>
            </w:r>
            <w:r>
              <w:rPr>
                <w:rFonts w:hint="default" w:ascii="Times New Roman" w:hAnsi="Times New Roman" w:cs="Times New Roman"/>
                <w:color w:val="auto"/>
                <w:sz w:val="24"/>
                <w:szCs w:val="24"/>
              </w:rPr>
              <w:t>相关保护区域、野生动物迁徙洄游通道，项目为</w:t>
            </w:r>
            <w:r>
              <w:rPr>
                <w:rFonts w:hint="default" w:ascii="Times New Roman" w:hAnsi="Times New Roman" w:cs="Times New Roman"/>
                <w:color w:val="auto"/>
                <w:sz w:val="24"/>
                <w:szCs w:val="24"/>
                <w:lang w:val="en-US" w:eastAsia="zh-CN"/>
              </w:rPr>
              <w:t>民生工程，主要建设</w:t>
            </w:r>
            <w:r>
              <w:rPr>
                <w:rFonts w:hint="eastAsia" w:ascii="Times New Roman" w:hAnsi="Times New Roman" w:cs="Times New Roman"/>
                <w:color w:val="auto"/>
                <w:sz w:val="24"/>
                <w:szCs w:val="24"/>
                <w:lang w:val="en-US" w:eastAsia="zh-CN"/>
              </w:rPr>
              <w:t>安置区</w:t>
            </w:r>
            <w:r>
              <w:rPr>
                <w:rFonts w:hint="default" w:ascii="Times New Roman" w:hAnsi="Times New Roman" w:cs="Times New Roman"/>
                <w:color w:val="auto"/>
                <w:sz w:val="24"/>
                <w:szCs w:val="24"/>
              </w:rPr>
              <w:t>，不属于新建排污口、非法围垦河道和围湖造田造地等投资建设项目、不开展生产线捕捞</w:t>
            </w:r>
            <w:r>
              <w:rPr>
                <w:rFonts w:hint="default" w:ascii="Times New Roman" w:hAnsi="Times New Roman" w:cs="Times New Roman"/>
                <w:color w:val="auto"/>
                <w:sz w:val="24"/>
                <w:szCs w:val="24"/>
                <w:lang w:val="en-US" w:eastAsia="zh-CN"/>
              </w:rPr>
              <w:t>等</w:t>
            </w:r>
            <w:r>
              <w:rPr>
                <w:rFonts w:hint="default" w:ascii="Times New Roman" w:hAnsi="Times New Roman" w:cs="Times New Roman"/>
                <w:color w:val="auto"/>
                <w:sz w:val="24"/>
                <w:szCs w:val="24"/>
              </w:rPr>
              <w:t>。因此，本项目符合《湖南省长江经济带发展负面清单实施细则（试行，2022年版）》的要求。</w:t>
            </w:r>
          </w:p>
          <w:p>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left"/>
              <w:textAlignment w:val="auto"/>
              <w:rPr>
                <w:rFonts w:hint="default" w:ascii="Times New Roman" w:hAnsi="Times New Roman" w:cs="Times New Roman"/>
                <w:color w:val="auto"/>
                <w:sz w:val="24"/>
                <w:szCs w:val="24"/>
              </w:rPr>
            </w:pPr>
          </w:p>
        </w:tc>
      </w:tr>
    </w:tbl>
    <w:p>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19"/>
        <w:jc w:val="center"/>
        <w:outlineLvl w:val="0"/>
        <w:rPr>
          <w:rFonts w:hint="eastAsia" w:ascii="黑体" w:hAnsi="黑体" w:eastAsia="黑体"/>
          <w:snapToGrid w:val="0"/>
          <w:color w:val="auto"/>
          <w:sz w:val="30"/>
          <w:szCs w:val="30"/>
          <w:lang w:val="en-US" w:eastAsia="zh-CN"/>
        </w:rPr>
      </w:pPr>
      <w:bookmarkStart w:id="10" w:name="_Toc27846"/>
      <w:bookmarkStart w:id="11" w:name="_Toc4871"/>
      <w:r>
        <w:rPr>
          <w:rFonts w:hint="eastAsia" w:ascii="黑体" w:hAnsi="黑体" w:eastAsia="黑体"/>
          <w:snapToGrid w:val="0"/>
          <w:color w:val="auto"/>
          <w:sz w:val="30"/>
          <w:szCs w:val="30"/>
        </w:rPr>
        <w:t>二、建设</w:t>
      </w:r>
      <w:bookmarkEnd w:id="10"/>
      <w:r>
        <w:rPr>
          <w:rFonts w:hint="eastAsia" w:ascii="黑体" w:hAnsi="黑体" w:eastAsia="黑体"/>
          <w:snapToGrid w:val="0"/>
          <w:color w:val="auto"/>
          <w:sz w:val="30"/>
          <w:szCs w:val="30"/>
          <w:lang w:val="en-US" w:eastAsia="zh-CN"/>
        </w:rPr>
        <w:t>内容</w:t>
      </w:r>
      <w:bookmarkEnd w:id="11"/>
    </w:p>
    <w:tbl>
      <w:tblPr>
        <w:tblStyle w:val="22"/>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pPr>
              <w:pStyle w:val="19"/>
              <w:adjustRightInd w:val="0"/>
              <w:snapToGrid w:val="0"/>
              <w:spacing w:before="0" w:beforeAutospacing="0" w:after="0" w:afterAutospacing="0"/>
              <w:jc w:val="center"/>
              <w:rPr>
                <w:rFonts w:hint="eastAsia" w:ascii="Times New Roman" w:hAnsi="Times New Roman" w:cs="宋体"/>
                <w:color w:val="auto"/>
                <w:szCs w:val="21"/>
              </w:rPr>
            </w:pPr>
            <w:r>
              <w:rPr>
                <w:rFonts w:hint="eastAsia" w:ascii="Times New Roman" w:hAnsi="Times New Roman" w:cs="宋体"/>
                <w:color w:val="auto"/>
                <w:szCs w:val="21"/>
                <w:lang w:val="en-US" w:eastAsia="zh-CN"/>
              </w:rPr>
              <w:t>地理位置</w:t>
            </w:r>
          </w:p>
        </w:tc>
        <w:tc>
          <w:tcPr>
            <w:tcW w:w="8161" w:type="dxa"/>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本项目为团洲垸灾后重建安置房建设项目的二期，项目建设地点位于华容县团洲安全垸内团洲花园小区</w:t>
            </w:r>
            <w:r>
              <w:rPr>
                <w:rFonts w:hint="eastAsia" w:cs="宋体"/>
                <w:bCs/>
                <w:color w:val="auto"/>
                <w:sz w:val="24"/>
                <w:szCs w:val="21"/>
                <w:lang w:val="en-US" w:eastAsia="zh-CN"/>
              </w:rPr>
              <w:t>东</w:t>
            </w:r>
            <w:r>
              <w:rPr>
                <w:rFonts w:hint="eastAsia" w:ascii="Times New Roman" w:hAnsi="Times New Roman" w:eastAsia="宋体" w:cs="宋体"/>
                <w:bCs/>
                <w:color w:val="auto"/>
                <w:sz w:val="24"/>
                <w:szCs w:val="21"/>
                <w:lang w:val="en-US" w:eastAsia="zh-CN"/>
              </w:rPr>
              <w:t>侧</w:t>
            </w:r>
            <w:r>
              <w:rPr>
                <w:rFonts w:hint="eastAsia" w:cs="宋体"/>
                <w:bCs/>
                <w:color w:val="auto"/>
                <w:sz w:val="24"/>
                <w:szCs w:val="21"/>
                <w:lang w:val="en-US" w:eastAsia="zh-CN"/>
              </w:rPr>
              <w:t>，南电排渠西侧</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宋体"/>
                <w:bCs/>
                <w:color w:val="auto"/>
                <w:sz w:val="24"/>
                <w:szCs w:val="21"/>
                <w:lang w:val="en-US" w:eastAsia="zh-CN"/>
              </w:r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4897120" cy="3481070"/>
                  <wp:effectExtent l="19050" t="19050" r="36830" b="241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2"/>
                          <a:stretch>
                            <a:fillRect/>
                          </a:stretch>
                        </pic:blipFill>
                        <pic:spPr>
                          <a:xfrm>
                            <a:off x="0" y="0"/>
                            <a:ext cx="4897120" cy="3481070"/>
                          </a:xfrm>
                          <a:prstGeom prst="rect">
                            <a:avLst/>
                          </a:prstGeom>
                          <a:noFill/>
                          <a:ln w="19050" cmpd="sng">
                            <a:solidFill>
                              <a:schemeClr val="tx1"/>
                            </a:solidFill>
                            <a:prstDash val="solid"/>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color w:val="auto"/>
                <w:lang w:val="en-US" w:eastAsia="zh-CN"/>
              </w:rPr>
            </w:pPr>
            <w:r>
              <w:rPr>
                <w:rFonts w:hint="default" w:ascii="Times New Roman" w:hAnsi="Times New Roman" w:eastAsia="宋体" w:cs="Times New Roman"/>
                <w:b/>
                <w:bCs/>
                <w:color w:val="auto"/>
                <w:sz w:val="24"/>
                <w:szCs w:val="24"/>
                <w:lang w:val="en-US" w:eastAsia="zh-CN"/>
              </w:rPr>
              <w:t>图2.1   项目地理位置示意图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pPr>
              <w:pStyle w:val="19"/>
              <w:adjustRightInd w:val="0"/>
              <w:snapToGrid w:val="0"/>
              <w:spacing w:before="0" w:beforeAutospacing="0" w:after="0" w:afterAutospacing="0"/>
              <w:jc w:val="center"/>
              <w:rPr>
                <w:rFonts w:hint="default" w:ascii="Times New Roman" w:hAnsi="Times New Roman" w:eastAsia="宋体" w:cs="宋体"/>
                <w:color w:val="auto"/>
                <w:szCs w:val="21"/>
                <w:lang w:val="en-US" w:eastAsia="zh-CN"/>
              </w:rPr>
            </w:pPr>
            <w:r>
              <w:rPr>
                <w:rFonts w:hint="eastAsia" w:ascii="Times New Roman" w:hAnsi="Times New Roman" w:cs="宋体"/>
                <w:color w:val="auto"/>
                <w:szCs w:val="21"/>
                <w:lang w:val="en-US" w:eastAsia="zh-CN"/>
              </w:rPr>
              <w:t>项目组成及规模</w:t>
            </w:r>
          </w:p>
        </w:tc>
        <w:tc>
          <w:tcPr>
            <w:tcW w:w="8161" w:type="dxa"/>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宋体"/>
                <w:b/>
                <w:bCs w:val="0"/>
                <w:color w:val="auto"/>
                <w:sz w:val="24"/>
                <w:szCs w:val="21"/>
                <w:lang w:val="en-US" w:eastAsia="zh-CN"/>
              </w:rPr>
            </w:pPr>
            <w:r>
              <w:rPr>
                <w:rFonts w:hint="eastAsia" w:cs="宋体"/>
                <w:b/>
                <w:bCs w:val="0"/>
                <w:color w:val="auto"/>
                <w:sz w:val="24"/>
                <w:szCs w:val="21"/>
                <w:lang w:val="en-US" w:eastAsia="zh-CN"/>
              </w:rPr>
              <w:t>1、项目建设背景</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工程规模及内容</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w:t>
            </w:r>
            <w:r>
              <w:rPr>
                <w:rFonts w:hint="eastAsia" w:cs="宋体"/>
                <w:b/>
                <w:color w:val="auto"/>
                <w:sz w:val="24"/>
                <w:szCs w:val="21"/>
              </w:rPr>
              <w:t>.1 项目基本情况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（二期）</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建设性质：新建</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cs="宋体"/>
                <w:bCs/>
                <w:color w:val="auto"/>
                <w:sz w:val="24"/>
                <w:szCs w:val="21"/>
                <w:lang w:val="en-US" w:eastAsia="zh-CN"/>
              </w:rPr>
              <w:t>华容县城乡建设事务中心</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w:t>
            </w:r>
            <w:r>
              <w:rPr>
                <w:rFonts w:hint="eastAsia" w:cs="宋体"/>
                <w:bCs/>
                <w:color w:val="auto"/>
                <w:sz w:val="24"/>
                <w:szCs w:val="21"/>
                <w:lang w:val="en-US" w:eastAsia="zh-CN"/>
              </w:rPr>
              <w:t>东</w:t>
            </w:r>
            <w:r>
              <w:rPr>
                <w:rFonts w:hint="eastAsia" w:ascii="Times New Roman" w:hAnsi="Times New Roman" w:eastAsia="宋体" w:cs="宋体"/>
                <w:bCs/>
                <w:color w:val="auto"/>
                <w:sz w:val="24"/>
                <w:szCs w:val="21"/>
                <w:lang w:val="en-US" w:eastAsia="zh-CN"/>
              </w:rPr>
              <w:t>侧</w:t>
            </w:r>
            <w:r>
              <w:rPr>
                <w:rFonts w:hint="eastAsia" w:cs="宋体"/>
                <w:bCs/>
                <w:color w:val="auto"/>
                <w:sz w:val="24"/>
                <w:szCs w:val="21"/>
                <w:lang w:val="en-US" w:eastAsia="zh-CN"/>
              </w:rPr>
              <w:t>，南电排渠西侧</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w:t>
            </w:r>
            <w:r>
              <w:rPr>
                <w:rFonts w:hint="eastAsia" w:ascii="Times New Roman" w:hAnsi="Times New Roman" w:cs="宋体"/>
                <w:color w:val="auto"/>
                <w:sz w:val="24"/>
                <w:szCs w:val="21"/>
                <w:highlight w:val="none"/>
                <w:lang w:val="en-US" w:eastAsia="zh-CN"/>
              </w:rPr>
              <w:t>东经 112.</w:t>
            </w:r>
            <w:r>
              <w:rPr>
                <w:rFonts w:hint="eastAsia" w:cs="宋体"/>
                <w:color w:val="auto"/>
                <w:sz w:val="24"/>
                <w:szCs w:val="21"/>
                <w:highlight w:val="none"/>
                <w:lang w:val="en-US" w:eastAsia="zh-CN"/>
              </w:rPr>
              <w:t>798150E</w:t>
            </w:r>
            <w:r>
              <w:rPr>
                <w:rFonts w:hint="eastAsia" w:ascii="Times New Roman" w:hAnsi="Times New Roman" w:cs="宋体"/>
                <w:color w:val="auto"/>
                <w:sz w:val="24"/>
                <w:szCs w:val="21"/>
                <w:highlight w:val="none"/>
                <w:lang w:val="en-US" w:eastAsia="zh-CN"/>
              </w:rPr>
              <w:t>；北纬2</w:t>
            </w:r>
            <w:r>
              <w:rPr>
                <w:rFonts w:hint="eastAsia" w:cs="宋体"/>
                <w:color w:val="auto"/>
                <w:sz w:val="24"/>
                <w:szCs w:val="21"/>
                <w:highlight w:val="none"/>
                <w:lang w:val="en-US" w:eastAsia="zh-CN"/>
              </w:rPr>
              <w:t>9.336444N</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rPr>
            </w:pPr>
            <w:r>
              <w:rPr>
                <w:rFonts w:hint="eastAsia" w:cs="宋体"/>
                <w:bCs/>
                <w:color w:val="auto"/>
                <w:sz w:val="24"/>
                <w:szCs w:val="21"/>
              </w:rPr>
              <w:t>项目投资：总投</w:t>
            </w:r>
            <w:r>
              <w:rPr>
                <w:rFonts w:hint="eastAsia" w:cs="宋体"/>
                <w:bCs/>
                <w:color w:val="auto"/>
                <w:sz w:val="24"/>
                <w:szCs w:val="21"/>
                <w:lang w:val="en-US" w:eastAsia="zh-CN"/>
              </w:rPr>
              <w:t>资19995万元，其中环保投资</w:t>
            </w:r>
            <w:r>
              <w:rPr>
                <w:rFonts w:hint="eastAsia" w:cs="宋体"/>
                <w:bCs/>
                <w:color w:val="auto"/>
                <w:sz w:val="24"/>
                <w:szCs w:val="21"/>
                <w:highlight w:val="none"/>
                <w:lang w:val="en-US" w:eastAsia="zh-CN"/>
              </w:rPr>
              <w:t>158万元，占</w:t>
            </w:r>
            <w:r>
              <w:rPr>
                <w:rFonts w:hint="eastAsia" w:cs="宋体"/>
                <w:bCs/>
                <w:color w:val="auto"/>
                <w:sz w:val="24"/>
                <w:szCs w:val="21"/>
                <w:lang w:val="en-US" w:eastAsia="zh-CN"/>
              </w:rPr>
              <w:t>总投资的0.79%，本项目的资金来源由县财政整合相关救灾补助资金、危房改造项目资金、社会捐赠资金和受灾群众部分自筹组成</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占地面积：约</w:t>
            </w:r>
            <w:r>
              <w:rPr>
                <w:rFonts w:hint="eastAsia" w:cs="宋体"/>
                <w:bCs/>
                <w:color w:val="auto"/>
                <w:sz w:val="24"/>
                <w:szCs w:val="21"/>
                <w:lang w:val="en-US" w:eastAsia="zh-CN"/>
              </w:rPr>
              <w:t>57672</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1"/>
              </w:rPr>
              <w:t>，总建筑面积约</w:t>
            </w:r>
            <w:r>
              <w:rPr>
                <w:rFonts w:hint="eastAsia" w:cs="宋体"/>
                <w:bCs/>
                <w:color w:val="auto"/>
                <w:sz w:val="24"/>
                <w:szCs w:val="21"/>
                <w:lang w:val="en-US" w:eastAsia="zh-CN"/>
              </w:rPr>
              <w:t>79862.49</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adjustRightInd w:val="0"/>
              <w:snapToGrid w:val="0"/>
              <w:spacing w:line="360" w:lineRule="auto"/>
              <w:ind w:firstLine="482" w:firstLineChars="200"/>
              <w:jc w:val="left"/>
              <w:rPr>
                <w:rFonts w:cs="宋体"/>
                <w:b/>
                <w:color w:val="auto"/>
                <w:sz w:val="24"/>
                <w:szCs w:val="21"/>
              </w:rPr>
            </w:pPr>
            <w:r>
              <w:rPr>
                <w:rFonts w:hint="eastAsia" w:cs="宋体"/>
                <w:b/>
                <w:color w:val="auto"/>
                <w:sz w:val="24"/>
                <w:szCs w:val="21"/>
                <w:lang w:val="en-US" w:eastAsia="zh-CN"/>
              </w:rPr>
              <w:t>2.2</w:t>
            </w:r>
            <w:r>
              <w:rPr>
                <w:rFonts w:hint="eastAsia" w:cs="宋体"/>
                <w:b/>
                <w:color w:val="auto"/>
                <w:sz w:val="24"/>
                <w:szCs w:val="21"/>
              </w:rPr>
              <w:t>项目主要建设内容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本项目二期规划住宅用地面积 57672平方米，新建22栋1+6F电梯住宅楼，3个门卫室，总建筑面积为79862.49平方米，容积率1.35，建筑密度 19.41%，绿地率20.10%，停车位508个。总户数636户，其中70户型120套，105户型336套，140户型180套。红线外临时施工道路三条，总长810 米，宽11米。住宅楼均为坡屋面，建筑外立面为徽派建筑，外墙面为真石漆，建筑结构类型为砖混结构，并配套建设绿化、消防、给排水、供配电等基础设施</w:t>
            </w:r>
            <w:r>
              <w:rPr>
                <w:rFonts w:hint="eastAsia" w:ascii="Times New Roman" w:hAnsi="Times New Roman" w:eastAsia="宋体" w:cs="宋体"/>
                <w:bCs/>
                <w:color w:val="auto"/>
                <w:sz w:val="24"/>
                <w:szCs w:val="21"/>
                <w:lang w:val="en-US" w:eastAsia="zh-CN"/>
              </w:rPr>
              <w:t>。</w:t>
            </w:r>
          </w:p>
          <w:p>
            <w:pPr>
              <w:adjustRightInd w:val="0"/>
              <w:snapToGrid w:val="0"/>
              <w:ind w:firstLine="482" w:firstLineChars="200"/>
              <w:jc w:val="center"/>
              <w:rPr>
                <w:b/>
                <w:color w:val="auto"/>
                <w:sz w:val="24"/>
                <w:szCs w:val="21"/>
              </w:rPr>
            </w:pPr>
            <w:r>
              <w:rPr>
                <w:b/>
                <w:color w:val="auto"/>
                <w:sz w:val="24"/>
                <w:szCs w:val="21"/>
              </w:rPr>
              <w:t>表</w:t>
            </w:r>
            <w:r>
              <w:rPr>
                <w:rFonts w:hint="eastAsia"/>
                <w:b/>
                <w:color w:val="auto"/>
                <w:sz w:val="24"/>
                <w:szCs w:val="21"/>
              </w:rPr>
              <w:t xml:space="preserve">2-1  </w:t>
            </w:r>
            <w:r>
              <w:rPr>
                <w:b/>
                <w:color w:val="auto"/>
                <w:sz w:val="24"/>
                <w:szCs w:val="21"/>
              </w:rPr>
              <w:t>项目主要建设内容一览表</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937"/>
              <w:gridCol w:w="49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工程</w:t>
                  </w:r>
                </w:p>
              </w:tc>
              <w:tc>
                <w:tcPr>
                  <w:tcW w:w="1937"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内容</w:t>
                  </w:r>
                </w:p>
              </w:tc>
              <w:tc>
                <w:tcPr>
                  <w:tcW w:w="4910" w:type="dxa"/>
                  <w:tcBorders>
                    <w:tl2br w:val="nil"/>
                    <w:tr2bl w:val="nil"/>
                  </w:tcBorders>
                  <w:shd w:val="clear" w:color="auto" w:fill="auto"/>
                  <w:vAlign w:val="center"/>
                </w:tcPr>
                <w:p>
                  <w:pPr>
                    <w:pStyle w:val="50"/>
                    <w:spacing w:before="0" w:beforeLines="0" w:after="0" w:afterLines="0"/>
                    <w:rPr>
                      <w:color w:val="auto"/>
                      <w:sz w:val="21"/>
                      <w:szCs w:val="18"/>
                    </w:rPr>
                  </w:pPr>
                  <w:r>
                    <w:rPr>
                      <w:color w:val="auto"/>
                      <w:sz w:val="21"/>
                      <w:szCs w:val="18"/>
                    </w:rPr>
                    <w:t>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主体工程</w:t>
                  </w: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安置楼房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1-</w:t>
                  </w:r>
                  <w:r>
                    <w:rPr>
                      <w:rFonts w:hint="eastAsia" w:cs="Times New Roman"/>
                      <w:bCs/>
                      <w:color w:val="auto"/>
                      <w:sz w:val="21"/>
                      <w:szCs w:val="18"/>
                      <w:lang w:val="en-US" w:eastAsia="zh-CN"/>
                    </w:rPr>
                    <w:t>22</w:t>
                  </w:r>
                  <w:r>
                    <w:rPr>
                      <w:rFonts w:hint="eastAsia" w:ascii="Times New Roman" w:hAnsi="Times New Roman" w:eastAsia="宋体" w:cs="Times New Roman"/>
                      <w:bCs/>
                      <w:color w:val="auto"/>
                      <w:sz w:val="21"/>
                      <w:szCs w:val="18"/>
                      <w:lang w:val="en-US" w:eastAsia="zh-CN"/>
                    </w:rPr>
                    <w:t>#栋1+6F电梯住宅楼，</w:t>
                  </w:r>
                  <w:r>
                    <w:rPr>
                      <w:rFonts w:hint="eastAsia" w:ascii="Times New Roman" w:hAnsi="Times New Roman" w:eastAsia="宋体" w:cs="Times New Roman"/>
                      <w:bCs/>
                      <w:color w:val="auto"/>
                      <w:sz w:val="21"/>
                      <w:szCs w:val="18"/>
                      <w:highlight w:val="none"/>
                      <w:lang w:val="en-US" w:eastAsia="zh-CN"/>
                    </w:rPr>
                    <w:t>总建筑面积</w:t>
                  </w:r>
                  <w:r>
                    <w:rPr>
                      <w:rFonts w:hint="eastAsia" w:cs="Times New Roman"/>
                      <w:bCs/>
                      <w:color w:val="auto"/>
                      <w:sz w:val="21"/>
                      <w:szCs w:val="18"/>
                      <w:highlight w:val="none"/>
                      <w:lang w:val="en-US" w:eastAsia="zh-CN"/>
                    </w:rPr>
                    <w:t>77162.52</w:t>
                  </w:r>
                  <w:r>
                    <w:rPr>
                      <w:rFonts w:hint="eastAsia" w:ascii="Times New Roman" w:hAnsi="Times New Roman" w:eastAsia="宋体" w:cs="Times New Roman"/>
                      <w:bCs/>
                      <w:color w:val="auto"/>
                      <w:sz w:val="21"/>
                      <w:szCs w:val="18"/>
                      <w:highlight w:val="none"/>
                    </w:rPr>
                    <w:t>m</w:t>
                  </w:r>
                  <w:r>
                    <w:rPr>
                      <w:rFonts w:hint="eastAsia" w:ascii="Times New Roman" w:hAnsi="Times New Roman" w:eastAsia="宋体" w:cs="Times New Roman"/>
                      <w:bCs/>
                      <w:color w:val="auto"/>
                      <w:sz w:val="21"/>
                      <w:szCs w:val="18"/>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辅助工程</w:t>
                  </w: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设备房</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主要为配电间用房，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w:t>
                  </w:r>
                  <w:r>
                    <w:rPr>
                      <w:rFonts w:hint="eastAsia" w:ascii="Times New Roman" w:hAnsi="Times New Roman" w:eastAsia="宋体" w:cs="Times New Roman"/>
                      <w:bCs/>
                      <w:color w:val="auto"/>
                      <w:sz w:val="21"/>
                      <w:szCs w:val="18"/>
                      <w:lang w:val="en-US" w:eastAsia="zh-CN"/>
                    </w:rPr>
                    <w:t>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物业用房寄门卫室</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rPr>
                  </w:pPr>
                  <w:r>
                    <w:rPr>
                      <w:rFonts w:hint="eastAsia" w:cs="Times New Roman"/>
                      <w:bCs/>
                      <w:color w:val="auto"/>
                      <w:sz w:val="21"/>
                      <w:szCs w:val="18"/>
                      <w:lang w:val="en-US" w:eastAsia="zh-CN"/>
                    </w:rPr>
                    <w:t>物业用房，</w:t>
                  </w:r>
                  <w:r>
                    <w:rPr>
                      <w:rFonts w:hint="eastAsia" w:ascii="Times New Roman" w:hAnsi="Times New Roman" w:eastAsia="宋体" w:cs="Times New Roman"/>
                      <w:bCs/>
                      <w:color w:val="auto"/>
                      <w:sz w:val="21"/>
                      <w:szCs w:val="18"/>
                      <w:lang w:val="en-US" w:eastAsia="zh-CN"/>
                    </w:rPr>
                    <w:t>建筑</w:t>
                  </w:r>
                  <w:r>
                    <w:rPr>
                      <w:rFonts w:hint="eastAsia" w:cs="Times New Roman"/>
                      <w:bCs/>
                      <w:color w:val="auto"/>
                      <w:sz w:val="21"/>
                      <w:szCs w:val="18"/>
                      <w:lang w:val="en-US" w:eastAsia="zh-CN"/>
                    </w:rPr>
                    <w:t>面积300</w:t>
                  </w:r>
                  <w:r>
                    <w:rPr>
                      <w:rFonts w:hint="eastAsia" w:ascii="Times New Roman" w:hAnsi="Times New Roman" w:eastAsia="宋体" w:cs="Times New Roman"/>
                      <w:bCs/>
                      <w:color w:val="auto"/>
                      <w:sz w:val="21"/>
                      <w:szCs w:val="18"/>
                    </w:rPr>
                    <w:t>m</w:t>
                  </w:r>
                  <w:r>
                    <w:rPr>
                      <w:rFonts w:hint="eastAsia" w:ascii="Times New Roman" w:hAnsi="Times New Roman" w:eastAsia="宋体" w:cs="Times New Roman"/>
                      <w:bCs/>
                      <w:color w:val="auto"/>
                      <w:sz w:val="21"/>
                      <w:szCs w:val="18"/>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公用工程</w:t>
                  </w: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供水</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市政自来水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排水</w:t>
                  </w:r>
                </w:p>
              </w:tc>
              <w:tc>
                <w:tcPr>
                  <w:tcW w:w="4910" w:type="dxa"/>
                  <w:tcBorders>
                    <w:tl2br w:val="nil"/>
                    <w:tr2bl w:val="nil"/>
                  </w:tcBorders>
                  <w:vAlign w:val="center"/>
                </w:tcPr>
                <w:p>
                  <w:pPr>
                    <w:jc w:val="center"/>
                    <w:rPr>
                      <w:rFonts w:hint="default"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生活污水经收集后进入化粪池处理，处理达标后进入市政污水管网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供电</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当地电网供给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环保工程</w:t>
                  </w: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污水处理设施</w:t>
                  </w:r>
                </w:p>
              </w:tc>
              <w:tc>
                <w:tcPr>
                  <w:tcW w:w="4910" w:type="dxa"/>
                  <w:tcBorders>
                    <w:tl2br w:val="nil"/>
                    <w:tr2bl w:val="nil"/>
                  </w:tcBorders>
                  <w:vAlign w:val="center"/>
                </w:tcPr>
                <w:p>
                  <w:pPr>
                    <w:jc w:val="center"/>
                    <w:rPr>
                      <w:rFonts w:hint="eastAsia" w:ascii="Times New Roman" w:hAnsi="Times New Roman" w:eastAsia="宋体" w:cs="Times New Roman"/>
                      <w:bCs/>
                      <w:color w:val="auto"/>
                      <w:sz w:val="21"/>
                      <w:szCs w:val="18"/>
                      <w:lang w:val="en-US" w:eastAsia="zh-CN"/>
                    </w:rPr>
                  </w:pPr>
                  <w:r>
                    <w:rPr>
                      <w:rFonts w:hint="eastAsia" w:ascii="Times New Roman" w:hAnsi="Times New Roman" w:eastAsia="宋体" w:cs="Times New Roman"/>
                      <w:bCs/>
                      <w:color w:val="auto"/>
                      <w:sz w:val="21"/>
                      <w:szCs w:val="18"/>
                      <w:lang w:val="en-US" w:eastAsia="zh-CN"/>
                    </w:rPr>
                    <w:t>生活污水通过化粪池处理</w:t>
                  </w:r>
                  <w:r>
                    <w:rPr>
                      <w:rFonts w:hint="eastAsia" w:cs="Times New Roman"/>
                      <w:bCs/>
                      <w:color w:val="auto"/>
                      <w:sz w:val="21"/>
                      <w:szCs w:val="18"/>
                      <w:lang w:val="en-US" w:eastAsia="zh-CN"/>
                    </w:rPr>
                    <w:t>后外排市政污水管网</w:t>
                  </w:r>
                  <w:r>
                    <w:rPr>
                      <w:rFonts w:hint="eastAsia" w:ascii="Times New Roman" w:hAnsi="Times New Roman" w:eastAsia="宋体" w:cs="Times New Roman"/>
                      <w:bCs/>
                      <w:color w:val="auto"/>
                      <w:sz w:val="21"/>
                      <w:szCs w:val="1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废气处理设施</w:t>
                  </w:r>
                </w:p>
              </w:tc>
              <w:tc>
                <w:tcPr>
                  <w:tcW w:w="4910" w:type="dxa"/>
                  <w:tcBorders>
                    <w:tl2br w:val="nil"/>
                    <w:tr2bl w:val="nil"/>
                  </w:tcBorders>
                  <w:vAlign w:val="center"/>
                </w:tcPr>
                <w:p>
                  <w:pPr>
                    <w:pStyle w:val="50"/>
                    <w:spacing w:before="0" w:beforeLines="0" w:after="0" w:afterLines="0"/>
                    <w:rPr>
                      <w:rFonts w:hint="default" w:eastAsia="宋体"/>
                      <w:b w:val="0"/>
                      <w:bCs/>
                      <w:color w:val="auto"/>
                      <w:sz w:val="21"/>
                      <w:szCs w:val="18"/>
                      <w:lang w:val="en-US" w:eastAsia="zh-CN"/>
                    </w:rPr>
                  </w:pPr>
                  <w:r>
                    <w:rPr>
                      <w:rFonts w:hint="eastAsia"/>
                      <w:b w:val="0"/>
                      <w:bCs/>
                      <w:color w:val="auto"/>
                      <w:sz w:val="21"/>
                      <w:szCs w:val="18"/>
                      <w:lang w:val="en-US" w:eastAsia="zh-CN"/>
                    </w:rPr>
                    <w:t>油烟经油烟机处理后外排周边大气环境，汽车尾气以及垃圾桶恶臭产生量较小可通过加强管理减轻其影响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噪声处理设施</w:t>
                  </w:r>
                </w:p>
              </w:tc>
              <w:tc>
                <w:tcPr>
                  <w:tcW w:w="4910" w:type="dxa"/>
                  <w:tcBorders>
                    <w:tl2br w:val="nil"/>
                    <w:tr2bl w:val="nil"/>
                  </w:tcBorders>
                  <w:vAlign w:val="center"/>
                </w:tcPr>
                <w:p>
                  <w:pPr>
                    <w:pStyle w:val="50"/>
                    <w:spacing w:before="0" w:beforeLines="0" w:after="0" w:afterLines="0"/>
                    <w:rPr>
                      <w:rFonts w:hint="eastAsia" w:eastAsia="宋体"/>
                      <w:b w:val="0"/>
                      <w:bCs/>
                      <w:color w:val="auto"/>
                      <w:sz w:val="21"/>
                      <w:szCs w:val="18"/>
                      <w:u w:val="single"/>
                      <w:lang w:val="en-US" w:eastAsia="zh-CN"/>
                    </w:rPr>
                  </w:pPr>
                  <w:r>
                    <w:rPr>
                      <w:rFonts w:hint="eastAsia"/>
                      <w:b w:val="0"/>
                      <w:bCs/>
                      <w:color w:val="auto"/>
                      <w:sz w:val="21"/>
                      <w:szCs w:val="18"/>
                      <w:lang w:val="en-US" w:eastAsia="zh-CN"/>
                    </w:rPr>
                    <w:t>配电房变压器位于密闭房间内切采用吸声、基础减震等措施；电梯机组位于密闭房间内我且设置有</w:t>
                  </w:r>
                  <w:r>
                    <w:rPr>
                      <w:b w:val="0"/>
                      <w:bCs/>
                      <w:color w:val="auto"/>
                      <w:sz w:val="21"/>
                      <w:szCs w:val="18"/>
                    </w:rPr>
                    <w:t>基础减振</w:t>
                  </w:r>
                  <w:r>
                    <w:rPr>
                      <w:rFonts w:hint="eastAsia"/>
                      <w:b w:val="0"/>
                      <w:bCs/>
                      <w:color w:val="auto"/>
                      <w:sz w:val="21"/>
                      <w:szCs w:val="18"/>
                      <w:lang w:val="en-US" w:eastAsia="zh-CN"/>
                    </w:rPr>
                    <w:t>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tcBorders>
                    <w:tl2br w:val="nil"/>
                    <w:tr2bl w:val="nil"/>
                  </w:tcBorders>
                  <w:vAlign w:val="center"/>
                </w:tcPr>
                <w:p>
                  <w:pPr>
                    <w:pStyle w:val="50"/>
                    <w:spacing w:before="0" w:beforeLines="0" w:after="0" w:afterLines="0"/>
                    <w:rPr>
                      <w:b w:val="0"/>
                      <w:bCs/>
                      <w:color w:val="auto"/>
                      <w:sz w:val="21"/>
                      <w:szCs w:val="18"/>
                    </w:rPr>
                  </w:pPr>
                </w:p>
              </w:tc>
              <w:tc>
                <w:tcPr>
                  <w:tcW w:w="1937" w:type="dxa"/>
                  <w:tcBorders>
                    <w:tl2br w:val="nil"/>
                    <w:tr2bl w:val="nil"/>
                  </w:tcBorders>
                  <w:vAlign w:val="center"/>
                </w:tcPr>
                <w:p>
                  <w:pPr>
                    <w:pStyle w:val="50"/>
                    <w:spacing w:before="0" w:beforeLines="0" w:after="0" w:afterLines="0"/>
                    <w:rPr>
                      <w:b w:val="0"/>
                      <w:bCs/>
                      <w:color w:val="auto"/>
                      <w:sz w:val="21"/>
                      <w:szCs w:val="18"/>
                    </w:rPr>
                  </w:pPr>
                  <w:r>
                    <w:rPr>
                      <w:b w:val="0"/>
                      <w:bCs/>
                      <w:color w:val="auto"/>
                      <w:sz w:val="21"/>
                      <w:szCs w:val="18"/>
                    </w:rPr>
                    <w:t>固体废物处理设施</w:t>
                  </w:r>
                </w:p>
              </w:tc>
              <w:tc>
                <w:tcPr>
                  <w:tcW w:w="4910" w:type="dxa"/>
                  <w:tcBorders>
                    <w:tl2br w:val="nil"/>
                    <w:tr2bl w:val="nil"/>
                  </w:tcBorders>
                  <w:vAlign w:val="center"/>
                </w:tcPr>
                <w:p>
                  <w:pPr>
                    <w:pStyle w:val="50"/>
                    <w:spacing w:before="0" w:beforeLines="0" w:after="0" w:afterLines="0"/>
                    <w:rPr>
                      <w:bCs/>
                      <w:color w:val="auto"/>
                      <w:sz w:val="21"/>
                      <w:szCs w:val="18"/>
                    </w:rPr>
                  </w:pPr>
                  <w:r>
                    <w:rPr>
                      <w:b w:val="0"/>
                      <w:bCs/>
                      <w:color w:val="auto"/>
                      <w:sz w:val="21"/>
                      <w:szCs w:val="18"/>
                    </w:rPr>
                    <w:t>生活垃圾经</w:t>
                  </w:r>
                  <w:r>
                    <w:rPr>
                      <w:rFonts w:hint="eastAsia"/>
                      <w:b w:val="0"/>
                      <w:bCs/>
                      <w:color w:val="auto"/>
                      <w:sz w:val="21"/>
                      <w:szCs w:val="18"/>
                      <w:lang w:val="en-US" w:eastAsia="zh-CN"/>
                    </w:rPr>
                    <w:t>分类收集</w:t>
                  </w:r>
                  <w:r>
                    <w:rPr>
                      <w:b w:val="0"/>
                      <w:bCs/>
                      <w:color w:val="auto"/>
                      <w:sz w:val="21"/>
                      <w:szCs w:val="18"/>
                    </w:rPr>
                    <w:t>垃圾桶收集后交由环卫部门处置</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jc w:val="center"/>
              <w:textAlignment w:val="auto"/>
              <w:rPr>
                <w:rFonts w:hint="eastAsia" w:cs="宋体"/>
                <w:b/>
                <w:color w:val="auto"/>
                <w:sz w:val="24"/>
                <w:szCs w:val="21"/>
                <w:lang w:val="en-US" w:eastAsia="zh-CN"/>
              </w:rPr>
            </w:pPr>
            <w:r>
              <w:rPr>
                <w:b/>
                <w:color w:val="auto"/>
                <w:sz w:val="24"/>
                <w:szCs w:val="21"/>
              </w:rPr>
              <w:t>表</w:t>
            </w:r>
            <w:r>
              <w:rPr>
                <w:rFonts w:hint="eastAsia"/>
                <w:b/>
                <w:color w:val="auto"/>
                <w:sz w:val="24"/>
                <w:szCs w:val="21"/>
              </w:rPr>
              <w:t>2-</w:t>
            </w:r>
            <w:r>
              <w:rPr>
                <w:rFonts w:hint="eastAsia"/>
                <w:b/>
                <w:color w:val="auto"/>
                <w:sz w:val="24"/>
                <w:szCs w:val="21"/>
                <w:lang w:val="en-US" w:eastAsia="zh-CN"/>
              </w:rPr>
              <w:t xml:space="preserve">2  </w:t>
            </w:r>
            <w:r>
              <w:rPr>
                <w:rFonts w:hint="eastAsia" w:cs="宋体"/>
                <w:b/>
                <w:color w:val="auto"/>
                <w:sz w:val="24"/>
                <w:szCs w:val="21"/>
                <w:lang w:val="en-US" w:eastAsia="zh-CN"/>
              </w:rPr>
              <w:t>综合经济技术指标表</w:t>
            </w:r>
          </w:p>
          <w:tbl>
            <w:tblPr>
              <w:tblStyle w:val="22"/>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4"/>
              <w:gridCol w:w="3074"/>
              <w:gridCol w:w="2603"/>
              <w:gridCol w:w="16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二期综合经济技术指标表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名称</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数值</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bCs w:val="0"/>
                      <w:color w:val="auto"/>
                      <w:sz w:val="21"/>
                      <w:szCs w:val="18"/>
                      <w:lang w:val="en-US" w:eastAsia="zh-CN"/>
                    </w:rPr>
                  </w:pPr>
                  <w:r>
                    <w:rPr>
                      <w:rFonts w:hint="eastAsia" w:ascii="Times New Roman" w:hAnsi="Times New Roman" w:eastAsia="宋体" w:cs="Times New Roman"/>
                      <w:b/>
                      <w:bCs w:val="0"/>
                      <w:color w:val="auto"/>
                      <w:sz w:val="21"/>
                      <w:szCs w:val="18"/>
                      <w:lang w:val="en-US" w:eastAsia="zh-CN"/>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规划用地面积</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57672.98</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总建筑面积</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79862.49</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计容建筑面积</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77462.52</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70户型（3栋）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9124.6</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105户型（12栋）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39666.62</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140户型（7栋）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28371.3</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物业用房/门卫室</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300</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不计容积率建筑面积</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2399.97</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建筑基底面积</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11196.39</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建筑密度</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19.41</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容积率</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1.35</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绿地率</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20.10</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总户数</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636</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restart"/>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70户型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120</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105户型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336</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614" w:type="dxa"/>
                  <w:vMerge w:val="continue"/>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p>
              </w:tc>
              <w:tc>
                <w:tcPr>
                  <w:tcW w:w="3074"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140户型</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180</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3688" w:type="dxa"/>
                  <w:gridSpan w:val="2"/>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停车位</w:t>
                  </w:r>
                </w:p>
              </w:tc>
              <w:tc>
                <w:tcPr>
                  <w:tcW w:w="2603"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508</w:t>
                  </w:r>
                </w:p>
              </w:tc>
              <w:tc>
                <w:tcPr>
                  <w:tcW w:w="1646" w:type="dxa"/>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个</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 w:type="dxa"/>
                  <w:bottom w:w="0" w:type="dxa"/>
                  <w:right w:w="10" w:type="dxa"/>
                </w:tblCellMar>
              </w:tblPrEx>
              <w:trPr>
                <w:trHeight w:val="397" w:hRule="atLeast"/>
              </w:trPr>
              <w:tc>
                <w:tcPr>
                  <w:tcW w:w="7937" w:type="dxa"/>
                  <w:gridSpan w:val="4"/>
                  <w:tcBorders>
                    <w:tl2br w:val="nil"/>
                    <w:tr2bl w:val="nil"/>
                  </w:tcBorders>
                  <w:vAlign w:val="center"/>
                </w:tcPr>
                <w:p>
                  <w:pPr>
                    <w:pStyle w:val="50"/>
                    <w:spacing w:before="0" w:beforeLines="0" w:after="0" w:afterLines="0"/>
                    <w:jc w:val="center"/>
                    <w:rPr>
                      <w:rFonts w:hint="eastAsia" w:ascii="Times New Roman" w:hAnsi="Times New Roman" w:eastAsia="宋体" w:cs="Times New Roman"/>
                      <w:b w:val="0"/>
                      <w:bCs/>
                      <w:color w:val="auto"/>
                      <w:sz w:val="21"/>
                      <w:szCs w:val="18"/>
                      <w:lang w:val="en-US" w:eastAsia="zh-CN"/>
                    </w:rPr>
                  </w:pPr>
                  <w:r>
                    <w:rPr>
                      <w:rFonts w:hint="eastAsia" w:ascii="Times New Roman" w:hAnsi="Times New Roman" w:eastAsia="宋体" w:cs="Times New Roman"/>
                      <w:b w:val="0"/>
                      <w:bCs/>
                      <w:color w:val="auto"/>
                      <w:sz w:val="21"/>
                      <w:szCs w:val="18"/>
                      <w:lang w:val="en-US" w:eastAsia="zh-CN"/>
                    </w:rPr>
                    <w:t>其中</w:t>
                  </w:r>
                  <w:r>
                    <w:rPr>
                      <w:rFonts w:hint="eastAsia" w:cs="Times New Roman"/>
                      <w:b w:val="0"/>
                      <w:bCs/>
                      <w:color w:val="auto"/>
                      <w:sz w:val="21"/>
                      <w:szCs w:val="18"/>
                      <w:lang w:val="en-US" w:eastAsia="zh-CN"/>
                    </w:rPr>
                    <w:t>：</w:t>
                  </w:r>
                  <w:r>
                    <w:rPr>
                      <w:rFonts w:hint="eastAsia" w:ascii="Times New Roman" w:hAnsi="Times New Roman" w:eastAsia="宋体" w:cs="Times New Roman"/>
                      <w:b w:val="0"/>
                      <w:bCs/>
                      <w:color w:val="auto"/>
                      <w:sz w:val="21"/>
                      <w:szCs w:val="18"/>
                      <w:lang w:val="en-US" w:eastAsia="zh-CN"/>
                    </w:rPr>
                    <w:t>室外停车位443个，（其中无障碍停车位11个），车库停车位65个，（其中新能源停车位51个）非机动停车位306个（充电桩153个）</w:t>
                  </w:r>
                </w:p>
              </w:tc>
            </w:tr>
          </w:tbl>
          <w:p>
            <w:pPr>
              <w:numPr>
                <w:ilvl w:val="0"/>
                <w:numId w:val="0"/>
              </w:numPr>
              <w:adjustRightInd w:val="0"/>
              <w:snapToGrid w:val="0"/>
              <w:spacing w:line="360" w:lineRule="auto"/>
              <w:jc w:val="left"/>
              <w:rPr>
                <w:rFonts w:cs="宋体"/>
                <w:b/>
                <w:color w:val="auto"/>
                <w:sz w:val="24"/>
                <w:szCs w:val="21"/>
              </w:rPr>
            </w:pPr>
            <w:r>
              <w:rPr>
                <w:rFonts w:hint="eastAsia" w:cs="宋体"/>
                <w:b/>
                <w:color w:val="auto"/>
                <w:sz w:val="24"/>
                <w:szCs w:val="21"/>
                <w:lang w:val="en-US" w:eastAsia="zh-CN"/>
              </w:rPr>
              <w:t>3、</w:t>
            </w:r>
            <w:r>
              <w:rPr>
                <w:rFonts w:hint="eastAsia" w:cs="宋体"/>
                <w:b/>
                <w:color w:val="auto"/>
                <w:sz w:val="24"/>
                <w:szCs w:val="21"/>
              </w:rPr>
              <w:t>公用工程</w:t>
            </w:r>
          </w:p>
          <w:p>
            <w:pPr>
              <w:adjustRightInd w:val="0"/>
              <w:snapToGrid w:val="0"/>
              <w:spacing w:line="360" w:lineRule="auto"/>
              <w:ind w:firstLine="480" w:firstLineChars="200"/>
              <w:jc w:val="left"/>
              <w:rPr>
                <w:rFonts w:cs="宋体"/>
                <w:bCs/>
                <w:color w:val="auto"/>
                <w:sz w:val="24"/>
                <w:szCs w:val="21"/>
              </w:rPr>
            </w:pPr>
            <w:r>
              <w:rPr>
                <w:rFonts w:hint="eastAsia" w:cs="宋体"/>
                <w:bCs/>
                <w:color w:val="auto"/>
                <w:sz w:val="24"/>
                <w:szCs w:val="21"/>
              </w:rPr>
              <w:t>（1）给水</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1）水源</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lang w:val="en-US" w:eastAsia="zh-CN"/>
              </w:rPr>
              <w:t>本工程小区外南侧055乡道，东侧团结北路市政道路有连接成环的市政给水管，市政给水厂有不少测量点两条输水干管向市政给水管网输水，南侧 055乡道紧邻项目用地红线给水管网供水压力0.35MPa(道路地面标高28.23)管径DN150；东侧团结北路紧邻项目用地红线给水管网供水压力0.35MPa，测量点道路地面标高，管径DN150。从055乡道及团结北路市政络水管网上名接 DN150 引入管，经总术表和倒流防止器(地上安装)后，供应小区生活用水及室外消火栓用水，供水水质符合国家标准《生活饮用水卫生标准》GB5749 -2022相关要求。</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本项目员工生活用水由市政自来水管道供水，用水主要为生活用水。项目</w:t>
            </w:r>
            <w:r>
              <w:rPr>
                <w:rFonts w:hint="eastAsia" w:cs="宋体"/>
                <w:bCs/>
                <w:color w:val="auto"/>
                <w:sz w:val="24"/>
                <w:szCs w:val="21"/>
                <w:lang w:val="en-US" w:eastAsia="zh-CN"/>
              </w:rPr>
              <w:t>设计</w:t>
            </w:r>
            <w:r>
              <w:rPr>
                <w:rFonts w:hint="eastAsia" w:ascii="Times New Roman" w:hAnsi="Times New Roman" w:eastAsia="宋体" w:cs="宋体"/>
                <w:bCs/>
                <w:color w:val="auto"/>
                <w:sz w:val="24"/>
                <w:szCs w:val="21"/>
                <w:lang w:val="en-US" w:eastAsia="zh-CN"/>
              </w:rPr>
              <w:t>住户数</w:t>
            </w:r>
            <w:r>
              <w:rPr>
                <w:rFonts w:hint="eastAsia" w:cs="宋体"/>
                <w:bCs/>
                <w:color w:val="auto"/>
                <w:sz w:val="24"/>
                <w:szCs w:val="21"/>
                <w:lang w:val="en-US" w:eastAsia="zh-CN"/>
              </w:rPr>
              <w:t>636</w:t>
            </w:r>
            <w:r>
              <w:rPr>
                <w:rFonts w:hint="eastAsia" w:ascii="Times New Roman" w:hAnsi="Times New Roman" w:eastAsia="宋体" w:cs="宋体"/>
                <w:bCs/>
                <w:color w:val="auto"/>
                <w:sz w:val="24"/>
                <w:szCs w:val="21"/>
                <w:lang w:val="en-US" w:eastAsia="zh-CN"/>
              </w:rPr>
              <w:t>户，</w:t>
            </w:r>
            <w:r>
              <w:rPr>
                <w:rFonts w:hint="eastAsia" w:cs="宋体"/>
                <w:bCs/>
                <w:color w:val="auto"/>
                <w:sz w:val="24"/>
                <w:szCs w:val="21"/>
                <w:lang w:val="en-US" w:eastAsia="zh-CN"/>
              </w:rPr>
              <w:t>根据华容县团洲乡实际情况，入住率按50%计，则</w:t>
            </w:r>
            <w:r>
              <w:rPr>
                <w:rFonts w:hint="eastAsia" w:ascii="Times New Roman" w:hAnsi="Times New Roman" w:eastAsia="宋体" w:cs="宋体"/>
                <w:bCs/>
                <w:color w:val="auto"/>
                <w:sz w:val="24"/>
                <w:szCs w:val="21"/>
                <w:lang w:val="en-US" w:eastAsia="zh-CN"/>
              </w:rPr>
              <w:t>预计总人口</w:t>
            </w:r>
            <w:r>
              <w:rPr>
                <w:rFonts w:hint="eastAsia" w:cs="宋体"/>
                <w:bCs/>
                <w:color w:val="auto"/>
                <w:sz w:val="24"/>
                <w:szCs w:val="21"/>
                <w:lang w:val="en-US" w:eastAsia="zh-CN"/>
              </w:rPr>
              <w:t>1000</w:t>
            </w:r>
            <w:r>
              <w:rPr>
                <w:rFonts w:hint="eastAsia" w:ascii="Times New Roman" w:hAnsi="Times New Roman" w:eastAsia="宋体" w:cs="宋体"/>
                <w:bCs/>
                <w:color w:val="auto"/>
                <w:sz w:val="24"/>
                <w:szCs w:val="21"/>
                <w:lang w:val="en-US" w:eastAsia="zh-CN"/>
              </w:rPr>
              <w:t>人</w:t>
            </w:r>
            <w:r>
              <w:rPr>
                <w:rFonts w:hint="eastAsia" w:ascii="Times New Roman" w:hAnsi="Times New Roman" w:eastAsia="宋体" w:cs="宋体"/>
                <w:bCs/>
                <w:color w:val="auto"/>
                <w:sz w:val="24"/>
                <w:szCs w:val="21"/>
              </w:rPr>
              <w:t>。生活用水量参考《湖南省用水定额》（DB43/T388</w:t>
            </w:r>
            <w:r>
              <w:rPr>
                <w:rFonts w:hint="eastAsia" w:ascii="Times New Roman" w:hAnsi="Times New Roman" w:eastAsia="宋体" w:cs="宋体"/>
                <w:bCs/>
                <w:color w:val="auto"/>
                <w:sz w:val="24"/>
                <w:szCs w:val="21"/>
                <w:lang w:val="en-US" w:eastAsia="zh-CN"/>
              </w:rPr>
              <w:t xml:space="preserve"> </w:t>
            </w:r>
            <w:r>
              <w:rPr>
                <w:rFonts w:hint="eastAsia" w:ascii="Times New Roman" w:hAnsi="Times New Roman" w:eastAsia="宋体" w:cs="宋体"/>
                <w:bCs/>
                <w:color w:val="auto"/>
                <w:sz w:val="24"/>
                <w:szCs w:val="21"/>
              </w:rPr>
              <w:t>-2020）</w:t>
            </w:r>
            <w:r>
              <w:rPr>
                <w:rFonts w:hint="eastAsia" w:cs="宋体"/>
                <w:bCs/>
                <w:color w:val="auto"/>
                <w:sz w:val="24"/>
                <w:szCs w:val="21"/>
                <w:lang w:val="en-US" w:eastAsia="zh-CN"/>
              </w:rPr>
              <w:t>并结合当地人用水习惯，</w:t>
            </w:r>
            <w:r>
              <w:rPr>
                <w:rFonts w:hint="eastAsia" w:ascii="Times New Roman" w:hAnsi="Times New Roman" w:eastAsia="宋体" w:cs="宋体"/>
                <w:bCs/>
                <w:color w:val="auto"/>
                <w:sz w:val="24"/>
                <w:szCs w:val="21"/>
              </w:rPr>
              <w:t>每人</w:t>
            </w:r>
            <w:r>
              <w:rPr>
                <w:rFonts w:hint="eastAsia" w:cs="宋体"/>
                <w:bCs/>
                <w:color w:val="auto"/>
                <w:sz w:val="24"/>
                <w:szCs w:val="21"/>
                <w:lang w:val="en-US" w:eastAsia="zh-CN"/>
              </w:rPr>
              <w:t>100</w:t>
            </w:r>
            <w:r>
              <w:rPr>
                <w:rFonts w:hint="eastAsia" w:ascii="Times New Roman" w:hAnsi="Times New Roman" w:eastAsia="宋体" w:cs="宋体"/>
                <w:bCs/>
                <w:color w:val="auto"/>
                <w:sz w:val="24"/>
                <w:szCs w:val="21"/>
              </w:rPr>
              <w:t>L/d计算，项目生活用水量为</w:t>
            </w:r>
            <w:r>
              <w:rPr>
                <w:rFonts w:hint="eastAsia" w:cs="宋体"/>
                <w:bCs/>
                <w:color w:val="auto"/>
                <w:sz w:val="24"/>
                <w:szCs w:val="21"/>
                <w:lang w:val="en-US" w:eastAsia="zh-CN"/>
              </w:rPr>
              <w:t>100</w:t>
            </w:r>
            <w:r>
              <w:rPr>
                <w:rFonts w:hint="eastAsia" w:ascii="Times New Roman" w:hAnsi="Times New Roman" w:eastAsia="宋体" w:cs="宋体"/>
                <w:bCs/>
                <w:color w:val="auto"/>
                <w:sz w:val="24"/>
                <w:szCs w:val="21"/>
              </w:rPr>
              <w:t>t/d，</w:t>
            </w:r>
            <w:r>
              <w:rPr>
                <w:rFonts w:hint="eastAsia" w:cs="宋体"/>
                <w:bCs/>
                <w:color w:val="auto"/>
                <w:sz w:val="24"/>
                <w:szCs w:val="21"/>
                <w:lang w:val="en-US" w:eastAsia="zh-CN"/>
              </w:rPr>
              <w:t xml:space="preserve">36500 </w:t>
            </w:r>
            <w:r>
              <w:rPr>
                <w:rFonts w:hint="eastAsia" w:ascii="Times New Roman" w:hAnsi="Times New Roman" w:eastAsia="宋体" w:cs="宋体"/>
                <w:bCs/>
                <w:color w:val="auto"/>
                <w:sz w:val="24"/>
                <w:szCs w:val="21"/>
              </w:rPr>
              <w:t>t/a。</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rPr>
            </w:pPr>
            <w:r>
              <w:rPr>
                <w:rFonts w:hint="eastAsia" w:ascii="Times New Roman" w:hAnsi="Times New Roman" w:eastAsia="宋体" w:cs="宋体"/>
                <w:bCs/>
                <w:color w:val="auto"/>
                <w:sz w:val="24"/>
                <w:szCs w:val="21"/>
              </w:rPr>
              <w:t>2）排水</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本项目排水系统采用雨污分流制。主干管排水系统连接市政排水系统，建筑内部按功能区划分，根据《民用建筑设计规范》布置排水系统。</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内部雨水管道由雨水口、雨水井及管道组成。楼层屋面雨水经天沟收集后由集水口流入排水管，通过雨水渠排入雨水口，雨水口的布置在道路的交汇处或建筑单元出入处附近、雨落管附近和建筑物前后空地，绿地低洼点等处。雨水口与雨水井连接在道路边沿，雨水井再与雨水干管上的检查井连接。雨水管径为DN400-DN600，安置点雨水通过雨水干管连接市政排水管道，经市政排水管道排入就近的河道。</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卫生间各污水管道均采用通气立管，生活污水分别经化粪池、隔污处理或沉淀处理，再由排污管和生活污水一道经市政污水管沿道路排到市政污水管，再送往污水处理厂进行处理，污水经处理后回用于市政洒水及绿化。</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3）供电</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本项目电源从地块西南角接入一路10KV市政电力网，进户线采用YJV电缆穿钢管埋地引来，电压为220V，负荷等级为三级。</w:t>
            </w:r>
          </w:p>
          <w:p>
            <w:pPr>
              <w:adjustRightInd w:val="0"/>
              <w:snapToGrid w:val="0"/>
              <w:spacing w:line="360" w:lineRule="auto"/>
              <w:ind w:firstLine="480" w:firstLineChars="200"/>
              <w:jc w:val="left"/>
              <w:rPr>
                <w:rFonts w:hint="eastAsia" w:eastAsia="宋体" w:cs="宋体"/>
                <w:bCs/>
                <w:color w:val="auto"/>
                <w:sz w:val="24"/>
                <w:szCs w:val="21"/>
              </w:rPr>
            </w:pPr>
            <w:r>
              <w:rPr>
                <w:rFonts w:hint="eastAsia" w:eastAsia="宋体" w:cs="宋体"/>
                <w:bCs/>
                <w:color w:val="auto"/>
                <w:sz w:val="24"/>
                <w:szCs w:val="21"/>
                <w:lang w:val="en-US" w:eastAsia="zh-CN"/>
              </w:rPr>
              <w:t>4</w:t>
            </w:r>
            <w:r>
              <w:rPr>
                <w:rFonts w:hint="eastAsia" w:eastAsia="宋体" w:cs="宋体"/>
                <w:bCs/>
                <w:color w:val="auto"/>
                <w:sz w:val="24"/>
                <w:szCs w:val="21"/>
              </w:rPr>
              <w:t>）供暖通风</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eastAsia="宋体" w:cs="宋体"/>
                <w:bCs/>
                <w:color w:val="auto"/>
                <w:sz w:val="24"/>
                <w:szCs w:val="21"/>
              </w:rPr>
              <w:t>本项目不设置中央空调，</w:t>
            </w:r>
            <w:r>
              <w:rPr>
                <w:rFonts w:hint="eastAsia" w:cs="宋体"/>
                <w:bCs/>
                <w:color w:val="auto"/>
                <w:sz w:val="24"/>
                <w:szCs w:val="21"/>
                <w:lang w:val="en-US" w:eastAsia="zh-CN"/>
              </w:rPr>
              <w:t>住户可根据自身情况</w:t>
            </w:r>
            <w:r>
              <w:rPr>
                <w:rFonts w:hint="eastAsia" w:eastAsia="宋体" w:cs="宋体"/>
                <w:bCs/>
                <w:color w:val="auto"/>
                <w:sz w:val="24"/>
                <w:szCs w:val="21"/>
              </w:rPr>
              <w:t>设置室内空调机，按舒适性要</w:t>
            </w:r>
            <w:r>
              <w:rPr>
                <w:rFonts w:hint="eastAsia" w:ascii="Times New Roman" w:hAnsi="Times New Roman" w:eastAsia="宋体" w:cs="宋体"/>
                <w:bCs/>
                <w:color w:val="auto"/>
                <w:sz w:val="24"/>
                <w:szCs w:val="21"/>
                <w:lang w:val="en-US" w:eastAsia="zh-CN"/>
              </w:rPr>
              <w:t>求进行温度调控。</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5）小区内道路工程</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小区内道路采用沥青路面，结构层为土路基、10cm厚级配碎石、15cm厚C30水泥混凝土路面、乳化沥青透层、5cm厚细粒式沥青混凝土路面AC-13，配合比设计应根据结构层次综合考虑功能性要求，上面层重点考虑抗车辙能力、抗滑性能、水稳定性兼顾密水性要求:中面层重点考虑渗水性、水稳定性、抗车撤能力、抗裂性能兼顾耐疲劳性能；下面层重点考虑耐疲劳性能、密水性能、抗裂性能兼顾抗车撤能力</w:t>
            </w:r>
          </w:p>
          <w:p>
            <w:pPr>
              <w:numPr>
                <w:ilvl w:val="0"/>
                <w:numId w:val="0"/>
              </w:numPr>
              <w:adjustRightInd w:val="0"/>
              <w:snapToGrid w:val="0"/>
              <w:spacing w:line="360" w:lineRule="auto"/>
              <w:jc w:val="center"/>
              <w:rPr>
                <w:color w:val="auto"/>
              </w:rPr>
            </w:pPr>
            <w:r>
              <w:rPr>
                <w:color w:val="auto"/>
              </w:rPr>
              <w:drawing>
                <wp:inline distT="0" distB="0" distL="114300" distR="114300">
                  <wp:extent cx="3985895" cy="2185670"/>
                  <wp:effectExtent l="0" t="0" r="14605" b="508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3"/>
                          <a:srcRect l="9055" t="1193"/>
                          <a:stretch>
                            <a:fillRect/>
                          </a:stretch>
                        </pic:blipFill>
                        <pic:spPr>
                          <a:xfrm>
                            <a:off x="0" y="0"/>
                            <a:ext cx="3985895" cy="218567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s="宋体"/>
                <w:b/>
                <w:bCs/>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小区内道路结构图</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6）绿化设计</w:t>
            </w:r>
          </w:p>
          <w:p>
            <w:pPr>
              <w:adjustRightInd w:val="0"/>
              <w:snapToGrid w:val="0"/>
              <w:spacing w:line="360" w:lineRule="auto"/>
              <w:ind w:firstLine="480" w:firstLineChars="200"/>
              <w:jc w:val="left"/>
              <w:rPr>
                <w:rFonts w:hint="eastAsia" w:ascii="Times New Roman" w:hAnsi="Times New Roman" w:eastAsia="宋体" w:cs="宋体"/>
                <w:bCs/>
                <w:color w:val="auto"/>
                <w:sz w:val="24"/>
                <w:szCs w:val="21"/>
                <w:lang w:val="zh-CN" w:eastAsia="zh-CN"/>
              </w:rPr>
            </w:pPr>
            <w:r>
              <w:rPr>
                <w:rFonts w:hint="eastAsia" w:ascii="Times New Roman" w:hAnsi="Times New Roman" w:eastAsia="宋体" w:cs="宋体"/>
                <w:bCs/>
                <w:color w:val="auto"/>
                <w:sz w:val="24"/>
                <w:szCs w:val="21"/>
                <w:lang w:val="en-US" w:eastAsia="zh-CN"/>
              </w:rPr>
              <w:t>华容县团洲垸灾后重建安置房建设项目</w:t>
            </w:r>
            <w:r>
              <w:rPr>
                <w:rFonts w:hint="eastAsia" w:ascii="Times New Roman" w:hAnsi="Times New Roman" w:eastAsia="宋体" w:cs="宋体"/>
                <w:bCs/>
                <w:color w:val="auto"/>
                <w:sz w:val="24"/>
                <w:szCs w:val="21"/>
                <w:lang w:val="zh-CN" w:eastAsia="zh-CN"/>
              </w:rPr>
              <w:t>全线经综合考虑，安置房院内新栽树选择采用红叶石楠球、桢楠、银杏、杜英及草坪等相结合的方式，栽植中注意对管线的合理避让，行道树种植间距按设计规范并按照冠幅要求和种植密度种植。</w:t>
            </w:r>
          </w:p>
          <w:p>
            <w:pPr>
              <w:numPr>
                <w:ilvl w:val="0"/>
                <w:numId w:val="0"/>
              </w:numPr>
              <w:adjustRightInd w:val="0"/>
              <w:snapToGrid w:val="0"/>
              <w:spacing w:line="360" w:lineRule="auto"/>
              <w:jc w:val="left"/>
              <w:rPr>
                <w:rFonts w:hint="eastAsia" w:ascii="Times New Roman" w:hAnsi="Times New Roman" w:eastAsia="宋体" w:cs="宋体"/>
                <w:b/>
                <w:color w:val="auto"/>
                <w:sz w:val="24"/>
                <w:szCs w:val="21"/>
                <w:lang w:val="en-US" w:eastAsia="zh-CN"/>
              </w:rPr>
            </w:pPr>
            <w:r>
              <w:rPr>
                <w:rFonts w:hint="eastAsia" w:cs="宋体"/>
                <w:b/>
                <w:color w:val="auto"/>
                <w:sz w:val="24"/>
                <w:szCs w:val="21"/>
                <w:lang w:val="en-US" w:eastAsia="zh-CN"/>
              </w:rPr>
              <w:t>4</w:t>
            </w:r>
            <w:r>
              <w:rPr>
                <w:rFonts w:hint="eastAsia" w:ascii="Times New Roman" w:hAnsi="Times New Roman" w:eastAsia="宋体" w:cs="宋体"/>
                <w:b/>
                <w:color w:val="auto"/>
                <w:sz w:val="24"/>
                <w:szCs w:val="21"/>
                <w:lang w:val="en-US" w:eastAsia="zh-CN"/>
              </w:rPr>
              <w:t>、用地征收补偿（安置）方案</w:t>
            </w:r>
          </w:p>
          <w:p>
            <w:pPr>
              <w:adjustRightInd w:val="0"/>
              <w:snapToGrid w:val="0"/>
              <w:spacing w:line="360" w:lineRule="auto"/>
              <w:ind w:firstLine="480" w:firstLineChars="200"/>
              <w:jc w:val="left"/>
              <w:rPr>
                <w:rFonts w:hint="default"/>
                <w:color w:val="auto"/>
                <w:lang w:val="en-US" w:eastAsia="zh-CN"/>
              </w:rPr>
            </w:pPr>
            <w:r>
              <w:rPr>
                <w:rFonts w:hint="eastAsia" w:ascii="Times New Roman" w:hAnsi="Times New Roman" w:eastAsia="宋体" w:cs="宋体"/>
                <w:bCs/>
                <w:color w:val="auto"/>
                <w:sz w:val="24"/>
                <w:szCs w:val="21"/>
                <w:lang w:val="en-US" w:eastAsia="zh-CN"/>
              </w:rPr>
              <w:t>本项目为华容县团洲垸灾后重建安置房建设项目（二期），本项目土地权属归属于华容县团洲乡团胜村的集体土地。为顺利开展项目建设，根据《湘政发(2024)1 号》文件，团洲乡团胜村属 II 区，土地征收补偿费670.86万元。拆迁安置由政府部门负责。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2" w:hRule="atLeast"/>
          <w:jc w:val="center"/>
        </w:trPr>
        <w:tc>
          <w:tcPr>
            <w:tcW w:w="823" w:type="dxa"/>
            <w:vAlign w:val="center"/>
          </w:tcPr>
          <w:p>
            <w:pPr>
              <w:pStyle w:val="19"/>
              <w:adjustRightInd w:val="0"/>
              <w:snapToGrid w:val="0"/>
              <w:spacing w:before="0" w:beforeAutospacing="0" w:after="0" w:afterAutospacing="0"/>
              <w:jc w:val="center"/>
              <w:rPr>
                <w:rFonts w:hint="eastAsia" w:ascii="Times New Roman" w:hAnsi="Times New Roman" w:cs="宋体"/>
                <w:color w:val="auto"/>
                <w:szCs w:val="21"/>
                <w:lang w:val="en-US" w:eastAsia="zh-CN"/>
              </w:rPr>
            </w:pPr>
            <w:r>
              <w:rPr>
                <w:rFonts w:hint="default" w:ascii="Times New Roman" w:hAnsi="Times New Roman" w:cs="Times New Roman"/>
                <w:color w:val="auto"/>
              </w:rPr>
              <w:t>总平面及现场布置</w:t>
            </w:r>
          </w:p>
        </w:tc>
        <w:tc>
          <w:tcPr>
            <w:tcW w:w="8161" w:type="dxa"/>
          </w:tcPr>
          <w:p>
            <w:pPr>
              <w:adjustRightInd w:val="0"/>
              <w:snapToGrid w:val="0"/>
              <w:spacing w:line="360" w:lineRule="auto"/>
              <w:ind w:firstLine="480" w:firstLineChars="200"/>
              <w:jc w:val="left"/>
              <w:rPr>
                <w:rFonts w:hint="eastAsia"/>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，施工期已结束，此处主要分析项目运营期总平面布置情况</w:t>
            </w:r>
            <w:r>
              <w:rPr>
                <w:rFonts w:hint="eastAsia"/>
                <w:color w:val="auto"/>
                <w:sz w:val="24"/>
                <w:lang w:val="en-US" w:eastAsia="zh-CN"/>
              </w:rPr>
              <w:t>。</w:t>
            </w:r>
          </w:p>
          <w:p>
            <w:pPr>
              <w:adjustRightInd w:val="0"/>
              <w:snapToGrid w:val="0"/>
              <w:spacing w:line="360" w:lineRule="auto"/>
              <w:ind w:firstLine="482" w:firstLineChars="200"/>
              <w:jc w:val="left"/>
              <w:rPr>
                <w:rFonts w:hint="eastAsia" w:eastAsia="宋体"/>
                <w:b/>
                <w:bCs/>
                <w:color w:val="auto"/>
                <w:sz w:val="24"/>
                <w:lang w:eastAsia="zh-CN"/>
              </w:rPr>
            </w:pPr>
            <w:r>
              <w:rPr>
                <w:rFonts w:hint="eastAsia"/>
                <w:b/>
                <w:bCs/>
                <w:color w:val="auto"/>
                <w:sz w:val="24"/>
              </w:rPr>
              <w:t>平面布置</w:t>
            </w:r>
            <w:r>
              <w:rPr>
                <w:rFonts w:hint="eastAsia"/>
                <w:b/>
                <w:bCs/>
                <w:color w:val="auto"/>
                <w:sz w:val="24"/>
                <w:lang w:val="en-US" w:eastAsia="zh-CN"/>
              </w:rPr>
              <w:t>及</w:t>
            </w:r>
            <w:r>
              <w:rPr>
                <w:rFonts w:hint="eastAsia"/>
                <w:b/>
                <w:bCs/>
                <w:color w:val="auto"/>
                <w:sz w:val="24"/>
              </w:rPr>
              <w:t>合理性分析</w:t>
            </w:r>
            <w:r>
              <w:rPr>
                <w:rFonts w:hint="eastAsia"/>
                <w:b/>
                <w:bCs/>
                <w:color w:val="auto"/>
                <w:sz w:val="24"/>
                <w:lang w:eastAsia="zh-CN"/>
              </w:rPr>
              <w:t>：</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着合理利用土地，节约能源，减少运营成本的原则，选址布局以满足日照、通风、消防和卫生为基本条件，以功能特性、交通流线特性等为布局条件，合理的进行基础配套设施、交通组织、绿化、消防、安防等的设计，实现资源利用最大化和集约化。</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华容县团洲垸灾后重建安置房建设项目（二期）入口位置布置2个</w:t>
            </w:r>
            <w:r>
              <w:rPr>
                <w:rFonts w:hint="eastAsia" w:ascii="Times New Roman" w:hAnsi="Times New Roman" w:eastAsia="宋体" w:cs="Times New Roman"/>
                <w:color w:val="auto"/>
                <w:sz w:val="24"/>
                <w:szCs w:val="24"/>
                <w:lang w:val="en-US" w:eastAsia="zh-CN"/>
              </w:rPr>
              <w:t>出入口，入口为安置房月牙湖大道，地理位置位于华容县团洲安全垸内团洲乡中心小学东侧。</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华容县团洲垸灾后重建安置房建设项目（二期）规划住宅用地面积 57672.98 </w:t>
            </w:r>
            <w:r>
              <w:rPr>
                <w:rFonts w:hint="eastAsia" w:cs="Times New Roman"/>
                <w:color w:val="auto"/>
                <w:sz w:val="24"/>
                <w:szCs w:val="24"/>
                <w:lang w:val="en-US" w:eastAsia="zh-CN"/>
              </w:rPr>
              <w:t>平方</w:t>
            </w:r>
            <w:r>
              <w:rPr>
                <w:rFonts w:hint="default" w:ascii="Times New Roman" w:hAnsi="Times New Roman" w:eastAsia="宋体" w:cs="Times New Roman"/>
                <w:color w:val="auto"/>
                <w:sz w:val="24"/>
                <w:szCs w:val="24"/>
                <w:lang w:val="en-US" w:eastAsia="zh-CN"/>
              </w:rPr>
              <w:t>米，新建22栋1+6F电</w:t>
            </w:r>
            <w:r>
              <w:rPr>
                <w:rFonts w:hint="eastAsia" w:ascii="Times New Roman" w:hAnsi="Times New Roman" w:eastAsia="宋体" w:cs="Times New Roman"/>
                <w:color w:val="auto"/>
                <w:sz w:val="24"/>
                <w:szCs w:val="24"/>
                <w:lang w:val="en-US" w:eastAsia="zh-CN"/>
              </w:rPr>
              <w:t>梯住宅楼，三个门卫室，总建筑面积为79862.49平方米，容积率1.35，建筑密度19.41%，绿地率20.10%。</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cs="宋体"/>
                <w:color w:val="auto"/>
                <w:sz w:val="24"/>
                <w:szCs w:val="21"/>
                <w:lang w:val="en-US" w:eastAsia="zh-CN"/>
              </w:rPr>
              <w:t>华容县团洲垸灾后重建安置房建设项目（</w:t>
            </w:r>
            <w:r>
              <w:rPr>
                <w:rFonts w:hint="eastAsia" w:cs="宋体"/>
                <w:color w:val="auto"/>
                <w:sz w:val="24"/>
                <w:szCs w:val="21"/>
                <w:lang w:val="en-US" w:eastAsia="zh-CN"/>
              </w:rPr>
              <w:t>二期</w:t>
            </w:r>
            <w:r>
              <w:rPr>
                <w:rFonts w:hint="eastAsia" w:ascii="Times New Roman" w:hAnsi="Times New Roman" w:cs="宋体"/>
                <w:color w:val="auto"/>
                <w:sz w:val="24"/>
                <w:szCs w:val="21"/>
                <w:lang w:val="en-US" w:eastAsia="zh-CN"/>
              </w:rPr>
              <w:t>）</w:t>
            </w:r>
            <w:r>
              <w:rPr>
                <w:rFonts w:hint="default" w:ascii="Times New Roman" w:hAnsi="Times New Roman" w:eastAsia="宋体" w:cs="Times New Roman"/>
                <w:color w:val="auto"/>
                <w:sz w:val="24"/>
                <w:szCs w:val="24"/>
                <w:lang w:val="en-US" w:eastAsia="zh-CN"/>
              </w:rPr>
              <w:t>本着相对集中、</w:t>
            </w:r>
            <w:r>
              <w:rPr>
                <w:rFonts w:hint="eastAsia" w:cs="Times New Roman"/>
                <w:color w:val="auto"/>
                <w:sz w:val="24"/>
                <w:szCs w:val="24"/>
                <w:lang w:val="en-US" w:eastAsia="zh-CN"/>
              </w:rPr>
              <w:t>布置</w:t>
            </w:r>
            <w:r>
              <w:rPr>
                <w:rFonts w:hint="default" w:ascii="Times New Roman" w:hAnsi="Times New Roman" w:eastAsia="宋体" w:cs="Times New Roman"/>
                <w:color w:val="auto"/>
                <w:sz w:val="24"/>
                <w:szCs w:val="24"/>
                <w:lang w:val="en-US" w:eastAsia="zh-CN"/>
              </w:rPr>
              <w:t>规划原则展开布局，同时有重点地保持足够的开敞空间，使建筑群落错落有致，疏密结合。</w:t>
            </w:r>
          </w:p>
          <w:p>
            <w:pPr>
              <w:adjustRightInd w:val="0"/>
              <w:snapToGrid w:val="0"/>
              <w:spacing w:line="360" w:lineRule="auto"/>
              <w:ind w:firstLine="480" w:firstLineChars="200"/>
              <w:jc w:val="left"/>
              <w:rPr>
                <w:rFonts w:hint="default"/>
                <w:color w:val="auto"/>
                <w:lang w:val="en-US" w:eastAsia="zh-CN"/>
              </w:rPr>
            </w:pPr>
            <w:r>
              <w:rPr>
                <w:rFonts w:hint="eastAsia"/>
                <w:color w:val="auto"/>
                <w:sz w:val="24"/>
              </w:rPr>
              <w:t>综合来看，项目平面布置基本合理。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23" w:type="dxa"/>
            <w:vAlign w:val="center"/>
          </w:tcPr>
          <w:p>
            <w:pPr>
              <w:pStyle w:val="19"/>
              <w:adjustRightInd w:val="0"/>
              <w:snapToGrid w:val="0"/>
              <w:spacing w:before="0" w:beforeAutospacing="0" w:after="0" w:afterAutospacing="0"/>
              <w:jc w:val="center"/>
              <w:rPr>
                <w:rFonts w:hint="default" w:ascii="Times New Roman" w:hAnsi="Times New Roman" w:cs="Times New Roman"/>
                <w:color w:val="auto"/>
              </w:rPr>
            </w:pPr>
            <w:r>
              <w:rPr>
                <w:rFonts w:hint="eastAsia" w:ascii="Times New Roman" w:hAnsi="Times New Roman" w:cs="Times New Roman"/>
                <w:color w:val="auto"/>
                <w:lang w:val="en-US" w:eastAsia="zh-CN"/>
              </w:rPr>
              <w:t>施工方案</w:t>
            </w:r>
          </w:p>
        </w:tc>
        <w:tc>
          <w:tcPr>
            <w:tcW w:w="8161" w:type="dxa"/>
            <w:vAlign w:val="center"/>
          </w:tcPr>
          <w:p>
            <w:pPr>
              <w:adjustRightInd w:val="0"/>
              <w:snapToGrid w:val="0"/>
              <w:spacing w:line="360" w:lineRule="auto"/>
              <w:ind w:firstLine="480" w:firstLineChars="200"/>
              <w:jc w:val="center"/>
              <w:rPr>
                <w:rFonts w:hint="eastAsia"/>
                <w:color w:val="auto"/>
                <w:sz w:val="24"/>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，施工期已结束，无需再进行施工方案的分析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3" w:type="dxa"/>
            <w:vAlign w:val="center"/>
          </w:tcPr>
          <w:p>
            <w:pPr>
              <w:pStyle w:val="19"/>
              <w:adjustRightInd w:val="0"/>
              <w:snapToGrid w:val="0"/>
              <w:spacing w:before="0" w:beforeAutospacing="0" w:after="0" w:afterAutospacing="0"/>
              <w:jc w:val="center"/>
              <w:rPr>
                <w:rFonts w:hint="eastAsia" w:ascii="Times New Roman" w:hAnsi="Times New Roman" w:eastAsia="宋体" w:cs="宋体"/>
                <w:color w:val="auto"/>
                <w:szCs w:val="21"/>
                <w:lang w:eastAsia="zh-CN"/>
              </w:rPr>
            </w:pPr>
            <w:r>
              <w:rPr>
                <w:rFonts w:hint="eastAsia" w:ascii="Times New Roman" w:hAnsi="Times New Roman" w:cs="宋体"/>
                <w:color w:val="auto"/>
                <w:szCs w:val="21"/>
                <w:lang w:val="en-US" w:eastAsia="zh-CN"/>
              </w:rPr>
              <w:t>其他</w:t>
            </w:r>
          </w:p>
        </w:tc>
        <w:tc>
          <w:tcPr>
            <w:tcW w:w="8161" w:type="dxa"/>
          </w:tcPr>
          <w:p>
            <w:pPr>
              <w:numPr>
                <w:ilvl w:val="0"/>
                <w:numId w:val="0"/>
              </w:numPr>
              <w:adjustRightInd w:val="0"/>
              <w:snapToGrid w:val="0"/>
              <w:spacing w:line="360" w:lineRule="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1、项目选址</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本项目选址已取得了华容县自然资源局出具的《建设项目用地预审与选址意见书》，且项目目前已建成，选址具有唯一性，无需进行选址方案的比选。</w:t>
            </w:r>
          </w:p>
          <w:p>
            <w:pPr>
              <w:numPr>
                <w:ilvl w:val="0"/>
                <w:numId w:val="2"/>
              </w:numPr>
              <w:adjustRightInd w:val="0"/>
              <w:snapToGrid w:val="0"/>
              <w:spacing w:line="360" w:lineRule="auto"/>
              <w:rPr>
                <w:rFonts w:hint="eastAsia"/>
                <w:b/>
                <w:bCs/>
                <w:color w:val="auto"/>
                <w:sz w:val="24"/>
                <w:lang w:val="en-US" w:eastAsia="zh-CN"/>
              </w:rPr>
            </w:pPr>
            <w:r>
              <w:rPr>
                <w:rFonts w:hint="eastAsia"/>
                <w:b/>
                <w:bCs/>
                <w:color w:val="auto"/>
                <w:sz w:val="24"/>
                <w:lang w:val="en-US" w:eastAsia="zh-CN"/>
              </w:rPr>
              <w:t>运营期</w:t>
            </w:r>
          </w:p>
          <w:p>
            <w:pPr>
              <w:adjustRightInd w:val="0"/>
              <w:snapToGrid w:val="0"/>
              <w:spacing w:line="360" w:lineRule="auto"/>
              <w:ind w:firstLine="482" w:firstLineChars="200"/>
              <w:jc w:val="left"/>
              <w:rPr>
                <w:rFonts w:hint="eastAsia"/>
                <w:b/>
                <w:bCs/>
                <w:color w:val="auto"/>
                <w:sz w:val="24"/>
                <w:lang w:val="en-US" w:eastAsia="zh-CN"/>
              </w:rPr>
            </w:pPr>
            <w:r>
              <w:rPr>
                <w:rFonts w:hint="eastAsia"/>
                <w:b/>
                <w:bCs/>
                <w:color w:val="auto"/>
                <w:sz w:val="24"/>
                <w:lang w:val="en-US" w:eastAsia="zh-CN"/>
              </w:rPr>
              <w:t>2.1</w:t>
            </w:r>
            <w:r>
              <w:rPr>
                <w:rFonts w:hint="eastAsia" w:eastAsia="宋体" w:cs="宋体"/>
                <w:b/>
                <w:color w:val="auto"/>
                <w:sz w:val="24"/>
                <w:szCs w:val="21"/>
              </w:rPr>
              <w:t>工艺流程</w:t>
            </w:r>
            <w:r>
              <w:rPr>
                <w:rFonts w:hint="eastAsia"/>
                <w:b/>
                <w:bCs/>
                <w:color w:val="auto"/>
                <w:sz w:val="24"/>
                <w:lang w:val="en-US" w:eastAsia="zh-CN"/>
              </w:rPr>
              <w:t>及产污环节分析</w:t>
            </w:r>
          </w:p>
          <w:p>
            <w:pPr>
              <w:pStyle w:val="5"/>
              <w:rPr>
                <w:rFonts w:hint="default"/>
                <w:color w:val="auto"/>
                <w:lang w:val="en-US" w:eastAsia="zh-CN"/>
              </w:rPr>
            </w:pPr>
            <w:r>
              <w:rPr>
                <w:color w:val="auto"/>
                <w:sz w:val="28"/>
              </w:rPr>
              <mc:AlternateContent>
                <mc:Choice Requires="wps">
                  <w:drawing>
                    <wp:anchor distT="0" distB="0" distL="114300" distR="114300" simplePos="0" relativeHeight="251665408" behindDoc="1" locked="0" layoutInCell="1" allowOverlap="1">
                      <wp:simplePos x="0" y="0"/>
                      <wp:positionH relativeFrom="column">
                        <wp:posOffset>1484630</wp:posOffset>
                      </wp:positionH>
                      <wp:positionV relativeFrom="paragraph">
                        <wp:posOffset>690245</wp:posOffset>
                      </wp:positionV>
                      <wp:extent cx="0" cy="431800"/>
                      <wp:effectExtent l="4445" t="0" r="14605" b="44450"/>
                      <wp:wrapTight wrapText="bothSides">
                        <wp:wrapPolygon>
                          <wp:start x="0" y="0"/>
                          <wp:lineTo x="0" y="20965"/>
                          <wp:lineTo x="0" y="20965"/>
                          <wp:lineTo x="0" y="0"/>
                        </wp:wrapPolygon>
                      </wp:wrapTight>
                      <wp:docPr id="94" name="直接箭头连接符 94"/>
                      <wp:cNvGraphicFramePr/>
                      <a:graphic xmlns:a="http://schemas.openxmlformats.org/drawingml/2006/main">
                        <a:graphicData uri="http://schemas.microsoft.com/office/word/2010/wordprocessingShape">
                          <wps:wsp>
                            <wps:cNvCnPr/>
                            <wps:spPr>
                              <a:xfrm>
                                <a:off x="2317750" y="5843905"/>
                                <a:ext cx="0" cy="431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6.9pt;margin-top:54.35pt;height:34pt;width:0pt;mso-wrap-distance-left:9pt;mso-wrap-distance-right:9pt;z-index:-251651072;mso-width-relative:page;mso-height-relative:page;" filled="f" stroked="t" coordsize="21600,21600" wrapcoords="0 0 0 20965 0 20965 0 0" o:gfxdata="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iuFNdgAAAALAQAADwAAAAAAAAABACAA&#10;AAAiAAAAZHJzL2Rvd25yZXYueG1sUEsBAhQAFAAAAAgAh07iQKcshOMNAgAA+QMAAA4AAAAAAAAA&#10;AQAgAAAAJwEAAGRycy9lMm9Eb2MueG1sUEsFBgAAAAAGAAYAWQEAAKYFAAAAAA==&#10;">
                      <v:fill on="f" focussize="0,0"/>
                      <v:stroke color="#000000" joinstyle="round"/>
                      <v:imagedata o:title=""/>
                      <o:lock v:ext="edit" aspectratio="f"/>
                      <w10:wrap type="tight"/>
                    </v:shape>
                  </w:pict>
                </mc:Fallback>
              </mc:AlternateContent>
            </w:r>
            <w:r>
              <w:rPr>
                <w:color w:val="auto"/>
                <w:sz w:val="21"/>
              </w:rPr>
              <mc:AlternateContent>
                <mc:Choice Requires="wps">
                  <w:drawing>
                    <wp:anchor distT="0" distB="0" distL="114300" distR="114300" simplePos="0" relativeHeight="251669504" behindDoc="0" locked="0" layoutInCell="1" allowOverlap="1">
                      <wp:simplePos x="0" y="0"/>
                      <wp:positionH relativeFrom="column">
                        <wp:posOffset>1478915</wp:posOffset>
                      </wp:positionH>
                      <wp:positionV relativeFrom="paragraph">
                        <wp:posOffset>681355</wp:posOffset>
                      </wp:positionV>
                      <wp:extent cx="2376170" cy="635"/>
                      <wp:effectExtent l="0" t="0" r="0" b="0"/>
                      <wp:wrapNone/>
                      <wp:docPr id="107" name="直接连接符 107"/>
                      <wp:cNvGraphicFramePr/>
                      <a:graphic xmlns:a="http://schemas.openxmlformats.org/drawingml/2006/main">
                        <a:graphicData uri="http://schemas.microsoft.com/office/word/2010/wordprocessingShape">
                          <wps:wsp>
                            <wps:cNvCnPr/>
                            <wps:spPr>
                              <a:xfrm>
                                <a:off x="2178685" y="5749290"/>
                                <a:ext cx="237617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6.45pt;margin-top:53.65pt;height:0.05pt;width:187.1pt;z-index:251669504;mso-width-relative:page;mso-height-relative:page;" filled="f" stroked="t" coordsize="21600,21600" o:gfxdata="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R/9DNcAAAALAQAADwAAAAAAAAABACAAAAAiAAAAZHJz&#10;L2Rvd25yZXYueG1sUEsBAhQAFAAAAAgAh07iQMzBHsAFAgAA9gMAAA4AAAAAAAAAAQAgAAAAJgEA&#10;AGRycy9lMm9Eb2MueG1sUEsFBgAAAAAGAAYAWQEAAJ0FAAAAAA==&#10;">
                      <v:fill on="f" focussize="0,0"/>
                      <v:stroke color="#000000" joinstyle="round"/>
                      <v:imagedata o:title=""/>
                      <o:lock v:ext="edit" aspectratio="f"/>
                    </v:line>
                  </w:pict>
                </mc:Fallback>
              </mc:AlternateContent>
            </w:r>
            <w:r>
              <w:rPr>
                <w:color w:val="auto"/>
                <w:sz w:val="21"/>
              </w:rPr>
              <mc:AlternateContent>
                <mc:Choice Requires="wps">
                  <w:drawing>
                    <wp:anchor distT="0" distB="0" distL="114300" distR="114300" simplePos="0" relativeHeight="251670528" behindDoc="0" locked="0" layoutInCell="1" allowOverlap="1">
                      <wp:simplePos x="0" y="0"/>
                      <wp:positionH relativeFrom="column">
                        <wp:posOffset>2674620</wp:posOffset>
                      </wp:positionH>
                      <wp:positionV relativeFrom="paragraph">
                        <wp:posOffset>325755</wp:posOffset>
                      </wp:positionV>
                      <wp:extent cx="635" cy="360045"/>
                      <wp:effectExtent l="4445" t="0" r="13970" b="1905"/>
                      <wp:wrapNone/>
                      <wp:docPr id="108" name="直接连接符 108"/>
                      <wp:cNvGraphicFramePr/>
                      <a:graphic xmlns:a="http://schemas.openxmlformats.org/drawingml/2006/main">
                        <a:graphicData uri="http://schemas.microsoft.com/office/word/2010/wordprocessingShape">
                          <wps:wsp>
                            <wps:cNvCnPr/>
                            <wps:spPr>
                              <a:xfrm>
                                <a:off x="4193540" y="5279390"/>
                                <a:ext cx="635" cy="3600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0.6pt;margin-top:25.65pt;height:28.35pt;width:0.05pt;z-index:251670528;mso-width-relative:page;mso-height-relative:page;" filled="f" stroked="t" coordsize="21600,21600" o:gfxdata="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l9+cbWAAAACgEAAA8AAAAAAAAAAQAgAAAAIgAAAGRycy9k&#10;b3ducmV2LnhtbFBLAQIUABQAAAAIAIdO4kDAjIXoBAIAAPUDAAAOAAAAAAAAAAEAIAAAACUBAABk&#10;cnMvZTJvRG9jLnhtbFBLBQYAAAAABgAGAFkBAACbBQAAAAA=&#10;">
                      <v:fill on="f" focussize="0,0"/>
                      <v:stroke color="#000000" joinstyle="round"/>
                      <v:imagedata o:title=""/>
                      <o:lock v:ext="edit" aspectratio="f"/>
                    </v:line>
                  </w:pict>
                </mc:Fallback>
              </mc:AlternateContent>
            </w:r>
            <w:r>
              <w:rPr>
                <w:color w:val="auto"/>
              </w:rPr>
              <mc:AlternateContent>
                <mc:Choice Requires="wps">
                  <w:drawing>
                    <wp:anchor distT="0" distB="0" distL="114300" distR="114300" simplePos="0" relativeHeight="251664384" behindDoc="1" locked="0" layoutInCell="1" allowOverlap="1">
                      <wp:simplePos x="0" y="0"/>
                      <wp:positionH relativeFrom="column">
                        <wp:posOffset>2233930</wp:posOffset>
                      </wp:positionH>
                      <wp:positionV relativeFrom="paragraph">
                        <wp:posOffset>40640</wp:posOffset>
                      </wp:positionV>
                      <wp:extent cx="880745" cy="281940"/>
                      <wp:effectExtent l="4445" t="4445" r="10160" b="18415"/>
                      <wp:wrapTight wrapText="bothSides">
                        <wp:wrapPolygon>
                          <wp:start x="-109" y="-341"/>
                          <wp:lineTo x="-109" y="20773"/>
                          <wp:lineTo x="21382" y="20773"/>
                          <wp:lineTo x="21382" y="-341"/>
                          <wp:lineTo x="-109" y="-341"/>
                        </wp:wrapPolygon>
                      </wp:wrapTight>
                      <wp:docPr id="100" name="文本框 100"/>
                      <wp:cNvGraphicFramePr/>
                      <a:graphic xmlns:a="http://schemas.openxmlformats.org/drawingml/2006/main">
                        <a:graphicData uri="http://schemas.microsoft.com/office/word/2010/wordprocessingShape">
                          <wps:wsp>
                            <wps:cNvSpPr txBox="1"/>
                            <wps:spPr>
                              <a:xfrm>
                                <a:off x="1990090" y="360680"/>
                                <a:ext cx="915035" cy="2819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宋体" w:hAnsi="宋体" w:eastAsia="宋体" w:cs="宋体"/>
                                    </w:rPr>
                                  </w:pPr>
                                  <w:r>
                                    <w:rPr>
                                      <w:rFonts w:hint="eastAsia" w:ascii="宋体" w:hAnsi="宋体" w:eastAsia="宋体" w:cs="宋体"/>
                                    </w:rPr>
                                    <w:t>项目运营期</w:t>
                                  </w:r>
                                </w:p>
                              </w:txbxContent>
                            </wps:txbx>
                            <wps:bodyPr wrap="square" upright="1"/>
                          </wps:wsp>
                        </a:graphicData>
                      </a:graphic>
                    </wp:anchor>
                  </w:drawing>
                </mc:Choice>
                <mc:Fallback>
                  <w:pict>
                    <v:shape id="_x0000_s1026" o:spid="_x0000_s1026" o:spt="202" type="#_x0000_t202" style="position:absolute;left:0pt;margin-left:175.9pt;margin-top:3.2pt;height:22.2pt;width:69.35pt;mso-wrap-distance-left:9pt;mso-wrap-distance-right:9pt;z-index:-251652096;mso-width-relative:page;mso-height-relative:page;" fillcolor="#FFFFFF" filled="t" stroked="t" coordsize="21600,21600" wrapcoords="-109 -341 -109 20773 21382 20773 21382 -341 -109 -341" o:gfxdata="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7nwuDYAAAACAEAAA8AAAAAAAAAAQAgAAAAIgAAAGRycy9kb3ducmV2LnhtbFBLAQIUABQAAAAI&#10;AIdO4kDrO/UgJgIAAGAEAAAOAAAAAAAAAAEAIAAAACcBAABkcnMvZTJvRG9jLnhtbFBLBQYAAAAA&#10;BgAGAFkBAAC/BQ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项目运营期</w:t>
                            </w:r>
                          </w:p>
                        </w:txbxContent>
                      </v:textbox>
                      <w10:wrap type="tight"/>
                    </v:shape>
                  </w:pict>
                </mc:Fallback>
              </mc:AlternateContent>
            </w:r>
          </w:p>
          <w:p>
            <w:pPr>
              <w:pStyle w:val="5"/>
              <w:jc w:val="center"/>
              <w:rPr>
                <w:rFonts w:hint="eastAsia"/>
                <w:bCs/>
                <w:color w:val="auto"/>
                <w:sz w:val="24"/>
                <w:szCs w:val="21"/>
              </w:rPr>
            </w:pPr>
            <w:r>
              <w:rPr>
                <w:color w:val="auto"/>
              </w:rPr>
              <mc:AlternateContent>
                <mc:Choice Requires="wps">
                  <w:drawing>
                    <wp:anchor distT="0" distB="0" distL="114300" distR="114300" simplePos="0" relativeHeight="251667456" behindDoc="1" locked="0" layoutInCell="1" allowOverlap="1">
                      <wp:simplePos x="0" y="0"/>
                      <wp:positionH relativeFrom="column">
                        <wp:posOffset>3851910</wp:posOffset>
                      </wp:positionH>
                      <wp:positionV relativeFrom="paragraph">
                        <wp:posOffset>156845</wp:posOffset>
                      </wp:positionV>
                      <wp:extent cx="6350" cy="431800"/>
                      <wp:effectExtent l="4445" t="0" r="8255" b="44450"/>
                      <wp:wrapTight wrapText="bothSides">
                        <wp:wrapPolygon>
                          <wp:start x="36720" y="0"/>
                          <wp:lineTo x="36720" y="20965"/>
                          <wp:lineTo x="36720" y="20965"/>
                          <wp:lineTo x="36720" y="0"/>
                        </wp:wrapPolygon>
                      </wp:wrapTight>
                      <wp:docPr id="99" name="直接连接符 99"/>
                      <wp:cNvGraphicFramePr/>
                      <a:graphic xmlns:a="http://schemas.openxmlformats.org/drawingml/2006/main">
                        <a:graphicData uri="http://schemas.microsoft.com/office/word/2010/wordprocessingShape">
                          <wps:wsp>
                            <wps:cNvCnPr/>
                            <wps:spPr>
                              <a:xfrm flipH="1">
                                <a:off x="0" y="0"/>
                                <a:ext cx="6350" cy="4318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03.3pt;margin-top:12.35pt;height:34pt;width:0.5pt;mso-wrap-distance-left:9pt;mso-wrap-distance-right:9pt;z-index:-251649024;mso-width-relative:page;mso-height-relative:page;" filled="f" stroked="t" coordsize="21600,21600" wrapcoords="36720 0 36720 20965 36720 20965 36720 0" o:gfxdata="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oaKFA1wAAAAkBAAAPAAAAAAAAAAEAIAAAACIAAABkcnMvZG93&#10;bnJldi54bWxQSwECFAAUAAAACACHTuJAgH3jZwECAADyAwAADgAAAAAAAAABACAAAAAmAQAAZHJz&#10;L2Uyb0RvYy54bWxQSwUGAAAAAAYABgBZAQAAmQUAAAAA&#10;">
                      <v:fill on="f" focussize="0,0"/>
                      <v:stroke color="#000000" joinstyle="round"/>
                      <v:imagedata o:title=""/>
                      <o:lock v:ext="edit" aspectratio="f"/>
                      <w10:wrap type="tight"/>
                    </v:line>
                  </w:pict>
                </mc:Fallback>
              </mc:AlternateContent>
            </w:r>
          </w:p>
          <w:p>
            <w:pPr>
              <w:rPr>
                <w:rFonts w:hint="eastAsia"/>
                <w:bCs/>
                <w:color w:val="auto"/>
                <w:sz w:val="24"/>
                <w:szCs w:val="21"/>
              </w:rPr>
            </w:pPr>
          </w:p>
          <w:p>
            <w:pPr>
              <w:pStyle w:val="29"/>
              <w:rPr>
                <w:rFonts w:hint="eastAsia"/>
                <w:bCs/>
                <w:color w:val="auto"/>
                <w:sz w:val="24"/>
                <w:szCs w:val="21"/>
              </w:rPr>
            </w:pPr>
            <w:r>
              <w:rPr>
                <w:color w:val="auto"/>
              </w:rPr>
              <mc:AlternateContent>
                <mc:Choice Requires="wps">
                  <w:drawing>
                    <wp:anchor distT="0" distB="0" distL="114300" distR="114300" simplePos="0" relativeHeight="251668480" behindDoc="1" locked="0" layoutInCell="1" allowOverlap="1">
                      <wp:simplePos x="0" y="0"/>
                      <wp:positionH relativeFrom="column">
                        <wp:posOffset>3479800</wp:posOffset>
                      </wp:positionH>
                      <wp:positionV relativeFrom="paragraph">
                        <wp:posOffset>75565</wp:posOffset>
                      </wp:positionV>
                      <wp:extent cx="780415" cy="329565"/>
                      <wp:effectExtent l="4445" t="4445" r="15240" b="8890"/>
                      <wp:wrapTight wrapText="bothSides">
                        <wp:wrapPolygon>
                          <wp:start x="-123" y="-291"/>
                          <wp:lineTo x="-123" y="20934"/>
                          <wp:lineTo x="20967" y="20934"/>
                          <wp:lineTo x="20967" y="-291"/>
                          <wp:lineTo x="-123" y="-291"/>
                        </wp:wrapPolygon>
                      </wp:wrapTight>
                      <wp:docPr id="96" name="文本框 96"/>
                      <wp:cNvGraphicFramePr/>
                      <a:graphic xmlns:a="http://schemas.openxmlformats.org/drawingml/2006/main">
                        <a:graphicData uri="http://schemas.microsoft.com/office/word/2010/wordprocessingShape">
                          <wps:wsp>
                            <wps:cNvSpPr txBox="1"/>
                            <wps:spPr>
                              <a:xfrm>
                                <a:off x="0" y="0"/>
                                <a:ext cx="780415" cy="3295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宋体" w:hAnsi="宋体" w:eastAsia="宋体" w:cs="宋体"/>
                                    </w:rPr>
                                  </w:pPr>
                                  <w:r>
                                    <w:rPr>
                                      <w:rFonts w:hint="eastAsia" w:ascii="宋体" w:hAnsi="宋体" w:eastAsia="宋体" w:cs="宋体"/>
                                    </w:rPr>
                                    <w:t>公辅设施</w:t>
                                  </w:r>
                                </w:p>
                              </w:txbxContent>
                            </wps:txbx>
                            <wps:bodyPr upright="1"/>
                          </wps:wsp>
                        </a:graphicData>
                      </a:graphic>
                    </wp:anchor>
                  </w:drawing>
                </mc:Choice>
                <mc:Fallback>
                  <w:pict>
                    <v:shape id="_x0000_s1026" o:spid="_x0000_s1026" o:spt="202" type="#_x0000_t202" style="position:absolute;left:0pt;margin-left:274pt;margin-top:5.95pt;height:25.95pt;width:61.45pt;mso-wrap-distance-left:9pt;mso-wrap-distance-right:9pt;z-index:-251648000;mso-width-relative:page;mso-height-relative:page;" fillcolor="#FFFFFF" filled="t" stroked="t" coordsize="21600,21600" wrapcoords="-123 -291 -123 20934 20967 20934 20967 -291 -123 -291" o:gfxdata="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3wWrYAAAACQEAAA8AAAAAAAAAAQAgAAAA&#10;IgAAAGRycy9kb3ducmV2LnhtbFBLAQIUABQAAAAIAIdO4kCm5X70CwIAADcEAAAOAAAAAAAAAAEA&#10;IAAAACcBAABkcnMvZTJvRG9jLnhtbFBLBQYAAAAABgAGAFkBAACkBQAAAAA=&#10;">
                      <v:fill on="t" focussize="0,0"/>
                      <v:stroke color="#000000" joinstyle="miter"/>
                      <v:imagedata o:title=""/>
                      <o:lock v:ext="edit" aspectratio="f"/>
                      <v:textbox>
                        <w:txbxContent>
                          <w:p>
                            <w:pPr>
                              <w:rPr>
                                <w:rFonts w:hint="eastAsia" w:ascii="宋体" w:hAnsi="宋体" w:eastAsia="宋体" w:cs="宋体"/>
                              </w:rPr>
                            </w:pPr>
                            <w:r>
                              <w:rPr>
                                <w:rFonts w:hint="eastAsia" w:ascii="宋体" w:hAnsi="宋体" w:eastAsia="宋体" w:cs="宋体"/>
                              </w:rPr>
                              <w:t>公辅设施</w:t>
                            </w:r>
                          </w:p>
                        </w:txbxContent>
                      </v:textbox>
                      <w10:wrap type="tight"/>
                    </v:shape>
                  </w:pict>
                </mc:Fallback>
              </mc:AlternateContent>
            </w:r>
            <w:r>
              <w:rPr>
                <w:color w:val="auto"/>
                <w:sz w:val="28"/>
              </w:rPr>
              <mc:AlternateContent>
                <mc:Choice Requires="wpg">
                  <w:drawing>
                    <wp:anchor distT="0" distB="0" distL="114300" distR="114300" simplePos="0" relativeHeight="251666432" behindDoc="1" locked="0" layoutInCell="1" allowOverlap="1">
                      <wp:simplePos x="0" y="0"/>
                      <wp:positionH relativeFrom="column">
                        <wp:posOffset>918845</wp:posOffset>
                      </wp:positionH>
                      <wp:positionV relativeFrom="paragraph">
                        <wp:posOffset>90805</wp:posOffset>
                      </wp:positionV>
                      <wp:extent cx="1089025" cy="1382395"/>
                      <wp:effectExtent l="5080" t="5080" r="10795" b="22225"/>
                      <wp:wrapTight wrapText="bothSides">
                        <wp:wrapPolygon>
                          <wp:start x="3300" y="-79"/>
                          <wp:lineTo x="3300" y="3790"/>
                          <wp:lineTo x="4433" y="4683"/>
                          <wp:lineTo x="10101" y="4683"/>
                          <wp:lineTo x="10101" y="9446"/>
                          <wp:lineTo x="-101" y="9446"/>
                          <wp:lineTo x="-101" y="21352"/>
                          <wp:lineTo x="21436" y="21352"/>
                          <wp:lineTo x="21436" y="9446"/>
                          <wp:lineTo x="11990" y="9446"/>
                          <wp:lineTo x="11612" y="4683"/>
                          <wp:lineTo x="18414" y="4683"/>
                          <wp:lineTo x="20303" y="3790"/>
                          <wp:lineTo x="19547" y="-79"/>
                          <wp:lineTo x="3300" y="-79"/>
                        </wp:wrapPolygon>
                      </wp:wrapTight>
                      <wp:docPr id="110" name="组合 110"/>
                      <wp:cNvGraphicFramePr/>
                      <a:graphic xmlns:a="http://schemas.openxmlformats.org/drawingml/2006/main">
                        <a:graphicData uri="http://schemas.microsoft.com/office/word/2010/wordprocessingGroup">
                          <wpg:wgp>
                            <wpg:cNvGrpSpPr/>
                            <wpg:grpSpPr>
                              <a:xfrm rot="0">
                                <a:off x="1751965" y="6396355"/>
                                <a:ext cx="1089025" cy="1382669"/>
                                <a:chOff x="18454" y="147324"/>
                                <a:chExt cx="1476" cy="2586"/>
                              </a:xfrm>
                            </wpg:grpSpPr>
                            <wps:wsp>
                              <wps:cNvPr id="92" name="文本框 92"/>
                              <wps:cNvSpPr txBox="1"/>
                              <wps:spPr>
                                <a:xfrm>
                                  <a:off x="18454" y="148522"/>
                                  <a:ext cx="1476" cy="138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wps:txbx>
                              <wps:bodyPr upright="1"/>
                            </wps:wsp>
                            <wps:wsp>
                              <wps:cNvPr id="95" name="文本框 95"/>
                              <wps:cNvSpPr txBox="1"/>
                              <wps:spPr>
                                <a:xfrm>
                                  <a:off x="18744" y="147324"/>
                                  <a:ext cx="999" cy="51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cs="宋体"/>
                                      </w:rPr>
                                    </w:pPr>
                                    <w:r>
                                      <w:rPr>
                                        <w:rFonts w:hint="eastAsia" w:ascii="宋体" w:hAnsi="宋体" w:eastAsia="宋体" w:cs="宋体"/>
                                      </w:rPr>
                                      <w:t>生活区</w:t>
                                    </w:r>
                                  </w:p>
                                </w:txbxContent>
                              </wps:txbx>
                              <wps:bodyPr upright="1"/>
                            </wps:wsp>
                            <wps:wsp>
                              <wps:cNvPr id="93" name="直接连接符 93"/>
                              <wps:cNvCnPr/>
                              <wps:spPr>
                                <a:xfrm flipH="1">
                                  <a:off x="19220" y="147849"/>
                                  <a:ext cx="0" cy="664"/>
                                </a:xfrm>
                                <a:prstGeom prst="line">
                                  <a:avLst/>
                                </a:prstGeom>
                                <a:ln w="9525" cap="sq" cmpd="sng">
                                  <a:solidFill>
                                    <a:srgbClr val="000000"/>
                                  </a:solidFill>
                                  <a:prstDash val="sysDot"/>
                                  <a:headEnd type="none" w="med" len="med"/>
                                  <a:tailEnd type="triangle" w="med" len="med"/>
                                </a:ln>
                              </wps:spPr>
                              <wps:bodyPr upright="1"/>
                            </wps:wsp>
                          </wpg:wgp>
                        </a:graphicData>
                      </a:graphic>
                    </wp:anchor>
                  </w:drawing>
                </mc:Choice>
                <mc:Fallback>
                  <w:pict>
                    <v:group id="_x0000_s1026" o:spid="_x0000_s1026" o:spt="203" style="position:absolute;left:0pt;margin-left:72.35pt;margin-top:7.15pt;height:108.85pt;width:85.75pt;mso-wrap-distance-left:9pt;mso-wrap-distance-right:9pt;z-index:-251650048;mso-width-relative:page;mso-height-relative:page;" coordorigin="18454,147324" coordsize="1476,2586" wrapcoords="3300 -79 3300 3790 4433 4683 10101 4683 10101 9446 -101 9446 -101 21352 21436 21352 21436 9446 11990 9446 11612 4683 18414 4683 20303 3790 19547 -79 3300 -79" o:gfxdata="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JBjmvjZAAAACgEAAA8AAAAAAAAAAQAgAAAAIgAAAGRycy9kb3ducmV2LnhtbFBLAQIUABQAAAAI&#10;AIdO4kCIEOLaQgMAAP4JAAAOAAAAAAAAAAEAIAAAACgBAABkcnMvZTJvRG9jLnhtbFBLBQYAAAAA&#10;BgAGAFkBAADcBgAAAAA=&#10;">
                      <o:lock v:ext="edit" aspectratio="f"/>
                      <v:shape id="_x0000_s1026" o:spid="_x0000_s1026" o:spt="202" type="#_x0000_t202" style="position:absolute;left:18454;top:148522;height:1388;width:1476;" fillcolor="#FFFFFF" filled="t" stroked="t" coordsize="21600,21600" o:gfxdata="UEsDBAoAAAAAAIdO4kAAAAAAAAAAAAAAAAAEAAAAZHJzL1BLAwQUAAAACACHTuJAiwnnb7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qE/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Ced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Cs w:val="21"/>
                                  <w:lang w:eastAsia="zh-CN"/>
                                </w:rPr>
                              </w:pPr>
                              <w:r>
                                <w:rPr>
                                  <w:rFonts w:hint="eastAsia" w:ascii="宋体" w:hAnsi="宋体" w:eastAsia="宋体" w:cs="宋体"/>
                                </w:rPr>
                                <w:t>生活垃圾、</w:t>
                              </w:r>
                              <w:r>
                                <w:rPr>
                                  <w:rFonts w:hint="eastAsia" w:ascii="宋体" w:hAnsi="宋体" w:eastAsia="宋体" w:cs="宋体"/>
                                  <w:szCs w:val="21"/>
                                  <w:lang w:eastAsia="zh-CN"/>
                                </w:rPr>
                                <w:t>生活废水</w:t>
                              </w:r>
                              <w:r>
                                <w:rPr>
                                  <w:rFonts w:hint="eastAsia" w:ascii="宋体" w:hAnsi="宋体" w:eastAsia="宋体" w:cs="宋体"/>
                                  <w:szCs w:val="21"/>
                                </w:rPr>
                                <w:t>、</w:t>
                              </w:r>
                              <w:r>
                                <w:rPr>
                                  <w:rFonts w:hint="eastAsia" w:ascii="宋体" w:hAnsi="宋体" w:eastAsia="宋体" w:cs="宋体"/>
                                  <w:szCs w:val="21"/>
                                  <w:lang w:eastAsia="zh-CN"/>
                                </w:rPr>
                                <w:t>食堂废水</w:t>
                              </w:r>
                              <w:r>
                                <w:rPr>
                                  <w:rFonts w:hint="eastAsia" w:ascii="宋体" w:hAnsi="宋体" w:eastAsia="宋体" w:cs="宋体"/>
                                  <w:szCs w:val="21"/>
                                </w:rPr>
                                <w:t>、油烟废气、</w:t>
                              </w:r>
                              <w:r>
                                <w:rPr>
                                  <w:rFonts w:hint="eastAsia" w:ascii="宋体" w:hAnsi="宋体" w:eastAsia="宋体" w:cs="宋体"/>
                                  <w:szCs w:val="21"/>
                                  <w:lang w:eastAsia="zh-CN"/>
                                </w:rPr>
                                <w:t>活动</w:t>
                              </w:r>
                              <w:r>
                                <w:rPr>
                                  <w:rFonts w:hint="eastAsia" w:ascii="宋体" w:hAnsi="宋体" w:eastAsia="宋体" w:cs="宋体"/>
                                  <w:szCs w:val="21"/>
                                </w:rPr>
                                <w:t>噪声</w:t>
                              </w:r>
                              <w:r>
                                <w:rPr>
                                  <w:rFonts w:hint="eastAsia" w:ascii="宋体" w:hAnsi="宋体" w:eastAsia="宋体" w:cs="宋体"/>
                                  <w:szCs w:val="21"/>
                                  <w:lang w:eastAsia="zh-CN"/>
                                </w:rPr>
                                <w:t>等</w:t>
                              </w:r>
                            </w:p>
                          </w:txbxContent>
                        </v:textbox>
                      </v:shape>
                      <v:shape id="_x0000_s1026" o:spid="_x0000_s1026" o:spt="202" type="#_x0000_t202" style="position:absolute;left:18744;top:147324;height:519;width:999;" fillcolor="#FFFFFF" filled="t" stroked="t" coordsize="21600,21600" o:gfxdata="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B/G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宋体" w:hAnsi="宋体" w:eastAsia="宋体" w:cs="宋体"/>
                                </w:rPr>
                              </w:pPr>
                              <w:r>
                                <w:rPr>
                                  <w:rFonts w:hint="eastAsia" w:ascii="宋体" w:hAnsi="宋体" w:eastAsia="宋体" w:cs="宋体"/>
                                </w:rPr>
                                <w:t>生活区</w:t>
                              </w:r>
                            </w:p>
                          </w:txbxContent>
                        </v:textbox>
                      </v:shape>
                      <v:line id="_x0000_s1026" o:spid="_x0000_s1026" o:spt="20" style="position:absolute;left:19220;top:147849;flip:x;height:664;width:0;" filled="f" stroked="t" coordsize="21600,21600" o:gfxdata="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Sf+2/&#10;AAAA2wAAAA8AAAAAAAAAAQAgAAAAIgAAAGRycy9kb3ducmV2LnhtbFBLAQIUABQAAAAIAIdO4kAz&#10;LwWeOwAAADkAAAAQAAAAAAAAAAEAIAAAAA4BAABkcnMvc2hhcGV4bWwueG1sUEsFBgAAAAAGAAYA&#10;WwEAALgDAAAAAA==&#10;">
                        <v:fill on="f" focussize="0,0"/>
                        <v:stroke color="#000000" joinstyle="round" dashstyle="1 1" endcap="square" endarrow="block"/>
                        <v:imagedata o:title=""/>
                        <o:lock v:ext="edit" aspectratio="f"/>
                      </v:line>
                      <w10:wrap type="tight"/>
                    </v:group>
                  </w:pict>
                </mc:Fallback>
              </mc:AlternateContent>
            </w:r>
          </w:p>
          <w:p>
            <w:pPr>
              <w:pStyle w:val="29"/>
              <w:rPr>
                <w:rFonts w:hint="eastAsia"/>
                <w:bCs/>
                <w:color w:val="auto"/>
                <w:sz w:val="24"/>
                <w:szCs w:val="21"/>
              </w:rPr>
            </w:pPr>
            <w:r>
              <w:rPr>
                <w:color w:val="auto"/>
              </w:rPr>
              <mc:AlternateContent>
                <mc:Choice Requires="wps">
                  <w:drawing>
                    <wp:anchor distT="0" distB="0" distL="114300" distR="114300" simplePos="0" relativeHeight="251668480" behindDoc="1" locked="0" layoutInCell="1" allowOverlap="1">
                      <wp:simplePos x="0" y="0"/>
                      <wp:positionH relativeFrom="column">
                        <wp:posOffset>3902075</wp:posOffset>
                      </wp:positionH>
                      <wp:positionV relativeFrom="paragraph">
                        <wp:posOffset>168275</wp:posOffset>
                      </wp:positionV>
                      <wp:extent cx="0" cy="360045"/>
                      <wp:effectExtent l="38100" t="4445" r="38100" b="54610"/>
                      <wp:wrapTight wrapText="bothSides">
                        <wp:wrapPolygon>
                          <wp:start x="0" y="-267"/>
                          <wp:lineTo x="0" y="20305"/>
                          <wp:lineTo x="-2147483648" y="20305"/>
                          <wp:lineTo x="-2147483648" y="-267"/>
                          <wp:lineTo x="0" y="-267"/>
                        </wp:wrapPolygon>
                      </wp:wrapTight>
                      <wp:docPr id="91" name="直接连接符 91"/>
                      <wp:cNvGraphicFramePr/>
                      <a:graphic xmlns:a="http://schemas.openxmlformats.org/drawingml/2006/main">
                        <a:graphicData uri="http://schemas.microsoft.com/office/word/2010/wordprocessingShape">
                          <wps:wsp>
                            <wps:cNvCnPr/>
                            <wps:spPr>
                              <a:xfrm flipH="1">
                                <a:off x="0" y="0"/>
                                <a:ext cx="0" cy="360045"/>
                              </a:xfrm>
                              <a:prstGeom prst="line">
                                <a:avLst/>
                              </a:prstGeom>
                              <a:ln w="9525" cap="sq" cmpd="sng">
                                <a:solidFill>
                                  <a:srgbClr val="000000"/>
                                </a:solidFill>
                                <a:prstDash val="sysDot"/>
                                <a:headEnd type="none" w="med" len="med"/>
                                <a:tailEnd type="triangle" w="med" len="med"/>
                              </a:ln>
                            </wps:spPr>
                            <wps:bodyPr upright="1"/>
                          </wps:wsp>
                        </a:graphicData>
                      </a:graphic>
                    </wp:anchor>
                  </w:drawing>
                </mc:Choice>
                <mc:Fallback>
                  <w:pict>
                    <v:line id="_x0000_s1026" o:spid="_x0000_s1026" o:spt="20" style="position:absolute;left:0pt;flip:x;margin-left:307.25pt;margin-top:13.25pt;height:28.35pt;width:0pt;mso-wrap-distance-left:9pt;mso-wrap-distance-right:9pt;z-index:-251648000;mso-width-relative:page;mso-height-relative:page;" filled="f" stroked="t" coordsize="21600,21600" wrapcoords="0 -267 0 20305 -2147483648 20305 -2147483648 -267 0 -267" o:gfxdata="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45PS9kAAAAJAQAADwAAAAAAAAABACAAAAAiAAAAZHJz&#10;L2Rvd25yZXYueG1sUEsBAhQAFAAAAAgAh07iQPLd8EADAgAA8gMAAA4AAAAAAAAAAQAgAAAAKAEA&#10;AGRycy9lMm9Eb2MueG1sUEsFBgAAAAAGAAYAWQEAAJ0FAAAAAA==&#10;">
                      <v:fill on="f" focussize="0,0"/>
                      <v:stroke color="#000000" joinstyle="round" dashstyle="1 1" endcap="square" endarrow="block"/>
                      <v:imagedata o:title=""/>
                      <o:lock v:ext="edit" aspectratio="f"/>
                      <w10:wrap type="tight"/>
                    </v:line>
                  </w:pict>
                </mc:Fallback>
              </mc:AlternateContent>
            </w:r>
          </w:p>
          <w:p>
            <w:pPr>
              <w:pStyle w:val="29"/>
              <w:rPr>
                <w:rFonts w:hint="eastAsia"/>
                <w:bCs/>
                <w:color w:val="auto"/>
                <w:sz w:val="24"/>
                <w:szCs w:val="21"/>
              </w:rPr>
            </w:pPr>
          </w:p>
          <w:p>
            <w:pPr>
              <w:pStyle w:val="29"/>
              <w:rPr>
                <w:rFonts w:hint="eastAsia"/>
                <w:bCs/>
                <w:color w:val="auto"/>
                <w:sz w:val="24"/>
                <w:szCs w:val="21"/>
              </w:rPr>
            </w:pPr>
            <w:r>
              <w:rPr>
                <w:color w:val="auto"/>
              </w:rPr>
              <mc:AlternateContent>
                <mc:Choice Requires="wps">
                  <w:drawing>
                    <wp:anchor distT="0" distB="0" distL="114300" distR="114300" simplePos="0" relativeHeight="251663360" behindDoc="1" locked="0" layoutInCell="1" allowOverlap="1">
                      <wp:simplePos x="0" y="0"/>
                      <wp:positionH relativeFrom="column">
                        <wp:posOffset>3289300</wp:posOffset>
                      </wp:positionH>
                      <wp:positionV relativeFrom="paragraph">
                        <wp:posOffset>79375</wp:posOffset>
                      </wp:positionV>
                      <wp:extent cx="1232535" cy="448310"/>
                      <wp:effectExtent l="5080" t="4445" r="19685" b="42545"/>
                      <wp:wrapTight wrapText="bothSides">
                        <wp:wrapPolygon>
                          <wp:start x="-78" y="-214"/>
                          <wp:lineTo x="-78" y="20896"/>
                          <wp:lineTo x="21288" y="20896"/>
                          <wp:lineTo x="21288" y="-214"/>
                          <wp:lineTo x="-78" y="-214"/>
                        </wp:wrapPolygon>
                      </wp:wrapTight>
                      <wp:docPr id="98" name="文本框 98"/>
                      <wp:cNvGraphicFramePr/>
                      <a:graphic xmlns:a="http://schemas.openxmlformats.org/drawingml/2006/main">
                        <a:graphicData uri="http://schemas.microsoft.com/office/word/2010/wordprocessingShape">
                          <wps:wsp>
                            <wps:cNvSpPr txBox="1"/>
                            <wps:spPr>
                              <a:xfrm>
                                <a:off x="0" y="0"/>
                                <a:ext cx="1232535" cy="4483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6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wps:txbx>
                            <wps:bodyPr upright="1"/>
                          </wps:wsp>
                        </a:graphicData>
                      </a:graphic>
                    </wp:anchor>
                  </w:drawing>
                </mc:Choice>
                <mc:Fallback>
                  <w:pict>
                    <v:shape id="_x0000_s1026" o:spid="_x0000_s1026" o:spt="202" type="#_x0000_t202" style="position:absolute;left:0pt;margin-left:259pt;margin-top:6.25pt;height:35.3pt;width:97.05pt;mso-wrap-distance-left:9pt;mso-wrap-distance-right:9pt;z-index:-251653120;mso-width-relative:page;mso-height-relative:page;" fillcolor="#FFFFFF" filled="t" stroked="t" coordsize="21600,21600" wrapcoords="-78 -214 -78 20896 21288 20896 21288 -214 -78 -214" o:gfxdata="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ByqQtgAAAAJAQAADwAAAAAAAAABACAA&#10;AAAiAAAAZHJzL2Rvd25yZXYueG1sUEsBAhQAFAAAAAgAh07iQIPajTANAgAAOAQAAA4AAAAAAAAA&#10;AQAgAAAAJwEAAGRycy9lMm9Eb2MueG1sUEsFBgAAAAAGAAYAWQEAAKYFAAAAAA==&#10;">
                      <v:fill on="t" focussize="0,0"/>
                      <v:stroke color="#000000" joinstyle="miter"/>
                      <v:imagedata o:title=""/>
                      <o:lock v:ext="edit" aspectratio="f"/>
                      <v:textbox>
                        <w:txbxContent>
                          <w:p>
                            <w:pPr>
                              <w:pStyle w:val="6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宋体" w:hAnsi="宋体" w:eastAsia="宋体" w:cs="宋体"/>
                                <w:sz w:val="21"/>
                                <w:lang w:val="en-US" w:eastAsia="zh-CN"/>
                              </w:rPr>
                            </w:pPr>
                            <w:r>
                              <w:rPr>
                                <w:rFonts w:hint="eastAsia" w:ascii="宋体" w:hAnsi="宋体" w:eastAsia="宋体" w:cs="宋体"/>
                                <w:sz w:val="21"/>
                              </w:rPr>
                              <w:t>汽车尾气、设备噪声</w:t>
                            </w:r>
                            <w:r>
                              <w:rPr>
                                <w:rFonts w:hint="eastAsia" w:ascii="宋体" w:hAnsi="宋体" w:cs="宋体"/>
                                <w:sz w:val="21"/>
                                <w:lang w:val="en-US" w:eastAsia="zh-CN"/>
                              </w:rPr>
                              <w:t>等</w:t>
                            </w:r>
                          </w:p>
                        </w:txbxContent>
                      </v:textbox>
                      <w10:wrap type="tight"/>
                    </v:shape>
                  </w:pict>
                </mc:Fallback>
              </mc:AlternateContent>
            </w:r>
          </w:p>
          <w:p>
            <w:pPr>
              <w:pStyle w:val="29"/>
              <w:rPr>
                <w:rFonts w:hint="eastAsia"/>
                <w:bCs/>
                <w:color w:val="auto"/>
                <w:sz w:val="24"/>
                <w:szCs w:val="21"/>
              </w:rPr>
            </w:pPr>
          </w:p>
          <w:p>
            <w:pPr>
              <w:pStyle w:val="29"/>
              <w:rPr>
                <w:rFonts w:hint="eastAsia"/>
                <w:bCs/>
                <w:color w:val="auto"/>
                <w:sz w:val="24"/>
                <w:szCs w:val="21"/>
              </w:rPr>
            </w:pPr>
          </w:p>
          <w:p>
            <w:pPr>
              <w:pStyle w:val="29"/>
              <w:rPr>
                <w:rFonts w:hint="eastAsia"/>
                <w:bCs/>
                <w:color w:val="auto"/>
                <w:sz w:val="24"/>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Times New Roman" w:hAnsi="Times New Roman" w:eastAsia="宋体" w:cs="Times New Roman"/>
                <w:b/>
                <w:color w:val="auto"/>
                <w:sz w:val="24"/>
                <w:szCs w:val="21"/>
              </w:rPr>
            </w:pPr>
            <w:r>
              <w:rPr>
                <w:rFonts w:hint="eastAsia" w:ascii="Times New Roman" w:hAnsi="Times New Roman" w:eastAsia="宋体" w:cs="Times New Roman"/>
                <w:b/>
                <w:color w:val="auto"/>
                <w:sz w:val="24"/>
                <w:szCs w:val="21"/>
                <w:lang w:val="en-US" w:eastAsia="zh-CN"/>
              </w:rPr>
              <w:t xml:space="preserve">图2.1 </w:t>
            </w:r>
            <w:r>
              <w:rPr>
                <w:rFonts w:hint="default" w:ascii="Times New Roman" w:hAnsi="Times New Roman" w:eastAsia="宋体" w:cs="Times New Roman"/>
                <w:b/>
                <w:color w:val="auto"/>
                <w:sz w:val="24"/>
                <w:szCs w:val="21"/>
              </w:rPr>
              <w:t>营运期工艺流程及产污环节图</w:t>
            </w:r>
          </w:p>
          <w:p>
            <w:pPr>
              <w:jc w:val="center"/>
              <w:rPr>
                <w:color w:val="auto"/>
              </w:rPr>
            </w:pPr>
          </w:p>
          <w:p>
            <w:pPr>
              <w:adjustRightInd w:val="0"/>
              <w:snapToGrid w:val="0"/>
              <w:spacing w:line="360" w:lineRule="auto"/>
              <w:ind w:firstLine="482" w:firstLineChars="200"/>
              <w:jc w:val="left"/>
              <w:rPr>
                <w:b/>
                <w:color w:val="auto"/>
                <w:sz w:val="24"/>
                <w:szCs w:val="21"/>
              </w:rPr>
            </w:pPr>
            <w:r>
              <w:rPr>
                <w:rFonts w:hint="eastAsia"/>
                <w:b/>
                <w:color w:val="auto"/>
                <w:sz w:val="24"/>
                <w:szCs w:val="21"/>
              </w:rPr>
              <w:t>2</w:t>
            </w:r>
            <w:r>
              <w:rPr>
                <w:rFonts w:hint="eastAsia"/>
                <w:b/>
                <w:color w:val="auto"/>
                <w:sz w:val="24"/>
                <w:szCs w:val="21"/>
                <w:lang w:val="en-US" w:eastAsia="zh-CN"/>
              </w:rPr>
              <w:t>.2</w:t>
            </w:r>
            <w:r>
              <w:rPr>
                <w:rFonts w:hint="eastAsia"/>
                <w:b/>
                <w:color w:val="auto"/>
                <w:sz w:val="24"/>
                <w:szCs w:val="21"/>
              </w:rPr>
              <w:t>主要产污环节</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（1）废水：</w:t>
            </w:r>
            <w:r>
              <w:rPr>
                <w:rFonts w:hint="eastAsia" w:cs="Times New Roman"/>
                <w:color w:val="auto"/>
                <w:sz w:val="24"/>
                <w:lang w:val="en-US" w:eastAsia="zh-CN"/>
              </w:rPr>
              <w:t>生活污水</w:t>
            </w:r>
            <w:r>
              <w:rPr>
                <w:rFonts w:hint="default" w:ascii="Times New Roman" w:hAnsi="Times New Roman" w:eastAsia="宋体" w:cs="Times New Roman"/>
                <w:color w:val="auto"/>
                <w:sz w:val="24"/>
              </w:rPr>
              <w:t>。</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（2）废气：油烟废气、汽车尾气。</w:t>
            </w:r>
          </w:p>
          <w:p>
            <w:pPr>
              <w:spacing w:line="360" w:lineRule="auto"/>
              <w:ind w:firstLine="484" w:firstLineChars="20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（3）噪声：设备噪声（配电</w:t>
            </w:r>
            <w:r>
              <w:rPr>
                <w:rFonts w:hint="eastAsia" w:cs="Times New Roman"/>
                <w:color w:val="auto"/>
                <w:sz w:val="24"/>
                <w:lang w:val="en-US" w:eastAsia="zh-CN"/>
              </w:rPr>
              <w:t>间、电梯机组</w:t>
            </w:r>
            <w:r>
              <w:rPr>
                <w:rFonts w:hint="default" w:ascii="Times New Roman" w:hAnsi="Times New Roman" w:eastAsia="宋体" w:cs="Times New Roman"/>
                <w:color w:val="auto"/>
                <w:sz w:val="24"/>
              </w:rPr>
              <w:t>等设备）、机动车辆噪声及人群活动噪声。</w:t>
            </w:r>
          </w:p>
          <w:p>
            <w:pPr>
              <w:adjustRightInd w:val="0"/>
              <w:snapToGrid w:val="0"/>
              <w:spacing w:line="360" w:lineRule="auto"/>
              <w:ind w:firstLine="480" w:firstLineChars="200"/>
              <w:jc w:val="left"/>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（4）固废：生活垃圾</w:t>
            </w: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p>
            <w:pPr>
              <w:adjustRightInd w:val="0"/>
              <w:snapToGrid w:val="0"/>
              <w:spacing w:line="360" w:lineRule="auto"/>
              <w:ind w:firstLine="480" w:firstLineChars="200"/>
              <w:jc w:val="left"/>
              <w:rPr>
                <w:rFonts w:hint="default"/>
                <w:bCs/>
                <w:color w:val="auto"/>
                <w:sz w:val="24"/>
                <w:szCs w:val="21"/>
                <w:lang w:val="en-US"/>
              </w:rPr>
            </w:pPr>
          </w:p>
        </w:tc>
      </w:tr>
    </w:tbl>
    <w:p>
      <w:pPr>
        <w:pStyle w:val="19"/>
        <w:jc w:val="center"/>
        <w:rPr>
          <w:rFonts w:ascii="黑体" w:hAnsi="黑体" w:eastAsia="黑体"/>
          <w:snapToGrid w:val="0"/>
          <w:color w:val="auto"/>
          <w:sz w:val="36"/>
          <w:szCs w:val="36"/>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pStyle w:val="19"/>
        <w:jc w:val="center"/>
        <w:outlineLvl w:val="0"/>
        <w:rPr>
          <w:rFonts w:ascii="黑体" w:hAnsi="黑体" w:eastAsia="黑体"/>
          <w:snapToGrid w:val="0"/>
          <w:color w:val="auto"/>
          <w:sz w:val="30"/>
          <w:szCs w:val="30"/>
        </w:rPr>
      </w:pPr>
      <w:bookmarkStart w:id="12" w:name="_Toc27085"/>
      <w:bookmarkStart w:id="13" w:name="_Toc22086"/>
      <w:r>
        <w:rPr>
          <w:rFonts w:hint="eastAsia" w:ascii="黑体" w:hAnsi="黑体" w:eastAsia="黑体"/>
          <w:snapToGrid w:val="0"/>
          <w:color w:val="auto"/>
          <w:sz w:val="30"/>
          <w:szCs w:val="30"/>
        </w:rPr>
        <w:t>三、</w:t>
      </w:r>
      <w:r>
        <w:rPr>
          <w:rFonts w:hint="eastAsia" w:ascii="黑体" w:hAnsi="黑体" w:eastAsia="黑体"/>
          <w:snapToGrid w:val="0"/>
          <w:color w:val="auto"/>
          <w:sz w:val="30"/>
          <w:szCs w:val="30"/>
          <w:lang w:val="en-US" w:eastAsia="zh-CN"/>
        </w:rPr>
        <w:t>生态</w:t>
      </w:r>
      <w:r>
        <w:rPr>
          <w:rFonts w:hint="eastAsia" w:ascii="黑体" w:hAnsi="黑体" w:eastAsia="黑体"/>
          <w:snapToGrid w:val="0"/>
          <w:color w:val="auto"/>
          <w:sz w:val="30"/>
          <w:szCs w:val="30"/>
        </w:rPr>
        <w:t>环境现状、环境保护目标及评价标准</w:t>
      </w:r>
      <w:bookmarkEnd w:id="12"/>
      <w:bookmarkEnd w:id="13"/>
    </w:p>
    <w:tbl>
      <w:tblPr>
        <w:tblStyle w:val="22"/>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1" w:type="dxa"/>
          <w:bottom w:w="0" w:type="dxa"/>
          <w:right w:w="51"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pPr>
              <w:adjustRightInd w:val="0"/>
              <w:snapToGrid w:val="0"/>
              <w:jc w:val="center"/>
              <w:rPr>
                <w:rFonts w:hint="default" w:eastAsia="宋体" w:cs="宋体"/>
                <w:color w:val="auto"/>
                <w:kern w:val="0"/>
                <w:sz w:val="24"/>
                <w:szCs w:val="21"/>
                <w:lang w:val="en-US" w:eastAsia="zh-CN"/>
              </w:rPr>
            </w:pPr>
            <w:r>
              <w:rPr>
                <w:rFonts w:hint="eastAsia" w:cs="宋体"/>
                <w:color w:val="auto"/>
                <w:kern w:val="0"/>
                <w:sz w:val="24"/>
                <w:szCs w:val="21"/>
                <w:lang w:val="en-US" w:eastAsia="zh-CN"/>
              </w:rPr>
              <w:t>生态环境现状</w:t>
            </w:r>
          </w:p>
        </w:tc>
        <w:tc>
          <w:tcPr>
            <w:tcW w:w="8190" w:type="dxa"/>
            <w:vAlign w:val="center"/>
          </w:tcPr>
          <w:p>
            <w:pPr>
              <w:spacing w:line="360" w:lineRule="auto"/>
              <w:rPr>
                <w:b/>
                <w:color w:val="auto"/>
                <w:sz w:val="24"/>
                <w:szCs w:val="21"/>
              </w:rPr>
            </w:pPr>
            <w:r>
              <w:rPr>
                <w:rFonts w:hint="eastAsia"/>
                <w:b/>
                <w:color w:val="auto"/>
                <w:sz w:val="24"/>
                <w:szCs w:val="21"/>
              </w:rPr>
              <w:t>1</w:t>
            </w:r>
            <w:r>
              <w:rPr>
                <w:b/>
                <w:color w:val="auto"/>
                <w:sz w:val="24"/>
                <w:szCs w:val="21"/>
              </w:rPr>
              <w:t>、环境空气质量现状</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1、大气环境质量现状</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根据《环境影响评价技术导则大气环境》（HJ2.2-2018），项目所在区域达标情况判定优先采用国家或地方生态环境主管部门公开发布的环境质量公告或环境质量报告中的数据或结论。本项目</w:t>
            </w: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2.5</w:t>
            </w:r>
            <w:r>
              <w:rPr>
                <w:rFonts w:hint="default" w:ascii="Times New Roman" w:hAnsi="Times New Roman" w:cs="Times New Roman"/>
                <w:color w:val="auto"/>
                <w:szCs w:val="21"/>
              </w:rPr>
              <w:t>、CO、O</w:t>
            </w:r>
            <w:r>
              <w:rPr>
                <w:rFonts w:hint="default" w:ascii="Times New Roman" w:hAnsi="Times New Roman" w:cs="Times New Roman"/>
                <w:color w:val="auto"/>
                <w:szCs w:val="21"/>
                <w:vertAlign w:val="subscript"/>
              </w:rPr>
              <w:t>3</w:t>
            </w:r>
            <w:r>
              <w:rPr>
                <w:rFonts w:hint="default" w:ascii="Times New Roman" w:hAnsi="Times New Roman" w:cs="Times New Roman"/>
                <w:color w:val="auto"/>
              </w:rPr>
              <w:t>等基本污染物环境空气质量现状采用岳阳市生态环境局公开发布的2023年度华容县空气质量年报中公布的数据。</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表3-1  2023年度华容县环境空气质量状况统计表单位：ug/m</w:t>
            </w:r>
            <w:r>
              <w:rPr>
                <w:rFonts w:hint="default" w:ascii="Times New Roman" w:hAnsi="Times New Roman" w:cs="Times New Roman"/>
                <w:color w:val="auto"/>
                <w:vertAlign w:val="superscript"/>
              </w:rPr>
              <w:t>3</w:t>
            </w:r>
          </w:p>
          <w:tbl>
            <w:tblPr>
              <w:tblStyle w:val="22"/>
              <w:tblW w:w="7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783"/>
              <w:gridCol w:w="1011"/>
              <w:gridCol w:w="1068"/>
              <w:gridCol w:w="1097"/>
              <w:gridCol w:w="11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污染物</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评价指标</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现状</w:t>
                  </w:r>
                </w:p>
                <w:p>
                  <w:pPr>
                    <w:pStyle w:val="67"/>
                    <w:rPr>
                      <w:rFonts w:hint="default" w:ascii="Times New Roman" w:hAnsi="Times New Roman" w:cs="Times New Roman"/>
                      <w:b/>
                      <w:bCs/>
                      <w:color w:val="auto"/>
                    </w:rPr>
                  </w:pPr>
                  <w:r>
                    <w:rPr>
                      <w:rFonts w:hint="default" w:ascii="Times New Roman" w:hAnsi="Times New Roman" w:cs="Times New Roman"/>
                      <w:b/>
                      <w:bCs/>
                      <w:color w:val="auto"/>
                    </w:rPr>
                    <w:t>浓度</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标准值</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占标率%</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b/>
                      <w:bCs/>
                      <w:color w:val="auto"/>
                    </w:rPr>
                  </w:pPr>
                  <w:r>
                    <w:rPr>
                      <w:rFonts w:hint="default" w:ascii="Times New Roman" w:hAnsi="Times New Roman" w:cs="Times New Roman"/>
                      <w:b/>
                      <w:bCs/>
                      <w:color w:val="auto"/>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PM</w:t>
                  </w:r>
                  <w:r>
                    <w:rPr>
                      <w:rFonts w:hint="default" w:ascii="Times New Roman" w:hAnsi="Times New Roman" w:cs="Times New Roman"/>
                      <w:bCs/>
                      <w:color w:val="auto"/>
                      <w:szCs w:val="21"/>
                      <w:vertAlign w:val="subscript"/>
                    </w:rPr>
                    <w:t>2.5</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33</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35</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64.3</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PM</w:t>
                  </w:r>
                  <w:r>
                    <w:rPr>
                      <w:rFonts w:hint="default" w:ascii="Times New Roman" w:hAnsi="Times New Roman" w:cs="Times New Roman"/>
                      <w:color w:val="auto"/>
                      <w:szCs w:val="21"/>
                      <w:vertAlign w:val="subscript"/>
                    </w:rPr>
                    <w:t>10</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45</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70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94.3</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SO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7</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60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11.7</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NO</w:t>
                  </w:r>
                  <w:r>
                    <w:rPr>
                      <w:rFonts w:hint="default" w:ascii="Times New Roman" w:hAnsi="Times New Roman" w:cs="Times New Roman"/>
                      <w:color w:val="auto"/>
                      <w:szCs w:val="21"/>
                      <w:vertAlign w:val="subscript"/>
                    </w:rPr>
                    <w:t>2</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年平均质量浓度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13</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40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32.5</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CO</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第95百分位数24h平均质量浓度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1000</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4000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25.0</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4"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bCs/>
                      <w:color w:val="auto"/>
                      <w:szCs w:val="21"/>
                    </w:rPr>
                    <w:t>O</w:t>
                  </w:r>
                  <w:r>
                    <w:rPr>
                      <w:rFonts w:hint="default" w:ascii="Times New Roman" w:hAnsi="Times New Roman" w:cs="Times New Roman"/>
                      <w:bCs/>
                      <w:color w:val="auto"/>
                      <w:szCs w:val="21"/>
                      <w:vertAlign w:val="subscript"/>
                    </w:rPr>
                    <w:t>3</w:t>
                  </w:r>
                </w:p>
              </w:tc>
              <w:tc>
                <w:tcPr>
                  <w:tcW w:w="28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第90百分位数最大8h平均质量浓度</w:t>
                  </w:r>
                </w:p>
              </w:tc>
              <w:tc>
                <w:tcPr>
                  <w:tcW w:w="1018"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128</w:t>
                  </w:r>
                </w:p>
              </w:tc>
              <w:tc>
                <w:tcPr>
                  <w:tcW w:w="107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szCs w:val="21"/>
                    </w:rPr>
                    <w:t>160</w:t>
                  </w:r>
                </w:p>
              </w:tc>
              <w:tc>
                <w:tcPr>
                  <w:tcW w:w="1105"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80.0</w:t>
                  </w:r>
                </w:p>
              </w:tc>
              <w:tc>
                <w:tcPr>
                  <w:tcW w:w="1120" w:type="dxa"/>
                  <w:tcBorders>
                    <w:tl2br w:val="nil"/>
                    <w:tr2bl w:val="nil"/>
                  </w:tcBorders>
                  <w:noWrap w:val="0"/>
                  <w:tcMar>
                    <w:top w:w="0" w:type="dxa"/>
                    <w:left w:w="108" w:type="dxa"/>
                    <w:bottom w:w="0" w:type="dxa"/>
                    <w:right w:w="108" w:type="dxa"/>
                  </w:tcMar>
                  <w:vAlign w:val="center"/>
                </w:tcPr>
                <w:p>
                  <w:pPr>
                    <w:pStyle w:val="67"/>
                    <w:rPr>
                      <w:rFonts w:hint="default" w:ascii="Times New Roman" w:hAnsi="Times New Roman" w:cs="Times New Roman"/>
                      <w:color w:val="auto"/>
                    </w:rPr>
                  </w:pPr>
                  <w:r>
                    <w:rPr>
                      <w:rFonts w:hint="default" w:ascii="Times New Roman" w:hAnsi="Times New Roman" w:cs="Times New Roman"/>
                      <w:color w:val="auto"/>
                    </w:rPr>
                    <w:t>是</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根据上表监测结果分析：项目所在地的PM</w:t>
            </w:r>
            <w:r>
              <w:rPr>
                <w:rFonts w:hint="default" w:ascii="Times New Roman" w:hAnsi="Times New Roman" w:cs="Times New Roman"/>
                <w:color w:val="auto"/>
                <w:vertAlign w:val="subscript"/>
              </w:rPr>
              <w:t>10</w:t>
            </w: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、O</w:t>
            </w:r>
            <w:r>
              <w:rPr>
                <w:rFonts w:hint="default" w:ascii="Times New Roman" w:hAnsi="Times New Roman" w:cs="Times New Roman"/>
                <w:color w:val="auto"/>
                <w:vertAlign w:val="subscript"/>
              </w:rPr>
              <w:t>3</w:t>
            </w:r>
            <w:r>
              <w:rPr>
                <w:rFonts w:hint="default" w:ascii="Times New Roman" w:hAnsi="Times New Roman" w:cs="Times New Roman"/>
                <w:color w:val="auto"/>
              </w:rPr>
              <w:t>、CO年平均浓度值符合《环境空气质量标准》（GB3095-2012）中二级标准要求，区域环境空气</w:t>
            </w:r>
            <w:r>
              <w:rPr>
                <w:rFonts w:hint="eastAsia" w:cs="Times New Roman"/>
                <w:color w:val="auto"/>
                <w:lang w:eastAsia="zh-CN"/>
              </w:rPr>
              <w:t>质量现状</w:t>
            </w:r>
            <w:r>
              <w:rPr>
                <w:rFonts w:hint="default" w:ascii="Times New Roman" w:hAnsi="Times New Roman" w:cs="Times New Roman"/>
                <w:color w:val="auto"/>
              </w:rPr>
              <w:t>为达标区。</w:t>
            </w:r>
          </w:p>
          <w:p>
            <w:pPr>
              <w:pStyle w:val="65"/>
              <w:ind w:firstLine="48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2、地表水环境质量现状</w:t>
            </w:r>
          </w:p>
          <w:p>
            <w:pPr>
              <w:pStyle w:val="65"/>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建设项目环境影响报告表编制技术指南》（2021年版），地表水环境质量现状调查可引用与建设项目距离近的有效数据，包括近3年的规划环境影响评价的监测数据，所在流域控制单元内国家、地方控制断面监测数据，生态环境主管部门发布的水环境质量数据或地表水达标情况的结论。为了解项目区域地表水环境质量现状，本次评价引用湖南省生态环境厅发布的2023年1月~12月藕池河东支（东）三个省控断面数据（白莲村、团洲、禹九村），评价结果如下：</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表3-2  地表水环境质量现状评价结果表</w:t>
            </w:r>
          </w:p>
          <w:tbl>
            <w:tblPr>
              <w:tblStyle w:val="23"/>
              <w:tblW w:w="4995"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469"/>
              <w:gridCol w:w="436"/>
              <w:gridCol w:w="469"/>
              <w:gridCol w:w="469"/>
              <w:gridCol w:w="510"/>
              <w:gridCol w:w="510"/>
              <w:gridCol w:w="531"/>
              <w:gridCol w:w="436"/>
              <w:gridCol w:w="490"/>
              <w:gridCol w:w="531"/>
              <w:gridCol w:w="474"/>
              <w:gridCol w:w="446"/>
              <w:gridCol w:w="6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断面</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1月</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2月</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3月</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4月</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5月</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6月</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7月</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8月</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9月</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10月</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11月</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12月</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藕池河东支（东）-白莲村</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藕池河东支（东）-团洲</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82" w:type="pct"/>
                  <w:tcBorders>
                    <w:tl2br w:val="nil"/>
                    <w:tr2bl w:val="nil"/>
                  </w:tcBorders>
                  <w:noWrap w:val="0"/>
                  <w:vAlign w:val="center"/>
                </w:tcPr>
                <w:p>
                  <w:pPr>
                    <w:pStyle w:val="67"/>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藕池河东支（东）-禹九村</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1"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17"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0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330"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94"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276"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c>
                <w:tcPr>
                  <w:tcW w:w="432" w:type="pct"/>
                  <w:tcBorders>
                    <w:tl2br w:val="nil"/>
                    <w:tr2bl w:val="nil"/>
                  </w:tcBorders>
                  <w:noWrap w:val="0"/>
                  <w:vAlign w:val="center"/>
                </w:tcPr>
                <w:p>
                  <w:pPr>
                    <w:pStyle w:val="67"/>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III</w:t>
                  </w:r>
                </w:p>
              </w:tc>
            </w:tr>
          </w:tbl>
          <w:p>
            <w:pPr>
              <w:pStyle w:val="65"/>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由上表监测结果可知，藕池河东支三个监测断面2023年均能满足</w:t>
            </w:r>
            <w:r>
              <w:rPr>
                <w:rFonts w:hint="default" w:ascii="Times New Roman" w:hAnsi="Times New Roman" w:cs="Times New Roman"/>
                <w:color w:val="auto"/>
                <w:kern w:val="0"/>
                <w:highlight w:val="none"/>
              </w:rPr>
              <w:t>《地表水环境质量标准》（GB3838-2002）中Ⅲ类标准，地表水环境质量现</w:t>
            </w:r>
            <w:r>
              <w:rPr>
                <w:rFonts w:hint="default" w:ascii="Times New Roman" w:hAnsi="Times New Roman" w:cs="Times New Roman"/>
                <w:color w:val="auto"/>
                <w:kern w:val="0"/>
              </w:rPr>
              <w:t>状较好。</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3、声环境质量现状</w:t>
            </w:r>
          </w:p>
          <w:p>
            <w:pPr>
              <w:pStyle w:val="65"/>
              <w:ind w:firstLine="48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根据现场勘查</w:t>
            </w:r>
            <w:r>
              <w:rPr>
                <w:rFonts w:hint="default" w:ascii="Times New Roman" w:hAnsi="Times New Roman" w:cs="Times New Roman"/>
                <w:color w:val="auto"/>
              </w:rPr>
              <w:t>。</w:t>
            </w:r>
            <w:r>
              <w:rPr>
                <w:rFonts w:hint="eastAsia" w:ascii="Times New Roman" w:hAnsi="Times New Roman" w:cs="Times New Roman"/>
                <w:color w:val="auto"/>
                <w:lang w:val="en-US" w:eastAsia="zh-CN"/>
              </w:rPr>
              <w:t>本项目对其四个边界处进行了噪声现状监测</w:t>
            </w:r>
            <w:r>
              <w:rPr>
                <w:rFonts w:hint="default" w:ascii="Times New Roman" w:hAnsi="Times New Roman" w:cs="Times New Roman"/>
                <w:color w:val="auto"/>
              </w:rPr>
              <w:t>。</w:t>
            </w:r>
            <w:r>
              <w:rPr>
                <w:rFonts w:hint="default" w:ascii="Times New Roman" w:hAnsi="Times New Roman" w:cs="Times New Roman"/>
                <w:color w:val="auto"/>
                <w:lang w:val="en-US" w:eastAsia="zh-CN"/>
              </w:rPr>
              <w:t>监测结果详见下表</w:t>
            </w:r>
            <w:r>
              <w:rPr>
                <w:rFonts w:hint="eastAsia" w:cs="Times New Roman"/>
                <w:color w:val="auto"/>
                <w:lang w:val="en-US" w:eastAsia="zh-CN"/>
              </w:rPr>
              <w:t>3-3所示</w:t>
            </w:r>
            <w:r>
              <w:rPr>
                <w:rFonts w:hint="default" w:ascii="Times New Roman" w:hAnsi="Times New Roman" w:cs="Times New Roman"/>
                <w:color w:val="auto"/>
                <w:lang w:val="en-US" w:eastAsia="zh-CN"/>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val="en-US" w:eastAsia="zh-CN"/>
              </w:rPr>
              <w:t>表</w:t>
            </w: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 xml:space="preserve"> 声</w:t>
            </w:r>
            <w:r>
              <w:rPr>
                <w:rFonts w:hint="default" w:ascii="Times New Roman" w:hAnsi="Times New Roman" w:eastAsia="宋体" w:cs="Times New Roman"/>
                <w:color w:val="auto"/>
                <w:highlight w:val="none"/>
              </w:rPr>
              <w:t>环</w:t>
            </w:r>
            <w:r>
              <w:rPr>
                <w:rFonts w:hint="default" w:ascii="Times New Roman" w:hAnsi="Times New Roman" w:cs="Times New Roman"/>
                <w:color w:val="auto"/>
                <w:highlight w:val="none"/>
              </w:rPr>
              <w:t>境质量现状评价结果表</w:t>
            </w:r>
          </w:p>
          <w:tbl>
            <w:tblPr>
              <w:tblStyle w:val="69"/>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72"/>
              <w:gridCol w:w="1204"/>
              <w:gridCol w:w="1825"/>
              <w:gridCol w:w="1031"/>
              <w:gridCol w:w="1319"/>
              <w:gridCol w:w="994"/>
              <w:gridCol w:w="89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检测类别</w:t>
                  </w:r>
                </w:p>
              </w:tc>
              <w:tc>
                <w:tcPr>
                  <w:tcW w:w="1204"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采样日期</w:t>
                  </w:r>
                </w:p>
              </w:tc>
              <w:tc>
                <w:tcPr>
                  <w:tcW w:w="1825"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检测点位</w:t>
                  </w:r>
                </w:p>
              </w:tc>
              <w:tc>
                <w:tcPr>
                  <w:tcW w:w="1031"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检测时段</w:t>
                  </w:r>
                </w:p>
              </w:tc>
              <w:tc>
                <w:tcPr>
                  <w:tcW w:w="1319"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检测结果</w:t>
                  </w:r>
                </w:p>
              </w:tc>
              <w:tc>
                <w:tcPr>
                  <w:tcW w:w="994"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参考限值</w:t>
                  </w:r>
                </w:p>
              </w:tc>
              <w:tc>
                <w:tcPr>
                  <w:tcW w:w="892" w:type="dxa"/>
                  <w:tcBorders>
                    <w:tl2br w:val="nil"/>
                    <w:tr2bl w:val="nil"/>
                  </w:tcBorders>
                  <w:noWrap w:val="0"/>
                  <w:vAlign w:val="center"/>
                </w:tcPr>
                <w:p>
                  <w:pPr>
                    <w:pStyle w:val="67"/>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672"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w:t>
                  </w:r>
                </w:p>
              </w:tc>
              <w:tc>
                <w:tcPr>
                  <w:tcW w:w="1204"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04</w:t>
                  </w: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54</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49</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shd w:val="clear" w:color="auto" w:fill="auto"/>
                  <w:noWrap w:val="0"/>
                  <w:vAlign w:val="center"/>
                </w:tcPr>
                <w:p>
                  <w:pPr>
                    <w:pStyle w:val="67"/>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51</w:t>
                  </w:r>
                </w:p>
              </w:tc>
              <w:tc>
                <w:tcPr>
                  <w:tcW w:w="994" w:type="dxa"/>
                  <w:tcBorders>
                    <w:tl2br w:val="nil"/>
                    <w:tr2bl w:val="nil"/>
                  </w:tcBorders>
                  <w:shd w:val="clear" w:color="auto" w:fill="auto"/>
                  <w:noWrap w:val="0"/>
                  <w:vAlign w:val="center"/>
                </w:tcPr>
                <w:p>
                  <w:pPr>
                    <w:pStyle w:val="67"/>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en-US"/>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restart"/>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rPr>
                    <w:t>202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05</w:t>
                  </w: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东</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55</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56</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48</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西</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shd w:val="clear" w:color="auto" w:fill="auto"/>
                  <w:noWrap w:val="0"/>
                  <w:vAlign w:val="center"/>
                </w:tcPr>
                <w:p>
                  <w:pPr>
                    <w:pStyle w:val="67"/>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shd w:val="clear" w:color="auto" w:fill="auto"/>
                  <w:noWrap w:val="0"/>
                  <w:vAlign w:val="center"/>
                </w:tcPr>
                <w:p>
                  <w:pPr>
                    <w:pStyle w:val="67"/>
                    <w:ind w:firstLine="0" w:firstLineChars="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restart"/>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厂区</w:t>
                  </w:r>
                  <w:r>
                    <w:rPr>
                      <w:rFonts w:hint="eastAsia" w:cs="Times New Roman"/>
                      <w:color w:val="auto"/>
                      <w:highlight w:val="none"/>
                      <w:lang w:val="en-US" w:eastAsia="zh-CN"/>
                    </w:rPr>
                    <w:t>北</w:t>
                  </w:r>
                  <w:r>
                    <w:rPr>
                      <w:rFonts w:hint="default" w:ascii="Times New Roman" w:hAnsi="Times New Roman" w:eastAsia="宋体" w:cs="Times New Roman"/>
                      <w:color w:val="auto"/>
                      <w:highlight w:val="none"/>
                      <w:lang w:val="en-US" w:eastAsia="zh-CN"/>
                    </w:rPr>
                    <w:t>侧敏感点</w:t>
                  </w: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en-US"/>
                    </w:rPr>
                    <w:t>昼间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57</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72"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204"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rPr>
                  </w:pPr>
                </w:p>
              </w:tc>
              <w:tc>
                <w:tcPr>
                  <w:tcW w:w="1825" w:type="dxa"/>
                  <w:vMerge w:val="continue"/>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p>
              </w:tc>
              <w:tc>
                <w:tcPr>
                  <w:tcW w:w="1031"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夜</w:t>
                  </w:r>
                  <w:r>
                    <w:rPr>
                      <w:rFonts w:hint="default" w:ascii="Times New Roman" w:hAnsi="Times New Roman" w:eastAsia="宋体" w:cs="Times New Roman"/>
                      <w:color w:val="auto"/>
                      <w:highlight w:val="none"/>
                      <w:lang w:val="en-US" w:eastAsia="en-US"/>
                    </w:rPr>
                    <w:t>间</w:t>
                  </w:r>
                </w:p>
              </w:tc>
              <w:tc>
                <w:tcPr>
                  <w:tcW w:w="1319" w:type="dxa"/>
                  <w:tcBorders>
                    <w:tl2br w:val="nil"/>
                    <w:tr2bl w:val="nil"/>
                  </w:tcBorders>
                  <w:noWrap w:val="0"/>
                  <w:vAlign w:val="center"/>
                </w:tcPr>
                <w:p>
                  <w:pPr>
                    <w:pStyle w:val="67"/>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994"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892" w:type="dxa"/>
                  <w:tcBorders>
                    <w:tl2br w:val="nil"/>
                    <w:tr2bl w:val="nil"/>
                  </w:tcBorders>
                  <w:noWrap w:val="0"/>
                  <w:vAlign w:val="center"/>
                </w:tcPr>
                <w:p>
                  <w:pPr>
                    <w:pStyle w:val="67"/>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dB（A）</w:t>
                  </w:r>
                </w:p>
              </w:tc>
            </w:tr>
          </w:tbl>
          <w:p>
            <w:pPr>
              <w:pStyle w:val="65"/>
              <w:spacing w:before="156"/>
              <w:ind w:firstLine="480"/>
              <w:rPr>
                <w:rFonts w:hint="default" w:ascii="Times New Roman" w:hAnsi="Times New Roman" w:cs="Times New Roman"/>
                <w:color w:val="auto"/>
              </w:rPr>
            </w:pPr>
            <w:r>
              <w:rPr>
                <w:rFonts w:hint="default" w:ascii="Times New Roman" w:hAnsi="Times New Roman" w:cs="Times New Roman"/>
                <w:color w:val="auto"/>
                <w:highlight w:val="none"/>
              </w:rPr>
              <w:t>由上表监测结果可知，</w:t>
            </w:r>
            <w:r>
              <w:rPr>
                <w:rFonts w:hint="eastAsia" w:ascii="Times New Roman" w:hAnsi="Times New Roman" w:cs="Times New Roman"/>
                <w:color w:val="auto"/>
                <w:highlight w:val="none"/>
                <w:lang w:val="en-US" w:eastAsia="zh-CN"/>
              </w:rPr>
              <w:t>本项目周边最近敏感点现状噪声值满足</w:t>
            </w:r>
            <w:r>
              <w:rPr>
                <w:rFonts w:hint="default" w:ascii="Times New Roman" w:hAnsi="Times New Roman" w:cs="Times New Roman"/>
                <w:color w:val="auto"/>
                <w:kern w:val="0"/>
                <w:highlight w:val="none"/>
              </w:rPr>
              <w:t>《</w:t>
            </w:r>
            <w:r>
              <w:rPr>
                <w:rFonts w:hint="eastAsia" w:ascii="Times New Roman" w:hAnsi="Times New Roman" w:cs="Times New Roman"/>
                <w:color w:val="auto"/>
                <w:kern w:val="0"/>
                <w:highlight w:val="none"/>
                <w:lang w:val="en-US" w:eastAsia="zh-CN"/>
              </w:rPr>
              <w:t>声环境</w:t>
            </w:r>
            <w:r>
              <w:rPr>
                <w:rFonts w:hint="default" w:ascii="Times New Roman" w:hAnsi="Times New Roman" w:cs="Times New Roman"/>
                <w:color w:val="auto"/>
                <w:kern w:val="0"/>
                <w:highlight w:val="none"/>
              </w:rPr>
              <w:t>环境质量标准》（GB</w:t>
            </w:r>
            <w:r>
              <w:rPr>
                <w:rFonts w:hint="eastAsia" w:ascii="Times New Roman" w:hAnsi="Times New Roman" w:cs="Times New Roman"/>
                <w:color w:val="auto"/>
                <w:kern w:val="0"/>
                <w:highlight w:val="none"/>
                <w:lang w:val="en-US" w:eastAsia="zh-CN"/>
              </w:rPr>
              <w:t>3096</w:t>
            </w:r>
            <w:r>
              <w:rPr>
                <w:rFonts w:hint="default" w:ascii="Times New Roman" w:hAnsi="Times New Roman" w:cs="Times New Roman"/>
                <w:color w:val="auto"/>
                <w:kern w:val="0"/>
                <w:highlight w:val="none"/>
              </w:rPr>
              <w:t>-200</w:t>
            </w:r>
            <w:r>
              <w:rPr>
                <w:rFonts w:hint="eastAsia" w:ascii="Times New Roman" w:hAnsi="Times New Roman" w:cs="Times New Roman"/>
                <w:color w:val="auto"/>
                <w:kern w:val="0"/>
                <w:highlight w:val="none"/>
                <w:lang w:val="en-US" w:eastAsia="zh-CN"/>
              </w:rPr>
              <w:t>8</w:t>
            </w:r>
            <w:r>
              <w:rPr>
                <w:rFonts w:hint="default" w:ascii="Times New Roman" w:hAnsi="Times New Roman" w:cs="Times New Roman"/>
                <w:color w:val="auto"/>
                <w:kern w:val="0"/>
                <w:highlight w:val="none"/>
              </w:rPr>
              <w:t>）中</w:t>
            </w:r>
            <w:r>
              <w:rPr>
                <w:rFonts w:hint="eastAsia" w:cs="Times New Roman"/>
                <w:color w:val="auto"/>
                <w:kern w:val="0"/>
                <w:highlight w:val="none"/>
                <w:lang w:val="en-US" w:eastAsia="zh-CN"/>
              </w:rPr>
              <w:t>2</w:t>
            </w:r>
            <w:r>
              <w:rPr>
                <w:rFonts w:hint="default" w:ascii="Times New Roman" w:hAnsi="Times New Roman" w:cs="Times New Roman"/>
                <w:color w:val="auto"/>
                <w:kern w:val="0"/>
                <w:highlight w:val="none"/>
              </w:rPr>
              <w:t>类标准，</w:t>
            </w:r>
            <w:r>
              <w:rPr>
                <w:rFonts w:hint="eastAsia" w:ascii="Times New Roman" w:hAnsi="Times New Roman" w:cs="Times New Roman"/>
                <w:color w:val="auto"/>
                <w:kern w:val="0"/>
                <w:highlight w:val="none"/>
                <w:lang w:val="en-US" w:eastAsia="zh-CN"/>
              </w:rPr>
              <w:t>周边环境声</w:t>
            </w:r>
            <w:r>
              <w:rPr>
                <w:rFonts w:hint="default" w:ascii="Times New Roman" w:hAnsi="Times New Roman" w:cs="Times New Roman"/>
                <w:color w:val="auto"/>
                <w:kern w:val="0"/>
                <w:highlight w:val="none"/>
              </w:rPr>
              <w:t>环境质量现</w:t>
            </w:r>
            <w:r>
              <w:rPr>
                <w:rFonts w:hint="default" w:ascii="Times New Roman" w:hAnsi="Times New Roman" w:cs="Times New Roman"/>
                <w:color w:val="auto"/>
                <w:kern w:val="0"/>
              </w:rPr>
              <w:t>状较好。</w:t>
            </w:r>
          </w:p>
          <w:p>
            <w:pPr>
              <w:pStyle w:val="65"/>
              <w:ind w:firstLine="480"/>
              <w:rPr>
                <w:rFonts w:hint="default" w:ascii="Times New Roman" w:hAnsi="Times New Roman" w:cs="Times New Roman"/>
                <w:b/>
                <w:bCs/>
                <w:color w:val="auto"/>
              </w:rPr>
            </w:pPr>
            <w:r>
              <w:rPr>
                <w:rFonts w:hint="default" w:ascii="Times New Roman" w:hAnsi="Times New Roman" w:cs="Times New Roman"/>
                <w:b/>
                <w:bCs/>
                <w:color w:val="auto"/>
              </w:rPr>
              <w:t>4、地下水环境质量现状</w:t>
            </w:r>
          </w:p>
          <w:p>
            <w:pPr>
              <w:pStyle w:val="65"/>
              <w:ind w:firstLine="480"/>
              <w:rPr>
                <w:rFonts w:hint="default" w:ascii="Times New Roman" w:hAnsi="Times New Roman"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质量现状调查</w:t>
            </w:r>
            <w:r>
              <w:rPr>
                <w:rFonts w:hint="eastAsia" w:cs="Times New Roman"/>
                <w:color w:val="auto"/>
                <w:lang w:val="en-US" w:eastAsia="zh-CN"/>
              </w:rPr>
              <w:t>。</w:t>
            </w:r>
            <w:r>
              <w:rPr>
                <w:rFonts w:hint="default" w:ascii="Times New Roman" w:hAnsi="Times New Roman" w:eastAsia="宋体" w:cs="Times New Roman"/>
                <w:color w:val="auto"/>
                <w:lang w:val="en-US" w:eastAsia="zh-CN"/>
              </w:rPr>
              <w:t>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w:t>
            </w:r>
            <w:r>
              <w:rPr>
                <w:rFonts w:hint="eastAsia" w:cs="Times New Roman"/>
                <w:color w:val="auto"/>
                <w:lang w:val="en-US" w:eastAsia="zh-CN"/>
              </w:rPr>
              <w:t>不涉及地下取水，</w:t>
            </w:r>
            <w:r>
              <w:rPr>
                <w:rFonts w:hint="default" w:ascii="Times New Roman" w:hAnsi="Times New Roman" w:eastAsia="宋体" w:cs="Times New Roman"/>
                <w:color w:val="auto"/>
                <w:lang w:val="en-US" w:eastAsia="zh-CN"/>
              </w:rPr>
              <w:t>不存在</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环境污染途径，可不进行</w:t>
            </w:r>
            <w:r>
              <w:rPr>
                <w:rFonts w:hint="eastAsia" w:cs="Times New Roman"/>
                <w:color w:val="auto"/>
                <w:lang w:val="en-US" w:eastAsia="zh-CN"/>
              </w:rPr>
              <w:t>地下水</w:t>
            </w:r>
            <w:r>
              <w:rPr>
                <w:rFonts w:hint="default" w:ascii="Times New Roman" w:hAnsi="Times New Roman" w:eastAsia="宋体" w:cs="Times New Roman"/>
                <w:color w:val="auto"/>
                <w:lang w:val="en-US" w:eastAsia="zh-CN"/>
              </w:rPr>
              <w:t>质量现状监测。</w:t>
            </w:r>
          </w:p>
          <w:p>
            <w:pPr>
              <w:pStyle w:val="65"/>
              <w:ind w:firstLine="480"/>
              <w:rPr>
                <w:rFonts w:hint="default" w:ascii="Times New Roman" w:hAnsi="Times New Roman" w:cs="Times New Roman"/>
                <w:b/>
                <w:bCs/>
                <w:color w:val="auto"/>
              </w:rPr>
            </w:pPr>
            <w:r>
              <w:rPr>
                <w:rFonts w:hint="eastAsia" w:ascii="Times New Roman" w:hAnsi="Times New Roman" w:cs="Times New Roman"/>
                <w:b/>
                <w:bCs/>
                <w:color w:val="auto"/>
                <w:lang w:val="en-US" w:eastAsia="zh-CN"/>
              </w:rPr>
              <w:t>5、</w:t>
            </w:r>
            <w:r>
              <w:rPr>
                <w:rFonts w:hint="default" w:ascii="Times New Roman" w:hAnsi="Times New Roman" w:cs="Times New Roman"/>
                <w:b/>
                <w:bCs/>
                <w:color w:val="auto"/>
                <w:lang w:val="en-US" w:eastAsia="zh-CN"/>
              </w:rPr>
              <w:t>土壤环境</w:t>
            </w:r>
            <w:r>
              <w:rPr>
                <w:rFonts w:hint="default" w:ascii="Times New Roman" w:hAnsi="Times New Roman" w:cs="Times New Roman"/>
                <w:b/>
                <w:bCs/>
                <w:color w:val="auto"/>
              </w:rPr>
              <w:t>质量现状</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根据《建设项目环境影响报告表编制技术指南 （污染影响类）（试行）》，原则上不开展环境质量现状调查。本项目</w:t>
            </w:r>
            <w:r>
              <w:rPr>
                <w:rFonts w:hint="eastAsia" w:ascii="Times New Roman" w:hAnsi="Times New Roman" w:cs="Times New Roman"/>
                <w:color w:val="auto"/>
                <w:lang w:val="en-US" w:eastAsia="zh-CN"/>
              </w:rPr>
              <w:t>为安置小区建设</w:t>
            </w:r>
            <w:r>
              <w:rPr>
                <w:rFonts w:hint="default" w:ascii="Times New Roman" w:hAnsi="Times New Roman" w:eastAsia="宋体" w:cs="Times New Roman"/>
                <w:color w:val="auto"/>
                <w:lang w:val="en-US" w:eastAsia="zh-CN"/>
              </w:rPr>
              <w:t>，不存在土壤环境污染途径，可不进行土壤质量现状监测。</w:t>
            </w:r>
          </w:p>
          <w:p>
            <w:pPr>
              <w:pStyle w:val="65"/>
              <w:numPr>
                <w:ilvl w:val="0"/>
                <w:numId w:val="0"/>
              </w:numPr>
              <w:ind w:left="630" w:leftChars="0"/>
              <w:rPr>
                <w:rFonts w:hint="default" w:ascii="Times New Roman" w:hAnsi="Times New Roman" w:cs="Times New Roman"/>
                <w:b/>
                <w:bCs/>
                <w:color w:val="auto"/>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lang w:val="en-US" w:eastAsia="zh-CN"/>
              </w:rPr>
              <w:t>生态环境现状</w:t>
            </w:r>
          </w:p>
          <w:p>
            <w:pPr>
              <w:pStyle w:val="65"/>
              <w:ind w:firstLine="480"/>
              <w:rPr>
                <w:color w:val="auto"/>
                <w:szCs w:val="24"/>
              </w:rPr>
            </w:pPr>
            <w:r>
              <w:rPr>
                <w:rFonts w:hint="eastAsia" w:cs="Times New Roman"/>
                <w:color w:val="auto"/>
                <w:szCs w:val="22"/>
                <w:lang w:val="en-US" w:eastAsia="zh-CN"/>
              </w:rPr>
              <w:t>详见生态专章。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431" w:hRule="atLeast"/>
          <w:jc w:val="center"/>
        </w:trPr>
        <w:tc>
          <w:tcPr>
            <w:tcW w:w="800" w:type="dxa"/>
            <w:vAlign w:val="center"/>
          </w:tcPr>
          <w:p>
            <w:pPr>
              <w:adjustRightInd w:val="0"/>
              <w:snapToGrid w:val="0"/>
              <w:jc w:val="center"/>
              <w:rPr>
                <w:rFonts w:hint="eastAsia" w:cs="宋体"/>
                <w:color w:val="auto"/>
                <w:kern w:val="0"/>
                <w:sz w:val="24"/>
                <w:szCs w:val="21"/>
              </w:rPr>
            </w:pPr>
            <w:r>
              <w:rPr>
                <w:rFonts w:hint="default" w:ascii="Times New Roman" w:hAnsi="Times New Roman" w:cs="Times New Roman"/>
                <w:bCs/>
                <w:color w:val="auto"/>
              </w:rPr>
              <w:t>与项目有关的原有环境污染和生态破坏问题</w:t>
            </w:r>
          </w:p>
        </w:tc>
        <w:tc>
          <w:tcPr>
            <w:tcW w:w="8190" w:type="dxa"/>
            <w:vAlign w:val="center"/>
          </w:tcPr>
          <w:p>
            <w:pPr>
              <w:adjustRightInd w:val="0"/>
              <w:snapToGrid w:val="0"/>
              <w:spacing w:line="360" w:lineRule="auto"/>
              <w:ind w:firstLine="480" w:firstLineChars="200"/>
              <w:jc w:val="center"/>
              <w:rPr>
                <w:rFonts w:hint="eastAsia" w:cs="Times New Roman"/>
                <w:color w:val="auto"/>
                <w:szCs w:val="22"/>
                <w:lang w:val="en-US" w:eastAsia="zh-CN"/>
              </w:rPr>
            </w:pPr>
            <w:r>
              <w:rPr>
                <w:rFonts w:hint="eastAsia" w:ascii="Times New Roman" w:hAnsi="Times New Roman" w:eastAsia="宋体" w:cs="宋体"/>
                <w:bCs/>
                <w:color w:val="auto"/>
                <w:sz w:val="24"/>
                <w:szCs w:val="21"/>
                <w:lang w:val="en-US" w:eastAsia="zh-CN"/>
              </w:rPr>
              <w:t>本项目建设前原有用地为普通耕地，主要用于种植蔬菜、水稻、玉米等常见农作物。</w:t>
            </w:r>
            <w:r>
              <w:rPr>
                <w:rFonts w:hint="eastAsia" w:cs="宋体"/>
                <w:bCs/>
                <w:color w:val="auto"/>
                <w:sz w:val="24"/>
                <w:szCs w:val="21"/>
                <w:lang w:val="en-US" w:eastAsia="zh-CN"/>
              </w:rPr>
              <w:t>原用地范围内</w:t>
            </w:r>
            <w:r>
              <w:rPr>
                <w:rFonts w:hint="eastAsia" w:ascii="Times New Roman" w:hAnsi="Times New Roman" w:eastAsia="宋体" w:cs="宋体"/>
                <w:bCs/>
                <w:color w:val="auto"/>
                <w:sz w:val="24"/>
                <w:szCs w:val="21"/>
                <w:lang w:val="en-US" w:eastAsia="zh-CN"/>
              </w:rPr>
              <w:t>不存在工业生产，无与项目有关的原有环境污染问题。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1632" w:hRule="atLeast"/>
          <w:jc w:val="center"/>
        </w:trPr>
        <w:tc>
          <w:tcPr>
            <w:tcW w:w="800" w:type="dxa"/>
            <w:vAlign w:val="center"/>
          </w:tcPr>
          <w:p>
            <w:pPr>
              <w:adjustRightInd w:val="0"/>
              <w:snapToGrid w:val="0"/>
              <w:jc w:val="center"/>
              <w:rPr>
                <w:rFonts w:cs="宋体"/>
                <w:color w:val="auto"/>
                <w:kern w:val="0"/>
                <w:sz w:val="24"/>
                <w:szCs w:val="21"/>
              </w:rPr>
            </w:pPr>
            <w:r>
              <w:rPr>
                <w:rFonts w:hint="eastAsia" w:cs="宋体"/>
                <w:color w:val="auto"/>
                <w:kern w:val="0"/>
                <w:sz w:val="24"/>
                <w:szCs w:val="21"/>
                <w:lang w:val="en-US" w:eastAsia="zh-CN"/>
              </w:rPr>
              <w:t>生态</w:t>
            </w:r>
            <w:r>
              <w:rPr>
                <w:rFonts w:hint="eastAsia" w:cs="宋体"/>
                <w:color w:val="auto"/>
                <w:kern w:val="0"/>
                <w:sz w:val="24"/>
                <w:szCs w:val="21"/>
              </w:rPr>
              <w:t>环境</w:t>
            </w:r>
          </w:p>
          <w:p>
            <w:pPr>
              <w:adjustRightInd w:val="0"/>
              <w:snapToGrid w:val="0"/>
              <w:jc w:val="center"/>
              <w:rPr>
                <w:rFonts w:cs="宋体"/>
                <w:color w:val="auto"/>
                <w:kern w:val="0"/>
                <w:sz w:val="24"/>
                <w:szCs w:val="21"/>
              </w:rPr>
            </w:pPr>
            <w:r>
              <w:rPr>
                <w:rFonts w:hint="eastAsia" w:cs="宋体"/>
                <w:color w:val="auto"/>
                <w:kern w:val="0"/>
                <w:sz w:val="24"/>
                <w:szCs w:val="21"/>
              </w:rPr>
              <w:t>保护</w:t>
            </w:r>
          </w:p>
          <w:p>
            <w:pPr>
              <w:adjustRightInd w:val="0"/>
              <w:snapToGrid w:val="0"/>
              <w:jc w:val="center"/>
              <w:rPr>
                <w:rFonts w:cs="宋体"/>
                <w:color w:val="auto"/>
                <w:kern w:val="0"/>
                <w:sz w:val="24"/>
                <w:szCs w:val="21"/>
              </w:rPr>
            </w:pPr>
            <w:r>
              <w:rPr>
                <w:rFonts w:hint="eastAsia" w:cs="宋体"/>
                <w:color w:val="auto"/>
                <w:kern w:val="0"/>
                <w:sz w:val="24"/>
                <w:szCs w:val="21"/>
              </w:rPr>
              <w:t>目标</w:t>
            </w:r>
          </w:p>
        </w:tc>
        <w:tc>
          <w:tcPr>
            <w:tcW w:w="8190" w:type="dxa"/>
            <w:vAlign w:val="center"/>
          </w:tcPr>
          <w:p>
            <w:pPr>
              <w:pStyle w:val="9"/>
              <w:ind w:firstLine="0" w:firstLineChars="0"/>
              <w:rPr>
                <w:rFonts w:eastAsia="宋体"/>
                <w:b/>
                <w:bCs/>
                <w:color w:val="auto"/>
                <w:sz w:val="24"/>
                <w:szCs w:val="24"/>
              </w:rPr>
            </w:pPr>
            <w:r>
              <w:rPr>
                <w:rFonts w:hint="eastAsia"/>
                <w:b/>
                <w:bCs/>
                <w:color w:val="auto"/>
                <w:sz w:val="24"/>
                <w:szCs w:val="24"/>
                <w:lang w:val="en-US" w:eastAsia="zh-CN"/>
              </w:rPr>
              <w:t>1</w:t>
            </w:r>
            <w:r>
              <w:rPr>
                <w:rFonts w:hint="eastAsia" w:eastAsia="宋体"/>
                <w:b/>
                <w:bCs/>
                <w:color w:val="auto"/>
                <w:sz w:val="24"/>
                <w:szCs w:val="24"/>
              </w:rPr>
              <w:t>、大气环境</w:t>
            </w:r>
          </w:p>
          <w:p>
            <w:pPr>
              <w:pStyle w:val="9"/>
              <w:ind w:firstLine="480"/>
              <w:jc w:val="both"/>
              <w:rPr>
                <w:rFonts w:hint="eastAsia"/>
                <w:color w:val="auto"/>
                <w:sz w:val="24"/>
                <w:szCs w:val="24"/>
              </w:rPr>
            </w:pPr>
            <w:r>
              <w:rPr>
                <w:rFonts w:hint="eastAsia"/>
                <w:color w:val="auto"/>
                <w:sz w:val="24"/>
                <w:szCs w:val="24"/>
              </w:rPr>
              <w:t>项目厂界外</w:t>
            </w:r>
            <w:r>
              <w:rPr>
                <w:rFonts w:hint="eastAsia"/>
                <w:color w:val="auto"/>
                <w:sz w:val="24"/>
                <w:szCs w:val="24"/>
                <w:lang w:val="en-US" w:eastAsia="zh-CN"/>
              </w:rPr>
              <w:t>500m</w:t>
            </w:r>
            <w:r>
              <w:rPr>
                <w:rFonts w:hint="eastAsia"/>
                <w:color w:val="auto"/>
                <w:sz w:val="24"/>
                <w:szCs w:val="24"/>
              </w:rPr>
              <w:t>范围内的大气环境保护目标主要为</w:t>
            </w:r>
            <w:r>
              <w:rPr>
                <w:rFonts w:hint="eastAsia"/>
                <w:color w:val="auto"/>
                <w:sz w:val="24"/>
                <w:szCs w:val="24"/>
                <w:lang w:val="en-US" w:eastAsia="zh-CN"/>
              </w:rPr>
              <w:t>项目西侧的团洲乡花园小区、团洲乡中心小学以及东西两侧的团洲乡居民点。</w:t>
            </w:r>
          </w:p>
          <w:p>
            <w:pPr>
              <w:pStyle w:val="9"/>
              <w:ind w:firstLine="0" w:firstLineChars="0"/>
              <w:rPr>
                <w:rFonts w:hint="eastAsia" w:eastAsia="宋体"/>
                <w:b/>
                <w:bCs/>
                <w:color w:val="auto"/>
                <w:sz w:val="24"/>
                <w:szCs w:val="24"/>
              </w:rPr>
            </w:pPr>
            <w:r>
              <w:rPr>
                <w:rFonts w:hint="eastAsia" w:eastAsia="宋体"/>
                <w:b/>
                <w:bCs/>
                <w:color w:val="auto"/>
                <w:sz w:val="24"/>
                <w:szCs w:val="24"/>
                <w:lang w:val="en-US" w:eastAsia="zh-CN"/>
              </w:rPr>
              <w:t>2</w:t>
            </w:r>
            <w:r>
              <w:rPr>
                <w:rFonts w:hint="eastAsia" w:eastAsia="宋体"/>
                <w:b/>
                <w:bCs/>
                <w:color w:val="auto"/>
                <w:sz w:val="24"/>
                <w:szCs w:val="24"/>
              </w:rPr>
              <w:t>、地下水环境</w:t>
            </w:r>
          </w:p>
          <w:p>
            <w:pPr>
              <w:pStyle w:val="9"/>
              <w:ind w:firstLine="480"/>
              <w:jc w:val="both"/>
              <w:rPr>
                <w:color w:val="auto"/>
                <w:sz w:val="24"/>
                <w:szCs w:val="24"/>
              </w:rPr>
            </w:pPr>
            <w:r>
              <w:rPr>
                <w:rFonts w:hint="eastAsia"/>
                <w:color w:val="auto"/>
                <w:sz w:val="24"/>
                <w:szCs w:val="24"/>
              </w:rPr>
              <w:t>项目厂界外5</w:t>
            </w:r>
            <w:r>
              <w:rPr>
                <w:color w:val="auto"/>
                <w:sz w:val="24"/>
                <w:szCs w:val="24"/>
              </w:rPr>
              <w:t>00</w:t>
            </w:r>
            <w:r>
              <w:rPr>
                <w:rFonts w:hint="eastAsia"/>
                <w:color w:val="auto"/>
                <w:sz w:val="24"/>
                <w:szCs w:val="24"/>
              </w:rPr>
              <w:t>m范围内不涉及地下水集中式饮用水保护区等特殊地下水资源。</w:t>
            </w:r>
          </w:p>
          <w:p>
            <w:pPr>
              <w:pStyle w:val="9"/>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3</w:t>
            </w:r>
            <w:r>
              <w:rPr>
                <w:rFonts w:hint="eastAsia" w:eastAsia="宋体"/>
                <w:b/>
                <w:bCs/>
                <w:color w:val="auto"/>
                <w:sz w:val="24"/>
                <w:szCs w:val="24"/>
              </w:rPr>
              <w:t>、声</w:t>
            </w:r>
            <w:r>
              <w:rPr>
                <w:rFonts w:hint="eastAsia" w:eastAsia="宋体"/>
                <w:b/>
                <w:bCs/>
                <w:color w:val="auto"/>
                <w:sz w:val="24"/>
                <w:szCs w:val="24"/>
                <w:lang w:val="en-US" w:eastAsia="zh-CN"/>
              </w:rPr>
              <w:t>环境</w:t>
            </w:r>
          </w:p>
          <w:p>
            <w:pPr>
              <w:pStyle w:val="9"/>
              <w:ind w:firstLine="480"/>
              <w:rPr>
                <w:rFonts w:hint="eastAsia"/>
                <w:color w:val="auto"/>
                <w:sz w:val="24"/>
                <w:szCs w:val="24"/>
                <w:lang w:val="en-US" w:eastAsia="zh-CN"/>
              </w:rPr>
            </w:pPr>
            <w:r>
              <w:rPr>
                <w:rFonts w:hint="eastAsia"/>
                <w:color w:val="auto"/>
                <w:sz w:val="24"/>
                <w:szCs w:val="24"/>
                <w:lang w:val="en-US" w:eastAsia="zh-CN"/>
              </w:rPr>
              <w:t>项目厂界外50m范围内声环境保护目标</w:t>
            </w:r>
            <w:r>
              <w:rPr>
                <w:rFonts w:hint="eastAsia"/>
                <w:color w:val="auto"/>
                <w:sz w:val="24"/>
                <w:szCs w:val="24"/>
              </w:rPr>
              <w:t>主要为</w:t>
            </w:r>
            <w:r>
              <w:rPr>
                <w:rFonts w:hint="eastAsia"/>
                <w:color w:val="auto"/>
                <w:sz w:val="24"/>
                <w:szCs w:val="24"/>
                <w:lang w:val="en-US" w:eastAsia="zh-CN"/>
              </w:rPr>
              <w:t>项目西侧的团洲乡花园小区以及周边紧邻的团洲乡居民点。</w:t>
            </w:r>
          </w:p>
          <w:p>
            <w:pPr>
              <w:pStyle w:val="9"/>
              <w:ind w:firstLine="0" w:firstLineChars="0"/>
              <w:rPr>
                <w:rFonts w:hint="eastAsia" w:eastAsia="宋体"/>
                <w:b/>
                <w:bCs/>
                <w:color w:val="auto"/>
                <w:sz w:val="24"/>
                <w:szCs w:val="24"/>
                <w:lang w:val="en-US" w:eastAsia="zh-CN"/>
              </w:rPr>
            </w:pPr>
            <w:r>
              <w:rPr>
                <w:rFonts w:hint="eastAsia" w:eastAsia="宋体"/>
                <w:b/>
                <w:bCs/>
                <w:color w:val="auto"/>
                <w:sz w:val="24"/>
                <w:szCs w:val="24"/>
                <w:lang w:val="en-US" w:eastAsia="zh-CN"/>
              </w:rPr>
              <w:t>4、生态环境</w:t>
            </w:r>
          </w:p>
          <w:p>
            <w:pPr>
              <w:pStyle w:val="9"/>
              <w:ind w:firstLine="480"/>
              <w:rPr>
                <w:rFonts w:hint="eastAsia"/>
                <w:color w:val="auto"/>
                <w:sz w:val="24"/>
                <w:szCs w:val="24"/>
                <w:lang w:val="en-US" w:eastAsia="zh-CN"/>
              </w:rPr>
            </w:pPr>
            <w:r>
              <w:rPr>
                <w:rFonts w:hint="eastAsia"/>
                <w:color w:val="auto"/>
                <w:sz w:val="24"/>
                <w:szCs w:val="24"/>
                <w:lang w:val="en-US" w:eastAsia="zh-CN"/>
              </w:rPr>
              <w:t>根据《建设项目环境影响报告表编制技术指南（污染影响类）（试行）》“产业园区外建设项目新增用地的，应明确新增用地范围内生态环境保护目标”。本项目位于产业园区外，生态环境保护目标主要为湖南东洞庭湖国家级自然保护区。</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表3-</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 xml:space="preserve"> </w:t>
            </w:r>
            <w:r>
              <w:rPr>
                <w:rFonts w:hint="eastAsia" w:ascii="Times New Roman" w:hAnsi="Times New Roman" w:eastAsia="宋体" w:cs="Times New Roman"/>
                <w:color w:val="auto"/>
              </w:rPr>
              <w:t>项目周边环境保护目标</w:t>
            </w:r>
          </w:p>
          <w:tbl>
            <w:tblPr>
              <w:tblStyle w:val="22"/>
              <w:tblW w:w="794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969"/>
              <w:gridCol w:w="1673"/>
              <w:gridCol w:w="1514"/>
              <w:gridCol w:w="20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类别</w:t>
                  </w:r>
                </w:p>
              </w:tc>
              <w:tc>
                <w:tcPr>
                  <w:tcW w:w="1969"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保护目标</w:t>
                  </w:r>
                </w:p>
              </w:tc>
              <w:tc>
                <w:tcPr>
                  <w:tcW w:w="1673"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方向</w:t>
                  </w:r>
                  <w:r>
                    <w:rPr>
                      <w:rFonts w:hint="eastAsia"/>
                      <w:color w:val="auto"/>
                      <w:sz w:val="21"/>
                      <w:szCs w:val="21"/>
                    </w:rPr>
                    <w:t>/最近</w:t>
                  </w:r>
                  <w:r>
                    <w:rPr>
                      <w:color w:val="auto"/>
                      <w:sz w:val="21"/>
                      <w:szCs w:val="21"/>
                    </w:rPr>
                    <w:t>距离</w:t>
                  </w:r>
                </w:p>
              </w:tc>
              <w:tc>
                <w:tcPr>
                  <w:tcW w:w="1514"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功能、规模</w:t>
                  </w:r>
                </w:p>
              </w:tc>
              <w:tc>
                <w:tcPr>
                  <w:tcW w:w="2032" w:type="dxa"/>
                  <w:tcBorders>
                    <w:tl2br w:val="nil"/>
                    <w:tr2bl w:val="nil"/>
                  </w:tcBorders>
                  <w:shd w:val="clear" w:color="auto" w:fill="auto"/>
                  <w:vAlign w:val="center"/>
                </w:tcPr>
                <w:p>
                  <w:pPr>
                    <w:pStyle w:val="50"/>
                    <w:spacing w:before="0" w:beforeLines="0" w:after="0" w:afterLines="0"/>
                    <w:rPr>
                      <w:color w:val="auto"/>
                      <w:sz w:val="21"/>
                      <w:szCs w:val="21"/>
                    </w:rPr>
                  </w:pPr>
                  <w:r>
                    <w:rPr>
                      <w:color w:val="auto"/>
                      <w:sz w:val="21"/>
                      <w:szCs w:val="21"/>
                    </w:rPr>
                    <w:t>保护级别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0"/>
                    <w:spacing w:before="0" w:beforeLines="0" w:after="0" w:afterLines="0"/>
                    <w:rPr>
                      <w:b w:val="0"/>
                      <w:bCs/>
                      <w:color w:val="auto"/>
                      <w:sz w:val="21"/>
                      <w:szCs w:val="21"/>
                    </w:rPr>
                  </w:pPr>
                  <w:r>
                    <w:rPr>
                      <w:b w:val="0"/>
                      <w:bCs/>
                      <w:color w:val="auto"/>
                      <w:sz w:val="21"/>
                      <w:szCs w:val="21"/>
                    </w:rPr>
                    <w:t>大气</w:t>
                  </w:r>
                </w:p>
                <w:p>
                  <w:pPr>
                    <w:pStyle w:val="50"/>
                    <w:spacing w:before="0" w:beforeLines="0" w:after="0" w:afterLines="0"/>
                    <w:rPr>
                      <w:b w:val="0"/>
                      <w:bCs/>
                      <w:color w:val="auto"/>
                      <w:sz w:val="21"/>
                      <w:szCs w:val="21"/>
                    </w:rPr>
                  </w:pPr>
                  <w:r>
                    <w:rPr>
                      <w:b w:val="0"/>
                      <w:bCs/>
                      <w:color w:val="auto"/>
                      <w:sz w:val="21"/>
                      <w:szCs w:val="21"/>
                    </w:rPr>
                    <w:t>环境</w:t>
                  </w:r>
                </w:p>
              </w:tc>
              <w:tc>
                <w:tcPr>
                  <w:tcW w:w="1969" w:type="dxa"/>
                  <w:tcBorders>
                    <w:tl2br w:val="nil"/>
                    <w:tr2bl w:val="nil"/>
                  </w:tcBorders>
                  <w:shd w:val="clear" w:color="auto" w:fill="auto"/>
                  <w:vAlign w:val="center"/>
                </w:tcPr>
                <w:p>
                  <w:pPr>
                    <w:pStyle w:val="50"/>
                    <w:spacing w:before="0" w:beforeLines="0" w:after="0" w:afterLines="0"/>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shd w:val="clear" w:color="auto" w:fill="auto"/>
                  <w:vAlign w:val="center"/>
                </w:tcPr>
                <w:p>
                  <w:pPr>
                    <w:pStyle w:val="50"/>
                    <w:spacing w:before="0" w:beforeLines="0" w:after="0" w:afterLines="0"/>
                    <w:jc w:val="center"/>
                    <w:rPr>
                      <w:rFonts w:hint="default"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W，紧邻</w:t>
                  </w:r>
                </w:p>
              </w:tc>
              <w:tc>
                <w:tcPr>
                  <w:tcW w:w="1514" w:type="dxa"/>
                  <w:tcBorders>
                    <w:tl2br w:val="nil"/>
                    <w:tr2bl w:val="nil"/>
                  </w:tcBorders>
                  <w:shd w:val="clear" w:color="auto" w:fill="auto"/>
                  <w:vAlign w:val="center"/>
                </w:tcPr>
                <w:p>
                  <w:pPr>
                    <w:pStyle w:val="50"/>
                    <w:spacing w:before="0" w:beforeLines="0" w:after="0" w:afterLines="0"/>
                    <w:rPr>
                      <w:rFonts w:hint="default"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居民区，居民约200户</w:t>
                  </w:r>
                  <w:r>
                    <w:rPr>
                      <w:rFonts w:hint="eastAsia"/>
                      <w:b w:val="0"/>
                      <w:bCs/>
                      <w:color w:val="auto"/>
                      <w:sz w:val="21"/>
                      <w:szCs w:val="21"/>
                    </w:rPr>
                    <w:t>。</w:t>
                  </w:r>
                </w:p>
              </w:tc>
              <w:tc>
                <w:tcPr>
                  <w:tcW w:w="2032" w:type="dxa"/>
                  <w:vMerge w:val="restart"/>
                  <w:tcBorders>
                    <w:tl2br w:val="nil"/>
                    <w:tr2bl w:val="nil"/>
                  </w:tcBorders>
                  <w:vAlign w:val="center"/>
                </w:tcPr>
                <w:p>
                  <w:pPr>
                    <w:pStyle w:val="50"/>
                    <w:spacing w:before="0" w:beforeLines="0" w:after="0" w:afterLines="0"/>
                    <w:rPr>
                      <w:b w:val="0"/>
                      <w:bCs/>
                      <w:color w:val="auto"/>
                      <w:sz w:val="21"/>
                      <w:szCs w:val="21"/>
                    </w:rPr>
                  </w:pPr>
                  <w:r>
                    <w:rPr>
                      <w:b w:val="0"/>
                      <w:bCs/>
                      <w:color w:val="auto"/>
                      <w:sz w:val="21"/>
                      <w:szCs w:val="21"/>
                    </w:rPr>
                    <w:t>GB3095-2012</w:t>
                  </w:r>
                </w:p>
                <w:p>
                  <w:pPr>
                    <w:pStyle w:val="50"/>
                    <w:spacing w:before="0" w:beforeLines="0" w:after="0" w:afterLines="0"/>
                    <w:rPr>
                      <w:b w:val="0"/>
                      <w:bCs/>
                      <w:color w:val="auto"/>
                      <w:sz w:val="21"/>
                      <w:szCs w:val="21"/>
                    </w:rPr>
                  </w:pPr>
                  <w:r>
                    <w:rPr>
                      <w:b w:val="0"/>
                      <w:bCs/>
                      <w:color w:val="auto"/>
                      <w:sz w:val="21"/>
                      <w:szCs w:val="21"/>
                    </w:rPr>
                    <w:t>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shd w:val="clear" w:color="auto" w:fill="auto"/>
                  <w:vAlign w:val="center"/>
                </w:tcPr>
                <w:p>
                  <w:pPr>
                    <w:pStyle w:val="50"/>
                    <w:spacing w:before="0" w:beforeLines="0" w:after="0" w:afterLines="0"/>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团洲乡中心小学</w:t>
                  </w:r>
                </w:p>
              </w:tc>
              <w:tc>
                <w:tcPr>
                  <w:tcW w:w="1673" w:type="dxa"/>
                  <w:tcBorders>
                    <w:tl2br w:val="nil"/>
                    <w:tr2bl w:val="nil"/>
                  </w:tcBorders>
                  <w:shd w:val="clear" w:color="auto" w:fill="auto"/>
                  <w:vAlign w:val="center"/>
                </w:tcPr>
                <w:p>
                  <w:pPr>
                    <w:pStyle w:val="50"/>
                    <w:spacing w:before="0" w:beforeLines="0" w:after="0" w:afterLines="0"/>
                    <w:jc w:val="center"/>
                    <w:rPr>
                      <w:rFonts w:hint="default"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W，330m</w:t>
                  </w:r>
                </w:p>
              </w:tc>
              <w:tc>
                <w:tcPr>
                  <w:tcW w:w="1514" w:type="dxa"/>
                  <w:tcBorders>
                    <w:tl2br w:val="nil"/>
                    <w:tr2bl w:val="nil"/>
                  </w:tcBorders>
                  <w:shd w:val="clear" w:color="auto" w:fill="auto"/>
                  <w:vAlign w:val="center"/>
                </w:tcPr>
                <w:p>
                  <w:pPr>
                    <w:pStyle w:val="50"/>
                    <w:spacing w:before="0" w:beforeLines="0" w:after="0" w:afterLines="0"/>
                    <w:rPr>
                      <w:rFonts w:hint="default"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学校，师生约500人</w:t>
                  </w:r>
                </w:p>
              </w:tc>
              <w:tc>
                <w:tcPr>
                  <w:tcW w:w="2032" w:type="dxa"/>
                  <w:vMerge w:val="continue"/>
                  <w:tcBorders>
                    <w:tl2br w:val="nil"/>
                    <w:tr2bl w:val="nil"/>
                  </w:tcBorders>
                  <w:vAlign w:val="center"/>
                </w:tcPr>
                <w:p>
                  <w:pPr>
                    <w:pStyle w:val="50"/>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b w:val="0"/>
                      <w:bCs/>
                      <w:color w:val="auto"/>
                      <w:sz w:val="21"/>
                      <w:szCs w:val="21"/>
                    </w:rPr>
                  </w:pPr>
                </w:p>
              </w:tc>
              <w:tc>
                <w:tcPr>
                  <w:tcW w:w="1969" w:type="dxa"/>
                  <w:tcBorders>
                    <w:tl2br w:val="nil"/>
                    <w:tr2bl w:val="nil"/>
                  </w:tcBorders>
                  <w:vAlign w:val="center"/>
                </w:tcPr>
                <w:p>
                  <w:pPr>
                    <w:pStyle w:val="50"/>
                    <w:spacing w:before="0" w:beforeLines="0" w:after="0" w:afterLines="0"/>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default"/>
                      <w:b w:val="0"/>
                      <w:bCs/>
                      <w:color w:val="auto"/>
                      <w:sz w:val="21"/>
                      <w:szCs w:val="21"/>
                      <w:lang w:val="en-US"/>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0"/>
                    <w:spacing w:before="0" w:beforeLines="0" w:after="0" w:afterLines="0"/>
                    <w:rPr>
                      <w:b w:val="0"/>
                      <w:bCs/>
                      <w:color w:val="auto"/>
                      <w:sz w:val="21"/>
                      <w:szCs w:val="21"/>
                    </w:rPr>
                  </w:pPr>
                  <w:r>
                    <w:rPr>
                      <w:rFonts w:hint="eastAsia"/>
                      <w:b w:val="0"/>
                      <w:bCs/>
                      <w:color w:val="auto"/>
                      <w:sz w:val="21"/>
                      <w:szCs w:val="21"/>
                      <w:lang w:val="en-US" w:eastAsia="zh-CN"/>
                    </w:rPr>
                    <w:t>散户居民</w:t>
                  </w:r>
                  <w:r>
                    <w:rPr>
                      <w:rFonts w:hint="eastAsia"/>
                      <w:b w:val="0"/>
                      <w:bCs/>
                      <w:color w:val="auto"/>
                      <w:sz w:val="21"/>
                      <w:szCs w:val="21"/>
                    </w:rPr>
                    <w:t>，</w:t>
                  </w:r>
                </w:p>
                <w:p>
                  <w:pPr>
                    <w:pStyle w:val="50"/>
                    <w:spacing w:before="0" w:beforeLines="0" w:after="0" w:afterLines="0"/>
                    <w:rPr>
                      <w:b w:val="0"/>
                      <w:bCs/>
                      <w:color w:val="auto"/>
                      <w:sz w:val="21"/>
                      <w:szCs w:val="21"/>
                    </w:rPr>
                  </w:pPr>
                  <w:r>
                    <w:rPr>
                      <w:rFonts w:hint="eastAsia"/>
                      <w:b w:val="0"/>
                      <w:bCs/>
                      <w:color w:val="auto"/>
                      <w:sz w:val="21"/>
                      <w:szCs w:val="21"/>
                    </w:rPr>
                    <w:t>约</w:t>
                  </w:r>
                  <w:r>
                    <w:rPr>
                      <w:rFonts w:hint="eastAsia"/>
                      <w:b w:val="0"/>
                      <w:bCs/>
                      <w:color w:val="auto"/>
                      <w:sz w:val="21"/>
                      <w:szCs w:val="21"/>
                      <w:lang w:val="en-US" w:eastAsia="zh-CN"/>
                    </w:rPr>
                    <w:t>75</w:t>
                  </w:r>
                  <w:r>
                    <w:rPr>
                      <w:rFonts w:hint="eastAsia"/>
                      <w:b w:val="0"/>
                      <w:bCs/>
                      <w:color w:val="auto"/>
                      <w:sz w:val="21"/>
                      <w:szCs w:val="21"/>
                    </w:rPr>
                    <w:t>户。</w:t>
                  </w:r>
                </w:p>
              </w:tc>
              <w:tc>
                <w:tcPr>
                  <w:tcW w:w="2032" w:type="dxa"/>
                  <w:vMerge w:val="continue"/>
                  <w:tcBorders>
                    <w:tl2br w:val="nil"/>
                    <w:tr2bl w:val="nil"/>
                  </w:tcBorders>
                  <w:vAlign w:val="center"/>
                </w:tcPr>
                <w:p>
                  <w:pPr>
                    <w:pStyle w:val="50"/>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restart"/>
                  <w:tcBorders>
                    <w:tl2br w:val="nil"/>
                    <w:tr2bl w:val="nil"/>
                  </w:tcBorders>
                  <w:vAlign w:val="center"/>
                </w:tcPr>
                <w:p>
                  <w:pPr>
                    <w:pStyle w:val="50"/>
                    <w:spacing w:before="0" w:beforeLines="0" w:after="0" w:afterLines="0"/>
                    <w:rPr>
                      <w:rFonts w:hint="default" w:eastAsia="宋体"/>
                      <w:b w:val="0"/>
                      <w:bCs/>
                      <w:color w:val="auto"/>
                      <w:sz w:val="21"/>
                      <w:szCs w:val="21"/>
                      <w:lang w:val="en-US" w:eastAsia="zh-CN"/>
                    </w:rPr>
                  </w:pPr>
                  <w:r>
                    <w:rPr>
                      <w:rFonts w:hint="eastAsia"/>
                      <w:b w:val="0"/>
                      <w:bCs/>
                      <w:color w:val="auto"/>
                      <w:sz w:val="21"/>
                      <w:szCs w:val="21"/>
                      <w:lang w:val="en-US" w:eastAsia="zh-CN"/>
                    </w:rPr>
                    <w:t>声环境</w:t>
                  </w:r>
                </w:p>
              </w:tc>
              <w:tc>
                <w:tcPr>
                  <w:tcW w:w="1969"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团洲花园小区</w:t>
                  </w:r>
                </w:p>
              </w:tc>
              <w:tc>
                <w:tcPr>
                  <w:tcW w:w="1673" w:type="dxa"/>
                  <w:tcBorders>
                    <w:tl2br w:val="nil"/>
                    <w:tr2bl w:val="nil"/>
                  </w:tcBorders>
                  <w:vAlign w:val="center"/>
                </w:tcPr>
                <w:p>
                  <w:pPr>
                    <w:pStyle w:val="50"/>
                    <w:spacing w:before="0" w:beforeLines="0" w:after="0" w:afterLines="0"/>
                    <w:jc w:val="center"/>
                    <w:rPr>
                      <w:rFonts w:hint="eastAsia"/>
                      <w:b w:val="0"/>
                      <w:bCs/>
                      <w:color w:val="auto"/>
                      <w:sz w:val="21"/>
                      <w:szCs w:val="21"/>
                      <w:lang w:val="en-US" w:eastAsia="zh-CN"/>
                    </w:rPr>
                  </w:pPr>
                  <w:r>
                    <w:rPr>
                      <w:rFonts w:hint="eastAsia"/>
                      <w:b w:val="0"/>
                      <w:bCs/>
                      <w:color w:val="auto"/>
                      <w:sz w:val="21"/>
                      <w:szCs w:val="21"/>
                      <w:lang w:val="en-US" w:eastAsia="zh-CN"/>
                    </w:rPr>
                    <w:t>W，紧邻</w:t>
                  </w:r>
                </w:p>
              </w:tc>
              <w:tc>
                <w:tcPr>
                  <w:tcW w:w="1514"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lang w:val="en-US" w:eastAsia="zh-CN"/>
                    </w:rPr>
                    <w:t>居民区，居民约200户</w:t>
                  </w:r>
                  <w:r>
                    <w:rPr>
                      <w:rFonts w:hint="eastAsia"/>
                      <w:b w:val="0"/>
                      <w:bCs/>
                      <w:color w:val="auto"/>
                      <w:sz w:val="21"/>
                      <w:szCs w:val="21"/>
                    </w:rPr>
                    <w:t>。</w:t>
                  </w:r>
                </w:p>
              </w:tc>
              <w:tc>
                <w:tcPr>
                  <w:tcW w:w="2032" w:type="dxa"/>
                  <w:vMerge w:val="restart"/>
                  <w:tcBorders>
                    <w:tl2br w:val="nil"/>
                    <w:tr2bl w:val="nil"/>
                  </w:tcBorders>
                  <w:vAlign w:val="center"/>
                </w:tcPr>
                <w:p>
                  <w:pPr>
                    <w:pStyle w:val="50"/>
                    <w:spacing w:before="0" w:beforeLines="0" w:after="0" w:afterLines="0"/>
                    <w:rPr>
                      <w:b w:val="0"/>
                      <w:bCs/>
                      <w:color w:val="auto"/>
                      <w:sz w:val="21"/>
                      <w:szCs w:val="21"/>
                    </w:rPr>
                  </w:pPr>
                  <w:r>
                    <w:rPr>
                      <w:rFonts w:hint="default"/>
                      <w:b w:val="0"/>
                      <w:bCs/>
                      <w:color w:val="auto"/>
                      <w:sz w:val="21"/>
                      <w:szCs w:val="21"/>
                    </w:rPr>
                    <w:t>（GB3096-2008）</w:t>
                  </w:r>
                  <w:r>
                    <w:rPr>
                      <w:rFonts w:hint="eastAsia"/>
                      <w:b w:val="0"/>
                      <w:bCs/>
                      <w:color w:val="auto"/>
                      <w:sz w:val="21"/>
                      <w:szCs w:val="21"/>
                      <w:lang w:val="en-US" w:eastAsia="zh-CN"/>
                    </w:rPr>
                    <w:t>2</w:t>
                  </w:r>
                  <w:r>
                    <w:rPr>
                      <w:rFonts w:hint="default"/>
                      <w:b w:val="0"/>
                      <w:bCs/>
                      <w:color w:val="auto"/>
                      <w:sz w:val="21"/>
                      <w:szCs w:val="21"/>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vMerge w:val="continue"/>
                  <w:tcBorders>
                    <w:tl2br w:val="nil"/>
                    <w:tr2bl w:val="nil"/>
                  </w:tcBorders>
                  <w:vAlign w:val="center"/>
                </w:tcPr>
                <w:p>
                  <w:pPr>
                    <w:pStyle w:val="50"/>
                    <w:spacing w:before="0" w:beforeLines="0" w:after="0" w:afterLines="0"/>
                    <w:rPr>
                      <w:rFonts w:hint="eastAsia"/>
                      <w:b w:val="0"/>
                      <w:bCs/>
                      <w:color w:val="auto"/>
                      <w:sz w:val="21"/>
                      <w:szCs w:val="21"/>
                      <w:lang w:val="en-US" w:eastAsia="zh-CN"/>
                    </w:rPr>
                  </w:pPr>
                </w:p>
              </w:tc>
              <w:tc>
                <w:tcPr>
                  <w:tcW w:w="1969"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团洲乡居民点</w:t>
                  </w:r>
                </w:p>
              </w:tc>
              <w:tc>
                <w:tcPr>
                  <w:tcW w:w="1673" w:type="dxa"/>
                  <w:tcBorders>
                    <w:tl2br w:val="nil"/>
                    <w:tr2bl w:val="nil"/>
                  </w:tcBorders>
                  <w:vAlign w:val="center"/>
                </w:tcPr>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rPr>
                    <w:t>W</w:t>
                  </w:r>
                  <w:r>
                    <w:rPr>
                      <w:rFonts w:hint="eastAsia"/>
                      <w:b w:val="0"/>
                      <w:bCs/>
                      <w:color w:val="auto"/>
                      <w:sz w:val="21"/>
                      <w:szCs w:val="21"/>
                      <w:lang w:val="en-US" w:eastAsia="zh-CN"/>
                    </w:rPr>
                    <w:t>及SW，紧邻</w:t>
                  </w:r>
                </w:p>
              </w:tc>
              <w:tc>
                <w:tcPr>
                  <w:tcW w:w="1514" w:type="dxa"/>
                  <w:tcBorders>
                    <w:tl2br w:val="nil"/>
                    <w:tr2bl w:val="nil"/>
                  </w:tcBorders>
                  <w:vAlign w:val="center"/>
                </w:tcPr>
                <w:p>
                  <w:pPr>
                    <w:pStyle w:val="50"/>
                    <w:spacing w:before="0" w:beforeLines="0" w:after="0" w:afterLines="0"/>
                    <w:rPr>
                      <w:b w:val="0"/>
                      <w:bCs/>
                      <w:color w:val="auto"/>
                      <w:sz w:val="21"/>
                      <w:szCs w:val="21"/>
                    </w:rPr>
                  </w:pPr>
                  <w:r>
                    <w:rPr>
                      <w:rFonts w:hint="eastAsia"/>
                      <w:b w:val="0"/>
                      <w:bCs/>
                      <w:color w:val="auto"/>
                      <w:sz w:val="21"/>
                      <w:szCs w:val="21"/>
                      <w:lang w:val="en-US" w:eastAsia="zh-CN"/>
                    </w:rPr>
                    <w:t>散户居民</w:t>
                  </w:r>
                  <w:r>
                    <w:rPr>
                      <w:rFonts w:hint="eastAsia"/>
                      <w:b w:val="0"/>
                      <w:bCs/>
                      <w:color w:val="auto"/>
                      <w:sz w:val="21"/>
                      <w:szCs w:val="21"/>
                    </w:rPr>
                    <w:t>，</w:t>
                  </w:r>
                </w:p>
                <w:p>
                  <w:pPr>
                    <w:pStyle w:val="50"/>
                    <w:spacing w:before="0" w:beforeLines="0" w:after="0" w:afterLines="0"/>
                    <w:rPr>
                      <w:rFonts w:hint="eastAsia"/>
                      <w:b w:val="0"/>
                      <w:bCs/>
                      <w:color w:val="auto"/>
                      <w:sz w:val="21"/>
                      <w:szCs w:val="21"/>
                      <w:lang w:val="en-US" w:eastAsia="zh-CN"/>
                    </w:rPr>
                  </w:pPr>
                  <w:r>
                    <w:rPr>
                      <w:rFonts w:hint="eastAsia"/>
                      <w:b w:val="0"/>
                      <w:bCs/>
                      <w:color w:val="auto"/>
                      <w:sz w:val="21"/>
                      <w:szCs w:val="21"/>
                    </w:rPr>
                    <w:t>约</w:t>
                  </w:r>
                  <w:r>
                    <w:rPr>
                      <w:rFonts w:hint="eastAsia"/>
                      <w:b w:val="0"/>
                      <w:bCs/>
                      <w:color w:val="auto"/>
                      <w:sz w:val="21"/>
                      <w:szCs w:val="21"/>
                      <w:lang w:val="en-US" w:eastAsia="zh-CN"/>
                    </w:rPr>
                    <w:t>35</w:t>
                  </w:r>
                  <w:r>
                    <w:rPr>
                      <w:rFonts w:hint="eastAsia"/>
                      <w:b w:val="0"/>
                      <w:bCs/>
                      <w:color w:val="auto"/>
                      <w:sz w:val="21"/>
                      <w:szCs w:val="21"/>
                    </w:rPr>
                    <w:t>户。</w:t>
                  </w:r>
                </w:p>
              </w:tc>
              <w:tc>
                <w:tcPr>
                  <w:tcW w:w="2032" w:type="dxa"/>
                  <w:vMerge w:val="continue"/>
                  <w:tcBorders>
                    <w:tl2br w:val="nil"/>
                    <w:tr2bl w:val="nil"/>
                  </w:tcBorders>
                  <w:vAlign w:val="center"/>
                </w:tcPr>
                <w:p>
                  <w:pPr>
                    <w:pStyle w:val="50"/>
                    <w:spacing w:before="0" w:beforeLines="0" w:after="0" w:afterLines="0"/>
                    <w:rPr>
                      <w:b w:val="0"/>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56"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生态环境</w:t>
                  </w:r>
                </w:p>
              </w:tc>
              <w:tc>
                <w:tcPr>
                  <w:tcW w:w="1969" w:type="dxa"/>
                  <w:tcBorders>
                    <w:tl2br w:val="nil"/>
                    <w:tr2bl w:val="nil"/>
                  </w:tcBorders>
                  <w:shd w:val="clear" w:color="auto" w:fill="auto"/>
                  <w:vAlign w:val="center"/>
                </w:tcPr>
                <w:p>
                  <w:pPr>
                    <w:pStyle w:val="50"/>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湖南东洞庭湖国家级自然保护区实验区</w:t>
                  </w:r>
                </w:p>
              </w:tc>
              <w:tc>
                <w:tcPr>
                  <w:tcW w:w="1673" w:type="dxa"/>
                  <w:tcBorders>
                    <w:tl2br w:val="nil"/>
                    <w:tr2bl w:val="nil"/>
                  </w:tcBorders>
                  <w:shd w:val="clear" w:color="auto" w:fill="auto"/>
                  <w:vAlign w:val="center"/>
                </w:tcPr>
                <w:p>
                  <w:pPr>
                    <w:pStyle w:val="50"/>
                    <w:spacing w:before="0" w:beforeLines="0" w:after="0" w:afterLines="0"/>
                    <w:jc w:val="center"/>
                    <w:rPr>
                      <w:rFonts w:hint="eastAsia" w:ascii="Times New Roman" w:hAnsi="Times New Roman" w:eastAsia="宋体" w:cs="Times New Roman"/>
                      <w:b w:val="0"/>
                      <w:bCs/>
                      <w:color w:val="auto"/>
                      <w:kern w:val="2"/>
                      <w:sz w:val="21"/>
                      <w:szCs w:val="21"/>
                      <w:lang w:val="en-US" w:eastAsia="zh-CN" w:bidi="ar-SA"/>
                    </w:rPr>
                  </w:pPr>
                  <w:r>
                    <w:rPr>
                      <w:rFonts w:hint="eastAsia"/>
                      <w:b w:val="0"/>
                      <w:bCs/>
                      <w:color w:val="auto"/>
                      <w:sz w:val="21"/>
                      <w:szCs w:val="21"/>
                      <w:lang w:val="en-US" w:eastAsia="zh-CN"/>
                    </w:rPr>
                    <w:t>项目位于自然保护区整合优化前实验区范围内</w:t>
                  </w:r>
                </w:p>
              </w:tc>
              <w:tc>
                <w:tcPr>
                  <w:tcW w:w="1514"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eastAsia"/>
                      <w:b w:val="0"/>
                      <w:bCs/>
                      <w:color w:val="auto"/>
                      <w:sz w:val="21"/>
                      <w:szCs w:val="21"/>
                      <w:lang w:val="en-US" w:eastAsia="zh-CN"/>
                    </w:rPr>
                    <w:t>国家级自然保护区</w:t>
                  </w:r>
                </w:p>
              </w:tc>
              <w:tc>
                <w:tcPr>
                  <w:tcW w:w="2032" w:type="dxa"/>
                  <w:tcBorders>
                    <w:tl2br w:val="nil"/>
                    <w:tr2bl w:val="nil"/>
                  </w:tcBorders>
                  <w:vAlign w:val="center"/>
                </w:tcPr>
                <w:p>
                  <w:pPr>
                    <w:pStyle w:val="50"/>
                    <w:spacing w:before="0" w:beforeLines="0" w:after="0" w:afterLines="0"/>
                    <w:rPr>
                      <w:rFonts w:hint="default"/>
                      <w:b w:val="0"/>
                      <w:bCs/>
                      <w:color w:val="auto"/>
                      <w:sz w:val="21"/>
                      <w:szCs w:val="21"/>
                      <w:lang w:val="en-US" w:eastAsia="zh-CN"/>
                    </w:rPr>
                  </w:pPr>
                  <w:r>
                    <w:rPr>
                      <w:rFonts w:hint="default"/>
                      <w:b w:val="0"/>
                      <w:bCs/>
                      <w:color w:val="auto"/>
                      <w:sz w:val="21"/>
                      <w:szCs w:val="21"/>
                      <w:lang w:val="en-US" w:eastAsia="zh-CN"/>
                    </w:rPr>
                    <w:t>有效保护陆生生物、水生生物及其生态环境</w:t>
                  </w:r>
                  <w:r>
                    <w:rPr>
                      <w:rFonts w:hint="eastAsia"/>
                      <w:b w:val="0"/>
                      <w:bCs/>
                      <w:color w:val="auto"/>
                      <w:sz w:val="21"/>
                      <w:szCs w:val="21"/>
                      <w:lang w:val="en-US" w:eastAsia="zh-CN"/>
                    </w:rPr>
                    <w:t>不受本项目影响</w:t>
                  </w:r>
                </w:p>
              </w:tc>
            </w:tr>
          </w:tbl>
          <w:p>
            <w:pPr>
              <w:pStyle w:val="11"/>
              <w:rPr>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2429" w:hRule="atLeast"/>
          <w:jc w:val="center"/>
        </w:trPr>
        <w:tc>
          <w:tcPr>
            <w:tcW w:w="800" w:type="dxa"/>
            <w:tcMar>
              <w:left w:w="28" w:type="dxa"/>
              <w:right w:w="28" w:type="dxa"/>
            </w:tcMar>
            <w:vAlign w:val="center"/>
          </w:tcPr>
          <w:p>
            <w:pPr>
              <w:adjustRightInd w:val="0"/>
              <w:snapToGrid w:val="0"/>
              <w:jc w:val="center"/>
              <w:rPr>
                <w:rFonts w:hint="default" w:eastAsia="宋体" w:cs="宋体"/>
                <w:color w:val="auto"/>
                <w:kern w:val="0"/>
                <w:sz w:val="24"/>
                <w:szCs w:val="21"/>
                <w:lang w:val="en-US" w:eastAsia="zh-CN"/>
              </w:rPr>
            </w:pPr>
            <w:r>
              <w:rPr>
                <w:rFonts w:hint="eastAsia" w:cs="宋体"/>
                <w:color w:val="auto"/>
                <w:kern w:val="0"/>
                <w:sz w:val="24"/>
                <w:szCs w:val="21"/>
                <w:lang w:val="en-US" w:eastAsia="zh-CN"/>
              </w:rPr>
              <w:t>评价标准</w:t>
            </w:r>
          </w:p>
        </w:tc>
        <w:tc>
          <w:tcPr>
            <w:tcW w:w="8190" w:type="dxa"/>
            <w:vAlign w:val="center"/>
          </w:tcPr>
          <w:p>
            <w:pPr>
              <w:pStyle w:val="9"/>
              <w:numPr>
                <w:ilvl w:val="0"/>
                <w:numId w:val="3"/>
              </w:numPr>
              <w:ind w:left="0" w:leftChars="0" w:firstLine="0" w:firstLineChars="0"/>
              <w:jc w:val="both"/>
              <w:rPr>
                <w:rFonts w:hint="eastAsia"/>
                <w:b/>
                <w:color w:val="auto"/>
                <w:sz w:val="24"/>
              </w:rPr>
            </w:pPr>
            <w:r>
              <w:rPr>
                <w:b/>
                <w:color w:val="auto"/>
                <w:sz w:val="24"/>
              </w:rPr>
              <w:t>废</w:t>
            </w:r>
            <w:r>
              <w:rPr>
                <w:rFonts w:hint="eastAsia"/>
                <w:b/>
                <w:color w:val="auto"/>
                <w:sz w:val="24"/>
              </w:rPr>
              <w:t>气</w:t>
            </w:r>
          </w:p>
          <w:p>
            <w:pPr>
              <w:snapToGrid w:val="0"/>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本项目油烟废气排放执行《饮食业油烟排放标准》（GB18483-2001）大型规模标准；恶臭执行《恶臭污染物排放标准值》（GB14554-93）的二级标准。具体指标见表</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eastAsia"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 xml:space="preserve">6 </w:t>
            </w:r>
            <w:r>
              <w:rPr>
                <w:rFonts w:hint="default" w:ascii="Times New Roman" w:hAnsi="Times New Roman" w:eastAsia="宋体" w:cs="Times New Roman"/>
                <w:color w:val="auto"/>
                <w:highlight w:val="none"/>
              </w:rPr>
              <w:t xml:space="preserve"> 油烟净化设施去除效率</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1787"/>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aps/>
                      <w:color w:val="auto"/>
                      <w:szCs w:val="21"/>
                    </w:rPr>
                  </w:pPr>
                  <w:r>
                    <w:rPr>
                      <w:rFonts w:hAnsi="宋体"/>
                      <w:b/>
                      <w:bCs/>
                      <w:caps/>
                      <w:color w:val="auto"/>
                      <w:szCs w:val="21"/>
                    </w:rPr>
                    <w:t>规模</w:t>
                  </w:r>
                </w:p>
              </w:tc>
              <w:tc>
                <w:tcPr>
                  <w:tcW w:w="1638"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小型</w:t>
                  </w:r>
                </w:p>
              </w:tc>
              <w:tc>
                <w:tcPr>
                  <w:tcW w:w="1787"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中型</w:t>
                  </w:r>
                </w:p>
              </w:tc>
              <w:tc>
                <w:tcPr>
                  <w:tcW w:w="1505" w:type="dxa"/>
                  <w:tcBorders>
                    <w:tl2br w:val="nil"/>
                    <w:tr2bl w:val="nil"/>
                  </w:tcBorders>
                  <w:noWrap w:val="0"/>
                  <w:vAlign w:val="center"/>
                </w:tcPr>
                <w:p>
                  <w:pPr>
                    <w:spacing w:line="240" w:lineRule="atLeast"/>
                    <w:jc w:val="center"/>
                    <w:rPr>
                      <w:caps/>
                      <w:color w:val="auto"/>
                      <w:szCs w:val="21"/>
                    </w:rPr>
                  </w:pPr>
                  <w:r>
                    <w:rPr>
                      <w:rFonts w:hAnsi="宋体"/>
                      <w:caps/>
                      <w:color w:val="auto"/>
                      <w:szCs w:val="21"/>
                    </w:rPr>
                    <w:t>大型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b/>
                      <w:bCs/>
                      <w:color w:val="auto"/>
                      <w:szCs w:val="21"/>
                    </w:rPr>
                  </w:pPr>
                  <w:r>
                    <w:rPr>
                      <w:rFonts w:hAnsi="宋体"/>
                      <w:b/>
                      <w:bCs/>
                      <w:color w:val="auto"/>
                      <w:szCs w:val="21"/>
                    </w:rPr>
                    <w:t>最高允许排放浓度（</w:t>
                  </w:r>
                  <w:r>
                    <w:rPr>
                      <w:b/>
                      <w:bCs/>
                      <w:color w:val="auto"/>
                      <w:szCs w:val="21"/>
                    </w:rPr>
                    <w:t>mg/m</w:t>
                  </w:r>
                  <w:r>
                    <w:rPr>
                      <w:b/>
                      <w:bCs/>
                      <w:color w:val="auto"/>
                      <w:szCs w:val="21"/>
                      <w:vertAlign w:val="superscript"/>
                    </w:rPr>
                    <w:t>3</w:t>
                  </w:r>
                  <w:r>
                    <w:rPr>
                      <w:rFonts w:hAnsi="宋体"/>
                      <w:b/>
                      <w:bCs/>
                      <w:color w:val="auto"/>
                      <w:szCs w:val="21"/>
                    </w:rPr>
                    <w:t>）</w:t>
                  </w:r>
                </w:p>
              </w:tc>
              <w:tc>
                <w:tcPr>
                  <w:tcW w:w="4930" w:type="dxa"/>
                  <w:gridSpan w:val="3"/>
                  <w:tcBorders>
                    <w:tl2br w:val="nil"/>
                    <w:tr2bl w:val="nil"/>
                  </w:tcBorders>
                  <w:noWrap w:val="0"/>
                  <w:vAlign w:val="center"/>
                </w:tcPr>
                <w:p>
                  <w:pPr>
                    <w:spacing w:line="240" w:lineRule="atLeast"/>
                    <w:jc w:val="center"/>
                    <w:rPr>
                      <w:color w:val="auto"/>
                      <w:szCs w:val="21"/>
                    </w:rPr>
                  </w:pPr>
                  <w:r>
                    <w:rPr>
                      <w:color w:val="auto"/>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200" w:firstLineChars="95"/>
                    <w:jc w:val="center"/>
                    <w:rPr>
                      <w:b/>
                      <w:bCs/>
                      <w:color w:val="auto"/>
                      <w:szCs w:val="21"/>
                    </w:rPr>
                  </w:pPr>
                  <w:r>
                    <w:rPr>
                      <w:rFonts w:hAnsi="宋体"/>
                      <w:b/>
                      <w:bCs/>
                      <w:color w:val="auto"/>
                      <w:szCs w:val="21"/>
                    </w:rPr>
                    <w:t>净化设施最低去除效率</w:t>
                  </w:r>
                </w:p>
              </w:tc>
              <w:tc>
                <w:tcPr>
                  <w:tcW w:w="1638" w:type="dxa"/>
                  <w:tcBorders>
                    <w:tl2br w:val="nil"/>
                    <w:tr2bl w:val="nil"/>
                  </w:tcBorders>
                  <w:noWrap w:val="0"/>
                  <w:vAlign w:val="center"/>
                </w:tcPr>
                <w:p>
                  <w:pPr>
                    <w:spacing w:line="240" w:lineRule="atLeast"/>
                    <w:jc w:val="center"/>
                    <w:rPr>
                      <w:color w:val="auto"/>
                      <w:szCs w:val="21"/>
                    </w:rPr>
                  </w:pPr>
                  <w:r>
                    <w:rPr>
                      <w:color w:val="auto"/>
                      <w:szCs w:val="21"/>
                    </w:rPr>
                    <w:t>60</w:t>
                  </w:r>
                </w:p>
              </w:tc>
              <w:tc>
                <w:tcPr>
                  <w:tcW w:w="1787" w:type="dxa"/>
                  <w:tcBorders>
                    <w:tl2br w:val="nil"/>
                    <w:tr2bl w:val="nil"/>
                  </w:tcBorders>
                  <w:noWrap w:val="0"/>
                  <w:vAlign w:val="center"/>
                </w:tcPr>
                <w:p>
                  <w:pPr>
                    <w:spacing w:line="240" w:lineRule="atLeast"/>
                    <w:jc w:val="center"/>
                    <w:rPr>
                      <w:color w:val="auto"/>
                      <w:szCs w:val="21"/>
                    </w:rPr>
                  </w:pPr>
                  <w:r>
                    <w:rPr>
                      <w:color w:val="auto"/>
                      <w:szCs w:val="21"/>
                    </w:rPr>
                    <w:t>75</w:t>
                  </w:r>
                </w:p>
              </w:tc>
              <w:tc>
                <w:tcPr>
                  <w:tcW w:w="1505" w:type="dxa"/>
                  <w:tcBorders>
                    <w:tl2br w:val="nil"/>
                    <w:tr2bl w:val="nil"/>
                  </w:tcBorders>
                  <w:noWrap w:val="0"/>
                  <w:vAlign w:val="center"/>
                </w:tcPr>
                <w:p>
                  <w:pPr>
                    <w:spacing w:line="240" w:lineRule="atLeast"/>
                    <w:jc w:val="center"/>
                    <w:rPr>
                      <w:color w:val="auto"/>
                      <w:szCs w:val="21"/>
                    </w:rPr>
                  </w:pPr>
                  <w:r>
                    <w:rPr>
                      <w:color w:val="auto"/>
                      <w:szCs w:val="21"/>
                    </w:rPr>
                    <w:t>85</w:t>
                  </w:r>
                </w:p>
              </w:tc>
            </w:tr>
          </w:tbl>
          <w:p>
            <w:pPr>
              <w:pStyle w:val="66"/>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 xml:space="preserve">  《恶臭污染物排放标准值》（ GB14554-93）表1</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638"/>
              <w:gridCol w:w="32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污染物</w:t>
                  </w:r>
                </w:p>
              </w:tc>
              <w:tc>
                <w:tcPr>
                  <w:tcW w:w="1638" w:type="dxa"/>
                  <w:tcBorders>
                    <w:tl2br w:val="nil"/>
                    <w:tr2bl w:val="nil"/>
                  </w:tcBorders>
                  <w:noWrap w:val="0"/>
                  <w:vAlign w:val="center"/>
                </w:tcPr>
                <w:p>
                  <w:pPr>
                    <w:spacing w:line="240" w:lineRule="atLeast"/>
                    <w:jc w:val="center"/>
                    <w:rPr>
                      <w:rFonts w:hint="eastAsia"/>
                      <w:b/>
                      <w:bCs/>
                      <w:caps/>
                      <w:color w:val="auto"/>
                      <w:szCs w:val="21"/>
                    </w:rPr>
                  </w:pPr>
                  <w:r>
                    <w:rPr>
                      <w:rFonts w:hint="eastAsia" w:hAnsi="宋体"/>
                      <w:b/>
                      <w:bCs/>
                      <w:caps/>
                      <w:color w:val="auto"/>
                      <w:szCs w:val="21"/>
                    </w:rPr>
                    <w:t>单位</w:t>
                  </w:r>
                </w:p>
              </w:tc>
              <w:tc>
                <w:tcPr>
                  <w:tcW w:w="3292" w:type="dxa"/>
                  <w:tcBorders>
                    <w:tl2br w:val="nil"/>
                    <w:tr2bl w:val="nil"/>
                  </w:tcBorders>
                  <w:noWrap w:val="0"/>
                  <w:vAlign w:val="center"/>
                </w:tcPr>
                <w:p>
                  <w:pPr>
                    <w:spacing w:line="240" w:lineRule="atLeast"/>
                    <w:jc w:val="center"/>
                    <w:rPr>
                      <w:b/>
                      <w:bCs/>
                      <w:caps/>
                      <w:color w:val="auto"/>
                      <w:szCs w:val="21"/>
                    </w:rPr>
                  </w:pPr>
                  <w:r>
                    <w:rPr>
                      <w:rFonts w:hint="eastAsia" w:hAnsi="宋体"/>
                      <w:b/>
                      <w:bCs/>
                      <w:caps/>
                      <w:color w:val="auto"/>
                      <w:szCs w:val="21"/>
                    </w:rPr>
                    <w:t>厂界标准值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950" w:type="dxa"/>
                  <w:tcBorders>
                    <w:tl2br w:val="nil"/>
                    <w:tr2bl w:val="nil"/>
                  </w:tcBorders>
                  <w:noWrap w:val="0"/>
                  <w:vAlign w:val="center"/>
                </w:tcPr>
                <w:p>
                  <w:pPr>
                    <w:spacing w:line="240" w:lineRule="atLeast"/>
                    <w:ind w:firstLine="199" w:firstLineChars="95"/>
                    <w:jc w:val="center"/>
                    <w:rPr>
                      <w:rFonts w:hint="eastAsia"/>
                      <w:color w:val="auto"/>
                      <w:szCs w:val="21"/>
                    </w:rPr>
                  </w:pPr>
                  <w:r>
                    <w:rPr>
                      <w:rFonts w:hint="eastAsia" w:hAnsi="宋体"/>
                      <w:color w:val="auto"/>
                      <w:szCs w:val="21"/>
                    </w:rPr>
                    <w:t>臭气深度</w:t>
                  </w:r>
                </w:p>
              </w:tc>
              <w:tc>
                <w:tcPr>
                  <w:tcW w:w="1638" w:type="dxa"/>
                  <w:tcBorders>
                    <w:tl2br w:val="nil"/>
                    <w:tr2bl w:val="nil"/>
                  </w:tcBorders>
                  <w:noWrap w:val="0"/>
                  <w:vAlign w:val="center"/>
                </w:tcPr>
                <w:p>
                  <w:pPr>
                    <w:spacing w:line="240" w:lineRule="atLeast"/>
                    <w:jc w:val="center"/>
                    <w:rPr>
                      <w:rFonts w:hint="eastAsia"/>
                      <w:color w:val="auto"/>
                      <w:szCs w:val="21"/>
                    </w:rPr>
                  </w:pPr>
                  <w:r>
                    <w:rPr>
                      <w:rFonts w:hint="eastAsia"/>
                      <w:color w:val="auto"/>
                      <w:szCs w:val="21"/>
                    </w:rPr>
                    <w:t>无量纲</w:t>
                  </w:r>
                </w:p>
              </w:tc>
              <w:tc>
                <w:tcPr>
                  <w:tcW w:w="3292" w:type="dxa"/>
                  <w:tcBorders>
                    <w:tl2br w:val="nil"/>
                    <w:tr2bl w:val="nil"/>
                  </w:tcBorders>
                  <w:noWrap w:val="0"/>
                  <w:vAlign w:val="center"/>
                </w:tcPr>
                <w:p>
                  <w:pPr>
                    <w:spacing w:line="240" w:lineRule="atLeast"/>
                    <w:jc w:val="center"/>
                    <w:rPr>
                      <w:color w:val="auto"/>
                      <w:szCs w:val="21"/>
                    </w:rPr>
                  </w:pPr>
                  <w:r>
                    <w:rPr>
                      <w:rFonts w:hint="eastAsia"/>
                      <w:color w:val="auto"/>
                      <w:szCs w:val="21"/>
                    </w:rPr>
                    <w:t>20</w:t>
                  </w:r>
                </w:p>
              </w:tc>
            </w:tr>
          </w:tbl>
          <w:p>
            <w:pPr>
              <w:pStyle w:val="9"/>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2、废</w:t>
            </w:r>
            <w:r>
              <w:rPr>
                <w:rFonts w:hint="eastAsia"/>
                <w:b/>
                <w:color w:val="auto"/>
                <w:sz w:val="24"/>
              </w:rPr>
              <w:t>水</w:t>
            </w:r>
          </w:p>
          <w:p>
            <w:pPr>
              <w:spacing w:line="360" w:lineRule="auto"/>
              <w:ind w:firstLine="480" w:firstLineChars="200"/>
              <w:rPr>
                <w:rFonts w:hint="eastAsia" w:eastAsia="宋体"/>
                <w:color w:val="auto"/>
                <w:sz w:val="24"/>
              </w:rPr>
            </w:pPr>
            <w:r>
              <w:rPr>
                <w:rFonts w:hint="eastAsia" w:eastAsia="宋体"/>
                <w:color w:val="auto"/>
                <w:sz w:val="24"/>
              </w:rPr>
              <w:t>项目</w:t>
            </w:r>
            <w:r>
              <w:rPr>
                <w:rFonts w:hint="eastAsia"/>
                <w:color w:val="auto"/>
                <w:sz w:val="24"/>
              </w:rPr>
              <w:t>无生产废水；生活污水经化粪池处理后达</w:t>
            </w:r>
            <w:r>
              <w:rPr>
                <w:rFonts w:hint="eastAsia"/>
                <w:color w:val="auto"/>
                <w:sz w:val="24"/>
                <w:lang w:val="en-US" w:eastAsia="zh-CN"/>
              </w:rPr>
              <w:t>到</w:t>
            </w:r>
            <w:r>
              <w:rPr>
                <w:color w:val="auto"/>
                <w:sz w:val="24"/>
                <w:lang w:val="en-US" w:eastAsia="zh-CN"/>
              </w:rPr>
              <w:t>华容县团洲乡团洲新村污水处理厂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w:t>
            </w:r>
            <w:r>
              <w:rPr>
                <w:color w:val="auto"/>
                <w:sz w:val="24"/>
                <w:lang w:val="en-US" w:eastAsia="zh-CN"/>
              </w:rPr>
              <w:t>华容县团洲乡团洲新村污水处理厂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回用于县区洒水降尘及绿化</w:t>
            </w:r>
            <w:r>
              <w:rPr>
                <w:rFonts w:hint="eastAsia" w:eastAsia="宋体"/>
                <w:color w:val="auto"/>
                <w:sz w:val="24"/>
              </w:rPr>
              <w:t>，</w:t>
            </w:r>
            <w:r>
              <w:rPr>
                <w:rFonts w:hint="eastAsia"/>
                <w:color w:val="auto"/>
                <w:sz w:val="24"/>
                <w:lang w:val="en-US" w:eastAsia="zh-CN"/>
              </w:rPr>
              <w:t>若有多余可回用于周边农田。</w:t>
            </w:r>
            <w:r>
              <w:rPr>
                <w:rFonts w:hint="eastAsia" w:eastAsia="宋体"/>
                <w:color w:val="auto"/>
                <w:sz w:val="24"/>
              </w:rPr>
              <w:t>详见表3-</w:t>
            </w:r>
            <w:r>
              <w:rPr>
                <w:rFonts w:hint="eastAsia"/>
                <w:color w:val="auto"/>
                <w:sz w:val="24"/>
                <w:lang w:val="en-US" w:eastAsia="zh-CN"/>
              </w:rPr>
              <w:t>8</w:t>
            </w:r>
            <w:r>
              <w:rPr>
                <w:rFonts w:hint="eastAsia" w:eastAsia="宋体"/>
                <w:color w:val="auto"/>
                <w:sz w:val="24"/>
                <w:lang w:val="en-US" w:eastAsia="zh-CN"/>
              </w:rPr>
              <w:t>及表3-</w:t>
            </w:r>
            <w:r>
              <w:rPr>
                <w:rFonts w:hint="eastAsia"/>
                <w:color w:val="auto"/>
                <w:sz w:val="24"/>
                <w:lang w:val="en-US" w:eastAsia="zh-CN"/>
              </w:rPr>
              <w:t>9</w:t>
            </w:r>
            <w:r>
              <w:rPr>
                <w:rFonts w:hint="eastAsia" w:eastAsia="宋体"/>
                <w:color w:val="auto"/>
                <w:sz w:val="24"/>
              </w:rPr>
              <w:t>。</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eastAsia="宋体" w:cs="Times New Roman"/>
                <w:b/>
                <w:color w:val="auto"/>
                <w:szCs w:val="21"/>
                <w:u w:val="none"/>
              </w:rPr>
            </w:pPr>
            <w:r>
              <w:rPr>
                <w:rFonts w:hint="default" w:ascii="Times New Roman" w:hAnsi="Times New Roman" w:eastAsia="宋体" w:cs="Times New Roman"/>
                <w:color w:val="auto"/>
                <w:highlight w:val="none"/>
              </w:rPr>
              <w:t>表</w:t>
            </w:r>
            <w:r>
              <w:rPr>
                <w:rFonts w:hint="eastAsia" w:ascii="Times New Roman" w:hAnsi="Times New Roman" w:eastAsia="宋体" w:cs="Times New Roman"/>
                <w:color w:val="auto"/>
                <w:highlight w:val="none"/>
                <w:lang w:val="en-US" w:eastAsia="zh-CN"/>
              </w:rPr>
              <w:t xml:space="preserve">3-8 </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本项目污水排放标准</w:t>
            </w:r>
            <w:r>
              <w:rPr>
                <w:rFonts w:hint="default" w:ascii="Times New Roman" w:hAnsi="Times New Roman" w:eastAsia="宋体" w:cs="Times New Roman"/>
                <w:color w:val="auto"/>
                <w:highlight w:val="none"/>
              </w:rPr>
              <w:tab/>
            </w:r>
            <w:r>
              <w:rPr>
                <w:rFonts w:hint="default" w:ascii="Times New Roman" w:hAnsi="Times New Roman" w:eastAsia="宋体" w:cs="Times New Roman"/>
                <w:color w:val="auto"/>
                <w:highlight w:val="none"/>
              </w:rPr>
              <w:t>标准单位：mg/L</w:t>
            </w:r>
          </w:p>
          <w:tbl>
            <w:tblPr>
              <w:tblStyle w:val="22"/>
              <w:tblW w:w="7937" w:type="dxa"/>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299"/>
              <w:gridCol w:w="743"/>
              <w:gridCol w:w="730"/>
              <w:gridCol w:w="1168"/>
              <w:gridCol w:w="998"/>
              <w:gridCol w:w="999"/>
              <w:gridCol w:w="10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634" w:type="dxa"/>
                  <w:tcBorders>
                    <w:tl2br w:val="nil"/>
                    <w:tr2bl w:val="nil"/>
                  </w:tcBorders>
                  <w:shd w:val="clear" w:color="auto" w:fill="F1F1F1"/>
                  <w:noWrap w:val="0"/>
                  <w:vAlign w:val="center"/>
                </w:tcPr>
                <w:p>
                  <w:pPr>
                    <w:pStyle w:val="49"/>
                    <w:spacing w:before="52"/>
                    <w:ind w:left="457" w:right="456"/>
                    <w:jc w:val="center"/>
                    <w:rPr>
                      <w:rFonts w:hint="default" w:ascii="Times New Roman" w:hAnsi="Times New Roman" w:cs="Times New Roman"/>
                      <w:b/>
                      <w:bCs/>
                      <w:color w:val="auto"/>
                      <w:sz w:val="21"/>
                      <w:u w:val="none"/>
                    </w:rPr>
                  </w:pPr>
                  <w:r>
                    <w:rPr>
                      <w:rFonts w:hint="default" w:ascii="Times New Roman" w:hAnsi="Times New Roman" w:cs="Times New Roman"/>
                      <w:b/>
                      <w:bCs/>
                      <w:color w:val="auto"/>
                      <w:sz w:val="21"/>
                      <w:u w:val="none"/>
                    </w:rPr>
                    <w:t>污染物</w:t>
                  </w:r>
                </w:p>
              </w:tc>
              <w:tc>
                <w:tcPr>
                  <w:tcW w:w="850"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pH</w:t>
                  </w:r>
                </w:p>
              </w:tc>
              <w:tc>
                <w:tcPr>
                  <w:tcW w:w="835"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SS</w:t>
                  </w:r>
                </w:p>
              </w:tc>
              <w:tc>
                <w:tcPr>
                  <w:tcW w:w="1338"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COD</w:t>
                  </w:r>
                  <w:r>
                    <w:rPr>
                      <w:rFonts w:hint="default" w:ascii="Times New Roman" w:hAnsi="Times New Roman" w:cs="Times New Roman"/>
                      <w:b/>
                      <w:bCs/>
                      <w:color w:val="auto"/>
                      <w:sz w:val="21"/>
                      <w:szCs w:val="21"/>
                      <w:u w:val="none"/>
                      <w:vertAlign w:val="subscript"/>
                    </w:rPr>
                    <w:t>Mn</w:t>
                  </w:r>
                </w:p>
              </w:tc>
              <w:tc>
                <w:tcPr>
                  <w:tcW w:w="1143"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BOD</w:t>
                  </w:r>
                  <w:r>
                    <w:rPr>
                      <w:rFonts w:hint="default" w:ascii="Times New Roman" w:hAnsi="Times New Roman" w:cs="Times New Roman"/>
                      <w:b/>
                      <w:bCs/>
                      <w:color w:val="auto"/>
                      <w:sz w:val="21"/>
                      <w:szCs w:val="21"/>
                      <w:u w:val="none"/>
                      <w:vertAlign w:val="subscript"/>
                    </w:rPr>
                    <w:t>5</w:t>
                  </w:r>
                </w:p>
              </w:tc>
              <w:tc>
                <w:tcPr>
                  <w:tcW w:w="1144"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cs="Times New Roman"/>
                      <w:b/>
                      <w:bCs/>
                      <w:color w:val="auto"/>
                      <w:sz w:val="21"/>
                      <w:szCs w:val="21"/>
                      <w:u w:val="none"/>
                      <w:lang w:val="en-US" w:eastAsia="zh-CN"/>
                    </w:rPr>
                    <w:t>NH</w:t>
                  </w:r>
                  <w:r>
                    <w:rPr>
                      <w:rFonts w:hint="eastAsia" w:ascii="Times New Roman" w:hAnsi="Times New Roman" w:cs="Times New Roman"/>
                      <w:b/>
                      <w:bCs/>
                      <w:color w:val="auto"/>
                      <w:sz w:val="21"/>
                      <w:szCs w:val="21"/>
                      <w:u w:val="none"/>
                      <w:vertAlign w:val="subscript"/>
                      <w:lang w:val="en-US" w:eastAsia="zh-CN"/>
                    </w:rPr>
                    <w:t>3</w:t>
                  </w:r>
                  <w:r>
                    <w:rPr>
                      <w:rFonts w:hint="eastAsia" w:ascii="Times New Roman" w:hAnsi="Times New Roman" w:cs="Times New Roman"/>
                      <w:b/>
                      <w:bCs/>
                      <w:color w:val="auto"/>
                      <w:sz w:val="21"/>
                      <w:szCs w:val="21"/>
                      <w:u w:val="none"/>
                      <w:lang w:val="en-US" w:eastAsia="zh-CN"/>
                    </w:rPr>
                    <w:t>-N</w:t>
                  </w:r>
                </w:p>
              </w:tc>
              <w:tc>
                <w:tcPr>
                  <w:tcW w:w="1144" w:type="dxa"/>
                  <w:tcBorders>
                    <w:tl2br w:val="nil"/>
                    <w:tr2bl w:val="nil"/>
                  </w:tcBorders>
                  <w:shd w:val="clear" w:color="auto" w:fill="F1F1F1"/>
                  <w:noWrap w:val="0"/>
                  <w:vAlign w:val="center"/>
                </w:tcPr>
                <w:p>
                  <w:pPr>
                    <w:pStyle w:val="62"/>
                    <w:spacing w:line="240" w:lineRule="auto"/>
                    <w:jc w:val="center"/>
                    <w:rPr>
                      <w:rFonts w:hint="default" w:ascii="Times New Roman" w:hAnsi="Times New Roman" w:cs="Times New Roman"/>
                      <w:b/>
                      <w:bCs/>
                      <w:color w:val="auto"/>
                      <w:sz w:val="21"/>
                      <w:szCs w:val="21"/>
                      <w:u w:val="none"/>
                      <w:lang w:val="en-US" w:eastAsia="zh-CN"/>
                    </w:rPr>
                  </w:pPr>
                  <w:r>
                    <w:rPr>
                      <w:rFonts w:hint="eastAsia" w:cs="Times New Roman"/>
                      <w:b/>
                      <w:bCs/>
                      <w:color w:val="auto"/>
                      <w:sz w:val="21"/>
                      <w:szCs w:val="21"/>
                      <w:u w:val="none"/>
                      <w:lang w:val="en-US" w:eastAsia="zh-CN"/>
                    </w:rPr>
                    <w:t>TP</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800" w:type="dxa"/>
                  <w:gridSpan w:val="5"/>
                  <w:tcBorders>
                    <w:tl2br w:val="nil"/>
                    <w:tr2bl w:val="nil"/>
                  </w:tcBorders>
                  <w:noWrap w:val="0"/>
                  <w:vAlign w:val="center"/>
                </w:tcPr>
                <w:p>
                  <w:pPr>
                    <w:pStyle w:val="62"/>
                    <w:spacing w:line="240" w:lineRule="auto"/>
                    <w:jc w:val="both"/>
                    <w:rPr>
                      <w:rFonts w:hint="default" w:ascii="Times New Roman" w:hAnsi="Times New Roman" w:cs="Times New Roman"/>
                      <w:color w:val="auto"/>
                      <w:sz w:val="21"/>
                      <w:szCs w:val="21"/>
                      <w:u w:val="none"/>
                    </w:rPr>
                  </w:pPr>
                  <w:r>
                    <w:rPr>
                      <w:rFonts w:hint="eastAsia" w:ascii="Times New Roman" w:hAnsi="Times New Roman" w:eastAsia="宋体" w:cs="Times New Roman"/>
                      <w:color w:val="auto"/>
                      <w:kern w:val="2"/>
                      <w:sz w:val="21"/>
                      <w:szCs w:val="21"/>
                      <w:lang w:val="en-US" w:eastAsia="zh-CN" w:bidi="ar-SA"/>
                    </w:rPr>
                    <w:t>依据：</w:t>
                  </w:r>
                  <w:r>
                    <w:rPr>
                      <w:rFonts w:hint="eastAsia" w:cs="Times New Roman"/>
                      <w:color w:val="auto"/>
                      <w:kern w:val="2"/>
                      <w:sz w:val="21"/>
                      <w:szCs w:val="21"/>
                      <w:lang w:val="en-US" w:eastAsia="zh-CN" w:bidi="ar-SA"/>
                    </w:rPr>
                    <w:t>华容县团洲乡团洲新村污水处理厂进水水质标准</w:t>
                  </w: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Times New Roman" w:cs="Times New Roman"/>
                      <w:color w:val="auto"/>
                      <w:sz w:val="21"/>
                      <w:u w:val="none"/>
                    </w:rPr>
                  </w:pP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Times New Roman" w:cs="Times New Roman"/>
                      <w:color w:val="auto"/>
                      <w:sz w:val="21"/>
                      <w:u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34" w:type="dxa"/>
                  <w:tcBorders>
                    <w:tl2br w:val="nil"/>
                    <w:tr2bl w:val="nil"/>
                  </w:tcBorders>
                  <w:noWrap w:val="0"/>
                  <w:vAlign w:val="center"/>
                </w:tcPr>
                <w:p>
                  <w:pPr>
                    <w:pStyle w:val="49"/>
                    <w:spacing w:line="248" w:lineRule="exact"/>
                    <w:ind w:left="460" w:right="456"/>
                    <w:jc w:val="center"/>
                    <w:rPr>
                      <w:rFonts w:hint="default" w:ascii="Times New Roman" w:hAnsi="Times New Roman" w:eastAsia="Times New Roman" w:cs="Times New Roman"/>
                      <w:color w:val="auto"/>
                      <w:sz w:val="21"/>
                      <w:u w:val="none"/>
                    </w:rPr>
                  </w:pPr>
                </w:p>
              </w:tc>
              <w:tc>
                <w:tcPr>
                  <w:tcW w:w="850" w:type="dxa"/>
                  <w:tcBorders>
                    <w:tl2br w:val="nil"/>
                    <w:tr2bl w:val="nil"/>
                  </w:tcBorders>
                  <w:noWrap w:val="0"/>
                  <w:vAlign w:val="center"/>
                </w:tcPr>
                <w:p>
                  <w:pPr>
                    <w:pStyle w:val="62"/>
                    <w:spacing w:line="240" w:lineRule="auto"/>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6~9</w:t>
                  </w:r>
                </w:p>
              </w:tc>
              <w:tc>
                <w:tcPr>
                  <w:tcW w:w="835"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150</w:t>
                  </w:r>
                </w:p>
              </w:tc>
              <w:tc>
                <w:tcPr>
                  <w:tcW w:w="1338"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350</w:t>
                  </w:r>
                </w:p>
              </w:tc>
              <w:tc>
                <w:tcPr>
                  <w:tcW w:w="1143"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180</w:t>
                  </w:r>
                </w:p>
              </w:tc>
              <w:tc>
                <w:tcPr>
                  <w:tcW w:w="1144" w:type="dxa"/>
                  <w:tcBorders>
                    <w:tl2br w:val="nil"/>
                    <w:tr2bl w:val="nil"/>
                  </w:tcBorders>
                  <w:noWrap w:val="0"/>
                  <w:vAlign w:val="center"/>
                </w:tcPr>
                <w:p>
                  <w:pPr>
                    <w:pStyle w:val="62"/>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30</w:t>
                  </w:r>
                </w:p>
              </w:tc>
              <w:tc>
                <w:tcPr>
                  <w:tcW w:w="1144" w:type="dxa"/>
                  <w:tcBorders>
                    <w:tl2br w:val="nil"/>
                    <w:tr2bl w:val="nil"/>
                  </w:tcBorders>
                  <w:noWrap w:val="0"/>
                  <w:vAlign w:val="center"/>
                </w:tcPr>
                <w:p>
                  <w:pPr>
                    <w:pStyle w:val="62"/>
                    <w:spacing w:line="240" w:lineRule="auto"/>
                    <w:jc w:val="center"/>
                    <w:rPr>
                      <w:rFonts w:hint="default" w:cs="Times New Roman"/>
                      <w:color w:val="auto"/>
                      <w:sz w:val="21"/>
                      <w:szCs w:val="21"/>
                      <w:u w:val="none"/>
                      <w:lang w:val="en-US" w:eastAsia="zh-CN"/>
                    </w:rPr>
                  </w:pPr>
                  <w:r>
                    <w:rPr>
                      <w:rFonts w:hint="eastAsia" w:cs="Times New Roman"/>
                      <w:color w:val="auto"/>
                      <w:sz w:val="21"/>
                      <w:szCs w:val="21"/>
                      <w:u w:val="none"/>
                      <w:lang w:val="en-US" w:eastAsia="zh-CN"/>
                    </w:rPr>
                    <w:t>6</w:t>
                  </w:r>
                </w:p>
              </w:tc>
            </w:tr>
          </w:tbl>
          <w:p>
            <w:pPr>
              <w:pStyle w:val="63"/>
              <w:spacing w:before="165" w:beforeLines="50"/>
              <w:ind w:firstLine="422"/>
              <w:rPr>
                <w:rFonts w:hint="default" w:ascii="Times New Roman" w:hAnsi="Times New Roman" w:eastAsia="宋体" w:cs="Times New Roman"/>
                <w:b/>
                <w:color w:val="auto"/>
                <w:kern w:val="2"/>
                <w:sz w:val="24"/>
                <w:szCs w:val="24"/>
                <w:highlight w:val="none"/>
                <w:lang w:val="en-US" w:eastAsia="zh-CN" w:bidi="ar-SA"/>
              </w:rPr>
            </w:pPr>
            <w:bookmarkStart w:id="14" w:name="_Toc535510061"/>
            <w:r>
              <w:rPr>
                <w:rFonts w:hint="default" w:ascii="Times New Roman" w:hAnsi="Times New Roman" w:eastAsia="宋体" w:cs="Times New Roman"/>
                <w:b/>
                <w:color w:val="auto"/>
                <w:kern w:val="2"/>
                <w:sz w:val="24"/>
                <w:szCs w:val="24"/>
                <w:highlight w:val="none"/>
                <w:lang w:val="en-US" w:eastAsia="zh-CN" w:bidi="ar-SA"/>
              </w:rPr>
              <w:t>表</w:t>
            </w:r>
            <w:r>
              <w:rPr>
                <w:rFonts w:hint="eastAsia" w:ascii="Times New Roman" w:hAnsi="Times New Roman" w:eastAsia="宋体" w:cs="Times New Roman"/>
                <w:b/>
                <w:color w:val="auto"/>
                <w:kern w:val="2"/>
                <w:sz w:val="24"/>
                <w:szCs w:val="24"/>
                <w:highlight w:val="none"/>
                <w:lang w:val="en-US" w:eastAsia="zh-CN" w:bidi="ar-SA"/>
              </w:rPr>
              <w:t>3-9</w:t>
            </w:r>
            <w:r>
              <w:rPr>
                <w:rFonts w:hint="default" w:ascii="Times New Roman" w:hAnsi="Times New Roman" w:eastAsia="宋体" w:cs="Times New Roman"/>
                <w:b/>
                <w:color w:val="auto"/>
                <w:kern w:val="2"/>
                <w:sz w:val="24"/>
                <w:szCs w:val="24"/>
                <w:highlight w:val="none"/>
                <w:lang w:val="en-US" w:eastAsia="zh-CN" w:bidi="ar-SA"/>
              </w:rPr>
              <w:t xml:space="preserve">  城镇污水处理厂污染物排放标准（GB18918-2002）  单位： mg/L</w:t>
            </w:r>
            <w:bookmarkEnd w:id="14"/>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4"/>
              <w:gridCol w:w="3149"/>
              <w:gridCol w:w="3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shd w:val="clear" w:color="auto" w:fill="F1F1F1"/>
                  <w:noWrap w:val="0"/>
                  <w:vAlign w:val="center"/>
                </w:tcPr>
                <w:p>
                  <w:pPr>
                    <w:pStyle w:val="54"/>
                    <w:rPr>
                      <w:b/>
                      <w:bCs/>
                      <w:color w:val="auto"/>
                    </w:rPr>
                  </w:pPr>
                  <w:r>
                    <w:rPr>
                      <w:b/>
                      <w:bCs/>
                      <w:color w:val="auto"/>
                    </w:rPr>
                    <w:t>序号</w:t>
                  </w:r>
                </w:p>
              </w:tc>
              <w:tc>
                <w:tcPr>
                  <w:tcW w:w="3650" w:type="dxa"/>
                  <w:shd w:val="clear" w:color="auto" w:fill="F1F1F1"/>
                  <w:noWrap w:val="0"/>
                  <w:vAlign w:val="center"/>
                </w:tcPr>
                <w:p>
                  <w:pPr>
                    <w:pStyle w:val="54"/>
                    <w:rPr>
                      <w:b/>
                      <w:bCs/>
                      <w:color w:val="auto"/>
                    </w:rPr>
                  </w:pPr>
                  <w:r>
                    <w:rPr>
                      <w:b/>
                      <w:bCs/>
                      <w:color w:val="auto"/>
                    </w:rPr>
                    <w:t>污染物项目</w:t>
                  </w:r>
                </w:p>
              </w:tc>
              <w:tc>
                <w:tcPr>
                  <w:tcW w:w="4576" w:type="dxa"/>
                  <w:shd w:val="clear" w:color="auto" w:fill="F1F1F1"/>
                  <w:noWrap w:val="0"/>
                  <w:vAlign w:val="center"/>
                </w:tcPr>
                <w:p>
                  <w:pPr>
                    <w:pStyle w:val="54"/>
                    <w:rPr>
                      <w:b/>
                      <w:bCs/>
                      <w:color w:val="auto"/>
                    </w:rPr>
                  </w:pPr>
                  <w:r>
                    <w:rPr>
                      <w:b/>
                      <w:bCs/>
                      <w:color w:val="auto"/>
                    </w:rPr>
                    <w:t>污水处理厂排放标准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color w:val="auto"/>
                    </w:rPr>
                  </w:pPr>
                  <w:r>
                    <w:rPr>
                      <w:color w:val="auto"/>
                    </w:rPr>
                    <w:t>1</w:t>
                  </w:r>
                </w:p>
              </w:tc>
              <w:tc>
                <w:tcPr>
                  <w:tcW w:w="3650" w:type="dxa"/>
                  <w:noWrap w:val="0"/>
                  <w:vAlign w:val="center"/>
                </w:tcPr>
                <w:p>
                  <w:pPr>
                    <w:pStyle w:val="54"/>
                    <w:rPr>
                      <w:rFonts w:hint="eastAsia"/>
                      <w:color w:val="auto"/>
                    </w:rPr>
                  </w:pPr>
                  <w:r>
                    <w:rPr>
                      <w:rFonts w:hint="eastAsia"/>
                      <w:color w:val="auto"/>
                    </w:rPr>
                    <w:t>PH</w:t>
                  </w:r>
                </w:p>
              </w:tc>
              <w:tc>
                <w:tcPr>
                  <w:tcW w:w="4576" w:type="dxa"/>
                  <w:noWrap w:val="0"/>
                  <w:vAlign w:val="center"/>
                </w:tcPr>
                <w:p>
                  <w:pPr>
                    <w:pStyle w:val="54"/>
                    <w:rPr>
                      <w:color w:val="auto"/>
                    </w:rPr>
                  </w:pPr>
                  <w:r>
                    <w:rPr>
                      <w:color w:val="auto"/>
                    </w:rPr>
                    <w:t>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2</w:t>
                  </w:r>
                </w:p>
              </w:tc>
              <w:tc>
                <w:tcPr>
                  <w:tcW w:w="3650" w:type="dxa"/>
                  <w:noWrap w:val="0"/>
                  <w:vAlign w:val="center"/>
                </w:tcPr>
                <w:p>
                  <w:pPr>
                    <w:pStyle w:val="54"/>
                    <w:rPr>
                      <w:color w:val="auto"/>
                    </w:rPr>
                  </w:pPr>
                  <w:r>
                    <w:rPr>
                      <w:color w:val="auto"/>
                    </w:rPr>
                    <w:t>化学需氧量≤</w:t>
                  </w:r>
                </w:p>
              </w:tc>
              <w:tc>
                <w:tcPr>
                  <w:tcW w:w="4576" w:type="dxa"/>
                  <w:noWrap w:val="0"/>
                  <w:vAlign w:val="center"/>
                </w:tcPr>
                <w:p>
                  <w:pPr>
                    <w:pStyle w:val="54"/>
                    <w:rPr>
                      <w:color w:val="auto"/>
                    </w:rPr>
                  </w:pPr>
                  <w:r>
                    <w:rPr>
                      <w:color w:val="auto"/>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3</w:t>
                  </w:r>
                </w:p>
              </w:tc>
              <w:tc>
                <w:tcPr>
                  <w:tcW w:w="3650" w:type="dxa"/>
                  <w:noWrap w:val="0"/>
                  <w:vAlign w:val="center"/>
                </w:tcPr>
                <w:p>
                  <w:pPr>
                    <w:pStyle w:val="54"/>
                    <w:rPr>
                      <w:color w:val="auto"/>
                    </w:rPr>
                  </w:pPr>
                  <w:r>
                    <w:rPr>
                      <w:color w:val="auto"/>
                    </w:rPr>
                    <w:t>五日生化需氧量≤</w:t>
                  </w:r>
                </w:p>
              </w:tc>
              <w:tc>
                <w:tcPr>
                  <w:tcW w:w="4576" w:type="dxa"/>
                  <w:noWrap w:val="0"/>
                  <w:vAlign w:val="center"/>
                </w:tcPr>
                <w:p>
                  <w:pPr>
                    <w:pStyle w:val="54"/>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17" w:type="dxa"/>
                  <w:noWrap w:val="0"/>
                  <w:vAlign w:val="center"/>
                </w:tcPr>
                <w:p>
                  <w:pPr>
                    <w:pStyle w:val="54"/>
                    <w:rPr>
                      <w:rFonts w:hint="eastAsia"/>
                      <w:color w:val="auto"/>
                    </w:rPr>
                  </w:pPr>
                  <w:r>
                    <w:rPr>
                      <w:rFonts w:hint="eastAsia"/>
                      <w:color w:val="auto"/>
                    </w:rPr>
                    <w:t>4</w:t>
                  </w:r>
                </w:p>
              </w:tc>
              <w:tc>
                <w:tcPr>
                  <w:tcW w:w="3650" w:type="dxa"/>
                  <w:noWrap w:val="0"/>
                  <w:vAlign w:val="center"/>
                </w:tcPr>
                <w:p>
                  <w:pPr>
                    <w:pStyle w:val="54"/>
                    <w:rPr>
                      <w:color w:val="auto"/>
                    </w:rPr>
                  </w:pPr>
                  <w:r>
                    <w:rPr>
                      <w:color w:val="auto"/>
                    </w:rPr>
                    <w:t>悬浮物≤</w:t>
                  </w:r>
                </w:p>
              </w:tc>
              <w:tc>
                <w:tcPr>
                  <w:tcW w:w="4576" w:type="dxa"/>
                  <w:noWrap w:val="0"/>
                  <w:vAlign w:val="center"/>
                </w:tcPr>
                <w:p>
                  <w:pPr>
                    <w:pStyle w:val="54"/>
                    <w:rPr>
                      <w:color w:val="auto"/>
                    </w:rPr>
                  </w:pPr>
                  <w:r>
                    <w:rPr>
                      <w:color w:val="auto"/>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4"/>
                    <w:rPr>
                      <w:color w:val="auto"/>
                    </w:rPr>
                  </w:pPr>
                  <w:r>
                    <w:rPr>
                      <w:color w:val="auto"/>
                    </w:rPr>
                    <w:t>5</w:t>
                  </w:r>
                </w:p>
              </w:tc>
              <w:tc>
                <w:tcPr>
                  <w:tcW w:w="3650" w:type="dxa"/>
                  <w:noWrap w:val="0"/>
                  <w:vAlign w:val="center"/>
                </w:tcPr>
                <w:p>
                  <w:pPr>
                    <w:pStyle w:val="54"/>
                    <w:rPr>
                      <w:color w:val="auto"/>
                    </w:rPr>
                  </w:pPr>
                  <w:r>
                    <w:rPr>
                      <w:color w:val="auto"/>
                    </w:rPr>
                    <w:t>氨氮≤</w:t>
                  </w:r>
                </w:p>
              </w:tc>
              <w:tc>
                <w:tcPr>
                  <w:tcW w:w="4576" w:type="dxa"/>
                  <w:noWrap w:val="0"/>
                  <w:vAlign w:val="center"/>
                </w:tcPr>
                <w:p>
                  <w:pPr>
                    <w:pStyle w:val="54"/>
                    <w:rPr>
                      <w:color w:val="auto"/>
                    </w:rPr>
                  </w:pPr>
                  <w:r>
                    <w:rPr>
                      <w:color w:val="auto"/>
                    </w:rPr>
                    <w:t>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117" w:type="dxa"/>
                  <w:noWrap w:val="0"/>
                  <w:vAlign w:val="center"/>
                </w:tcPr>
                <w:p>
                  <w:pPr>
                    <w:pStyle w:val="54"/>
                    <w:rPr>
                      <w:rFonts w:hint="eastAsia" w:eastAsia="宋体"/>
                      <w:color w:val="auto"/>
                      <w:lang w:val="en-US" w:eastAsia="zh-CN"/>
                    </w:rPr>
                  </w:pPr>
                  <w:r>
                    <w:rPr>
                      <w:rFonts w:hint="eastAsia"/>
                      <w:color w:val="auto"/>
                      <w:lang w:val="en-US" w:eastAsia="zh-CN"/>
                    </w:rPr>
                    <w:t>6</w:t>
                  </w:r>
                </w:p>
              </w:tc>
              <w:tc>
                <w:tcPr>
                  <w:tcW w:w="3650" w:type="dxa"/>
                  <w:noWrap w:val="0"/>
                  <w:vAlign w:val="center"/>
                </w:tcPr>
                <w:p>
                  <w:pPr>
                    <w:pStyle w:val="54"/>
                    <w:rPr>
                      <w:rFonts w:hint="eastAsia" w:eastAsia="宋体"/>
                      <w:color w:val="auto"/>
                      <w:lang w:val="en-US" w:eastAsia="zh-CN"/>
                    </w:rPr>
                  </w:pPr>
                  <w:r>
                    <w:rPr>
                      <w:rFonts w:hint="eastAsia"/>
                      <w:color w:val="auto"/>
                      <w:lang w:val="en-US" w:eastAsia="zh-CN"/>
                    </w:rPr>
                    <w:t>总磷</w:t>
                  </w:r>
                  <w:r>
                    <w:rPr>
                      <w:color w:val="auto"/>
                    </w:rPr>
                    <w:t>≤</w:t>
                  </w:r>
                </w:p>
              </w:tc>
              <w:tc>
                <w:tcPr>
                  <w:tcW w:w="4576" w:type="dxa"/>
                  <w:noWrap w:val="0"/>
                  <w:vAlign w:val="center"/>
                </w:tcPr>
                <w:p>
                  <w:pPr>
                    <w:pStyle w:val="54"/>
                    <w:rPr>
                      <w:rFonts w:hint="default" w:eastAsia="宋体"/>
                      <w:color w:val="auto"/>
                      <w:lang w:val="en-US" w:eastAsia="zh-CN"/>
                    </w:rPr>
                  </w:pPr>
                  <w:r>
                    <w:rPr>
                      <w:rFonts w:hint="eastAsia"/>
                      <w:color w:val="auto"/>
                      <w:lang w:val="en-US" w:eastAsia="zh-CN"/>
                    </w:rPr>
                    <w:t>0.5</w:t>
                  </w:r>
                </w:p>
              </w:tc>
            </w:tr>
          </w:tbl>
          <w:p>
            <w:pPr>
              <w:pStyle w:val="9"/>
              <w:keepNext w:val="0"/>
              <w:keepLines w:val="0"/>
              <w:pageBreakBefore w:val="0"/>
              <w:widowControl w:val="0"/>
              <w:kinsoku/>
              <w:wordWrap/>
              <w:overflowPunct/>
              <w:topLinePunct w:val="0"/>
              <w:autoSpaceDE/>
              <w:autoSpaceDN/>
              <w:bidi w:val="0"/>
              <w:adjustRightInd w:val="0"/>
              <w:snapToGrid w:val="0"/>
              <w:spacing w:before="157" w:beforeLines="50"/>
              <w:ind w:left="0" w:leftChars="0" w:firstLine="0" w:firstLineChars="0"/>
              <w:jc w:val="both"/>
              <w:textAlignment w:val="auto"/>
              <w:rPr>
                <w:b/>
                <w:color w:val="auto"/>
                <w:sz w:val="24"/>
              </w:rPr>
            </w:pPr>
            <w:r>
              <w:rPr>
                <w:b/>
                <w:color w:val="auto"/>
                <w:sz w:val="24"/>
              </w:rPr>
              <w:t>3、噪声</w:t>
            </w:r>
          </w:p>
          <w:p>
            <w:pPr>
              <w:spacing w:line="360" w:lineRule="auto"/>
              <w:ind w:firstLine="480" w:firstLineChars="200"/>
              <w:rPr>
                <w:rFonts w:hint="eastAsia"/>
                <w:color w:val="auto"/>
                <w:sz w:val="24"/>
              </w:rPr>
            </w:pPr>
            <w:r>
              <w:rPr>
                <w:rFonts w:hint="eastAsia"/>
                <w:color w:val="auto"/>
                <w:sz w:val="24"/>
              </w:rPr>
              <w:t>营运期厂界噪声执行《工业企业厂界环境噪声排放标准》（GB12348-2008）中</w:t>
            </w:r>
            <w:r>
              <w:rPr>
                <w:rFonts w:hint="eastAsia"/>
                <w:color w:val="auto"/>
                <w:sz w:val="24"/>
                <w:lang w:val="en-US" w:eastAsia="zh-CN"/>
              </w:rPr>
              <w:t>2</w:t>
            </w:r>
            <w:r>
              <w:rPr>
                <w:rFonts w:hint="eastAsia"/>
                <w:color w:val="auto"/>
                <w:sz w:val="24"/>
              </w:rPr>
              <w:t>类标准。</w:t>
            </w:r>
          </w:p>
          <w:p>
            <w:pPr>
              <w:pStyle w:val="3"/>
              <w:spacing w:after="0"/>
              <w:jc w:val="center"/>
              <w:rPr>
                <w:rFonts w:hint="default" w:ascii="Times New Roman" w:hAnsi="Times New Roman" w:eastAsia="宋体" w:cs="Times New Roman"/>
                <w:b/>
                <w:color w:val="auto"/>
                <w:szCs w:val="21"/>
                <w:u w:val="none"/>
                <w:lang w:eastAsia="zh-CN"/>
              </w:rPr>
            </w:pPr>
            <w:bookmarkStart w:id="15" w:name="_Toc501572804"/>
            <w:bookmarkStart w:id="16" w:name="_Toc191884053"/>
            <w:r>
              <w:rPr>
                <w:rFonts w:hint="eastAsia" w:ascii="Times New Roman" w:hAnsi="Times New Roman" w:eastAsia="宋体" w:cs="Times New Roman"/>
                <w:b/>
                <w:color w:val="auto"/>
                <w:szCs w:val="21"/>
                <w:u w:val="none"/>
                <w:lang w:val="en-US" w:eastAsia="zh-CN"/>
              </w:rPr>
              <w:t>表3-</w:t>
            </w:r>
            <w:r>
              <w:rPr>
                <w:rFonts w:hint="eastAsia" w:cs="Times New Roman"/>
                <w:b/>
                <w:color w:val="auto"/>
                <w:szCs w:val="21"/>
                <w:u w:val="none"/>
                <w:lang w:val="en-US" w:eastAsia="zh-CN"/>
              </w:rPr>
              <w:t>10</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工业企业厂界环境噪声排放标准</w:t>
            </w:r>
            <w:r>
              <w:rPr>
                <w:rFonts w:hint="eastAsia" w:ascii="Times New Roman" w:hAnsi="Times New Roman" w:eastAsia="宋体" w:cs="Times New Roman"/>
                <w:b/>
                <w:color w:val="auto"/>
                <w:szCs w:val="21"/>
                <w:u w:val="none"/>
                <w:lang w:val="en-US" w:eastAsia="zh-CN"/>
              </w:rPr>
              <w:t>3</w:t>
            </w:r>
            <w:r>
              <w:rPr>
                <w:rFonts w:hint="default" w:ascii="Times New Roman" w:hAnsi="Times New Roman" w:eastAsia="宋体" w:cs="Times New Roman"/>
                <w:b/>
                <w:color w:val="auto"/>
                <w:szCs w:val="21"/>
                <w:u w:val="none"/>
              </w:rPr>
              <w:t>类标准</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单位：dB</w:t>
            </w:r>
            <w:r>
              <w:rPr>
                <w:rFonts w:hint="default" w:ascii="Times New Roman" w:hAnsi="Times New Roman" w:eastAsia="宋体" w:cs="Times New Roman"/>
                <w:b/>
                <w:color w:val="auto"/>
                <w:szCs w:val="21"/>
                <w:u w:val="none"/>
                <w:lang w:eastAsia="zh-CN"/>
              </w:rPr>
              <w:t>（</w:t>
            </w:r>
            <w:r>
              <w:rPr>
                <w:rFonts w:hint="default" w:ascii="Times New Roman" w:hAnsi="Times New Roman" w:eastAsia="宋体" w:cs="Times New Roman"/>
                <w:b/>
                <w:color w:val="auto"/>
                <w:szCs w:val="21"/>
                <w:u w:val="none"/>
              </w:rPr>
              <w:t>A</w:t>
            </w:r>
            <w:r>
              <w:rPr>
                <w:rFonts w:hint="default" w:ascii="Times New Roman" w:hAnsi="Times New Roman" w:eastAsia="宋体" w:cs="Times New Roman"/>
                <w:b/>
                <w:color w:val="auto"/>
                <w:szCs w:val="21"/>
                <w:u w:val="none"/>
                <w:lang w:eastAsia="zh-CN"/>
              </w:rPr>
              <w:t>）</w:t>
            </w:r>
          </w:p>
          <w:bookmarkEnd w:id="15"/>
          <w:bookmarkEnd w:id="16"/>
          <w:tbl>
            <w:tblPr>
              <w:tblStyle w:val="22"/>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7"/>
              <w:gridCol w:w="949"/>
              <w:gridCol w:w="2222"/>
              <w:gridCol w:w="39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时期</w:t>
                  </w:r>
                </w:p>
              </w:tc>
              <w:tc>
                <w:tcPr>
                  <w:tcW w:w="58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类别</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标准值</w:t>
                  </w:r>
                </w:p>
              </w:tc>
              <w:tc>
                <w:tcPr>
                  <w:tcW w:w="2442" w:type="pct"/>
                  <w:tcBorders>
                    <w:tl2br w:val="nil"/>
                    <w:tr2bl w:val="nil"/>
                  </w:tcBorders>
                  <w:noWrap w:val="0"/>
                  <w:vAlign w:val="center"/>
                </w:tcPr>
                <w:p>
                  <w:pPr>
                    <w:tabs>
                      <w:tab w:val="left" w:pos="1170"/>
                    </w:tabs>
                    <w:adjustRightInd w:val="0"/>
                    <w:snapToGrid w:val="0"/>
                    <w:jc w:val="center"/>
                    <w:rPr>
                      <w:rFonts w:ascii="Times New Roman" w:hAnsi="Times New Roman" w:cs="Times New Roman"/>
                      <w:b/>
                      <w:bCs/>
                      <w:color w:val="auto"/>
                      <w:sz w:val="21"/>
                      <w:szCs w:val="21"/>
                    </w:rPr>
                  </w:pPr>
                  <w:r>
                    <w:rPr>
                      <w:rFonts w:ascii="Times New Roman" w:hAnsi="Times New Roman" w:cs="Times New Roman"/>
                      <w:b/>
                      <w:bCs/>
                      <w:color w:val="auto"/>
                      <w:sz w:val="21"/>
                      <w:szCs w:val="21"/>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运营期</w:t>
                  </w:r>
                </w:p>
              </w:tc>
              <w:tc>
                <w:tcPr>
                  <w:tcW w:w="589" w:type="pct"/>
                  <w:vMerge w:val="restart"/>
                  <w:tcBorders>
                    <w:tl2br w:val="nil"/>
                    <w:tr2bl w:val="nil"/>
                  </w:tcBorders>
                  <w:noWrap w:val="0"/>
                  <w:vAlign w:val="center"/>
                </w:tcPr>
                <w:p>
                  <w:pPr>
                    <w:tabs>
                      <w:tab w:val="left" w:pos="1170"/>
                    </w:tabs>
                    <w:adjustRightInd w:val="0"/>
                    <w:snapToGri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2</w:t>
                  </w:r>
                  <w:r>
                    <w:rPr>
                      <w:rFonts w:ascii="Times New Roman" w:hAnsi="Times New Roman" w:cs="Times New Roman"/>
                      <w:color w:val="auto"/>
                      <w:sz w:val="21"/>
                      <w:szCs w:val="21"/>
                    </w:rPr>
                    <w:t>类</w:t>
                  </w: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昼间≤6</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restar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《工业企业厂界环境噪声排放标准》（GB12348-2008）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8"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589"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c>
                <w:tcPr>
                  <w:tcW w:w="1379" w:type="pct"/>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r>
                    <w:rPr>
                      <w:rFonts w:ascii="Times New Roman" w:hAnsi="Times New Roman" w:cs="Times New Roman"/>
                      <w:color w:val="auto"/>
                      <w:sz w:val="21"/>
                      <w:szCs w:val="21"/>
                    </w:rPr>
                    <w:t>夜间≤5</w:t>
                  </w:r>
                  <w:r>
                    <w:rPr>
                      <w:rFonts w:hint="eastAsia" w:cs="Times New Roman"/>
                      <w:color w:val="auto"/>
                      <w:sz w:val="21"/>
                      <w:szCs w:val="21"/>
                      <w:lang w:val="en-US" w:eastAsia="zh-CN"/>
                    </w:rPr>
                    <w:t>0</w:t>
                  </w:r>
                  <w:r>
                    <w:rPr>
                      <w:rFonts w:ascii="Times New Roman" w:hAnsi="Times New Roman" w:cs="Times New Roman"/>
                      <w:color w:val="auto"/>
                      <w:sz w:val="21"/>
                      <w:szCs w:val="21"/>
                    </w:rPr>
                    <w:t>dB(A)</w:t>
                  </w:r>
                </w:p>
              </w:tc>
              <w:tc>
                <w:tcPr>
                  <w:tcW w:w="2442" w:type="pct"/>
                  <w:vMerge w:val="continue"/>
                  <w:tcBorders>
                    <w:tl2br w:val="nil"/>
                    <w:tr2bl w:val="nil"/>
                  </w:tcBorders>
                  <w:noWrap w:val="0"/>
                  <w:vAlign w:val="center"/>
                </w:tcPr>
                <w:p>
                  <w:pPr>
                    <w:tabs>
                      <w:tab w:val="left" w:pos="1170"/>
                    </w:tabs>
                    <w:adjustRightInd w:val="0"/>
                    <w:snapToGrid w:val="0"/>
                    <w:jc w:val="center"/>
                    <w:rPr>
                      <w:rFonts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b/>
                <w:bCs/>
                <w:color w:val="auto"/>
                <w:sz w:val="24"/>
              </w:rPr>
            </w:pPr>
            <w:r>
              <w:rPr>
                <w:rFonts w:hint="eastAsia"/>
                <w:b/>
                <w:bCs/>
                <w:color w:val="auto"/>
                <w:sz w:val="24"/>
              </w:rPr>
              <w:t>4、固废</w:t>
            </w:r>
          </w:p>
          <w:p>
            <w:pPr>
              <w:spacing w:line="360" w:lineRule="auto"/>
              <w:ind w:firstLine="480" w:firstLineChars="200"/>
              <w:rPr>
                <w:rFonts w:cs="宋体"/>
                <w:color w:val="auto"/>
                <w:kern w:val="0"/>
                <w:sz w:val="24"/>
                <w:szCs w:val="21"/>
              </w:rPr>
            </w:pPr>
            <w:r>
              <w:rPr>
                <w:rFonts w:hint="eastAsia"/>
                <w:color w:val="auto"/>
                <w:sz w:val="24"/>
              </w:rPr>
              <w:t>一般工业固体废物执行《一般工业固体废物贮存和填埋污染控制标准》（GB18599-2020）；危险废物执行《危险物贮存污染控制标准》 （GB18597</w:t>
            </w:r>
            <w:r>
              <w:rPr>
                <w:rFonts w:hint="eastAsia"/>
                <w:color w:val="auto"/>
                <w:sz w:val="24"/>
                <w:lang w:val="en-US" w:eastAsia="zh-CN"/>
              </w:rPr>
              <w:t xml:space="preserve"> </w:t>
            </w:r>
            <w:r>
              <w:rPr>
                <w:rFonts w:hint="eastAsia"/>
                <w:color w:val="auto"/>
                <w:sz w:val="24"/>
              </w:rPr>
              <w:t>-20</w:t>
            </w:r>
            <w:r>
              <w:rPr>
                <w:rFonts w:hint="eastAsia"/>
                <w:color w:val="auto"/>
                <w:sz w:val="24"/>
                <w:lang w:val="en-US" w:eastAsia="zh-CN"/>
              </w:rPr>
              <w:t>23</w:t>
            </w:r>
            <w:r>
              <w:rPr>
                <w:rFonts w:hint="eastAsia"/>
                <w:color w:val="auto"/>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1" w:type="dxa"/>
            <w:bottom w:w="0" w:type="dxa"/>
            <w:right w:w="51" w:type="dxa"/>
          </w:tblCellMar>
        </w:tblPrEx>
        <w:trPr>
          <w:trHeight w:val="3272" w:hRule="atLeast"/>
          <w:jc w:val="center"/>
        </w:trPr>
        <w:tc>
          <w:tcPr>
            <w:tcW w:w="800" w:type="dxa"/>
            <w:vAlign w:val="center"/>
          </w:tcPr>
          <w:p>
            <w:pPr>
              <w:adjustRightInd w:val="0"/>
              <w:snapToGrid w:val="0"/>
              <w:jc w:val="center"/>
              <w:rPr>
                <w:rFonts w:hint="eastAsia" w:eastAsia="宋体" w:cs="宋体"/>
                <w:color w:val="auto"/>
                <w:kern w:val="0"/>
                <w:sz w:val="24"/>
                <w:szCs w:val="21"/>
                <w:lang w:val="en-US" w:eastAsia="zh-CN"/>
              </w:rPr>
            </w:pPr>
            <w:r>
              <w:rPr>
                <w:rFonts w:hint="eastAsia" w:cs="宋体"/>
                <w:color w:val="auto"/>
                <w:kern w:val="0"/>
                <w:sz w:val="24"/>
                <w:szCs w:val="21"/>
                <w:lang w:val="en-US" w:eastAsia="zh-CN"/>
              </w:rPr>
              <w:t>其他</w:t>
            </w:r>
          </w:p>
        </w:tc>
        <w:tc>
          <w:tcPr>
            <w:tcW w:w="8190" w:type="dxa"/>
            <w:vAlign w:val="center"/>
          </w:tcPr>
          <w:p>
            <w:pPr>
              <w:adjustRightInd w:val="0"/>
              <w:snapToGrid w:val="0"/>
              <w:spacing w:line="360" w:lineRule="auto"/>
              <w:ind w:firstLine="480" w:firstLineChars="200"/>
              <w:jc w:val="left"/>
              <w:rPr>
                <w:rFonts w:cs="宋体"/>
                <w:color w:val="auto"/>
                <w:kern w:val="0"/>
                <w:sz w:val="24"/>
                <w:szCs w:val="21"/>
              </w:rPr>
            </w:pPr>
            <w:r>
              <w:rPr>
                <w:rFonts w:hint="eastAsia" w:eastAsia="宋体"/>
                <w:color w:val="auto"/>
                <w:sz w:val="24"/>
              </w:rPr>
              <w:t>根据国家对总量控制的要求，全省主要对SO</w:t>
            </w:r>
            <w:r>
              <w:rPr>
                <w:rFonts w:hint="eastAsia" w:eastAsia="宋体"/>
                <w:color w:val="auto"/>
                <w:sz w:val="24"/>
                <w:vertAlign w:val="subscript"/>
              </w:rPr>
              <w:t>2</w:t>
            </w:r>
            <w:r>
              <w:rPr>
                <w:rFonts w:hint="eastAsia" w:eastAsia="宋体"/>
                <w:color w:val="auto"/>
                <w:sz w:val="24"/>
              </w:rPr>
              <w:t>、NOx、COD、氨氮及</w:t>
            </w:r>
            <w:r>
              <w:rPr>
                <w:rFonts w:hint="eastAsia"/>
                <w:color w:val="auto"/>
                <w:sz w:val="24"/>
                <w:lang w:val="en-US" w:eastAsia="zh-CN"/>
              </w:rPr>
              <w:t>总磷</w:t>
            </w:r>
            <w:r>
              <w:rPr>
                <w:rFonts w:hint="eastAsia" w:eastAsia="宋体"/>
                <w:color w:val="auto"/>
                <w:sz w:val="24"/>
              </w:rPr>
              <w:t>实行总量控制。项目运营期间主要大气污染物为</w:t>
            </w:r>
            <w:r>
              <w:rPr>
                <w:rFonts w:hint="eastAsia"/>
                <w:color w:val="auto"/>
                <w:sz w:val="24"/>
                <w:lang w:val="en-US" w:eastAsia="zh-CN"/>
              </w:rPr>
              <w:t>油烟和恶臭</w:t>
            </w:r>
            <w:r>
              <w:rPr>
                <w:rFonts w:hint="eastAsia" w:eastAsia="宋体"/>
                <w:color w:val="auto"/>
                <w:sz w:val="24"/>
                <w:lang w:eastAsia="zh-CN"/>
              </w:rPr>
              <w:t>；</w:t>
            </w:r>
            <w:r>
              <w:rPr>
                <w:rFonts w:hint="eastAsia" w:eastAsia="宋体"/>
                <w:color w:val="auto"/>
                <w:sz w:val="24"/>
                <w:lang w:val="en-US" w:eastAsia="zh-CN"/>
              </w:rPr>
              <w:t>生活污水中总量</w:t>
            </w:r>
            <w:r>
              <w:rPr>
                <w:rFonts w:hint="eastAsia"/>
                <w:color w:val="auto"/>
                <w:sz w:val="24"/>
                <w:lang w:val="en-US" w:eastAsia="zh-CN"/>
              </w:rPr>
              <w:t>因子</w:t>
            </w:r>
            <w:r>
              <w:rPr>
                <w:rFonts w:hint="eastAsia" w:eastAsia="宋体"/>
                <w:color w:val="auto"/>
                <w:sz w:val="24"/>
              </w:rPr>
              <w:t>COD、氨氮</w:t>
            </w:r>
            <w:r>
              <w:rPr>
                <w:rFonts w:hint="eastAsia" w:eastAsia="宋体"/>
                <w:color w:val="auto"/>
                <w:sz w:val="24"/>
                <w:lang w:val="en-US" w:eastAsia="zh-CN"/>
              </w:rPr>
              <w:t>已纳入</w:t>
            </w:r>
            <w:r>
              <w:rPr>
                <w:rFonts w:hint="eastAsia"/>
                <w:color w:val="auto"/>
                <w:sz w:val="24"/>
                <w:lang w:val="en-US" w:eastAsia="zh-CN"/>
              </w:rPr>
              <w:t>下游污水处理</w:t>
            </w:r>
            <w:r>
              <w:rPr>
                <w:rFonts w:hint="eastAsia" w:eastAsia="宋体"/>
                <w:color w:val="auto"/>
                <w:sz w:val="24"/>
                <w:lang w:val="en-US" w:eastAsia="zh-CN"/>
              </w:rPr>
              <w:t>厂</w:t>
            </w:r>
            <w:r>
              <w:rPr>
                <w:rFonts w:hint="eastAsia" w:eastAsia="宋体"/>
                <w:color w:val="auto"/>
                <w:sz w:val="24"/>
              </w:rPr>
              <w:t>总量控制指标中，无需申请总量控制指标</w:t>
            </w:r>
            <w:r>
              <w:rPr>
                <w:rFonts w:hint="eastAsia" w:eastAsia="宋体"/>
                <w:color w:val="auto"/>
                <w:sz w:val="24"/>
                <w:lang w:eastAsia="zh-CN"/>
              </w:rPr>
              <w:t>。</w:t>
            </w:r>
            <w:r>
              <w:rPr>
                <w:rFonts w:hint="eastAsia" w:eastAsia="宋体"/>
                <w:color w:val="auto"/>
                <w:sz w:val="24"/>
              </w:rPr>
              <w:t>故</w:t>
            </w:r>
            <w:r>
              <w:rPr>
                <w:rFonts w:hint="eastAsia" w:eastAsia="宋体"/>
                <w:color w:val="auto"/>
                <w:sz w:val="24"/>
                <w:lang w:val="en-US" w:eastAsia="zh-CN"/>
              </w:rPr>
              <w:t>本</w:t>
            </w:r>
            <w:r>
              <w:rPr>
                <w:rFonts w:hint="eastAsia" w:eastAsia="宋体"/>
                <w:color w:val="auto"/>
                <w:sz w:val="24"/>
              </w:rPr>
              <w:t>项目</w:t>
            </w:r>
            <w:r>
              <w:rPr>
                <w:rFonts w:hint="eastAsia" w:eastAsia="宋体"/>
                <w:color w:val="auto"/>
                <w:sz w:val="24"/>
                <w:lang w:val="en-US" w:eastAsia="zh-CN"/>
              </w:rPr>
              <w:t>无需申请</w:t>
            </w:r>
            <w:r>
              <w:rPr>
                <w:rFonts w:hint="eastAsia" w:eastAsia="宋体"/>
                <w:color w:val="auto"/>
                <w:sz w:val="24"/>
              </w:rPr>
              <w:t>总量控制</w:t>
            </w:r>
            <w:r>
              <w:rPr>
                <w:rFonts w:hint="eastAsia" w:eastAsia="宋体"/>
                <w:color w:val="auto"/>
                <w:sz w:val="24"/>
                <w:lang w:val="en-US" w:eastAsia="zh-CN"/>
              </w:rPr>
              <w:t>指标</w:t>
            </w:r>
            <w:r>
              <w:rPr>
                <w:rFonts w:hint="eastAsia" w:eastAsia="宋体"/>
                <w:color w:val="auto"/>
                <w:sz w:val="24"/>
              </w:rPr>
              <w:t>。</w:t>
            </w:r>
          </w:p>
        </w:tc>
      </w:tr>
    </w:tbl>
    <w:p>
      <w:pPr>
        <w:pStyle w:val="19"/>
        <w:jc w:val="center"/>
        <w:outlineLvl w:val="0"/>
        <w:rPr>
          <w:rFonts w:hint="default" w:ascii="黑体" w:hAnsi="黑体" w:eastAsia="黑体"/>
          <w:snapToGrid w:val="0"/>
          <w:color w:val="auto"/>
          <w:sz w:val="30"/>
          <w:szCs w:val="30"/>
          <w:lang w:val="en-US" w:eastAsia="zh-CN"/>
        </w:rPr>
      </w:pPr>
      <w:r>
        <w:rPr>
          <w:rFonts w:ascii="黑体" w:hAnsi="黑体" w:eastAsia="黑体"/>
          <w:snapToGrid w:val="0"/>
          <w:color w:val="auto"/>
          <w:sz w:val="36"/>
          <w:szCs w:val="36"/>
        </w:rPr>
        <w:br w:type="page"/>
      </w:r>
      <w:bookmarkStart w:id="17" w:name="_Toc9330"/>
      <w:bookmarkStart w:id="18" w:name="_Toc14747"/>
      <w:r>
        <w:rPr>
          <w:rFonts w:hint="eastAsia" w:ascii="黑体" w:hAnsi="黑体" w:eastAsia="黑体"/>
          <w:snapToGrid w:val="0"/>
          <w:color w:val="auto"/>
          <w:sz w:val="30"/>
          <w:szCs w:val="30"/>
        </w:rPr>
        <w:t>四、</w:t>
      </w:r>
      <w:bookmarkEnd w:id="17"/>
      <w:r>
        <w:rPr>
          <w:rFonts w:hint="eastAsia" w:ascii="黑体" w:hAnsi="黑体" w:eastAsia="黑体"/>
          <w:snapToGrid w:val="0"/>
          <w:color w:val="auto"/>
          <w:sz w:val="30"/>
          <w:szCs w:val="30"/>
          <w:lang w:val="en-US" w:eastAsia="zh-CN"/>
        </w:rPr>
        <w:t>生态环境影响分析</w:t>
      </w:r>
      <w:bookmarkEnd w:id="18"/>
    </w:p>
    <w:tbl>
      <w:tblPr>
        <w:tblStyle w:val="22"/>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746" w:type="dxa"/>
            <w:tcMar>
              <w:left w:w="28" w:type="dxa"/>
              <w:right w:w="28" w:type="dxa"/>
            </w:tcMar>
            <w:vAlign w:val="center"/>
          </w:tcPr>
          <w:p>
            <w:pPr>
              <w:pStyle w:val="19"/>
              <w:adjustRightInd w:val="0"/>
              <w:snapToGrid w:val="0"/>
              <w:spacing w:before="0" w:beforeAutospacing="0" w:after="0" w:afterAutospacing="0"/>
              <w:jc w:val="center"/>
              <w:rPr>
                <w:rFonts w:cs="宋体"/>
                <w:color w:val="auto"/>
                <w:kern w:val="2"/>
                <w:szCs w:val="24"/>
              </w:rPr>
            </w:pPr>
            <w:r>
              <w:rPr>
                <w:rFonts w:hint="eastAsia" w:cs="宋体"/>
                <w:color w:val="auto"/>
                <w:kern w:val="2"/>
                <w:szCs w:val="24"/>
              </w:rPr>
              <w:t>施工</w:t>
            </w:r>
          </w:p>
          <w:p>
            <w:pPr>
              <w:pStyle w:val="19"/>
              <w:adjustRightInd w:val="0"/>
              <w:snapToGrid w:val="0"/>
              <w:spacing w:before="0" w:beforeAutospacing="0" w:after="0" w:afterAutospacing="0"/>
              <w:jc w:val="center"/>
              <w:rPr>
                <w:rFonts w:cs="宋体"/>
                <w:bCs/>
                <w:color w:val="auto"/>
                <w:kern w:val="2"/>
                <w:szCs w:val="24"/>
              </w:rPr>
            </w:pPr>
            <w:r>
              <w:rPr>
                <w:rFonts w:hint="eastAsia" w:cs="宋体"/>
                <w:color w:val="auto"/>
                <w:kern w:val="2"/>
                <w:szCs w:val="24"/>
              </w:rPr>
              <w:t>期</w:t>
            </w:r>
            <w:r>
              <w:rPr>
                <w:rFonts w:hint="eastAsia" w:cs="宋体"/>
                <w:color w:val="auto"/>
                <w:kern w:val="2"/>
                <w:szCs w:val="24"/>
                <w:lang w:val="en-US" w:eastAsia="zh-CN"/>
              </w:rPr>
              <w:t>生态环境影响分析</w:t>
            </w:r>
          </w:p>
        </w:tc>
        <w:tc>
          <w:tcPr>
            <w:tcW w:w="816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lang w:val="en-US" w:eastAsia="zh-CN"/>
              </w:rPr>
            </w:pPr>
            <w:r>
              <w:rPr>
                <w:rFonts w:hint="eastAsia" w:eastAsia="宋体"/>
                <w:color w:val="auto"/>
                <w:sz w:val="24"/>
                <w:lang w:val="en-US" w:eastAsia="zh-CN"/>
              </w:rPr>
              <w:t>本项目</w:t>
            </w:r>
            <w:r>
              <w:rPr>
                <w:rFonts w:hint="eastAsia"/>
                <w:color w:val="auto"/>
                <w:sz w:val="24"/>
                <w:lang w:val="en-US" w:eastAsia="zh-CN"/>
              </w:rPr>
              <w:t>已建成</w:t>
            </w:r>
            <w:r>
              <w:rPr>
                <w:rFonts w:hint="eastAsia" w:eastAsia="宋体"/>
                <w:color w:val="auto"/>
                <w:sz w:val="24"/>
                <w:lang w:val="en-US" w:eastAsia="zh-CN"/>
              </w:rPr>
              <w:t>，项目施工期</w:t>
            </w:r>
            <w:r>
              <w:rPr>
                <w:rFonts w:hint="eastAsia"/>
                <w:color w:val="auto"/>
                <w:sz w:val="24"/>
                <w:lang w:val="en-US" w:eastAsia="zh-CN"/>
              </w:rPr>
              <w:t>未</w:t>
            </w:r>
            <w:r>
              <w:rPr>
                <w:rFonts w:hint="eastAsia" w:eastAsia="宋体"/>
                <w:color w:val="auto"/>
                <w:sz w:val="24"/>
                <w:lang w:val="en-US" w:eastAsia="zh-CN"/>
              </w:rPr>
              <w:t>对周围</w:t>
            </w:r>
            <w:r>
              <w:rPr>
                <w:rFonts w:hint="eastAsia"/>
                <w:color w:val="auto"/>
                <w:sz w:val="24"/>
                <w:lang w:val="en-US" w:eastAsia="zh-CN"/>
              </w:rPr>
              <w:t>生态</w:t>
            </w:r>
            <w:r>
              <w:rPr>
                <w:rFonts w:hint="eastAsia" w:eastAsia="宋体"/>
                <w:color w:val="auto"/>
                <w:sz w:val="24"/>
                <w:lang w:val="en-US" w:eastAsia="zh-CN"/>
              </w:rPr>
              <w:t>环境产生明显影响，</w:t>
            </w:r>
            <w:r>
              <w:rPr>
                <w:rFonts w:hint="eastAsia"/>
                <w:color w:val="auto"/>
                <w:sz w:val="24"/>
                <w:lang w:val="en-US" w:eastAsia="zh-CN"/>
              </w:rPr>
              <w:t>无遗留污染存在。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color w:val="auto"/>
                <w:spacing w:val="-10"/>
                <w:sz w:val="24"/>
              </w:rPr>
            </w:pPr>
            <w:r>
              <w:rPr>
                <w:rFonts w:hint="eastAsia"/>
                <w:color w:val="auto"/>
                <w:sz w:val="24"/>
                <w:lang w:val="en-US" w:eastAsia="zh-CN"/>
              </w:rPr>
              <w:t>因项目为房地产业，属于生态影响类项目，施工期主要体现在对生态环境的影响，因此，</w:t>
            </w:r>
            <w:r>
              <w:rPr>
                <w:rFonts w:hint="eastAsia" w:eastAsia="宋体"/>
                <w:color w:val="auto"/>
                <w:sz w:val="24"/>
                <w:lang w:val="en-US" w:eastAsia="zh-CN"/>
              </w:rPr>
              <w:t>本次评价</w:t>
            </w:r>
            <w:r>
              <w:rPr>
                <w:rFonts w:hint="eastAsia"/>
                <w:color w:val="auto"/>
                <w:sz w:val="24"/>
                <w:lang w:val="en-US" w:eastAsia="zh-CN"/>
              </w:rPr>
              <w:t>仅对施工期的生态环境影响进行回顾性分析，具体详见生态环境影响专题报告</w:t>
            </w:r>
            <w:r>
              <w:rPr>
                <w:rFonts w:hint="eastAsia" w:eastAsia="宋体"/>
                <w:color w:val="auto"/>
                <w:sz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Mar>
              <w:left w:w="28" w:type="dxa"/>
              <w:right w:w="28" w:type="dxa"/>
            </w:tcMar>
            <w:vAlign w:val="center"/>
          </w:tcPr>
          <w:p>
            <w:pPr>
              <w:adjustRightInd w:val="0"/>
              <w:snapToGrid w:val="0"/>
              <w:jc w:val="center"/>
              <w:rPr>
                <w:rFonts w:ascii="宋体" w:hAnsi="宋体" w:cs="宋体"/>
                <w:bCs/>
                <w:color w:val="auto"/>
                <w:sz w:val="24"/>
              </w:rPr>
            </w:pPr>
            <w:r>
              <w:rPr>
                <w:rFonts w:hint="eastAsia" w:ascii="宋体" w:hAnsi="宋体" w:cs="宋体"/>
                <w:bCs/>
                <w:color w:val="auto"/>
                <w:sz w:val="24"/>
              </w:rPr>
              <w:t>运营</w:t>
            </w:r>
          </w:p>
          <w:p>
            <w:pPr>
              <w:adjustRightInd w:val="0"/>
              <w:snapToGrid w:val="0"/>
              <w:jc w:val="center"/>
              <w:rPr>
                <w:rFonts w:ascii="宋体" w:hAnsi="宋体" w:cs="宋体"/>
                <w:bCs/>
                <w:color w:val="auto"/>
                <w:sz w:val="24"/>
              </w:rPr>
            </w:pPr>
            <w:r>
              <w:rPr>
                <w:rFonts w:hint="eastAsia" w:ascii="宋体" w:hAnsi="宋体" w:cs="宋体"/>
                <w:bCs/>
                <w:color w:val="auto"/>
                <w:sz w:val="24"/>
              </w:rPr>
              <w:t>期</w:t>
            </w:r>
            <w:r>
              <w:rPr>
                <w:rFonts w:hint="eastAsia" w:ascii="宋体" w:hAnsi="宋体" w:cs="宋体"/>
                <w:bCs/>
                <w:color w:val="auto"/>
                <w:sz w:val="24"/>
                <w:lang w:val="en-US" w:eastAsia="zh-CN"/>
              </w:rPr>
              <w:t>生态环境影响分析</w:t>
            </w:r>
          </w:p>
        </w:tc>
        <w:tc>
          <w:tcPr>
            <w:tcW w:w="8162" w:type="dxa"/>
            <w:vAlign w:val="center"/>
          </w:tcPr>
          <w:p>
            <w:pPr>
              <w:numPr>
                <w:ilvl w:val="0"/>
                <w:numId w:val="0"/>
              </w:numPr>
              <w:adjustRightInd w:val="0"/>
              <w:snapToGrid w:val="0"/>
              <w:spacing w:line="360" w:lineRule="auto"/>
              <w:rPr>
                <w:rFonts w:hint="eastAsia" w:cs="宋体"/>
                <w:b/>
                <w:color w:val="auto"/>
                <w:spacing w:val="-10"/>
                <w:sz w:val="24"/>
                <w:szCs w:val="21"/>
                <w:lang w:val="en-US" w:eastAsia="zh-CN"/>
              </w:rPr>
            </w:pPr>
            <w:r>
              <w:rPr>
                <w:rFonts w:hint="eastAsia" w:cs="宋体"/>
                <w:b/>
                <w:color w:val="auto"/>
                <w:spacing w:val="-10"/>
                <w:sz w:val="24"/>
                <w:szCs w:val="21"/>
                <w:lang w:val="en-US" w:eastAsia="zh-CN"/>
              </w:rPr>
              <w:t>1、生态环境影响分析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项目运营期生态环境影响分析</w:t>
            </w:r>
            <w:r>
              <w:rPr>
                <w:rFonts w:hint="default" w:ascii="Times New Roman" w:hAnsi="Times New Roman" w:eastAsia="宋体" w:cs="Times New Roman"/>
                <w:color w:val="auto"/>
                <w:sz w:val="24"/>
                <w:lang w:val="en-US" w:eastAsia="zh-CN"/>
              </w:rPr>
              <w:t>详见</w:t>
            </w:r>
            <w:r>
              <w:rPr>
                <w:rFonts w:hint="eastAsia" w:ascii="Times New Roman" w:hAnsi="Times New Roman" w:eastAsia="宋体" w:cs="Times New Roman"/>
                <w:color w:val="auto"/>
                <w:sz w:val="24"/>
                <w:lang w:val="en-US" w:eastAsia="zh-CN"/>
              </w:rPr>
              <w:t>生态</w:t>
            </w:r>
            <w:r>
              <w:rPr>
                <w:rFonts w:hint="default" w:ascii="Times New Roman" w:hAnsi="Times New Roman" w:eastAsia="宋体" w:cs="Times New Roman"/>
                <w:color w:val="auto"/>
                <w:sz w:val="24"/>
                <w:lang w:val="en-US" w:eastAsia="zh-CN"/>
              </w:rPr>
              <w:t>环境影响</w:t>
            </w:r>
            <w:r>
              <w:rPr>
                <w:rFonts w:hint="eastAsia" w:ascii="Times New Roman" w:hAnsi="Times New Roman" w:eastAsia="宋体" w:cs="Times New Roman"/>
                <w:color w:val="auto"/>
                <w:sz w:val="24"/>
                <w:lang w:val="en-US" w:eastAsia="zh-CN"/>
              </w:rPr>
              <w:t>专项报告</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2、</w:t>
            </w:r>
            <w:r>
              <w:rPr>
                <w:rFonts w:hint="eastAsia" w:cs="宋体"/>
                <w:b/>
                <w:color w:val="auto"/>
                <w:spacing w:val="-10"/>
                <w:sz w:val="24"/>
                <w:szCs w:val="21"/>
              </w:rPr>
              <w:t>大气环境影响分析</w:t>
            </w:r>
          </w:p>
          <w:p>
            <w:pPr>
              <w:adjustRightInd w:val="0"/>
              <w:snapToGrid w:val="0"/>
              <w:spacing w:line="360" w:lineRule="auto"/>
              <w:ind w:firstLine="440" w:firstLineChars="200"/>
              <w:rPr>
                <w:rFonts w:hint="eastAsia" w:cs="宋体"/>
                <w:bCs/>
                <w:color w:val="auto"/>
                <w:spacing w:val="-10"/>
                <w:sz w:val="24"/>
                <w:szCs w:val="21"/>
              </w:rPr>
            </w:pPr>
            <w:r>
              <w:rPr>
                <w:rFonts w:hint="eastAsia" w:cs="宋体"/>
                <w:bCs/>
                <w:color w:val="auto"/>
                <w:spacing w:val="-10"/>
                <w:sz w:val="24"/>
                <w:szCs w:val="21"/>
              </w:rPr>
              <w:t>根据工程分析，拟建项目运营期间产生废气主要为油烟</w:t>
            </w:r>
            <w:r>
              <w:rPr>
                <w:rFonts w:hint="eastAsia" w:cs="宋体"/>
                <w:bCs/>
                <w:color w:val="auto"/>
                <w:spacing w:val="-10"/>
                <w:sz w:val="24"/>
                <w:szCs w:val="21"/>
                <w:lang w:eastAsia="zh-CN"/>
              </w:rPr>
              <w:t>、</w:t>
            </w:r>
            <w:r>
              <w:rPr>
                <w:rFonts w:hint="eastAsia" w:cs="宋体"/>
                <w:bCs/>
                <w:color w:val="auto"/>
                <w:spacing w:val="-10"/>
                <w:sz w:val="24"/>
                <w:szCs w:val="21"/>
                <w:lang w:val="en-US" w:eastAsia="zh-CN"/>
              </w:rPr>
              <w:t>汽车而尾气、垃圾桶恶臭等</w:t>
            </w:r>
            <w:r>
              <w:rPr>
                <w:rFonts w:hint="eastAsia" w:cs="宋体"/>
                <w:bCs/>
                <w:color w:val="auto"/>
                <w:spacing w:val="-10"/>
                <w:sz w:val="24"/>
                <w:szCs w:val="21"/>
              </w:rPr>
              <w:t>。</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rPr>
                <w:rFonts w:hint="eastAsia"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本项目为安置区，</w:t>
            </w:r>
            <w:r>
              <w:rPr>
                <w:rFonts w:hint="eastAsia" w:ascii="Times New Roman" w:hAnsi="Times New Roman" w:eastAsia="宋体" w:cs="宋体"/>
                <w:bCs/>
                <w:color w:val="auto"/>
                <w:spacing w:val="-10"/>
                <w:sz w:val="24"/>
                <w:szCs w:val="21"/>
                <w:lang w:eastAsia="zh-CN"/>
              </w:rPr>
              <w:t>设置有厨房</w:t>
            </w:r>
            <w:r>
              <w:rPr>
                <w:rFonts w:hint="eastAsia" w:ascii="Times New Roman" w:hAnsi="Times New Roman" w:eastAsia="宋体" w:cs="宋体"/>
                <w:bCs/>
                <w:color w:val="auto"/>
                <w:spacing w:val="-10"/>
                <w:sz w:val="24"/>
                <w:szCs w:val="21"/>
              </w:rPr>
              <w:t>，</w:t>
            </w:r>
            <w:r>
              <w:rPr>
                <w:rFonts w:hint="eastAsia" w:ascii="Times New Roman" w:hAnsi="Times New Roman" w:eastAsia="宋体" w:cs="宋体"/>
                <w:bCs/>
                <w:color w:val="auto"/>
                <w:spacing w:val="-10"/>
                <w:sz w:val="24"/>
                <w:szCs w:val="21"/>
                <w:lang w:eastAsia="zh-CN"/>
              </w:rPr>
              <w:t>由于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，经周边大气环境稀释后对周边环境影响较小。由于家庭用餐时间不统一，且油烟产生量较小，本次不定量进行分析。</w:t>
            </w:r>
          </w:p>
          <w:p>
            <w:pPr>
              <w:adjustRightInd w:val="0"/>
              <w:snapToGrid w:val="0"/>
              <w:spacing w:line="360" w:lineRule="auto"/>
              <w:ind w:firstLine="440" w:firstLineChars="200"/>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val="en-US" w:eastAsia="zh-CN"/>
              </w:rPr>
              <w:t>本项目安置区主要定位为团洲乡团北村团洲垸遭受严重洪涝灾害人员的住房安置，安置区内不得不引进大型餐饮企业，若需引进，需额外进行环评并设置符合要求油烟净化等环保设备。</w:t>
            </w:r>
          </w:p>
          <w:p>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pStyle w:val="9"/>
              <w:spacing w:line="360" w:lineRule="auto"/>
              <w:ind w:firstLine="480" w:firstLineChars="200"/>
              <w:rPr>
                <w:rFonts w:hint="eastAsia" w:ascii="Times New Roman" w:hAnsi="Times New Roman" w:eastAsia="宋体" w:cs="Times New Roman"/>
                <w:color w:val="auto"/>
                <w:kern w:val="2"/>
                <w:sz w:val="24"/>
                <w:szCs w:val="22"/>
                <w:lang w:val="en-US" w:eastAsia="zh-CN" w:bidi="ar-SA"/>
              </w:rPr>
            </w:pPr>
            <w:r>
              <w:rPr>
                <w:rFonts w:hint="default" w:ascii="Times New Roman" w:hAnsi="Times New Roman" w:eastAsia="宋体" w:cs="Times New Roman"/>
                <w:color w:val="auto"/>
                <w:sz w:val="24"/>
              </w:rPr>
              <w:t>本项目共设置机动停车位</w:t>
            </w:r>
            <w:r>
              <w:rPr>
                <w:rFonts w:hint="eastAsia" w:cs="Times New Roman"/>
                <w:color w:val="auto"/>
                <w:sz w:val="24"/>
                <w:lang w:val="en-US" w:eastAsia="zh-CN"/>
              </w:rPr>
              <w:t>508</w:t>
            </w:r>
            <w:r>
              <w:rPr>
                <w:rFonts w:hint="default" w:ascii="Times New Roman" w:hAnsi="Times New Roman" w:eastAsia="宋体" w:cs="Times New Roman"/>
                <w:color w:val="auto"/>
                <w:sz w:val="24"/>
              </w:rPr>
              <w:t>个，</w:t>
            </w:r>
            <w:r>
              <w:rPr>
                <w:rFonts w:hint="eastAsia" w:ascii="Times New Roman" w:hAnsi="Times New Roman" w:eastAsia="宋体" w:cs="Times New Roman"/>
                <w:color w:val="auto"/>
                <w:sz w:val="24"/>
                <w:lang w:eastAsia="zh-CN"/>
              </w:rPr>
              <w:t>均为地上停车</w:t>
            </w:r>
            <w:r>
              <w:rPr>
                <w:rFonts w:hint="eastAsia" w:ascii="Times New Roman" w:hAnsi="Times New Roman" w:eastAsia="宋体" w:cs="Times New Roman"/>
                <w:color w:val="auto"/>
                <w:kern w:val="2"/>
                <w:sz w:val="24"/>
                <w:szCs w:val="22"/>
                <w:lang w:val="en-US" w:eastAsia="zh-CN" w:bidi="ar-SA"/>
              </w:rPr>
              <w:t>位，污染源主要是汽车在启动过程中的怠速及慢速（5km/h）行驶时汽车产生的尾气。根据有关资料，停车场产生的主要污染物为汽车尾气中所含的CO、NO</w:t>
            </w:r>
            <w:r>
              <w:rPr>
                <w:rFonts w:hint="eastAsia" w:ascii="Times New Roman" w:hAnsi="Times New Roman" w:eastAsia="宋体" w:cs="Times New Roman"/>
                <w:color w:val="auto"/>
                <w:kern w:val="2"/>
                <w:sz w:val="24"/>
                <w:szCs w:val="22"/>
                <w:vertAlign w:val="subscript"/>
                <w:lang w:val="en-US" w:eastAsia="zh-CN" w:bidi="ar-SA"/>
              </w:rPr>
              <w:t>X</w:t>
            </w:r>
            <w:r>
              <w:rPr>
                <w:rFonts w:hint="eastAsia" w:ascii="Times New Roman" w:hAnsi="Times New Roman" w:eastAsia="宋体" w:cs="Times New Roman"/>
                <w:color w:val="auto"/>
                <w:kern w:val="2"/>
                <w:sz w:val="24"/>
                <w:szCs w:val="22"/>
                <w:lang w:val="en-US" w:eastAsia="zh-CN" w:bidi="ar-SA"/>
              </w:rPr>
              <w:t>及HC，汽车尾气主要污染因子及排放的浓度范围参见表4-1。</w:t>
            </w:r>
          </w:p>
          <w:p>
            <w:pPr>
              <w:ind w:firstLine="482" w:firstLineChars="200"/>
              <w:jc w:val="center"/>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表</w:t>
            </w:r>
            <w:r>
              <w:rPr>
                <w:rFonts w:hint="eastAsia" w:ascii="Times New Roman" w:hAnsi="Times New Roman" w:eastAsia="宋体" w:cs="Times New Roman"/>
                <w:b/>
                <w:bCs/>
                <w:color w:val="auto"/>
                <w:sz w:val="24"/>
                <w:szCs w:val="24"/>
                <w:lang w:val="en-US" w:eastAsia="zh-CN"/>
              </w:rPr>
              <w:t>4-1</w:t>
            </w:r>
            <w:r>
              <w:rPr>
                <w:rFonts w:hint="eastAsia" w:ascii="Times New Roman" w:hAnsi="Times New Roman" w:eastAsia="宋体" w:cs="Times New Roman"/>
                <w:b/>
                <w:bCs/>
                <w:color w:val="auto"/>
                <w:sz w:val="24"/>
                <w:szCs w:val="24"/>
              </w:rPr>
              <w:t xml:space="preserve"> 汽车废气主要污染物浓度</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306"/>
              <w:gridCol w:w="2407"/>
              <w:gridCol w:w="24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污染物</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单位</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汽油车</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bCs w:val="0"/>
                      <w:color w:val="auto"/>
                    </w:rPr>
                  </w:pPr>
                  <w:r>
                    <w:rPr>
                      <w:rFonts w:hint="default" w:ascii="Times New Roman" w:hAnsi="Times New Roman" w:cs="Times New Roman"/>
                      <w:b/>
                      <w:bCs w:val="0"/>
                      <w:color w:val="auto"/>
                    </w:rPr>
                    <w:t>柴油车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CO</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3.8~6</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NO</w:t>
                  </w:r>
                  <w:r>
                    <w:rPr>
                      <w:rFonts w:hint="default" w:ascii="Times New Roman" w:hAnsi="Times New Roman" w:cs="Times New Roman"/>
                      <w:b w:val="0"/>
                      <w:bCs/>
                      <w:color w:val="auto"/>
                      <w:vertAlign w:val="subscript"/>
                    </w:rPr>
                    <w:t>2</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2000~5000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13"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HC</w:t>
                  </w:r>
                </w:p>
              </w:tc>
              <w:tc>
                <w:tcPr>
                  <w:tcW w:w="143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ppm</w:t>
                  </w:r>
                </w:p>
              </w:tc>
              <w:tc>
                <w:tcPr>
                  <w:tcW w:w="2670"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500~2500</w:t>
                  </w:r>
                </w:p>
              </w:tc>
              <w:tc>
                <w:tcPr>
                  <w:tcW w:w="2667" w:type="dxa"/>
                  <w:tcBorders>
                    <w:tl2br w:val="nil"/>
                    <w:tr2bl w:val="nil"/>
                  </w:tcBorders>
                  <w:noWrap w:val="0"/>
                  <w:vAlign w:val="center"/>
                </w:tcPr>
                <w:p>
                  <w:pPr>
                    <w:adjustRightInd w:val="0"/>
                    <w:snapToGrid w:val="0"/>
                    <w:spacing w:line="360" w:lineRule="exact"/>
                    <w:jc w:val="center"/>
                    <w:rPr>
                      <w:rFonts w:hint="default" w:ascii="Times New Roman" w:hAnsi="Times New Roman" w:cs="Times New Roman"/>
                      <w:b w:val="0"/>
                      <w:bCs/>
                      <w:color w:val="auto"/>
                    </w:rPr>
                  </w:pPr>
                  <w:r>
                    <w:rPr>
                      <w:rFonts w:hint="default" w:ascii="Times New Roman" w:hAnsi="Times New Roman" w:cs="Times New Roman"/>
                      <w:b w:val="0"/>
                      <w:bCs/>
                      <w:color w:val="auto"/>
                    </w:rPr>
                    <w:t>&lt;2500</w:t>
                  </w:r>
                </w:p>
              </w:tc>
            </w:tr>
          </w:tbl>
          <w:p>
            <w:pPr>
              <w:spacing w:line="360" w:lineRule="auto"/>
              <w:ind w:firstLine="480" w:firstLineChars="200"/>
              <w:rPr>
                <w:rFonts w:hint="eastAsia"/>
                <w:color w:val="auto"/>
                <w:sz w:val="24"/>
              </w:rPr>
            </w:pPr>
            <w:r>
              <w:rPr>
                <w:rFonts w:hint="eastAsia"/>
                <w:color w:val="auto"/>
                <w:sz w:val="24"/>
              </w:rPr>
              <w:t>本项目</w:t>
            </w:r>
            <w:r>
              <w:rPr>
                <w:rFonts w:hint="eastAsia"/>
                <w:color w:val="auto"/>
                <w:sz w:val="24"/>
                <w:lang w:val="en-US" w:eastAsia="zh-CN"/>
              </w:rPr>
              <w:t>地面</w:t>
            </w:r>
            <w:r>
              <w:rPr>
                <w:rFonts w:hint="eastAsia"/>
                <w:color w:val="auto"/>
                <w:sz w:val="24"/>
              </w:rPr>
              <w:t>不设置集中大型停车场，停车位分散布置在用房周边空地上，汽车尾气在地面直接扩散外排，属面源无组织排放。区域内没有高层建筑物，空气流通顺畅，有利于污染物的扩散，</w:t>
            </w:r>
            <w:r>
              <w:rPr>
                <w:rFonts w:hAnsi="宋体"/>
                <w:color w:val="auto"/>
                <w:sz w:val="24"/>
              </w:rPr>
              <w:t>不会发生富集现象</w:t>
            </w:r>
            <w:r>
              <w:rPr>
                <w:rFonts w:hint="eastAsia"/>
                <w:color w:val="auto"/>
                <w:sz w:val="24"/>
              </w:rPr>
              <w:t>；项目区内同时启动的车辆较少，启动时间较短，尾气产生量少；厂区加强绿化，种植一些对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color w:val="auto"/>
                <w:sz w:val="24"/>
              </w:rPr>
              <w:t>。因此，汽车尾气对区域环境影响较小，本环评不对其进行定量分析。</w:t>
            </w:r>
          </w:p>
          <w:p>
            <w:pPr>
              <w:spacing w:line="360" w:lineRule="auto"/>
              <w:ind w:firstLine="480" w:firstLineChars="200"/>
              <w:rPr>
                <w:rFonts w:hint="eastAsia"/>
                <w:color w:val="auto"/>
                <w:sz w:val="24"/>
              </w:rPr>
            </w:pPr>
            <w:r>
              <w:rPr>
                <w:rFonts w:hint="eastAsia"/>
                <w:color w:val="auto"/>
                <w:sz w:val="24"/>
                <w:lang w:val="en-US" w:eastAsia="zh-CN"/>
              </w:rPr>
              <w:t xml:space="preserve">地下车库汽车尾气，其主要污染物是 </w:t>
            </w:r>
            <w:r>
              <w:rPr>
                <w:rFonts w:hint="default"/>
                <w:color w:val="auto"/>
                <w:sz w:val="24"/>
                <w:lang w:val="en-US" w:eastAsia="zh-CN"/>
              </w:rPr>
              <w:t>CO</w:t>
            </w:r>
            <w:r>
              <w:rPr>
                <w:rFonts w:hint="eastAsia"/>
                <w:color w:val="auto"/>
                <w:sz w:val="24"/>
                <w:lang w:val="en-US" w:eastAsia="zh-CN"/>
              </w:rPr>
              <w:t>、</w:t>
            </w:r>
            <w:r>
              <w:rPr>
                <w:rFonts w:hint="default"/>
                <w:color w:val="auto"/>
                <w:sz w:val="24"/>
                <w:lang w:val="en-US" w:eastAsia="zh-CN"/>
              </w:rPr>
              <w:t xml:space="preserve">NOx </w:t>
            </w:r>
            <w:r>
              <w:rPr>
                <w:rFonts w:hint="eastAsia"/>
                <w:color w:val="auto"/>
                <w:sz w:val="24"/>
                <w:lang w:val="en-US" w:eastAsia="zh-CN"/>
              </w:rPr>
              <w:t xml:space="preserve">和 </w:t>
            </w:r>
            <w:r>
              <w:rPr>
                <w:rFonts w:hint="default"/>
                <w:color w:val="auto"/>
                <w:sz w:val="24"/>
                <w:lang w:val="en-US" w:eastAsia="zh-CN"/>
              </w:rPr>
              <w:t>HC(</w:t>
            </w:r>
            <w:r>
              <w:rPr>
                <w:rFonts w:hint="eastAsia"/>
                <w:color w:val="auto"/>
                <w:sz w:val="24"/>
                <w:lang w:val="en-US" w:eastAsia="zh-CN"/>
              </w:rPr>
              <w:t>碳氢化合物</w:t>
            </w:r>
            <w:r>
              <w:rPr>
                <w:rFonts w:hint="default"/>
                <w:color w:val="auto"/>
                <w:sz w:val="24"/>
                <w:lang w:val="en-US" w:eastAsia="zh-CN"/>
              </w:rPr>
              <w:t>)</w:t>
            </w:r>
            <w:r>
              <w:rPr>
                <w:rFonts w:hint="eastAsia"/>
                <w:color w:val="auto"/>
                <w:sz w:val="24"/>
                <w:lang w:val="en-US" w:eastAsia="zh-CN"/>
              </w:rPr>
              <w:t>。</w:t>
            </w:r>
            <w:r>
              <w:rPr>
                <w:rFonts w:hint="default"/>
                <w:color w:val="auto"/>
                <w:sz w:val="24"/>
                <w:lang w:val="en-US" w:eastAsia="zh-CN"/>
              </w:rPr>
              <w:t>CO</w:t>
            </w:r>
            <w:r>
              <w:rPr>
                <w:rFonts w:hint="eastAsia"/>
                <w:color w:val="auto"/>
                <w:sz w:val="24"/>
                <w:lang w:val="en-US" w:eastAsia="zh-CN"/>
              </w:rPr>
              <w:t>是汽油燃烧的产物；</w:t>
            </w:r>
            <w:r>
              <w:rPr>
                <w:rFonts w:hint="default"/>
                <w:color w:val="auto"/>
                <w:sz w:val="24"/>
                <w:lang w:val="en-US" w:eastAsia="zh-CN"/>
              </w:rPr>
              <w:t>NOx</w:t>
            </w:r>
            <w:r>
              <w:rPr>
                <w:rFonts w:hint="eastAsia"/>
                <w:color w:val="auto"/>
                <w:sz w:val="24"/>
                <w:lang w:val="en-US" w:eastAsia="zh-CN"/>
              </w:rPr>
              <w:t>是汽油燃烧时空气中的氮气与氧气化合而成的产物；</w:t>
            </w:r>
            <w:r>
              <w:rPr>
                <w:rFonts w:hint="default"/>
                <w:color w:val="auto"/>
                <w:sz w:val="24"/>
                <w:lang w:val="en-US" w:eastAsia="zh-CN"/>
              </w:rPr>
              <w:t>HC(</w:t>
            </w:r>
            <w:r>
              <w:rPr>
                <w:rFonts w:hint="eastAsia"/>
                <w:color w:val="auto"/>
                <w:sz w:val="24"/>
                <w:lang w:val="en-US" w:eastAsia="zh-CN"/>
              </w:rPr>
              <w:t>碳氢化合物</w:t>
            </w:r>
            <w:r>
              <w:rPr>
                <w:rFonts w:hint="default"/>
                <w:color w:val="auto"/>
                <w:sz w:val="24"/>
                <w:lang w:val="en-US" w:eastAsia="zh-CN"/>
              </w:rPr>
              <w:t>)</w:t>
            </w:r>
            <w:r>
              <w:rPr>
                <w:rFonts w:hint="eastAsia"/>
                <w:color w:val="auto"/>
                <w:sz w:val="24"/>
                <w:lang w:val="en-US" w:eastAsia="zh-CN"/>
              </w:rPr>
              <w:t xml:space="preserve">是汽油不完全燃烧的产物。汽车尾气产生量与车辆数量、汽车种类、行驶状态、空燃比等有关，加上电动汽车的推广与普及，汽车尾气产排量较难定量。 </w:t>
            </w:r>
          </w:p>
          <w:p>
            <w:pPr>
              <w:spacing w:line="360" w:lineRule="auto"/>
              <w:ind w:firstLine="480" w:firstLineChars="200"/>
              <w:rPr>
                <w:rFonts w:hint="default"/>
                <w:color w:val="auto"/>
                <w:sz w:val="24"/>
              </w:rPr>
            </w:pPr>
            <w:r>
              <w:rPr>
                <w:rFonts w:hint="eastAsia"/>
                <w:color w:val="auto"/>
                <w:sz w:val="24"/>
                <w:lang w:val="en-US" w:eastAsia="zh-CN"/>
              </w:rPr>
              <w:t>本项目地下车库设置机械排风，采用汽车坡道自然补风和补风风机共同补风，排风量按平均每小时换气</w:t>
            </w:r>
            <w:r>
              <w:rPr>
                <w:rFonts w:hint="default"/>
                <w:color w:val="auto"/>
                <w:sz w:val="24"/>
                <w:lang w:val="en-US" w:eastAsia="zh-CN"/>
              </w:rPr>
              <w:t>4</w:t>
            </w:r>
            <w:r>
              <w:rPr>
                <w:rFonts w:hint="eastAsia"/>
                <w:color w:val="auto"/>
                <w:sz w:val="24"/>
                <w:lang w:val="en-US" w:eastAsia="zh-CN"/>
              </w:rPr>
              <w:t>次计。地下车库设置与排风系统联动的</w:t>
            </w:r>
            <w:r>
              <w:rPr>
                <w:rFonts w:hint="default"/>
                <w:color w:val="auto"/>
                <w:sz w:val="24"/>
                <w:lang w:val="en-US" w:eastAsia="zh-CN"/>
              </w:rPr>
              <w:t xml:space="preserve">CO </w:t>
            </w:r>
            <w:r>
              <w:rPr>
                <w:rFonts w:hint="eastAsia"/>
                <w:color w:val="auto"/>
                <w:sz w:val="24"/>
                <w:lang w:val="en-US" w:eastAsia="zh-CN"/>
              </w:rPr>
              <w:t>浓度监测装置。经过通风换气后，汽车尾气不会在地下室内积聚；地下车库汽车尾气由机械排风装置引至</w:t>
            </w:r>
            <w:r>
              <w:rPr>
                <w:rFonts w:hint="default"/>
                <w:color w:val="auto"/>
                <w:sz w:val="24"/>
                <w:lang w:val="en-US" w:eastAsia="zh-CN"/>
              </w:rPr>
              <w:t>2.5m</w:t>
            </w:r>
            <w:r>
              <w:rPr>
                <w:rFonts w:hint="eastAsia"/>
                <w:color w:val="auto"/>
                <w:sz w:val="24"/>
                <w:lang w:val="en-US" w:eastAsia="zh-CN"/>
              </w:rPr>
              <w:t>近地排放口排放，经过大气扩散稀释及绿化吸收后，对周围环境影响不大。但仍建议加强通风，尤其在高峰期，排风设备必须全部开启，在此基础上，地下车库的汽车尾气对周围环境影响较小</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rPr>
                <w:rFonts w:hint="default" w:ascii="Times New Roman" w:hAnsi="宋体" w:eastAsia="宋体" w:cs="Times New Roman"/>
                <w:color w:val="auto"/>
                <w:sz w:val="24"/>
              </w:rPr>
            </w:pPr>
            <w:r>
              <w:rPr>
                <w:rFonts w:hint="default"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未</w:t>
            </w:r>
            <w:r>
              <w:rPr>
                <w:rFonts w:hint="eastAsia" w:ascii="Times New Roman" w:hAnsi="宋体" w:eastAsia="宋体" w:cs="Times New Roman"/>
                <w:color w:val="auto"/>
                <w:sz w:val="24"/>
                <w:lang w:eastAsia="zh-CN"/>
              </w:rPr>
              <w:t>设置</w:t>
            </w:r>
            <w:r>
              <w:rPr>
                <w:rFonts w:hint="default" w:ascii="Times New Roman" w:hAnsi="宋体" w:eastAsia="宋体" w:cs="Times New Roman"/>
                <w:color w:val="auto"/>
                <w:sz w:val="24"/>
              </w:rPr>
              <w:t>集中式垃圾站，</w:t>
            </w:r>
            <w:r>
              <w:rPr>
                <w:rFonts w:hint="eastAsia" w:ascii="Times New Roman" w:hAnsi="宋体" w:eastAsia="宋体" w:cs="Times New Roman"/>
                <w:color w:val="auto"/>
                <w:sz w:val="24"/>
                <w:lang w:val="en-US" w:eastAsia="zh-CN"/>
              </w:rPr>
              <w:t>仅有小型垃圾收集桶</w:t>
            </w:r>
            <w:r>
              <w:rPr>
                <w:rFonts w:hint="default" w:ascii="Times New Roman" w:hAnsi="宋体" w:eastAsia="宋体" w:cs="Times New Roman"/>
                <w:color w:val="auto"/>
                <w:sz w:val="24"/>
              </w:rPr>
              <w:t>，</w:t>
            </w:r>
            <w:r>
              <w:rPr>
                <w:rFonts w:hint="eastAsia" w:ascii="Times New Roman" w:hAnsi="宋体" w:eastAsia="宋体" w:cs="Times New Roman"/>
                <w:color w:val="auto"/>
                <w:sz w:val="24"/>
                <w:lang w:val="en-US" w:eastAsia="zh-CN"/>
              </w:rPr>
              <w:t>小型垃圾收集桶内</w:t>
            </w:r>
            <w:r>
              <w:rPr>
                <w:rFonts w:hint="default" w:ascii="Times New Roman" w:hAnsi="宋体" w:eastAsia="宋体" w:cs="Times New Roman"/>
                <w:color w:val="auto"/>
                <w:sz w:val="24"/>
              </w:rPr>
              <w:t>部分易腐败的有机垃圾由于其分解会发出异味，对环境的影响主要表现为恶臭，恶臭污染物根据国家标准，主要指一切刺激嗅觉器官引起人们不愉快及损害生活环境的气体物质。来自生活垃圾中的有机垃圾（变质腐烂蔬菜等）所产生的恶臭气体有两种来源；一种是垃圾成分中本身发出的异味，不是垃圾主要的恶臭来源。另一种是有机物腐败分解产生的恶臭气体，垃圾内含有 40～70%有机物，分为植物类（例如米饭、面食、瓜皮果壳和蔬菜烂叶、根等）和动物类（例如鱼、肉、骨头等），在微生物作用下的分解产生恶臭味是垃圾恶臭的主要来源，同时有机物腐败产生的恶臭程度与季节有很大的关系，在夏季气温较高时有机物极易腐败，此时从垃圾中散发的恶臭气体明显比冬季强烈。垃圾产生的臭气的成分和含量均较难确定，本环评对其源强作定性分析。据资料调查，臭气中主要成分为氨、硫化氢和甲硫醇、三甲胺等脂肪族类物质。</w:t>
            </w: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lang w:eastAsia="zh-CN"/>
              </w:rPr>
              <w:t>不进行定量分析</w:t>
            </w:r>
            <w:r>
              <w:rPr>
                <w:rFonts w:hint="eastAsia" w:ascii="Times New Roman" w:hAnsi="宋体" w:eastAsia="宋体" w:cs="Times New Roman"/>
                <w:color w:val="auto"/>
                <w:sz w:val="24"/>
              </w:rPr>
              <w:t>。</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53"/>
              <w:adjustRightInd w:val="0"/>
              <w:snapToGrid w:val="0"/>
              <w:spacing w:line="360" w:lineRule="auto"/>
              <w:ind w:firstLine="482"/>
              <w:rPr>
                <w:rFonts w:hint="eastAsia"/>
                <w:b/>
                <w:bCs/>
                <w:color w:val="auto"/>
                <w:sz w:val="24"/>
                <w:highlight w:val="none"/>
              </w:rPr>
            </w:pPr>
            <w:r>
              <w:rPr>
                <w:rFonts w:hint="eastAsia"/>
                <w:b/>
                <w:bCs/>
                <w:color w:val="auto"/>
                <w:sz w:val="24"/>
                <w:highlight w:val="none"/>
                <w:lang w:val="en-US" w:eastAsia="zh-CN"/>
              </w:rPr>
              <w:t>3.1</w:t>
            </w:r>
            <w:r>
              <w:rPr>
                <w:rFonts w:hint="eastAsia"/>
                <w:b/>
                <w:bCs/>
                <w:color w:val="auto"/>
                <w:sz w:val="24"/>
                <w:highlight w:val="none"/>
              </w:rPr>
              <w:t>废水污染源强分析</w:t>
            </w:r>
          </w:p>
          <w:p>
            <w:pPr>
              <w:pStyle w:val="61"/>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本项目无生产废水产</w:t>
            </w:r>
            <w:r>
              <w:rPr>
                <w:rFonts w:hint="eastAsia" w:ascii="Times New Roman" w:hAnsi="Times New Roman" w:eastAsia="宋体" w:cs="Times New Roman"/>
                <w:color w:val="auto"/>
                <w:highlight w:val="none"/>
              </w:rPr>
              <w:t>生，运营期废水主要为职工生活污水。</w:t>
            </w:r>
            <w:r>
              <w:rPr>
                <w:rFonts w:hint="eastAsia" w:ascii="Times New Roman" w:hAnsi="Times New Roman" w:eastAsia="宋体" w:cs="Times New Roman"/>
                <w:color w:val="auto"/>
                <w:highlight w:val="none"/>
                <w:lang w:val="en-US" w:eastAsia="zh-CN"/>
              </w:rPr>
              <w:t>根据</w:t>
            </w:r>
            <w:r>
              <w:rPr>
                <w:rFonts w:hint="eastAsia" w:cs="Times New Roman"/>
                <w:color w:val="auto"/>
                <w:highlight w:val="none"/>
                <w:lang w:val="en-US" w:eastAsia="zh-CN"/>
              </w:rPr>
              <w:t>前述</w:t>
            </w:r>
            <w:r>
              <w:rPr>
                <w:rFonts w:hint="eastAsia" w:ascii="Times New Roman" w:hAnsi="Times New Roman" w:eastAsia="宋体" w:cs="Times New Roman"/>
                <w:color w:val="auto"/>
                <w:highlight w:val="none"/>
                <w:lang w:val="en-US" w:eastAsia="zh-CN"/>
              </w:rPr>
              <w:t>计算，生活</w:t>
            </w:r>
            <w:r>
              <w:rPr>
                <w:rFonts w:hint="eastAsia" w:cs="Times New Roman"/>
                <w:color w:val="auto"/>
                <w:highlight w:val="none"/>
                <w:lang w:val="en-US" w:eastAsia="zh-CN"/>
              </w:rPr>
              <w:t>用水量为36500</w:t>
            </w:r>
            <w:r>
              <w:rPr>
                <w:rFonts w:hint="eastAsia" w:cs="宋体"/>
                <w:bCs/>
                <w:color w:val="auto"/>
                <w:sz w:val="24"/>
                <w:szCs w:val="21"/>
                <w:highlight w:val="none"/>
              </w:rPr>
              <w:t>t/</w:t>
            </w:r>
            <w:r>
              <w:rPr>
                <w:rFonts w:hint="eastAsia" w:cs="宋体"/>
                <w:bCs/>
                <w:color w:val="auto"/>
                <w:sz w:val="24"/>
                <w:szCs w:val="21"/>
                <w:highlight w:val="none"/>
                <w:lang w:val="en-US" w:eastAsia="zh-CN"/>
              </w:rPr>
              <w:t>a</w:t>
            </w:r>
            <w:r>
              <w:rPr>
                <w:rFonts w:hint="eastAsia" w:cs="Times New Roman"/>
                <w:color w:val="auto"/>
                <w:highlight w:val="none"/>
                <w:lang w:val="en-US" w:eastAsia="zh-CN"/>
              </w:rPr>
              <w:t>，产污率按80%计算，则</w:t>
            </w:r>
            <w:r>
              <w:rPr>
                <w:rFonts w:hint="eastAsia" w:ascii="Times New Roman" w:hAnsi="Times New Roman" w:eastAsia="宋体" w:cs="Times New Roman"/>
                <w:color w:val="auto"/>
                <w:highlight w:val="none"/>
                <w:lang w:val="en-US" w:eastAsia="zh-CN"/>
              </w:rPr>
              <w:t>污水排放量</w:t>
            </w:r>
            <w:r>
              <w:rPr>
                <w:rFonts w:hint="eastAsia" w:cs="Times New Roman"/>
                <w:color w:val="auto"/>
                <w:highlight w:val="none"/>
                <w:lang w:val="en-US" w:eastAsia="zh-CN"/>
              </w:rPr>
              <w:t>为29200</w:t>
            </w:r>
            <w:r>
              <w:rPr>
                <w:rFonts w:hint="eastAsia" w:cs="宋体"/>
                <w:bCs/>
                <w:color w:val="auto"/>
                <w:sz w:val="24"/>
                <w:szCs w:val="21"/>
                <w:highlight w:val="none"/>
              </w:rPr>
              <w:t>t/</w:t>
            </w:r>
            <w:r>
              <w:rPr>
                <w:rFonts w:hint="eastAsia" w:cs="宋体"/>
                <w:bCs/>
                <w:color w:val="auto"/>
                <w:sz w:val="24"/>
                <w:szCs w:val="21"/>
                <w:highlight w:val="none"/>
                <w:lang w:val="en-US" w:eastAsia="zh-CN"/>
              </w:rPr>
              <w:t>a，80</w:t>
            </w:r>
            <w:r>
              <w:rPr>
                <w:rFonts w:hint="eastAsia" w:cs="宋体"/>
                <w:bCs/>
                <w:color w:val="auto"/>
                <w:sz w:val="24"/>
                <w:szCs w:val="21"/>
                <w:highlight w:val="none"/>
              </w:rPr>
              <w:t>t/</w:t>
            </w:r>
            <w:r>
              <w:rPr>
                <w:rFonts w:hint="eastAsia" w:cs="宋体"/>
                <w:bCs/>
                <w:color w:val="auto"/>
                <w:sz w:val="24"/>
                <w:szCs w:val="21"/>
                <w:highlight w:val="none"/>
                <w:lang w:val="en-US" w:eastAsia="zh-CN"/>
              </w:rPr>
              <w:t>d</w:t>
            </w:r>
            <w:r>
              <w:rPr>
                <w:rFonts w:hint="eastAsia" w:cs="宋体"/>
                <w:bCs/>
                <w:color w:val="auto"/>
                <w:sz w:val="24"/>
                <w:szCs w:val="21"/>
                <w:highlight w:val="none"/>
              </w:rPr>
              <w:t>。</w:t>
            </w:r>
            <w:r>
              <w:rPr>
                <w:rFonts w:hint="eastAsia" w:ascii="Times New Roman" w:hAnsi="Times New Roman" w:eastAsia="宋体" w:cs="Times New Roman"/>
                <w:color w:val="auto"/>
                <w:highlight w:val="none"/>
              </w:rPr>
              <w:t>污染物浓度为</w:t>
            </w:r>
            <w:r>
              <w:rPr>
                <w:rFonts w:hint="default" w:ascii="Times New Roman" w:hAnsi="Times New Roman" w:eastAsia="宋体" w:cs="Times New Roman"/>
                <w:color w:val="auto"/>
                <w:highlight w:val="none"/>
              </w:rPr>
              <w:t>CO</w:t>
            </w:r>
            <w:r>
              <w:rPr>
                <w:rFonts w:hint="default" w:ascii="Times New Roman" w:hAnsi="Times New Roman" w:eastAsia="宋体" w:cs="Times New Roman"/>
                <w:color w:val="auto"/>
              </w:rPr>
              <w:t>D</w:t>
            </w:r>
            <w:r>
              <w:rPr>
                <w:rFonts w:hint="eastAsia" w:ascii="Times New Roman" w:hAnsi="Times New Roman" w:eastAsia="宋体" w:cs="Times New Roman"/>
                <w:color w:val="auto"/>
              </w:rPr>
              <w:t>为</w:t>
            </w:r>
            <w:r>
              <w:rPr>
                <w:rFonts w:hint="default" w:ascii="Times New Roman" w:hAnsi="Times New Roman" w:eastAsia="宋体" w:cs="Times New Roman"/>
                <w:color w:val="auto"/>
              </w:rPr>
              <w:t>350mg/L</w:t>
            </w:r>
            <w:r>
              <w:rPr>
                <w:rFonts w:hint="eastAsia" w:ascii="Times New Roman" w:hAnsi="Times New Roman" w:eastAsia="宋体" w:cs="Times New Roman"/>
                <w:color w:val="auto"/>
              </w:rPr>
              <w:t>、</w:t>
            </w:r>
            <w:r>
              <w:rPr>
                <w:rFonts w:hint="default" w:ascii="Times New Roman" w:hAnsi="Times New Roman" w:eastAsia="宋体" w:cs="Times New Roman"/>
                <w:color w:val="auto"/>
              </w:rPr>
              <w:t>BOD</w:t>
            </w:r>
            <w:r>
              <w:rPr>
                <w:rFonts w:hint="default" w:ascii="Times New Roman" w:hAnsi="Times New Roman" w:eastAsia="宋体" w:cs="Times New Roman"/>
                <w:color w:val="auto"/>
                <w:vertAlign w:val="subscript"/>
              </w:rPr>
              <w:t>5</w:t>
            </w:r>
            <w:r>
              <w:rPr>
                <w:rFonts w:hint="eastAsia" w:ascii="Times New Roman" w:hAnsi="Times New Roman" w:eastAsia="宋体" w:cs="Times New Roman"/>
                <w:color w:val="auto"/>
              </w:rPr>
              <w:t>为</w:t>
            </w:r>
            <w:r>
              <w:rPr>
                <w:rFonts w:hint="default" w:ascii="Times New Roman" w:hAnsi="Times New Roman" w:eastAsia="宋体" w:cs="Times New Roman"/>
                <w:color w:val="auto"/>
              </w:rPr>
              <w:t>200mg/L</w:t>
            </w:r>
            <w:r>
              <w:rPr>
                <w:rFonts w:hint="eastAsia" w:ascii="Times New Roman" w:hAnsi="Times New Roman" w:eastAsia="宋体" w:cs="Times New Roman"/>
                <w:color w:val="auto"/>
              </w:rPr>
              <w:t>、</w:t>
            </w:r>
            <w:r>
              <w:rPr>
                <w:rFonts w:hint="default" w:ascii="Times New Roman" w:hAnsi="Times New Roman" w:eastAsia="宋体" w:cs="Times New Roman"/>
                <w:color w:val="auto"/>
              </w:rPr>
              <w:t>SS</w:t>
            </w:r>
            <w:r>
              <w:rPr>
                <w:rFonts w:hint="eastAsia" w:ascii="Times New Roman" w:hAnsi="Times New Roman" w:eastAsia="宋体" w:cs="Times New Roman"/>
                <w:color w:val="auto"/>
              </w:rPr>
              <w:t>为</w:t>
            </w:r>
            <w:r>
              <w:rPr>
                <w:rFonts w:hint="default" w:ascii="Times New Roman" w:hAnsi="Times New Roman" w:eastAsia="宋体" w:cs="Times New Roman"/>
                <w:color w:val="auto"/>
              </w:rPr>
              <w:t>300mg/L</w:t>
            </w:r>
            <w:r>
              <w:rPr>
                <w:rFonts w:hint="eastAsia" w:ascii="Times New Roman" w:hAnsi="Times New Roman" w:eastAsia="宋体" w:cs="Times New Roman"/>
                <w:color w:val="auto"/>
              </w:rPr>
              <w:t>、</w:t>
            </w: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r>
              <w:rPr>
                <w:rFonts w:hint="eastAsia" w:ascii="Times New Roman" w:hAnsi="Times New Roman" w:eastAsia="宋体" w:cs="Times New Roman"/>
                <w:color w:val="auto"/>
              </w:rPr>
              <w:t>为</w:t>
            </w:r>
            <w:r>
              <w:rPr>
                <w:rFonts w:hint="default" w:ascii="Times New Roman" w:hAnsi="Times New Roman" w:eastAsia="宋体" w:cs="Times New Roman"/>
                <w:color w:val="auto"/>
              </w:rPr>
              <w:t>30mg/L</w:t>
            </w:r>
            <w:r>
              <w:rPr>
                <w:rFonts w:hint="eastAsia" w:cs="Times New Roman"/>
                <w:color w:val="auto"/>
                <w:lang w:eastAsia="zh-CN"/>
              </w:rPr>
              <w:t>、</w:t>
            </w:r>
            <w:r>
              <w:rPr>
                <w:rFonts w:hint="eastAsia" w:cs="Times New Roman"/>
                <w:color w:val="auto"/>
                <w:lang w:val="en-US" w:eastAsia="zh-CN"/>
              </w:rPr>
              <w:t>TP为10</w:t>
            </w:r>
            <w:r>
              <w:rPr>
                <w:rFonts w:hint="default" w:ascii="Times New Roman" w:hAnsi="Times New Roman" w:eastAsia="宋体" w:cs="Times New Roman"/>
                <w:color w:val="auto"/>
              </w:rPr>
              <w:t>mg/L</w:t>
            </w:r>
            <w:r>
              <w:rPr>
                <w:rFonts w:hint="eastAsia" w:ascii="Times New Roman" w:hAnsi="Times New Roman" w:eastAsia="宋体" w:cs="Times New Roman"/>
                <w:color w:val="auto"/>
              </w:rPr>
              <w:t>。</w:t>
            </w:r>
            <w:r>
              <w:rPr>
                <w:rFonts w:hint="eastAsia"/>
                <w:color w:val="auto"/>
                <w:spacing w:val="-3"/>
                <w:sz w:val="24"/>
                <w:szCs w:val="24"/>
              </w:rPr>
              <w:t>本项目生活污水经化粪池处理后达</w:t>
            </w:r>
            <w:r>
              <w:rPr>
                <w:rFonts w:hint="eastAsia"/>
                <w:color w:val="auto"/>
                <w:sz w:val="24"/>
                <w:lang w:val="en-US" w:eastAsia="zh-CN"/>
              </w:rPr>
              <w:t>到</w:t>
            </w:r>
            <w:r>
              <w:rPr>
                <w:color w:val="auto"/>
                <w:sz w:val="24"/>
                <w:lang w:val="en-US" w:eastAsia="zh-CN"/>
              </w:rPr>
              <w:t>华容县团洲乡团洲新村污水处理厂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w:t>
            </w:r>
            <w:r>
              <w:rPr>
                <w:color w:val="auto"/>
                <w:sz w:val="24"/>
                <w:lang w:val="en-US" w:eastAsia="zh-CN"/>
              </w:rPr>
              <w:t>华容县团洲乡团洲新村污水处理厂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color w:val="auto"/>
                <w:sz w:val="24"/>
                <w:lang w:val="en-US" w:eastAsia="zh-CN"/>
              </w:rPr>
              <w:t>回用于县区洒水降尘及绿化（若有多余部分可回用于周边农田）</w:t>
            </w:r>
            <w:r>
              <w:rPr>
                <w:rFonts w:hint="eastAsia"/>
                <w:color w:val="auto"/>
                <w:sz w:val="24"/>
                <w:szCs w:val="24"/>
                <w:lang w:eastAsia="zh-CN"/>
              </w:rPr>
              <w:t>，</w:t>
            </w:r>
            <w:r>
              <w:rPr>
                <w:rFonts w:hint="eastAsia"/>
                <w:color w:val="auto"/>
                <w:sz w:val="24"/>
                <w:szCs w:val="24"/>
                <w:lang w:val="en-US" w:eastAsia="zh-CN"/>
              </w:rPr>
              <w:t>不直接外排周边水体，对周边环境影响较小</w:t>
            </w:r>
            <w:r>
              <w:rPr>
                <w:rFonts w:hint="eastAsia"/>
                <w:color w:val="auto"/>
                <w:sz w:val="24"/>
                <w:szCs w:val="24"/>
              </w:rPr>
              <w:t>。</w:t>
            </w:r>
          </w:p>
          <w:p>
            <w:pPr>
              <w:adjustRightInd w:val="0"/>
              <w:snapToGrid w:val="0"/>
              <w:ind w:firstLine="442" w:firstLineChars="200"/>
              <w:jc w:val="center"/>
              <w:rPr>
                <w:rFonts w:hint="eastAsia" w:cs="宋体"/>
                <w:b/>
                <w:color w:val="auto"/>
                <w:spacing w:val="-10"/>
                <w:sz w:val="24"/>
                <w:szCs w:val="21"/>
                <w:highlight w:val="none"/>
              </w:rPr>
            </w:pPr>
            <w:r>
              <w:rPr>
                <w:rFonts w:hint="eastAsia" w:cs="宋体"/>
                <w:b/>
                <w:color w:val="auto"/>
                <w:spacing w:val="-10"/>
                <w:sz w:val="24"/>
                <w:szCs w:val="21"/>
                <w:highlight w:val="none"/>
              </w:rPr>
              <w:t>表</w:t>
            </w:r>
            <w:r>
              <w:rPr>
                <w:rFonts w:hint="eastAsia" w:cs="宋体"/>
                <w:b/>
                <w:color w:val="auto"/>
                <w:spacing w:val="-10"/>
                <w:sz w:val="24"/>
                <w:szCs w:val="21"/>
                <w:highlight w:val="none"/>
                <w:lang w:val="en-US" w:eastAsia="zh-CN"/>
              </w:rPr>
              <w:t>4-2</w:t>
            </w:r>
            <w:r>
              <w:rPr>
                <w:rFonts w:hint="default" w:cs="宋体"/>
                <w:b/>
                <w:color w:val="auto"/>
                <w:spacing w:val="-10"/>
                <w:sz w:val="24"/>
                <w:szCs w:val="21"/>
                <w:highlight w:val="none"/>
              </w:rPr>
              <w:tab/>
            </w:r>
            <w:r>
              <w:rPr>
                <w:rFonts w:hint="eastAsia" w:cs="宋体"/>
                <w:b/>
                <w:color w:val="auto"/>
                <w:spacing w:val="-10"/>
                <w:sz w:val="24"/>
                <w:szCs w:val="21"/>
                <w:highlight w:val="none"/>
                <w:lang w:val="en-US" w:eastAsia="zh-CN"/>
              </w:rPr>
              <w:t xml:space="preserve"> </w:t>
            </w:r>
            <w:r>
              <w:rPr>
                <w:rFonts w:hint="eastAsia" w:cs="宋体"/>
                <w:b/>
                <w:color w:val="auto"/>
                <w:spacing w:val="-10"/>
                <w:sz w:val="24"/>
                <w:szCs w:val="21"/>
                <w:highlight w:val="none"/>
              </w:rPr>
              <w:t>项目运营期废水污染物产生情况一览表</w:t>
            </w:r>
          </w:p>
          <w:tbl>
            <w:tblPr>
              <w:tblStyle w:val="22"/>
              <w:tblW w:w="79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73"/>
              <w:gridCol w:w="1116"/>
              <w:gridCol w:w="1258"/>
              <w:gridCol w:w="1257"/>
              <w:gridCol w:w="1258"/>
              <w:gridCol w:w="12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817"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项目</w:t>
                  </w:r>
                </w:p>
              </w:tc>
              <w:tc>
                <w:tcPr>
                  <w:tcW w:w="973"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污染因子</w:t>
                  </w:r>
                </w:p>
              </w:tc>
              <w:tc>
                <w:tcPr>
                  <w:tcW w:w="1116"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产生浓度</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产生量</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c>
                <w:tcPr>
                  <w:tcW w:w="1257"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处置措施</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排放浓度</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mg/L</w:t>
                  </w:r>
                  <w:r>
                    <w:rPr>
                      <w:rFonts w:hint="eastAsia" w:ascii="Times New Roman" w:hAnsi="Times New Roman" w:eastAsia="宋体" w:cs="Times New Roman"/>
                      <w:b/>
                      <w:bCs/>
                      <w:color w:val="auto"/>
                    </w:rPr>
                    <w:t>）</w:t>
                  </w:r>
                </w:p>
              </w:tc>
              <w:tc>
                <w:tcPr>
                  <w:tcW w:w="1258" w:type="dxa"/>
                  <w:tcBorders>
                    <w:tl2br w:val="nil"/>
                    <w:tr2bl w:val="nil"/>
                  </w:tcBorders>
                  <w:shd w:val="clear" w:color="auto" w:fill="F1F1F1"/>
                  <w:noWrap w:val="0"/>
                  <w:vAlign w:val="center"/>
                </w:tcPr>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排放量</w:t>
                  </w:r>
                </w:p>
                <w:p>
                  <w:pPr>
                    <w:pStyle w:val="5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w:t>
                  </w:r>
                  <w:r>
                    <w:rPr>
                      <w:rFonts w:hint="default" w:ascii="Times New Roman" w:hAnsi="Times New Roman" w:eastAsia="宋体" w:cs="Times New Roman"/>
                      <w:b/>
                      <w:bCs/>
                      <w:color w:val="auto"/>
                    </w:rPr>
                    <w:t>t/a</w:t>
                  </w:r>
                  <w:r>
                    <w:rPr>
                      <w:rFonts w:hint="eastAsia" w:ascii="Times New Roman" w:hAnsi="Times New Roman" w:eastAsia="宋体" w:cs="Times New Roman"/>
                      <w:b/>
                      <w:bCs/>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restart"/>
                  <w:tcBorders>
                    <w:tl2br w:val="nil"/>
                    <w:tr2bl w:val="nil"/>
                  </w:tcBorders>
                  <w:noWrap w:val="0"/>
                  <w:vAlign w:val="center"/>
                </w:tcPr>
                <w:p>
                  <w:pPr>
                    <w:pStyle w:val="5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生活污水</w:t>
                  </w:r>
                </w:p>
                <w:p>
                  <w:pPr>
                    <w:pStyle w:val="50"/>
                    <w:jc w:val="center"/>
                    <w:rPr>
                      <w:rFonts w:hint="default" w:ascii="Times New Roman" w:hAnsi="Times New Roman" w:eastAsia="宋体" w:cs="Times New Roman"/>
                      <w:color w:val="auto"/>
                    </w:rPr>
                  </w:pPr>
                  <w:r>
                    <w:rPr>
                      <w:rFonts w:hint="eastAsia" w:cs="Times New Roman"/>
                      <w:color w:val="auto"/>
                      <w:lang w:val="en-US" w:eastAsia="zh-CN"/>
                    </w:rPr>
                    <w:t>29200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/a</w:t>
                  </w: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COD</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10.220 </w:t>
                  </w:r>
                </w:p>
              </w:tc>
              <w:tc>
                <w:tcPr>
                  <w:tcW w:w="1257" w:type="dxa"/>
                  <w:vMerge w:val="restart"/>
                  <w:tcBorders>
                    <w:tl2br w:val="nil"/>
                    <w:tr2bl w:val="nil"/>
                  </w:tcBorders>
                  <w:noWrap w:val="0"/>
                  <w:vAlign w:val="center"/>
                </w:tcPr>
                <w:p>
                  <w:pPr>
                    <w:pStyle w:val="5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化粪池</w:t>
                  </w:r>
                  <w:r>
                    <w:rPr>
                      <w:rFonts w:hint="default" w:ascii="Times New Roman" w:hAnsi="Times New Roman" w:eastAsia="宋体" w:cs="Times New Roman"/>
                      <w:color w:val="auto"/>
                    </w:rPr>
                    <w:t>+</w:t>
                  </w:r>
                  <w:r>
                    <w:rPr>
                      <w:rFonts w:hint="eastAsia"/>
                      <w:color w:val="auto"/>
                    </w:rPr>
                    <w:t>城镇污水处理厂</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50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1.460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rPr>
                    <w:t>BOD</w:t>
                  </w:r>
                  <w:r>
                    <w:rPr>
                      <w:rFonts w:hint="eastAsia" w:ascii="Times New Roman" w:hAnsi="Times New Roman" w:eastAsia="宋体" w:cs="Times New Roman"/>
                      <w:color w:val="auto"/>
                      <w:vertAlign w:val="subscript"/>
                      <w:lang w:val="en-US" w:eastAsia="zh-CN"/>
                    </w:rPr>
                    <w:t>5</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200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5.840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0.292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30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0.876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8</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0.234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default" w:ascii="Times New Roman" w:hAnsi="Times New Roman" w:eastAsia="宋体" w:cs="Times New Roman"/>
                      <w:color w:val="auto"/>
                    </w:rPr>
                  </w:pPr>
                  <w:r>
                    <w:rPr>
                      <w:rFonts w:hint="default" w:ascii="Times New Roman" w:hAnsi="Times New Roman" w:eastAsia="宋体" w:cs="Times New Roman"/>
                      <w:color w:val="auto"/>
                    </w:rPr>
                    <w:t>SS</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eastAsia" w:cs="Times New Roman"/>
                      <w:b/>
                      <w:bCs/>
                      <w:i w:val="0"/>
                      <w:iCs w:val="0"/>
                      <w:color w:val="auto"/>
                      <w:kern w:val="0"/>
                      <w:sz w:val="21"/>
                      <w:szCs w:val="21"/>
                      <w:u w:val="none"/>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00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8.760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i w:val="0"/>
                      <w:iCs w:val="0"/>
                      <w:color w:val="auto"/>
                      <w:kern w:val="0"/>
                      <w:sz w:val="21"/>
                      <w:szCs w:val="21"/>
                      <w:u w:val="none"/>
                      <w:lang w:val="en-US" w:eastAsia="zh-CN" w:bidi="ar"/>
                    </w:rPr>
                    <w:t xml:space="preserve">0.292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81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973" w:type="dxa"/>
                  <w:tcBorders>
                    <w:tl2br w:val="nil"/>
                    <w:tr2bl w:val="nil"/>
                  </w:tcBorders>
                  <w:noWrap w:val="0"/>
                  <w:vAlign w:val="center"/>
                </w:tcPr>
                <w:p>
                  <w:pPr>
                    <w:pStyle w:val="50"/>
                    <w:jc w:val="center"/>
                    <w:rPr>
                      <w:rFonts w:hint="eastAsia" w:ascii="Times New Roman" w:hAnsi="Times New Roman" w:eastAsia="宋体" w:cs="Times New Roman"/>
                      <w:color w:val="auto"/>
                      <w:lang w:val="en-US" w:eastAsia="zh-CN"/>
                    </w:rPr>
                  </w:pPr>
                  <w:r>
                    <w:rPr>
                      <w:rFonts w:hint="eastAsia" w:cs="Times New Roman"/>
                      <w:color w:val="auto"/>
                      <w:lang w:val="en-US" w:eastAsia="zh-CN"/>
                    </w:rPr>
                    <w:t>TP</w:t>
                  </w:r>
                </w:p>
              </w:tc>
              <w:tc>
                <w:tcPr>
                  <w:tcW w:w="111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10</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0.292 </w:t>
                  </w:r>
                </w:p>
              </w:tc>
              <w:tc>
                <w:tcPr>
                  <w:tcW w:w="1257" w:type="dxa"/>
                  <w:vMerge w:val="continue"/>
                  <w:tcBorders>
                    <w:tl2br w:val="nil"/>
                    <w:tr2bl w:val="nil"/>
                  </w:tcBorders>
                  <w:noWrap w:val="0"/>
                  <w:vAlign w:val="center"/>
                </w:tcPr>
                <w:p>
                  <w:pPr>
                    <w:pStyle w:val="50"/>
                    <w:jc w:val="center"/>
                    <w:rPr>
                      <w:rFonts w:hint="eastAsia" w:ascii="Times New Roman" w:hAnsi="Times New Roman" w:eastAsia="宋体" w:cs="Times New Roman"/>
                      <w:color w:val="auto"/>
                    </w:rPr>
                  </w:pP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0.5</w:t>
                  </w:r>
                </w:p>
              </w:tc>
              <w:tc>
                <w:tcPr>
                  <w:tcW w:w="1258"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0.015 </w:t>
                  </w:r>
                </w:p>
              </w:tc>
            </w:tr>
          </w:tbl>
          <w:p>
            <w:pPr>
              <w:pStyle w:val="61"/>
              <w:ind w:firstLine="482"/>
              <w:rPr>
                <w:rFonts w:hint="default" w:ascii="Times New Roman" w:hAnsi="Times New Roman" w:eastAsia="宋体" w:cs="Times New Roman"/>
                <w:b/>
                <w:color w:val="auto"/>
                <w:lang w:val="en-US" w:eastAsia="zh-CN"/>
              </w:rPr>
            </w:pPr>
            <w:r>
              <w:rPr>
                <w:rFonts w:hint="eastAsia" w:cs="Times New Roman"/>
                <w:b/>
                <w:color w:val="auto"/>
                <w:lang w:val="en-US" w:eastAsia="zh-CN"/>
              </w:rPr>
              <w:t>3</w:t>
            </w:r>
            <w:r>
              <w:rPr>
                <w:rFonts w:hint="eastAsia" w:ascii="Times New Roman" w:hAnsi="Times New Roman" w:eastAsia="宋体" w:cs="Times New Roman"/>
                <w:b/>
                <w:color w:val="auto"/>
                <w:lang w:val="en-US" w:eastAsia="zh-CN"/>
              </w:rPr>
              <w:t>.</w:t>
            </w:r>
            <w:r>
              <w:rPr>
                <w:rFonts w:hint="eastAsia" w:cs="Times New Roman"/>
                <w:b/>
                <w:color w:val="auto"/>
                <w:lang w:val="en-US" w:eastAsia="zh-CN"/>
              </w:rPr>
              <w:t>2</w:t>
            </w:r>
            <w:r>
              <w:rPr>
                <w:rFonts w:hint="eastAsia" w:ascii="Times New Roman" w:hAnsi="Times New Roman" w:eastAsia="宋体" w:cs="Times New Roman"/>
                <w:b/>
                <w:color w:val="auto"/>
                <w:lang w:val="en-US" w:eastAsia="zh-CN"/>
              </w:rPr>
              <w:t>排放口基本情况</w:t>
            </w:r>
          </w:p>
          <w:p>
            <w:pPr>
              <w:adjustRightInd w:val="0"/>
              <w:snapToGrid w:val="0"/>
              <w:jc w:val="center"/>
              <w:rPr>
                <w:rFonts w:cs="宋体"/>
                <w:b/>
                <w:color w:val="auto"/>
                <w:spacing w:val="-10"/>
                <w:sz w:val="24"/>
                <w:szCs w:val="21"/>
              </w:rPr>
            </w:pPr>
            <w:r>
              <w:rPr>
                <w:rFonts w:hint="eastAsia" w:cs="宋体"/>
                <w:b/>
                <w:color w:val="auto"/>
                <w:spacing w:val="-10"/>
                <w:sz w:val="24"/>
                <w:szCs w:val="21"/>
              </w:rPr>
              <w:t>表4-</w:t>
            </w:r>
            <w:r>
              <w:rPr>
                <w:rFonts w:hint="eastAsia" w:cs="宋体"/>
                <w:b/>
                <w:color w:val="auto"/>
                <w:spacing w:val="-10"/>
                <w:sz w:val="24"/>
                <w:szCs w:val="21"/>
                <w:lang w:val="en-US" w:eastAsia="zh-CN"/>
              </w:rPr>
              <w:t>3</w:t>
            </w:r>
            <w:r>
              <w:rPr>
                <w:rFonts w:hint="eastAsia" w:cs="宋体"/>
                <w:b/>
                <w:color w:val="auto"/>
                <w:spacing w:val="-10"/>
                <w:sz w:val="24"/>
                <w:szCs w:val="21"/>
              </w:rPr>
              <w:t xml:space="preserve">  废水间接排放口基本情况表</w:t>
            </w:r>
          </w:p>
          <w:tbl>
            <w:tblPr>
              <w:tblStyle w:val="23"/>
              <w:tblW w:w="79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28"/>
              <w:gridCol w:w="860"/>
              <w:gridCol w:w="859"/>
              <w:gridCol w:w="661"/>
              <w:gridCol w:w="793"/>
              <w:gridCol w:w="711"/>
              <w:gridCol w:w="859"/>
              <w:gridCol w:w="789"/>
              <w:gridCol w:w="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排放口编号</w:t>
                  </w:r>
                </w:p>
              </w:tc>
              <w:tc>
                <w:tcPr>
                  <w:tcW w:w="1688" w:type="dxa"/>
                  <w:gridSpan w:val="2"/>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排放口地理坐标</w:t>
                  </w:r>
                </w:p>
              </w:tc>
              <w:tc>
                <w:tcPr>
                  <w:tcW w:w="859"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废水</w:t>
                  </w:r>
                </w:p>
                <w:p>
                  <w:pPr>
                    <w:adjustRightInd w:val="0"/>
                    <w:snapToGrid w:val="0"/>
                    <w:jc w:val="center"/>
                    <w:rPr>
                      <w:rFonts w:cs="宋体"/>
                      <w:b/>
                      <w:color w:val="auto"/>
                      <w:spacing w:val="-10"/>
                      <w:sz w:val="21"/>
                      <w:szCs w:val="21"/>
                    </w:rPr>
                  </w:pPr>
                  <w:r>
                    <w:rPr>
                      <w:rFonts w:hint="eastAsia" w:cs="宋体"/>
                      <w:b/>
                      <w:color w:val="auto"/>
                      <w:spacing w:val="-10"/>
                      <w:sz w:val="21"/>
                      <w:szCs w:val="21"/>
                    </w:rPr>
                    <w:t>排放量</w:t>
                  </w:r>
                </w:p>
              </w:tc>
              <w:tc>
                <w:tcPr>
                  <w:tcW w:w="66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排放去向</w:t>
                  </w:r>
                </w:p>
              </w:tc>
              <w:tc>
                <w:tcPr>
                  <w:tcW w:w="793" w:type="dxa"/>
                  <w:vMerge w:val="restart"/>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排放</w:t>
                  </w:r>
                </w:p>
                <w:p>
                  <w:pPr>
                    <w:adjustRightInd w:val="0"/>
                    <w:snapToGrid w:val="0"/>
                    <w:jc w:val="center"/>
                    <w:rPr>
                      <w:rFonts w:cs="宋体"/>
                      <w:b/>
                      <w:color w:val="auto"/>
                      <w:spacing w:val="-10"/>
                      <w:sz w:val="21"/>
                      <w:szCs w:val="21"/>
                    </w:rPr>
                  </w:pPr>
                  <w:r>
                    <w:rPr>
                      <w:rFonts w:hint="eastAsia" w:cs="宋体"/>
                      <w:b/>
                      <w:color w:val="auto"/>
                      <w:spacing w:val="-10"/>
                      <w:sz w:val="21"/>
                      <w:szCs w:val="21"/>
                    </w:rPr>
                    <w:t>规律</w:t>
                  </w:r>
                </w:p>
              </w:tc>
              <w:tc>
                <w:tcPr>
                  <w:tcW w:w="711" w:type="dxa"/>
                  <w:vMerge w:val="restart"/>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间接排放时段</w:t>
                  </w:r>
                </w:p>
              </w:tc>
              <w:tc>
                <w:tcPr>
                  <w:tcW w:w="2394" w:type="dxa"/>
                  <w:gridSpan w:val="3"/>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收纳污水处理厂信息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28"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经度</w:t>
                  </w:r>
                </w:p>
              </w:tc>
              <w:tc>
                <w:tcPr>
                  <w:tcW w:w="860"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纬度</w:t>
                  </w:r>
                </w:p>
              </w:tc>
              <w:tc>
                <w:tcPr>
                  <w:tcW w:w="859"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
                      <w:color w:val="auto"/>
                      <w:spacing w:val="-10"/>
                      <w:sz w:val="21"/>
                      <w:szCs w:val="21"/>
                    </w:rPr>
                  </w:pPr>
                </w:p>
              </w:tc>
              <w:tc>
                <w:tcPr>
                  <w:tcW w:w="85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名称</w:t>
                  </w:r>
                </w:p>
              </w:tc>
              <w:tc>
                <w:tcPr>
                  <w:tcW w:w="789" w:type="dxa"/>
                  <w:tcBorders>
                    <w:tl2br w:val="nil"/>
                    <w:tr2bl w:val="nil"/>
                  </w:tcBorders>
                  <w:vAlign w:val="center"/>
                </w:tcPr>
                <w:p>
                  <w:pPr>
                    <w:adjustRightInd w:val="0"/>
                    <w:snapToGrid w:val="0"/>
                    <w:jc w:val="center"/>
                    <w:rPr>
                      <w:rFonts w:cs="宋体"/>
                      <w:b/>
                      <w:color w:val="auto"/>
                      <w:spacing w:val="-10"/>
                      <w:sz w:val="21"/>
                      <w:szCs w:val="21"/>
                    </w:rPr>
                  </w:pPr>
                  <w:r>
                    <w:rPr>
                      <w:rFonts w:hint="eastAsia" w:cs="宋体"/>
                      <w:b/>
                      <w:color w:val="auto"/>
                      <w:spacing w:val="-10"/>
                      <w:sz w:val="21"/>
                      <w:szCs w:val="21"/>
                    </w:rPr>
                    <w:t>污染物种类</w:t>
                  </w:r>
                </w:p>
              </w:tc>
              <w:tc>
                <w:tcPr>
                  <w:tcW w:w="746" w:type="dxa"/>
                  <w:tcBorders>
                    <w:tl2br w:val="nil"/>
                    <w:tr2bl w:val="nil"/>
                  </w:tcBorders>
                  <w:vAlign w:val="center"/>
                </w:tcPr>
                <w:p>
                  <w:pPr>
                    <w:adjustRightInd w:val="0"/>
                    <w:snapToGrid w:val="0"/>
                    <w:jc w:val="center"/>
                    <w:rPr>
                      <w:rFonts w:cs="宋体"/>
                      <w:b/>
                      <w:color w:val="auto"/>
                      <w:spacing w:val="-10"/>
                      <w:szCs w:val="21"/>
                    </w:rPr>
                  </w:pPr>
                  <w:r>
                    <w:rPr>
                      <w:rFonts w:hint="eastAsia" w:cs="宋体"/>
                      <w:b/>
                      <w:color w:val="auto"/>
                      <w:spacing w:val="-10"/>
                      <w:sz w:val="21"/>
                      <w:szCs w:val="21"/>
                    </w:rPr>
                    <w:t>浓度</w:t>
                  </w:r>
                </w:p>
                <w:p>
                  <w:pPr>
                    <w:adjustRightInd w:val="0"/>
                    <w:snapToGrid w:val="0"/>
                    <w:jc w:val="center"/>
                    <w:rPr>
                      <w:rFonts w:cs="宋体"/>
                      <w:b/>
                      <w:color w:val="auto"/>
                      <w:spacing w:val="-10"/>
                      <w:sz w:val="21"/>
                      <w:szCs w:val="21"/>
                    </w:rPr>
                  </w:pPr>
                  <w:r>
                    <w:rPr>
                      <w:rFonts w:hint="eastAsia" w:cs="宋体"/>
                      <w:b/>
                      <w:color w:val="auto"/>
                      <w:spacing w:val="-10"/>
                      <w:sz w:val="21"/>
                      <w:szCs w:val="21"/>
                    </w:rPr>
                    <w:t>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DW</w:t>
                  </w:r>
                </w:p>
                <w:p>
                  <w:pPr>
                    <w:adjustRightInd w:val="0"/>
                    <w:snapToGrid w:val="0"/>
                    <w:jc w:val="center"/>
                    <w:rPr>
                      <w:rFonts w:cs="宋体"/>
                      <w:bCs/>
                      <w:color w:val="auto"/>
                      <w:spacing w:val="-10"/>
                      <w:sz w:val="21"/>
                      <w:szCs w:val="21"/>
                    </w:rPr>
                  </w:pPr>
                  <w:r>
                    <w:rPr>
                      <w:rFonts w:cs="宋体"/>
                      <w:bCs/>
                      <w:color w:val="auto"/>
                      <w:spacing w:val="-10"/>
                      <w:sz w:val="21"/>
                      <w:szCs w:val="21"/>
                    </w:rPr>
                    <w:t>001</w:t>
                  </w:r>
                </w:p>
              </w:tc>
              <w:tc>
                <w:tcPr>
                  <w:tcW w:w="828"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112.800832</w:t>
                  </w:r>
                </w:p>
              </w:tc>
              <w:tc>
                <w:tcPr>
                  <w:tcW w:w="860" w:type="dxa"/>
                  <w:vMerge w:val="restart"/>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29.33653</w:t>
                  </w:r>
                  <w:r>
                    <w:rPr>
                      <w:rFonts w:hint="eastAsia" w:cs="宋体"/>
                      <w:bCs/>
                      <w:color w:val="auto"/>
                      <w:spacing w:val="-10"/>
                      <w:sz w:val="21"/>
                      <w:szCs w:val="21"/>
                      <w:lang w:val="en-US" w:eastAsia="zh-CN"/>
                    </w:rPr>
                    <w:t>1</w:t>
                  </w:r>
                </w:p>
              </w:tc>
              <w:tc>
                <w:tcPr>
                  <w:tcW w:w="859"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29200</w:t>
                  </w:r>
                  <w:r>
                    <w:rPr>
                      <w:rFonts w:cs="宋体"/>
                      <w:bCs/>
                      <w:color w:val="auto"/>
                      <w:spacing w:val="-10"/>
                      <w:sz w:val="21"/>
                      <w:szCs w:val="21"/>
                    </w:rPr>
                    <w:t>m</w:t>
                  </w:r>
                  <w:r>
                    <w:rPr>
                      <w:rFonts w:cs="宋体"/>
                      <w:b/>
                      <w:color w:val="auto"/>
                      <w:spacing w:val="-10"/>
                      <w:sz w:val="21"/>
                      <w:szCs w:val="21"/>
                      <w:vertAlign w:val="superscript"/>
                    </w:rPr>
                    <w:t>3</w:t>
                  </w:r>
                  <w:r>
                    <w:rPr>
                      <w:rFonts w:cs="宋体"/>
                      <w:bCs/>
                      <w:color w:val="auto"/>
                      <w:spacing w:val="-10"/>
                      <w:sz w:val="21"/>
                      <w:szCs w:val="21"/>
                    </w:rPr>
                    <w:t>/a</w:t>
                  </w:r>
                </w:p>
              </w:tc>
              <w:tc>
                <w:tcPr>
                  <w:tcW w:w="66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lang w:val="en-US" w:eastAsia="zh-CN"/>
                    </w:rPr>
                    <w:t>城镇</w:t>
                  </w:r>
                  <w:r>
                    <w:rPr>
                      <w:rFonts w:hint="eastAsia" w:cs="宋体"/>
                      <w:bCs/>
                      <w:color w:val="auto"/>
                      <w:spacing w:val="-10"/>
                      <w:sz w:val="21"/>
                      <w:szCs w:val="21"/>
                    </w:rPr>
                    <w:t>污水处理厂</w:t>
                  </w:r>
                </w:p>
              </w:tc>
              <w:tc>
                <w:tcPr>
                  <w:tcW w:w="793"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hint="eastAsia" w:cs="宋体"/>
                      <w:bCs/>
                      <w:color w:val="auto"/>
                      <w:spacing w:val="-10"/>
                      <w:sz w:val="21"/>
                      <w:szCs w:val="21"/>
                    </w:rPr>
                    <w:t>间断排放，流量不稳定且无规律.</w:t>
                  </w:r>
                </w:p>
              </w:tc>
              <w:tc>
                <w:tcPr>
                  <w:tcW w:w="711" w:type="dxa"/>
                  <w:vMerge w:val="restart"/>
                  <w:tcBorders>
                    <w:tl2br w:val="nil"/>
                    <w:tr2bl w:val="nil"/>
                  </w:tcBorders>
                  <w:vAlign w:val="center"/>
                </w:tcPr>
                <w:p>
                  <w:pPr>
                    <w:adjustRightInd w:val="0"/>
                    <w:snapToGrid w:val="0"/>
                    <w:jc w:val="center"/>
                    <w:rPr>
                      <w:rFonts w:cs="宋体"/>
                      <w:bCs/>
                      <w:color w:val="auto"/>
                      <w:spacing w:val="-10"/>
                      <w:sz w:val="21"/>
                      <w:szCs w:val="21"/>
                    </w:rPr>
                  </w:pPr>
                  <w:r>
                    <w:rPr>
                      <w:rFonts w:cs="宋体"/>
                      <w:bCs/>
                      <w:color w:val="auto"/>
                      <w:spacing w:val="-10"/>
                      <w:sz w:val="21"/>
                      <w:szCs w:val="21"/>
                    </w:rPr>
                    <w:t>/</w:t>
                  </w:r>
                </w:p>
              </w:tc>
              <w:tc>
                <w:tcPr>
                  <w:tcW w:w="859" w:type="dxa"/>
                  <w:vMerge w:val="restart"/>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华容县团洲乡团洲新村污水处理厂</w:t>
                  </w: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COD</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BOD</w:t>
                  </w:r>
                  <w:r>
                    <w:rPr>
                      <w:rFonts w:hint="eastAsia" w:ascii="Times New Roman" w:hAnsi="Times New Roman" w:eastAsia="宋体" w:cs="宋体"/>
                      <w:bCs/>
                      <w:color w:val="auto"/>
                      <w:spacing w:val="-10"/>
                      <w:sz w:val="21"/>
                      <w:szCs w:val="21"/>
                      <w:vertAlign w:val="subscript"/>
                      <w:lang w:val="en-US" w:eastAsia="zh-CN"/>
                    </w:rPr>
                    <w:t>5</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NH</w:t>
                  </w:r>
                  <w:r>
                    <w:rPr>
                      <w:rFonts w:hint="default" w:ascii="Times New Roman" w:hAnsi="Times New Roman" w:eastAsia="宋体" w:cs="宋体"/>
                      <w:bCs/>
                      <w:color w:val="auto"/>
                      <w:spacing w:val="-10"/>
                      <w:sz w:val="21"/>
                      <w:szCs w:val="21"/>
                      <w:vertAlign w:val="subscript"/>
                      <w:lang w:val="en-US" w:eastAsia="zh-CN"/>
                    </w:rPr>
                    <w:t>3</w:t>
                  </w:r>
                  <w:r>
                    <w:rPr>
                      <w:rFonts w:hint="default" w:ascii="Times New Roman" w:hAnsi="Times New Roman" w:eastAsia="宋体" w:cs="宋体"/>
                      <w:bCs/>
                      <w:color w:val="auto"/>
                      <w:spacing w:val="-10"/>
                      <w:sz w:val="21"/>
                      <w:szCs w:val="21"/>
                      <w:lang w:val="en-US" w:eastAsia="zh-CN"/>
                    </w:rPr>
                    <w:t>-N</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SS</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TP</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3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28"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60"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66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93"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711" w:type="dxa"/>
                  <w:vMerge w:val="continue"/>
                  <w:tcBorders>
                    <w:tl2br w:val="nil"/>
                    <w:tr2bl w:val="nil"/>
                  </w:tcBorders>
                  <w:vAlign w:val="center"/>
                </w:tcPr>
                <w:p>
                  <w:pPr>
                    <w:adjustRightInd w:val="0"/>
                    <w:snapToGrid w:val="0"/>
                    <w:jc w:val="center"/>
                    <w:rPr>
                      <w:rFonts w:cs="宋体"/>
                      <w:bCs/>
                      <w:color w:val="auto"/>
                      <w:spacing w:val="-10"/>
                      <w:sz w:val="21"/>
                      <w:szCs w:val="21"/>
                    </w:rPr>
                  </w:pPr>
                </w:p>
              </w:tc>
              <w:tc>
                <w:tcPr>
                  <w:tcW w:w="859" w:type="dxa"/>
                  <w:vMerge w:val="continue"/>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p>
              </w:tc>
              <w:tc>
                <w:tcPr>
                  <w:tcW w:w="789" w:type="dxa"/>
                  <w:tcBorders>
                    <w:tl2br w:val="nil"/>
                    <w:tr2bl w:val="nil"/>
                  </w:tcBorders>
                  <w:vAlign w:val="center"/>
                </w:tcPr>
                <w:p>
                  <w:pPr>
                    <w:adjustRightInd w:val="0"/>
                    <w:snapToGrid w:val="0"/>
                    <w:jc w:val="center"/>
                    <w:rPr>
                      <w:rFonts w:hint="eastAsia"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pH</w:t>
                  </w:r>
                </w:p>
              </w:tc>
              <w:tc>
                <w:tcPr>
                  <w:tcW w:w="746" w:type="dxa"/>
                  <w:tcBorders>
                    <w:tl2br w:val="nil"/>
                    <w:tr2bl w:val="nil"/>
                  </w:tcBorders>
                  <w:vAlign w:val="center"/>
                </w:tcPr>
                <w:p>
                  <w:pPr>
                    <w:adjustRightInd w:val="0"/>
                    <w:snapToGrid w:val="0"/>
                    <w:jc w:val="center"/>
                    <w:rPr>
                      <w:rFonts w:hint="default" w:ascii="Times New Roman" w:hAnsi="Times New Roman" w:eastAsia="宋体" w:cs="宋体"/>
                      <w:bCs/>
                      <w:color w:val="auto"/>
                      <w:spacing w:val="-10"/>
                      <w:sz w:val="21"/>
                      <w:szCs w:val="21"/>
                      <w:lang w:val="en-US" w:eastAsia="zh-CN"/>
                    </w:rPr>
                  </w:pPr>
                  <w:r>
                    <w:rPr>
                      <w:rFonts w:hint="default" w:ascii="Times New Roman" w:hAnsi="Times New Roman" w:eastAsia="宋体" w:cs="宋体"/>
                      <w:bCs/>
                      <w:color w:val="auto"/>
                      <w:spacing w:val="-10"/>
                      <w:sz w:val="21"/>
                      <w:szCs w:val="21"/>
                      <w:lang w:val="en-US" w:eastAsia="zh-CN"/>
                    </w:rPr>
                    <w:t>6-9</w:t>
                  </w:r>
                </w:p>
              </w:tc>
            </w:tr>
          </w:tbl>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4、</w:t>
            </w:r>
            <w:r>
              <w:rPr>
                <w:rFonts w:hint="eastAsia" w:cs="宋体"/>
                <w:b/>
                <w:color w:val="auto"/>
                <w:spacing w:val="-10"/>
                <w:sz w:val="24"/>
                <w:szCs w:val="21"/>
              </w:rPr>
              <w:t>声环境影响分析</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根据对本项目噪声污染源的分析及同类型项目的调研可知，噪声污染源主要为车辆进出、</w:t>
            </w:r>
            <w:r>
              <w:rPr>
                <w:rFonts w:hint="eastAsia" w:ascii="Times New Roman" w:hAnsi="Times New Roman" w:eastAsia="宋体" w:cs="宋体"/>
                <w:bCs/>
                <w:i w:val="0"/>
                <w:iCs w:val="0"/>
                <w:color w:val="auto"/>
                <w:sz w:val="24"/>
                <w:szCs w:val="21"/>
                <w:u w:val="none"/>
                <w:lang w:val="en-US" w:eastAsia="zh-CN"/>
              </w:rPr>
              <w:t>人群活动</w:t>
            </w:r>
            <w:r>
              <w:rPr>
                <w:rFonts w:hint="default" w:ascii="Times New Roman" w:hAnsi="Times New Roman" w:eastAsia="宋体" w:cs="宋体"/>
                <w:bCs/>
                <w:i w:val="0"/>
                <w:iCs w:val="0"/>
                <w:color w:val="auto"/>
                <w:sz w:val="24"/>
                <w:szCs w:val="21"/>
                <w:u w:val="none"/>
                <w:lang w:val="en-US" w:eastAsia="zh-CN"/>
              </w:rPr>
              <w:t>和各类设备运行噪声等，</w:t>
            </w:r>
            <w:r>
              <w:rPr>
                <w:rFonts w:hint="eastAsia" w:ascii="Times New Roman" w:hAnsi="Times New Roman" w:eastAsia="宋体" w:cs="宋体"/>
                <w:bCs/>
                <w:i w:val="0"/>
                <w:iCs w:val="0"/>
                <w:color w:val="auto"/>
                <w:sz w:val="24"/>
                <w:szCs w:val="21"/>
                <w:u w:val="none"/>
                <w:lang w:val="en-US" w:eastAsia="zh-CN"/>
              </w:rPr>
              <w:t>电梯机组</w:t>
            </w:r>
            <w:r>
              <w:rPr>
                <w:rFonts w:hint="default" w:ascii="Times New Roman" w:hAnsi="Times New Roman" w:eastAsia="宋体" w:cs="宋体"/>
                <w:bCs/>
                <w:i w:val="0"/>
                <w:iCs w:val="0"/>
                <w:color w:val="auto"/>
                <w:sz w:val="24"/>
                <w:szCs w:val="21"/>
                <w:u w:val="none"/>
                <w:lang w:val="en-US" w:eastAsia="zh-CN"/>
              </w:rPr>
              <w:t>以及配电房等设备噪声。本评价根据对同类型设备的类比监测，了解各噪声源正常作业时的噪声源强，具体见表</w:t>
            </w:r>
            <w:r>
              <w:rPr>
                <w:rFonts w:hint="eastAsia" w:ascii="Times New Roman" w:hAnsi="Times New Roman" w:eastAsia="宋体" w:cs="宋体"/>
                <w:bCs/>
                <w:i w:val="0"/>
                <w:iCs w:val="0"/>
                <w:color w:val="auto"/>
                <w:sz w:val="24"/>
                <w:szCs w:val="21"/>
                <w:u w:val="none"/>
                <w:lang w:val="en-US" w:eastAsia="zh-CN"/>
              </w:rPr>
              <w:t>4-4</w:t>
            </w:r>
            <w:r>
              <w:rPr>
                <w:rFonts w:hint="default" w:ascii="Times New Roman" w:hAnsi="Times New Roman" w:eastAsia="宋体" w:cs="宋体"/>
                <w:bCs/>
                <w:i w:val="0"/>
                <w:iCs w:val="0"/>
                <w:color w:val="auto"/>
                <w:sz w:val="24"/>
                <w:szCs w:val="21"/>
                <w:u w:val="none"/>
                <w:lang w:val="en-US" w:eastAsia="zh-CN"/>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4-4</w:t>
            </w:r>
            <w:r>
              <w:rPr>
                <w:rFonts w:hint="default" w:ascii="Times New Roman" w:hAnsi="Times New Roman" w:eastAsia="宋体" w:cs="Times New Roman"/>
                <w:b/>
                <w:color w:val="auto"/>
                <w:sz w:val="24"/>
                <w:szCs w:val="21"/>
                <w:lang w:val="en-US" w:eastAsia="zh-CN"/>
              </w:rPr>
              <w:t xml:space="preserve">  项目噪声源强  单位：dB(A)</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2256"/>
              <w:gridCol w:w="1845"/>
              <w:gridCol w:w="2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噪声类型</w:t>
                  </w:r>
                </w:p>
              </w:tc>
              <w:tc>
                <w:tcPr>
                  <w:tcW w:w="2256"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位置</w:t>
                  </w:r>
                </w:p>
              </w:tc>
              <w:tc>
                <w:tcPr>
                  <w:tcW w:w="1845"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40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车辆噪声</w:t>
                  </w:r>
                </w:p>
              </w:tc>
              <w:tc>
                <w:tcPr>
                  <w:tcW w:w="2256"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小型汽车行驶(7.5m处)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40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一般集中在早晨和下午上下课时间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40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食堂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3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大型</w:t>
                  </w:r>
                  <w:r>
                    <w:rPr>
                      <w:rFonts w:hint="eastAsia" w:ascii="Times New Roman" w:hAnsi="Times New Roman" w:eastAsia="宋体" w:cs="Times New Roman"/>
                      <w:color w:val="auto"/>
                      <w:szCs w:val="21"/>
                      <w:lang w:val="en-US" w:eastAsia="zh-CN"/>
                    </w:rPr>
                    <w:t>活动</w:t>
                  </w:r>
                  <w:r>
                    <w:rPr>
                      <w:rFonts w:hint="default" w:ascii="Times New Roman" w:hAnsi="Times New Roman" w:eastAsia="宋体" w:cs="Times New Roman"/>
                      <w:color w:val="auto"/>
                      <w:szCs w:val="21"/>
                    </w:rPr>
                    <w:t>（文娱活动）噪声</w:t>
                  </w:r>
                </w:p>
              </w:tc>
              <w:tc>
                <w:tcPr>
                  <w:tcW w:w="2256"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845"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85~</w:t>
                  </w:r>
                  <w:r>
                    <w:rPr>
                      <w:rFonts w:hint="eastAsia" w:ascii="Times New Roman" w:hAnsi="Times New Roman" w:eastAsia="宋体" w:cs="Times New Roman"/>
                      <w:color w:val="auto"/>
                      <w:szCs w:val="21"/>
                      <w:lang w:val="en-US" w:eastAsia="zh-CN"/>
                    </w:rPr>
                    <w:t>90</w:t>
                  </w:r>
                </w:p>
              </w:tc>
              <w:tc>
                <w:tcPr>
                  <w:tcW w:w="2402"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休闲空地</w:t>
                  </w:r>
                </w:p>
              </w:tc>
            </w:tr>
          </w:tbl>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地面设备噪声主要为</w:t>
            </w:r>
            <w:r>
              <w:rPr>
                <w:rFonts w:hint="eastAsia" w:ascii="Times New Roman" w:hAnsi="Times New Roman" w:eastAsia="宋体" w:cs="宋体"/>
                <w:bCs/>
                <w:i w:val="0"/>
                <w:iCs w:val="0"/>
                <w:color w:val="auto"/>
                <w:sz w:val="24"/>
                <w:szCs w:val="21"/>
                <w:u w:val="none"/>
                <w:lang w:val="en-US" w:eastAsia="zh-CN"/>
              </w:rPr>
              <w:t>配电房噪声以及电梯机组噪声</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变配电室变压器声源强约为7</w:t>
            </w:r>
            <w:r>
              <w:rPr>
                <w:rFonts w:hint="default" w:ascii="Times New Roman" w:hAnsi="Times New Roman" w:eastAsia="宋体" w:cs="宋体"/>
                <w:bCs/>
                <w:i w:val="0"/>
                <w:iCs w:val="0"/>
                <w:color w:val="auto"/>
                <w:sz w:val="24"/>
                <w:szCs w:val="21"/>
                <w:u w:val="none"/>
                <w:lang w:val="en-US" w:eastAsia="zh-CN"/>
              </w:rPr>
              <w:t>5dB(A)</w:t>
            </w:r>
            <w:r>
              <w:rPr>
                <w:rFonts w:hint="eastAsia" w:ascii="Times New Roman" w:hAnsi="Times New Roman" w:eastAsia="宋体" w:cs="宋体"/>
                <w:bCs/>
                <w:i w:val="0"/>
                <w:iCs w:val="0"/>
                <w:color w:val="auto"/>
                <w:sz w:val="24"/>
                <w:szCs w:val="21"/>
                <w:u w:val="none"/>
                <w:lang w:val="en-US" w:eastAsia="zh-CN"/>
              </w:rPr>
              <w:t>，变配电室位于场地西南角，采用吸声、基础减震等措施，通过建筑物隔声后，对外界影响较小，不会影响到校区的正常运行。少量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营运期噪声源还有来自师生教学、生活的社会生活噪声，源强较小，此类噪声源对声环境的影响较小。主要噪声来源于</w:t>
            </w:r>
            <w:r>
              <w:rPr>
                <w:rFonts w:hint="eastAsia" w:ascii="Times New Roman" w:hAnsi="Times New Roman" w:eastAsia="宋体" w:cs="宋体"/>
                <w:bCs/>
                <w:i w:val="0"/>
                <w:iCs w:val="0"/>
                <w:color w:val="auto"/>
                <w:sz w:val="24"/>
                <w:szCs w:val="21"/>
                <w:u w:val="none"/>
                <w:lang w:val="en-US" w:eastAsia="zh-CN"/>
              </w:rPr>
              <w:t>上学放学交通高峰期、</w:t>
            </w:r>
            <w:r>
              <w:rPr>
                <w:rFonts w:hint="default" w:ascii="Times New Roman" w:hAnsi="Times New Roman" w:eastAsia="宋体" w:cs="宋体"/>
                <w:bCs/>
                <w:i w:val="0"/>
                <w:iCs w:val="0"/>
                <w:color w:val="auto"/>
                <w:sz w:val="24"/>
                <w:szCs w:val="21"/>
                <w:u w:val="none"/>
                <w:lang w:val="en-US" w:eastAsia="zh-CN"/>
              </w:rPr>
              <w:t>课间活动或大型场外活动产生的噪声，一般情况下对周边居民影响有限，不会造成扰民现象，处于其可接受水平内。</w:t>
            </w:r>
          </w:p>
          <w:p>
            <w:pPr>
              <w:pStyle w:val="53"/>
              <w:adjustRightInd w:val="0"/>
              <w:snapToGrid w:val="0"/>
              <w:spacing w:line="360" w:lineRule="auto"/>
              <w:ind w:firstLine="482"/>
              <w:rPr>
                <w:rFonts w:hint="default" w:cs="宋体"/>
                <w:b/>
                <w:color w:val="auto"/>
                <w:spacing w:val="-10"/>
                <w:sz w:val="24"/>
                <w:szCs w:val="21"/>
                <w:lang w:val="en-US" w:eastAsia="zh-CN"/>
              </w:rPr>
            </w:pPr>
            <w:r>
              <w:rPr>
                <w:rFonts w:hint="eastAsia"/>
                <w:color w:val="auto"/>
                <w:sz w:val="24"/>
              </w:rPr>
              <w:t>在</w:t>
            </w:r>
            <w:r>
              <w:rPr>
                <w:rFonts w:hint="eastAsia"/>
                <w:color w:val="auto"/>
                <w:sz w:val="24"/>
                <w:lang w:val="en-US" w:eastAsia="zh-CN"/>
              </w:rPr>
              <w:t>采取了相应措施后</w:t>
            </w:r>
            <w:r>
              <w:rPr>
                <w:rFonts w:hint="eastAsia"/>
                <w:color w:val="auto"/>
                <w:sz w:val="24"/>
              </w:rPr>
              <w:t>，</w:t>
            </w:r>
            <w:r>
              <w:rPr>
                <w:rFonts w:hint="eastAsia"/>
                <w:color w:val="auto"/>
                <w:sz w:val="24"/>
                <w:lang w:eastAsia="zh-CN"/>
              </w:rPr>
              <w:t>经距离衰减后，</w:t>
            </w:r>
            <w:r>
              <w:rPr>
                <w:rFonts w:hint="eastAsia"/>
                <w:color w:val="auto"/>
                <w:sz w:val="24"/>
              </w:rPr>
              <w:t>本项目噪声</w:t>
            </w:r>
            <w:r>
              <w:rPr>
                <w:rFonts w:hint="eastAsia"/>
                <w:color w:val="auto"/>
                <w:sz w:val="24"/>
                <w:lang w:eastAsia="zh-CN"/>
              </w:rPr>
              <w:t>在厂界可达标排放，</w:t>
            </w:r>
            <w:r>
              <w:rPr>
                <w:rFonts w:hint="eastAsia"/>
                <w:color w:val="auto"/>
                <w:sz w:val="24"/>
              </w:rPr>
              <w:t>对周边声环境影响较小。</w:t>
            </w:r>
            <w:r>
              <w:rPr>
                <w:rFonts w:hint="default" w:ascii="Times New Roman" w:hAnsi="Times New Roman" w:eastAsia="宋体" w:cs="Times New Roman"/>
                <w:color w:val="auto"/>
                <w:sz w:val="24"/>
              </w:rPr>
              <w:t xml:space="preserve">     </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5、</w:t>
            </w:r>
            <w:r>
              <w:rPr>
                <w:rFonts w:hint="eastAsia" w:cs="宋体"/>
                <w:b/>
                <w:color w:val="auto"/>
                <w:spacing w:val="-10"/>
                <w:sz w:val="24"/>
                <w:szCs w:val="21"/>
              </w:rPr>
              <w:t>固体废弃物环境影响分析</w:t>
            </w:r>
          </w:p>
          <w:p>
            <w:pPr>
              <w:pStyle w:val="53"/>
              <w:adjustRightInd w:val="0"/>
              <w:snapToGrid w:val="0"/>
              <w:spacing w:line="360" w:lineRule="auto"/>
              <w:ind w:firstLine="482"/>
              <w:rPr>
                <w:b/>
                <w:color w:val="auto"/>
                <w:sz w:val="24"/>
                <w:szCs w:val="21"/>
              </w:rPr>
            </w:pPr>
            <w:r>
              <w:rPr>
                <w:rFonts w:hint="eastAsia"/>
                <w:b/>
                <w:color w:val="auto"/>
                <w:sz w:val="24"/>
                <w:szCs w:val="21"/>
                <w:lang w:val="en-US" w:eastAsia="zh-CN"/>
              </w:rPr>
              <w:t>5.1</w:t>
            </w:r>
            <w:r>
              <w:rPr>
                <w:rFonts w:hint="eastAsia" w:cs="宋体"/>
                <w:b/>
                <w:color w:val="auto"/>
                <w:spacing w:val="-10"/>
                <w:sz w:val="24"/>
                <w:szCs w:val="21"/>
              </w:rPr>
              <w:t>污染源</w:t>
            </w:r>
            <w:r>
              <w:rPr>
                <w:rFonts w:hint="eastAsia"/>
                <w:b/>
                <w:color w:val="auto"/>
                <w:sz w:val="24"/>
                <w:szCs w:val="21"/>
              </w:rPr>
              <w:t>分析</w:t>
            </w:r>
          </w:p>
          <w:p>
            <w:pPr>
              <w:adjustRightInd w:val="0"/>
              <w:snapToGrid w:val="0"/>
              <w:spacing w:line="360" w:lineRule="auto"/>
              <w:ind w:firstLine="480" w:firstLineChars="200"/>
              <w:rPr>
                <w:bCs/>
                <w:color w:val="auto"/>
                <w:sz w:val="24"/>
                <w:szCs w:val="21"/>
              </w:rPr>
            </w:pPr>
            <w:r>
              <w:rPr>
                <w:rFonts w:hint="eastAsia"/>
                <w:bCs/>
                <w:color w:val="auto"/>
                <w:sz w:val="24"/>
                <w:szCs w:val="21"/>
              </w:rPr>
              <w:t>本项目运营期产生的固体废物为生活垃圾。</w:t>
            </w:r>
          </w:p>
          <w:p>
            <w:pPr>
              <w:pStyle w:val="19"/>
              <w:widowControl w:val="0"/>
              <w:adjustRightInd w:val="0"/>
              <w:snapToGrid w:val="0"/>
              <w:spacing w:before="0" w:beforeAutospacing="0" w:after="0" w:afterAutospacing="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生活垃圾主要来源于</w:t>
            </w:r>
            <w:r>
              <w:rPr>
                <w:rFonts w:hint="eastAsia" w:ascii="Times New Roman" w:hAnsi="Times New Roman" w:eastAsia="宋体" w:cs="Times New Roman"/>
                <w:color w:val="auto"/>
                <w:sz w:val="24"/>
                <w:lang w:val="en-US" w:eastAsia="zh-CN"/>
              </w:rPr>
              <w:t>安置区内居民居住过程</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项目内</w:t>
            </w:r>
            <w:r>
              <w:rPr>
                <w:rFonts w:hint="eastAsia" w:ascii="Times New Roman" w:hAnsi="Times New Roman" w:eastAsia="宋体" w:cs="Times New Roman"/>
                <w:color w:val="auto"/>
                <w:sz w:val="24"/>
                <w:lang w:val="en-US" w:eastAsia="zh-CN"/>
              </w:rPr>
              <w:t>设计住户</w:t>
            </w:r>
            <w:r>
              <w:rPr>
                <w:rFonts w:hint="eastAsia" w:ascii="Times New Roman" w:hAnsi="Times New Roman" w:cs="Times New Roman"/>
                <w:color w:val="auto"/>
                <w:sz w:val="24"/>
                <w:lang w:val="en-US" w:eastAsia="zh-CN"/>
              </w:rPr>
              <w:t>636</w:t>
            </w:r>
            <w:r>
              <w:rPr>
                <w:rFonts w:hint="eastAsia" w:ascii="Times New Roman" w:hAnsi="Times New Roman" w:eastAsia="宋体" w:cs="Times New Roman"/>
                <w:color w:val="auto"/>
                <w:sz w:val="24"/>
                <w:lang w:val="en-US" w:eastAsia="zh-CN"/>
              </w:rPr>
              <w:t>户，</w:t>
            </w:r>
            <w:r>
              <w:rPr>
                <w:rFonts w:hint="eastAsia" w:ascii="Times New Roman" w:hAnsi="Times New Roman" w:cs="Times New Roman"/>
                <w:color w:val="auto"/>
                <w:sz w:val="24"/>
                <w:lang w:val="en-US" w:eastAsia="zh-CN"/>
              </w:rPr>
              <w:t>根据华容县团洲乡实际情况，实际入住</w:t>
            </w:r>
            <w:r>
              <w:rPr>
                <w:rFonts w:hint="eastAsia" w:ascii="Times New Roman" w:hAnsi="Times New Roman" w:eastAsia="宋体" w:cs="Times New Roman"/>
                <w:color w:val="auto"/>
                <w:sz w:val="24"/>
                <w:lang w:val="en-US" w:eastAsia="zh-CN"/>
              </w:rPr>
              <w:t>居民数</w:t>
            </w:r>
            <w:r>
              <w:rPr>
                <w:rFonts w:hint="eastAsia" w:ascii="Times New Roman" w:hAnsi="Times New Roman" w:cs="Times New Roman"/>
                <w:color w:val="auto"/>
                <w:sz w:val="24"/>
                <w:lang w:val="en-US" w:eastAsia="zh-CN"/>
              </w:rPr>
              <w:t>最高可达</w:t>
            </w:r>
            <w:r>
              <w:rPr>
                <w:rFonts w:hint="eastAsia" w:ascii="Times New Roman" w:hAnsi="Times New Roman" w:eastAsia="宋体" w:cs="Times New Roman"/>
                <w:color w:val="auto"/>
                <w:sz w:val="24"/>
                <w:lang w:eastAsia="zh-CN"/>
              </w:rPr>
              <w:t>约</w:t>
            </w:r>
            <w:r>
              <w:rPr>
                <w:rFonts w:hint="eastAsia" w:ascii="Times New Roman" w:hAnsi="Times New Roman" w:cs="Times New Roman"/>
                <w:color w:val="auto"/>
                <w:sz w:val="24"/>
                <w:lang w:val="en-US" w:eastAsia="zh-CN"/>
              </w:rPr>
              <w:t>1000</w:t>
            </w:r>
            <w:r>
              <w:rPr>
                <w:rFonts w:hint="eastAsia" w:ascii="Times New Roman" w:hAnsi="Times New Roman" w:eastAsia="宋体" w:cs="Times New Roman"/>
                <w:color w:val="auto"/>
                <w:sz w:val="24"/>
                <w:lang w:val="en-US" w:eastAsia="zh-CN"/>
              </w:rPr>
              <w:t>人</w:t>
            </w:r>
            <w:r>
              <w:rPr>
                <w:rFonts w:hint="default" w:ascii="Times New Roman" w:hAnsi="Times New Roman" w:eastAsia="宋体" w:cs="Times New Roman"/>
                <w:color w:val="auto"/>
                <w:sz w:val="24"/>
              </w:rPr>
              <w:t>，人均产垃圾量以</w:t>
            </w:r>
            <w:r>
              <w:rPr>
                <w:rFonts w:hint="eastAsia"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rPr>
              <w:t>kg/人·d计</w:t>
            </w:r>
            <w:r>
              <w:rPr>
                <w:rFonts w:hint="eastAsia" w:ascii="Times New Roman" w:hAnsi="Times New Roman" w:eastAsia="宋体" w:cs="Times New Roman"/>
                <w:color w:val="auto"/>
                <w:sz w:val="24"/>
                <w:lang w:eastAsia="zh-CN"/>
              </w:rPr>
              <w:t>，则</w:t>
            </w:r>
            <w:r>
              <w:rPr>
                <w:rFonts w:hint="default" w:ascii="Times New Roman" w:hAnsi="Times New Roman" w:eastAsia="宋体" w:cs="Times New Roman"/>
                <w:color w:val="auto"/>
                <w:sz w:val="24"/>
              </w:rPr>
              <w:t>生活垃圾产生量约为</w:t>
            </w:r>
            <w:r>
              <w:rPr>
                <w:rFonts w:hint="eastAsia" w:ascii="Times New Roman" w:hAnsi="Times New Roman" w:cs="Times New Roman"/>
                <w:color w:val="auto"/>
                <w:sz w:val="24"/>
                <w:lang w:val="en-US" w:eastAsia="zh-CN"/>
              </w:rPr>
              <w:t>10</w:t>
            </w:r>
            <w:r>
              <w:rPr>
                <w:rFonts w:hint="default" w:ascii="Times New Roman" w:hAnsi="Times New Roman" w:eastAsia="宋体" w:cs="Times New Roman"/>
                <w:color w:val="auto"/>
                <w:sz w:val="24"/>
              </w:rPr>
              <w:t>t/d、</w:t>
            </w:r>
            <w:r>
              <w:rPr>
                <w:rFonts w:hint="eastAsia" w:ascii="Times New Roman" w:hAnsi="Times New Roman" w:cs="Times New Roman"/>
                <w:color w:val="auto"/>
                <w:sz w:val="24"/>
                <w:lang w:val="en-US" w:eastAsia="zh-CN"/>
              </w:rPr>
              <w:t>365</w:t>
            </w:r>
            <w:r>
              <w:rPr>
                <w:rFonts w:hint="default" w:ascii="Times New Roman" w:hAnsi="Times New Roman" w:eastAsia="宋体" w:cs="Times New Roman"/>
                <w:color w:val="auto"/>
                <w:sz w:val="24"/>
              </w:rPr>
              <w:t>t/a。</w:t>
            </w:r>
            <w:r>
              <w:rPr>
                <w:rFonts w:hint="default" w:ascii="Times New Roman" w:hAnsi="Times New Roman" w:eastAsia="宋体" w:cs="Times New Roman"/>
                <w:color w:val="auto"/>
              </w:rPr>
              <w:t>生活垃圾由校内垃圾桶收集，由校内环卫人员送至垃圾站压缩处理，</w:t>
            </w:r>
            <w:r>
              <w:rPr>
                <w:rFonts w:hint="eastAsia" w:ascii="Times New Roman" w:hAnsi="Times New Roman" w:eastAsia="宋体" w:cs="Times New Roman"/>
                <w:color w:val="auto"/>
                <w:lang w:eastAsia="zh-CN"/>
              </w:rPr>
              <w:t>之后</w:t>
            </w:r>
            <w:r>
              <w:rPr>
                <w:rFonts w:hint="default" w:ascii="Times New Roman" w:hAnsi="Times New Roman" w:eastAsia="宋体" w:cs="Times New Roman"/>
                <w:color w:val="auto"/>
              </w:rPr>
              <w:t>由环卫部门统一收集外运处理。</w:t>
            </w:r>
          </w:p>
          <w:p>
            <w:pPr>
              <w:pStyle w:val="53"/>
              <w:adjustRightInd w:val="0"/>
              <w:snapToGrid w:val="0"/>
              <w:spacing w:line="360" w:lineRule="auto"/>
              <w:ind w:firstLine="482"/>
              <w:rPr>
                <w:b/>
                <w:color w:val="auto"/>
                <w:sz w:val="24"/>
                <w:szCs w:val="21"/>
              </w:rPr>
            </w:pPr>
            <w:r>
              <w:rPr>
                <w:rFonts w:hint="eastAsia"/>
                <w:b/>
                <w:color w:val="auto"/>
                <w:sz w:val="24"/>
                <w:szCs w:val="21"/>
                <w:lang w:val="en-US" w:eastAsia="zh-CN"/>
              </w:rPr>
              <w:t>5.2</w:t>
            </w:r>
            <w:r>
              <w:rPr>
                <w:rFonts w:hint="eastAsia"/>
                <w:b/>
                <w:color w:val="auto"/>
                <w:sz w:val="24"/>
                <w:szCs w:val="21"/>
              </w:rPr>
              <w:t>影响分析</w:t>
            </w:r>
          </w:p>
          <w:p>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生活垃圾由</w:t>
            </w:r>
            <w:r>
              <w:rPr>
                <w:rFonts w:hint="eastAsia" w:cs="Times New Roman"/>
                <w:color w:val="auto"/>
                <w:sz w:val="24"/>
                <w:highlight w:val="none"/>
                <w:lang w:val="en-US" w:eastAsia="zh-CN"/>
              </w:rPr>
              <w:t>安置区内分散布置的</w:t>
            </w:r>
            <w:r>
              <w:rPr>
                <w:rFonts w:hint="default" w:ascii="Times New Roman" w:hAnsi="Times New Roman" w:eastAsia="宋体" w:cs="Times New Roman"/>
                <w:color w:val="auto"/>
                <w:sz w:val="24"/>
                <w:highlight w:val="none"/>
              </w:rPr>
              <w:t>垃圾桶收集，</w:t>
            </w:r>
            <w:r>
              <w:rPr>
                <w:rFonts w:hint="eastAsia" w:cs="Times New Roman"/>
                <w:color w:val="auto"/>
                <w:sz w:val="24"/>
                <w:highlight w:val="none"/>
                <w:lang w:val="en-US" w:eastAsia="zh-CN"/>
              </w:rPr>
              <w:t>之后由安置区内</w:t>
            </w:r>
            <w:r>
              <w:rPr>
                <w:rFonts w:hint="default" w:ascii="Times New Roman" w:hAnsi="Times New Roman" w:eastAsia="宋体" w:cs="Times New Roman"/>
                <w:color w:val="auto"/>
                <w:sz w:val="24"/>
                <w:highlight w:val="none"/>
              </w:rPr>
              <w:t>环卫人员送至</w:t>
            </w:r>
            <w:r>
              <w:rPr>
                <w:rFonts w:hint="eastAsia" w:cs="Times New Roman"/>
                <w:color w:val="auto"/>
                <w:sz w:val="24"/>
                <w:highlight w:val="none"/>
                <w:lang w:val="en-US" w:eastAsia="zh-CN"/>
              </w:rPr>
              <w:t>附件</w:t>
            </w:r>
            <w:r>
              <w:rPr>
                <w:rFonts w:hint="default" w:ascii="Times New Roman" w:hAnsi="Times New Roman" w:eastAsia="宋体" w:cs="Times New Roman"/>
                <w:color w:val="auto"/>
                <w:sz w:val="24"/>
                <w:highlight w:val="none"/>
              </w:rPr>
              <w:t>垃圾站压缩处理，</w:t>
            </w:r>
            <w:r>
              <w:rPr>
                <w:rFonts w:hint="eastAsia" w:cs="Times New Roman"/>
                <w:color w:val="auto"/>
                <w:sz w:val="24"/>
                <w:highlight w:val="none"/>
                <w:lang w:val="en-US" w:eastAsia="zh-CN"/>
              </w:rPr>
              <w:t>之后再</w:t>
            </w:r>
            <w:r>
              <w:rPr>
                <w:rFonts w:hint="default" w:ascii="Times New Roman" w:hAnsi="Times New Roman" w:eastAsia="宋体" w:cs="Times New Roman"/>
                <w:color w:val="auto"/>
                <w:sz w:val="24"/>
                <w:highlight w:val="none"/>
              </w:rPr>
              <w:t>由环卫部门统一收集外运处理，对周围环境影响很小。</w:t>
            </w:r>
          </w:p>
          <w:p>
            <w:pPr>
              <w:adjustRightInd w:val="0"/>
              <w:snapToGrid w:val="0"/>
              <w:spacing w:line="360" w:lineRule="auto"/>
              <w:ind w:firstLine="480" w:firstLineChars="200"/>
              <w:jc w:val="left"/>
              <w:rPr>
                <w:bCs/>
                <w:color w:val="auto"/>
                <w:sz w:val="24"/>
                <w:szCs w:val="21"/>
                <w:highlight w:val="none"/>
                <w:u w:val="none"/>
              </w:rPr>
            </w:pPr>
            <w:r>
              <w:rPr>
                <w:bCs/>
                <w:color w:val="auto"/>
                <w:sz w:val="24"/>
                <w:szCs w:val="21"/>
                <w:highlight w:val="none"/>
                <w:u w:val="none"/>
              </w:rPr>
              <w:t>采取上述措施后，本工程固体废物可得到妥善的处理，对周围环境造成的影响小。</w:t>
            </w:r>
          </w:p>
          <w:p>
            <w:pPr>
              <w:numPr>
                <w:ilvl w:val="0"/>
                <w:numId w:val="0"/>
              </w:numPr>
              <w:adjustRightInd w:val="0"/>
              <w:snapToGrid w:val="0"/>
              <w:spacing w:line="360" w:lineRule="auto"/>
              <w:rPr>
                <w:rFonts w:cs="宋体"/>
                <w:b/>
                <w:color w:val="auto"/>
                <w:spacing w:val="-10"/>
                <w:sz w:val="24"/>
                <w:szCs w:val="21"/>
              </w:rPr>
            </w:pPr>
            <w:r>
              <w:rPr>
                <w:rFonts w:hint="eastAsia" w:cs="宋体"/>
                <w:b/>
                <w:color w:val="auto"/>
                <w:spacing w:val="-10"/>
                <w:sz w:val="24"/>
                <w:szCs w:val="21"/>
                <w:lang w:val="en-US" w:eastAsia="zh-CN"/>
              </w:rPr>
              <w:t>6、</w:t>
            </w:r>
            <w:r>
              <w:rPr>
                <w:rFonts w:hint="eastAsia" w:cs="宋体"/>
                <w:b/>
                <w:color w:val="auto"/>
                <w:spacing w:val="-10"/>
                <w:sz w:val="24"/>
                <w:szCs w:val="21"/>
              </w:rPr>
              <w:t>环境风险</w:t>
            </w:r>
          </w:p>
          <w:p>
            <w:pPr>
              <w:adjustRightInd w:val="0"/>
              <w:snapToGrid w:val="0"/>
              <w:spacing w:line="360" w:lineRule="auto"/>
              <w:ind w:firstLine="442" w:firstLineChars="200"/>
              <w:rPr>
                <w:rFonts w:cs="宋体"/>
                <w:b/>
                <w:color w:val="auto"/>
                <w:spacing w:val="-10"/>
                <w:sz w:val="24"/>
                <w:szCs w:val="21"/>
              </w:rPr>
            </w:pPr>
            <w:r>
              <w:rPr>
                <w:rFonts w:hint="eastAsia" w:cs="宋体"/>
                <w:b/>
                <w:color w:val="auto"/>
                <w:spacing w:val="-10"/>
                <w:sz w:val="24"/>
                <w:szCs w:val="21"/>
                <w:lang w:val="en-US" w:eastAsia="zh-CN"/>
              </w:rPr>
              <w:t>6.1</w:t>
            </w:r>
            <w:r>
              <w:rPr>
                <w:rFonts w:cs="宋体"/>
                <w:b/>
                <w:color w:val="auto"/>
                <w:spacing w:val="-10"/>
                <w:sz w:val="24"/>
                <w:szCs w:val="21"/>
              </w:rPr>
              <w:t>评价依据</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1</w:t>
            </w:r>
            <w:r>
              <w:rPr>
                <w:rFonts w:hint="eastAsia"/>
                <w:bCs/>
                <w:color w:val="auto"/>
                <w:sz w:val="24"/>
                <w:szCs w:val="21"/>
                <w:u w:val="none"/>
                <w:lang w:eastAsia="zh-CN"/>
              </w:rPr>
              <w:t>）</w:t>
            </w:r>
            <w:r>
              <w:rPr>
                <w:rFonts w:hint="eastAsia"/>
                <w:bCs/>
                <w:color w:val="auto"/>
                <w:sz w:val="24"/>
                <w:szCs w:val="21"/>
                <w:u w:val="none"/>
              </w:rPr>
              <w:t xml:space="preserve"> </w:t>
            </w:r>
            <w:r>
              <w:rPr>
                <w:bCs/>
                <w:color w:val="auto"/>
                <w:sz w:val="24"/>
                <w:szCs w:val="21"/>
                <w:u w:val="none"/>
              </w:rPr>
              <w:t>风险源调查</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根据《建设项目环境风险评价技术导则》（HJ169-2018）附录B，本项目</w:t>
            </w:r>
            <w:r>
              <w:rPr>
                <w:rFonts w:hint="eastAsia"/>
                <w:bCs/>
                <w:color w:val="auto"/>
                <w:sz w:val="24"/>
                <w:szCs w:val="21"/>
                <w:u w:val="none"/>
                <w:lang w:val="en-US" w:eastAsia="zh-CN"/>
              </w:rPr>
              <w:t>主要为安置区，主要</w:t>
            </w:r>
            <w:r>
              <w:rPr>
                <w:bCs/>
                <w:color w:val="auto"/>
                <w:sz w:val="24"/>
                <w:szCs w:val="21"/>
                <w:u w:val="none"/>
              </w:rPr>
              <w:t>危险物质</w:t>
            </w:r>
            <w:r>
              <w:rPr>
                <w:rFonts w:hint="eastAsia"/>
                <w:bCs/>
                <w:color w:val="auto"/>
                <w:sz w:val="24"/>
                <w:szCs w:val="21"/>
                <w:u w:val="none"/>
                <w:lang w:val="en-US" w:eastAsia="zh-CN"/>
              </w:rPr>
              <w:t>主要</w:t>
            </w:r>
            <w:r>
              <w:rPr>
                <w:bCs/>
                <w:color w:val="auto"/>
                <w:sz w:val="24"/>
                <w:szCs w:val="21"/>
                <w:u w:val="none"/>
              </w:rPr>
              <w:t>为</w:t>
            </w:r>
            <w:r>
              <w:rPr>
                <w:rFonts w:hint="eastAsia"/>
                <w:bCs/>
                <w:color w:val="auto"/>
                <w:sz w:val="24"/>
                <w:szCs w:val="21"/>
                <w:u w:val="none"/>
                <w:lang w:val="en-US" w:eastAsia="zh-CN"/>
              </w:rPr>
              <w:t>天然气管道中的在线天然气以及居民日常可能使用的废旧电池、废弃药瓶等</w:t>
            </w:r>
            <w:r>
              <w:rPr>
                <w:bCs/>
                <w:color w:val="auto"/>
                <w:sz w:val="24"/>
                <w:szCs w:val="21"/>
                <w:u w:val="none"/>
              </w:rPr>
              <w:t>，</w:t>
            </w:r>
            <w:r>
              <w:rPr>
                <w:rFonts w:hint="eastAsia"/>
                <w:bCs/>
                <w:color w:val="auto"/>
                <w:sz w:val="24"/>
                <w:szCs w:val="21"/>
                <w:u w:val="none"/>
                <w:lang w:val="en-US" w:eastAsia="zh-CN"/>
              </w:rPr>
              <w:t>暂存量较小</w:t>
            </w:r>
            <w:r>
              <w:rPr>
                <w:bCs/>
                <w:color w:val="auto"/>
                <w:sz w:val="24"/>
                <w:szCs w:val="21"/>
                <w:u w:val="none"/>
              </w:rPr>
              <w:t>。</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eastAsia="zh-CN"/>
              </w:rPr>
              <w:t>（</w:t>
            </w:r>
            <w:r>
              <w:rPr>
                <w:rFonts w:hint="eastAsia"/>
                <w:bCs/>
                <w:color w:val="auto"/>
                <w:sz w:val="24"/>
                <w:szCs w:val="21"/>
                <w:u w:val="none"/>
                <w:lang w:val="en-US" w:eastAsia="zh-CN"/>
              </w:rPr>
              <w:t>2</w:t>
            </w:r>
            <w:r>
              <w:rPr>
                <w:rFonts w:hint="eastAsia"/>
                <w:bCs/>
                <w:color w:val="auto"/>
                <w:sz w:val="24"/>
                <w:szCs w:val="21"/>
                <w:u w:val="none"/>
                <w:lang w:eastAsia="zh-CN"/>
              </w:rPr>
              <w:t>）</w:t>
            </w:r>
            <w:r>
              <w:rPr>
                <w:bCs/>
                <w:color w:val="auto"/>
                <w:sz w:val="24"/>
                <w:szCs w:val="21"/>
                <w:u w:val="none"/>
              </w:rPr>
              <w:t>风险潜势与评价等级</w:t>
            </w:r>
          </w:p>
          <w:p>
            <w:pPr>
              <w:adjustRightInd w:val="0"/>
              <w:snapToGrid w:val="0"/>
              <w:spacing w:line="360" w:lineRule="auto"/>
              <w:ind w:firstLine="480" w:firstLineChars="200"/>
              <w:jc w:val="left"/>
              <w:rPr>
                <w:bCs/>
                <w:color w:val="auto"/>
                <w:sz w:val="24"/>
                <w:szCs w:val="21"/>
                <w:u w:val="none"/>
              </w:rPr>
            </w:pPr>
            <w:r>
              <w:rPr>
                <w:bCs/>
                <w:color w:val="auto"/>
                <w:sz w:val="24"/>
                <w:szCs w:val="21"/>
                <w:u w:val="none"/>
              </w:rPr>
              <w:t>1）风险潜势初判</w:t>
            </w:r>
          </w:p>
          <w:p>
            <w:pPr>
              <w:adjustRightInd w:val="0"/>
              <w:snapToGrid w:val="0"/>
              <w:spacing w:line="360" w:lineRule="auto"/>
              <w:ind w:firstLine="480" w:firstLineChars="200"/>
              <w:jc w:val="left"/>
              <w:rPr>
                <w:rFonts w:cs="宋体"/>
                <w:bCs/>
                <w:color w:val="auto"/>
                <w:spacing w:val="-10"/>
                <w:sz w:val="24"/>
                <w:szCs w:val="21"/>
              </w:rPr>
            </w:pPr>
            <w:r>
              <w:rPr>
                <w:bCs/>
                <w:color w:val="auto"/>
                <w:sz w:val="24"/>
                <w:szCs w:val="21"/>
                <w:u w:val="none"/>
              </w:rPr>
              <w:t>根据《建设项目环境风险评价技术导则》（HJ169-2018）附录C，危险物质及工艺系统危 险性（P）的分级，计算所涉及的每种危险物质在厂界内的最大存在总量与其在附录B中对应</w:t>
            </w:r>
            <w:r>
              <w:rPr>
                <w:rFonts w:cs="宋体"/>
                <w:bCs/>
                <w:color w:val="auto"/>
                <w:spacing w:val="-10"/>
                <w:sz w:val="24"/>
                <w:szCs w:val="21"/>
              </w:rPr>
              <w:t>临界量的比值Q。当存在的危险物质时，则按下式计算物质总量与其临界量比值Q：</w:t>
            </w:r>
          </w:p>
          <w:p>
            <w:pPr>
              <w:adjustRightInd w:val="0"/>
              <w:snapToGrid w:val="0"/>
              <w:spacing w:line="360" w:lineRule="auto"/>
              <w:ind w:firstLine="440" w:firstLineChars="200"/>
              <w:jc w:val="center"/>
              <w:rPr>
                <w:rFonts w:cs="宋体"/>
                <w:bCs/>
                <w:color w:val="auto"/>
                <w:spacing w:val="-10"/>
                <w:sz w:val="24"/>
                <w:szCs w:val="21"/>
              </w:rPr>
            </w:pPr>
            <w:r>
              <w:rPr>
                <w:rFonts w:cs="宋体"/>
                <w:bCs/>
                <w:color w:val="auto"/>
                <w:spacing w:val="-10"/>
                <w:sz w:val="24"/>
                <w:szCs w:val="21"/>
              </w:rPr>
              <w:t>Q=q1/Q1+q2/Q2+q3/Q3+ …+qn/Qn</w:t>
            </w:r>
          </w:p>
          <w:p>
            <w:pPr>
              <w:adjustRightInd w:val="0"/>
              <w:snapToGrid w:val="0"/>
              <w:spacing w:line="360" w:lineRule="auto"/>
              <w:ind w:firstLine="440" w:firstLineChars="200"/>
              <w:rPr>
                <w:rFonts w:cs="宋体"/>
                <w:bCs/>
                <w:color w:val="auto"/>
                <w:spacing w:val="-10"/>
                <w:sz w:val="24"/>
                <w:szCs w:val="21"/>
              </w:rPr>
            </w:pPr>
            <w:r>
              <w:rPr>
                <w:rFonts w:cs="宋体"/>
                <w:bCs/>
                <w:color w:val="auto"/>
                <w:spacing w:val="-10"/>
                <w:sz w:val="24"/>
                <w:szCs w:val="21"/>
              </w:rPr>
              <w:t>式中：q1,q2, …qn——每种危险物质的最大存在总量，单位为t；Q1,</w:t>
            </w:r>
            <w:r>
              <w:rPr>
                <w:rFonts w:cs="宋体"/>
                <w:bCs/>
                <w:color w:val="auto"/>
                <w:spacing w:val="-10"/>
                <w:sz w:val="24"/>
                <w:szCs w:val="21"/>
              </w:rPr>
              <w:tab/>
            </w:r>
            <w:r>
              <w:rPr>
                <w:rFonts w:cs="宋体"/>
                <w:bCs/>
                <w:color w:val="auto"/>
                <w:spacing w:val="-10"/>
                <w:sz w:val="24"/>
                <w:szCs w:val="21"/>
              </w:rPr>
              <w:t>Q2, …Qn——每种危险物质的临界量，单位为t；</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lang w:val="en-US" w:eastAsia="zh-CN"/>
              </w:rPr>
              <w:t>本项目为安置区建设项目，居民日常暂存的风险物质较少</w:t>
            </w:r>
            <w:r>
              <w:rPr>
                <w:rFonts w:hint="eastAsia" w:cs="宋体"/>
                <w:bCs/>
                <w:color w:val="auto"/>
                <w:spacing w:val="-10"/>
                <w:sz w:val="24"/>
                <w:szCs w:val="21"/>
              </w:rPr>
              <w:t>，本项目风险物质数量与临界量比值</w:t>
            </w:r>
            <w:r>
              <w:rPr>
                <w:rFonts w:hint="eastAsia" w:cs="宋体"/>
                <w:bCs/>
                <w:color w:val="auto"/>
                <w:spacing w:val="-10"/>
                <w:sz w:val="24"/>
                <w:szCs w:val="21"/>
                <w:lang w:val="en-US" w:eastAsia="zh-CN"/>
              </w:rPr>
              <w:t>直接判定为</w:t>
            </w:r>
            <w:r>
              <w:rPr>
                <w:rFonts w:hint="eastAsia" w:cs="宋体"/>
                <w:bCs/>
                <w:color w:val="auto"/>
                <w:spacing w:val="-10"/>
                <w:sz w:val="24"/>
                <w:szCs w:val="21"/>
              </w:rPr>
              <w:t xml:space="preserve"> Q＜1，项目环境风险潜势为Ⅰ级。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2）评价等级</w:t>
            </w:r>
          </w:p>
          <w:p>
            <w:pPr>
              <w:adjustRightInd w:val="0"/>
              <w:snapToGrid w:val="0"/>
              <w:spacing w:line="360" w:lineRule="auto"/>
              <w:ind w:firstLine="440" w:firstLineChars="200"/>
              <w:jc w:val="left"/>
              <w:rPr>
                <w:rFonts w:cs="宋体"/>
                <w:bCs/>
                <w:color w:val="auto"/>
                <w:spacing w:val="-10"/>
                <w:sz w:val="24"/>
                <w:szCs w:val="21"/>
              </w:rPr>
            </w:pPr>
            <w:r>
              <w:rPr>
                <w:rFonts w:hint="eastAsia" w:cs="宋体"/>
                <w:bCs/>
                <w:color w:val="auto"/>
                <w:spacing w:val="-10"/>
                <w:sz w:val="24"/>
                <w:szCs w:val="21"/>
              </w:rPr>
              <w:t>对照《建设项目环境风险评价技术导则》（HJ 169-2018），本项目环境风险潜势为Ⅰ级， 进行简单评价。</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6.2</w:t>
            </w:r>
            <w:r>
              <w:rPr>
                <w:rFonts w:hint="eastAsia" w:cs="宋体"/>
                <w:b/>
                <w:color w:val="auto"/>
                <w:spacing w:val="-10"/>
                <w:sz w:val="24"/>
                <w:szCs w:val="21"/>
              </w:rPr>
              <w:t>环境风险识别</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本项目存在的主要风险为小区内燃气泄漏等引起火灾爆炸：</w:t>
            </w:r>
          </w:p>
          <w:p>
            <w:pPr>
              <w:adjustRightInd w:val="0"/>
              <w:snapToGrid w:val="0"/>
              <w:spacing w:line="360" w:lineRule="auto"/>
              <w:ind w:firstLine="480" w:firstLineChars="200"/>
              <w:jc w:val="left"/>
              <w:rPr>
                <w:rFonts w:hint="eastAsia"/>
                <w:bCs/>
                <w:color w:val="auto"/>
                <w:sz w:val="24"/>
                <w:szCs w:val="21"/>
                <w:u w:val="none"/>
                <w:lang w:val="en-US" w:eastAsia="zh-CN"/>
              </w:rPr>
            </w:pPr>
            <w:r>
              <w:rPr>
                <w:rFonts w:hint="eastAsia"/>
                <w:bCs/>
                <w:color w:val="auto"/>
                <w:sz w:val="24"/>
                <w:szCs w:val="21"/>
                <w:u w:val="none"/>
                <w:lang w:val="en-US" w:eastAsia="zh-CN"/>
              </w:rPr>
              <w:t>发生火灾事故时，油类物质燃烧会产生 CO 等物质，并伴有烟雾产生，且灭火过程中会产生事故废水。发生油类物质泄露引起火灾可能造成大气环境及水环境污染。</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6.3</w:t>
            </w:r>
            <w:r>
              <w:rPr>
                <w:rFonts w:hint="eastAsia" w:cs="宋体"/>
                <w:b/>
                <w:color w:val="auto"/>
                <w:spacing w:val="-10"/>
                <w:sz w:val="24"/>
                <w:szCs w:val="21"/>
              </w:rPr>
              <w:t>环境风险分析</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本项目主要为安置房小区内燃气泄漏等引起火灾爆炸风险。</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由于小区内使用天然气为主要气源，故存在燃气泄露风险，可能会引起火灾爆炸。。</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6.4</w:t>
            </w:r>
            <w:r>
              <w:rPr>
                <w:rFonts w:cs="宋体"/>
                <w:b/>
                <w:color w:val="auto"/>
                <w:spacing w:val="-10"/>
                <w:sz w:val="24"/>
                <w:szCs w:val="21"/>
              </w:rPr>
              <w:t>环境风险防范措施及应急要求</w:t>
            </w:r>
          </w:p>
          <w:p>
            <w:pPr>
              <w:numPr>
                <w:ilvl w:val="0"/>
                <w:numId w:val="4"/>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 xml:space="preserve">为尽量避免火灾事故对周围环境的影响，需要采取一定的防范措施： </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 xml:space="preserve">①严格按照初步设计进行施工，厨房设置燃气泄漏保护装置。 </w:t>
            </w:r>
          </w:p>
          <w:p>
            <w:pPr>
              <w:numPr>
                <w:ilvl w:val="0"/>
                <w:numId w:val="0"/>
              </w:numPr>
              <w:adjustRightInd w:val="0"/>
              <w:snapToGrid w:val="0"/>
              <w:spacing w:line="360" w:lineRule="auto"/>
              <w:ind w:leftChars="200"/>
              <w:jc w:val="left"/>
              <w:rPr>
                <w:rFonts w:cs="宋体"/>
                <w:bCs/>
                <w:color w:val="auto"/>
                <w:spacing w:val="-10"/>
                <w:sz w:val="24"/>
                <w:szCs w:val="21"/>
              </w:rPr>
            </w:pPr>
            <w:r>
              <w:rPr>
                <w:rFonts w:hint="eastAsia"/>
                <w:bCs/>
                <w:color w:val="auto"/>
                <w:sz w:val="24"/>
                <w:szCs w:val="21"/>
                <w:u w:val="none"/>
                <w:lang w:val="en-US" w:eastAsia="zh-CN"/>
              </w:rPr>
              <w:t>②物业公司配合燃气单位定期对小区内天然气管道进行检修</w:t>
            </w:r>
          </w:p>
          <w:p>
            <w:pPr>
              <w:numPr>
                <w:ilvl w:val="0"/>
                <w:numId w:val="4"/>
              </w:numPr>
              <w:adjustRightInd w:val="0"/>
              <w:snapToGrid w:val="0"/>
              <w:spacing w:line="360" w:lineRule="auto"/>
              <w:ind w:left="0" w:firstLine="440" w:firstLineChars="200"/>
              <w:jc w:val="left"/>
              <w:rPr>
                <w:rFonts w:cs="宋体"/>
                <w:bCs/>
                <w:color w:val="auto"/>
                <w:spacing w:val="-10"/>
                <w:sz w:val="24"/>
                <w:szCs w:val="21"/>
              </w:rPr>
            </w:pPr>
            <w:r>
              <w:rPr>
                <w:rFonts w:cs="宋体"/>
                <w:bCs/>
                <w:color w:val="auto"/>
                <w:spacing w:val="-10"/>
                <w:sz w:val="24"/>
                <w:szCs w:val="21"/>
              </w:rPr>
              <w:t>环境风险应急措施</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p>
          <w:p>
            <w:pPr>
              <w:adjustRightInd w:val="0"/>
              <w:snapToGrid w:val="0"/>
              <w:spacing w:line="360" w:lineRule="auto"/>
              <w:ind w:firstLine="442" w:firstLineChars="200"/>
              <w:jc w:val="left"/>
              <w:rPr>
                <w:rFonts w:cs="宋体"/>
                <w:b/>
                <w:color w:val="auto"/>
                <w:spacing w:val="-10"/>
                <w:sz w:val="24"/>
                <w:szCs w:val="21"/>
              </w:rPr>
            </w:pPr>
            <w:r>
              <w:rPr>
                <w:rFonts w:hint="eastAsia" w:cs="宋体"/>
                <w:b/>
                <w:color w:val="auto"/>
                <w:spacing w:val="-10"/>
                <w:sz w:val="24"/>
                <w:szCs w:val="21"/>
                <w:lang w:val="en-US" w:eastAsia="zh-CN"/>
              </w:rPr>
              <w:t>6.5</w:t>
            </w:r>
            <w:r>
              <w:rPr>
                <w:rFonts w:cs="宋体"/>
                <w:b/>
                <w:color w:val="auto"/>
                <w:spacing w:val="-10"/>
                <w:sz w:val="24"/>
                <w:szCs w:val="21"/>
              </w:rPr>
              <w:t xml:space="preserve">分析结论 </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经过风险分析和评价得出结论：本项目事故风险水平较低，在进一步采取安全防范措施和事故应急预案后，基本满足国家有关环境保护和安全法规、标准的要求。项目对</w:t>
            </w:r>
            <w:r>
              <w:rPr>
                <w:rFonts w:hint="eastAsia" w:cs="宋体"/>
                <w:bCs/>
                <w:color w:val="auto"/>
                <w:spacing w:val="-10"/>
                <w:sz w:val="24"/>
                <w:szCs w:val="21"/>
                <w:lang w:val="en-US" w:eastAsia="zh-CN"/>
              </w:rPr>
              <w:t>项目区外</w:t>
            </w:r>
            <w:r>
              <w:rPr>
                <w:rFonts w:cs="宋体"/>
                <w:bCs/>
                <w:color w:val="auto"/>
                <w:spacing w:val="-10"/>
                <w:sz w:val="24"/>
                <w:szCs w:val="21"/>
              </w:rPr>
              <w:t>环境的风险影响处于可以接受的范围内，但企业仍需要提高风险管理水平和强化风险防范措施。 因此，只要严格遵守各项安全操作规程和制度，加强安全管理，本项目完工后，其生产是安全可靠的。</w:t>
            </w: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ind w:left="0" w:leftChars="0" w:firstLine="0" w:firstLineChars="0"/>
              <w:rPr>
                <w:rFonts w:ascii="宋体" w:hAnsi="宋体" w:cs="宋体"/>
                <w:bCs/>
                <w:color w:val="auto"/>
                <w:spacing w:val="-10"/>
                <w:sz w:val="24"/>
              </w:rPr>
            </w:pPr>
          </w:p>
          <w:p>
            <w:pPr>
              <w:pStyle w:val="2"/>
              <w:rPr>
                <w:rFonts w:ascii="宋体" w:hAnsi="宋体" w:cs="宋体"/>
                <w:bCs/>
                <w:color w:val="auto"/>
                <w:spacing w:val="-10"/>
                <w:sz w:val="24"/>
              </w:rPr>
            </w:pPr>
          </w:p>
        </w:tc>
      </w:tr>
    </w:tbl>
    <w:p>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pPr>
        <w:pStyle w:val="19"/>
        <w:jc w:val="center"/>
        <w:outlineLvl w:val="0"/>
        <w:rPr>
          <w:rFonts w:hint="default" w:ascii="黑体" w:hAnsi="黑体" w:eastAsia="黑体"/>
          <w:snapToGrid w:val="0"/>
          <w:color w:val="auto"/>
          <w:sz w:val="30"/>
          <w:szCs w:val="30"/>
          <w:lang w:val="en-US" w:eastAsia="zh-CN"/>
        </w:rPr>
      </w:pPr>
      <w:bookmarkStart w:id="19" w:name="_Toc17804"/>
      <w:bookmarkStart w:id="20" w:name="_Toc15561"/>
      <w:r>
        <w:rPr>
          <w:rFonts w:hint="eastAsia" w:ascii="黑体" w:hAnsi="黑体" w:eastAsia="黑体"/>
          <w:snapToGrid w:val="0"/>
          <w:color w:val="auto"/>
          <w:sz w:val="30"/>
          <w:szCs w:val="30"/>
        </w:rPr>
        <w:t>五、</w:t>
      </w:r>
      <w:r>
        <w:rPr>
          <w:rFonts w:hint="eastAsia" w:ascii="黑体" w:hAnsi="黑体" w:eastAsia="黑体"/>
          <w:snapToGrid w:val="0"/>
          <w:color w:val="auto"/>
          <w:sz w:val="30"/>
          <w:szCs w:val="30"/>
          <w:lang w:val="en-US" w:eastAsia="zh-CN"/>
        </w:rPr>
        <w:t>主要生态环境保护措施</w:t>
      </w:r>
      <w:bookmarkEnd w:id="19"/>
    </w:p>
    <w:tbl>
      <w:tblPr>
        <w:tblStyle w:val="22"/>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82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76" w:type="pct"/>
            <w:noWrap w:val="0"/>
            <w:tcMar>
              <w:left w:w="28" w:type="dxa"/>
              <w:right w:w="28" w:type="dxa"/>
            </w:tcMar>
            <w:vAlign w:val="center"/>
          </w:tcPr>
          <w:p>
            <w:pPr>
              <w:adjustRightInd w:val="0"/>
              <w:snapToGrid w:val="0"/>
              <w:jc w:val="center"/>
              <w:rPr>
                <w:rFonts w:hint="default" w:ascii="Times New Roman" w:hAnsi="Times New Roman" w:cs="Times New Roman"/>
                <w:color w:val="auto"/>
                <w:sz w:val="24"/>
                <w:szCs w:val="24"/>
              </w:rPr>
            </w:pPr>
            <w:r>
              <w:rPr>
                <w:rFonts w:hint="default" w:ascii="宋体" w:hAnsi="宋体" w:eastAsia="宋体" w:cs="宋体"/>
                <w:bCs/>
                <w:color w:val="auto"/>
                <w:sz w:val="24"/>
                <w:szCs w:val="24"/>
              </w:rPr>
              <w:t>施工期生态环境保护措施</w:t>
            </w:r>
          </w:p>
        </w:tc>
        <w:tc>
          <w:tcPr>
            <w:tcW w:w="4523" w:type="pct"/>
            <w:noWrap w:val="0"/>
            <w:vAlign w:val="top"/>
          </w:tcPr>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b w:val="0"/>
                <w:bCs w:val="0"/>
                <w:color w:val="auto"/>
                <w:sz w:val="24"/>
                <w:szCs w:val="24"/>
                <w:lang w:val="en-US" w:eastAsia="zh-CN"/>
              </w:rPr>
              <w:t>项目施工期</w:t>
            </w:r>
            <w:r>
              <w:rPr>
                <w:rFonts w:hint="eastAsia" w:cs="Times New Roman"/>
                <w:b w:val="0"/>
                <w:bCs w:val="0"/>
                <w:color w:val="auto"/>
                <w:sz w:val="24"/>
                <w:szCs w:val="24"/>
                <w:lang w:val="en-US" w:eastAsia="zh-CN"/>
              </w:rPr>
              <w:t>已结束，本次仅对其进行回顾性分析，</w:t>
            </w:r>
            <w:r>
              <w:rPr>
                <w:rFonts w:hint="eastAsia" w:ascii="Times New Roman" w:hAnsi="Times New Roman" w:cs="Times New Roman"/>
                <w:b w:val="0"/>
                <w:bCs w:val="0"/>
                <w:color w:val="auto"/>
                <w:sz w:val="24"/>
                <w:szCs w:val="24"/>
                <w:lang w:val="en-US" w:eastAsia="zh-CN"/>
              </w:rPr>
              <w:t>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476" w:type="pct"/>
            <w:noWrap w:val="0"/>
            <w:tcMar>
              <w:left w:w="28" w:type="dxa"/>
              <w:right w:w="28" w:type="dxa"/>
            </w:tcMar>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运营期生态环境保护措施</w:t>
            </w:r>
          </w:p>
        </w:tc>
        <w:tc>
          <w:tcPr>
            <w:tcW w:w="4523" w:type="pct"/>
            <w:noWrap w:val="0"/>
            <w:vAlign w:val="top"/>
          </w:tcPr>
          <w:p>
            <w:pPr>
              <w:pageBreakBefore w:val="0"/>
              <w:kinsoku/>
              <w:overflowPunct/>
              <w:bidi w:val="0"/>
              <w:spacing w:line="360" w:lineRule="auto"/>
              <w:jc w:val="left"/>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、生态环境保护措施</w:t>
            </w:r>
          </w:p>
          <w:p>
            <w:pPr>
              <w:pageBreakBefore w:val="0"/>
              <w:kinsoku/>
              <w:overflowPunct/>
              <w:bidi w:val="0"/>
              <w:spacing w:line="360" w:lineRule="auto"/>
              <w:ind w:firstLine="480" w:firstLineChars="200"/>
              <w:jc w:val="left"/>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项目运营期生态保护措施</w:t>
            </w:r>
            <w:r>
              <w:rPr>
                <w:rFonts w:hint="default" w:ascii="Times New Roman" w:hAnsi="Times New Roman" w:cs="Times New Roman"/>
                <w:b w:val="0"/>
                <w:bCs w:val="0"/>
                <w:color w:val="auto"/>
                <w:sz w:val="24"/>
                <w:szCs w:val="24"/>
                <w:lang w:val="en-US" w:eastAsia="zh-CN"/>
              </w:rPr>
              <w:t>详见</w:t>
            </w:r>
            <w:r>
              <w:rPr>
                <w:rFonts w:hint="eastAsia" w:ascii="Times New Roman" w:hAnsi="Times New Roman" w:cs="Times New Roman"/>
                <w:b w:val="0"/>
                <w:bCs w:val="0"/>
                <w:color w:val="auto"/>
                <w:sz w:val="24"/>
                <w:szCs w:val="24"/>
                <w:lang w:val="en-US" w:eastAsia="zh-CN"/>
              </w:rPr>
              <w:t>生态</w:t>
            </w:r>
            <w:r>
              <w:rPr>
                <w:rFonts w:hint="default" w:ascii="Times New Roman" w:hAnsi="Times New Roman" w:cs="Times New Roman"/>
                <w:b w:val="0"/>
                <w:bCs w:val="0"/>
                <w:color w:val="auto"/>
                <w:sz w:val="24"/>
                <w:szCs w:val="24"/>
                <w:lang w:val="en-US" w:eastAsia="zh-CN"/>
              </w:rPr>
              <w:t>环境影响</w:t>
            </w:r>
            <w:r>
              <w:rPr>
                <w:rFonts w:hint="eastAsia" w:ascii="Times New Roman" w:hAnsi="Times New Roman" w:cs="Times New Roman"/>
                <w:b w:val="0"/>
                <w:bCs w:val="0"/>
                <w:color w:val="auto"/>
                <w:sz w:val="24"/>
                <w:szCs w:val="24"/>
                <w:lang w:val="en-US" w:eastAsia="zh-CN"/>
              </w:rPr>
              <w:t>专项报告</w:t>
            </w:r>
            <w:r>
              <w:rPr>
                <w:rFonts w:hint="default" w:ascii="Times New Roman" w:hAnsi="Times New Roman" w:eastAsia="宋体" w:cs="Times New Roman"/>
                <w:b w:val="0"/>
                <w:bCs w:val="0"/>
                <w:color w:val="auto"/>
                <w:sz w:val="24"/>
                <w:szCs w:val="24"/>
                <w:lang w:val="en-US" w:eastAsia="zh-CN"/>
              </w:rPr>
              <w:t>。</w:t>
            </w:r>
          </w:p>
          <w:p>
            <w:pPr>
              <w:adjustRightInd w:val="0"/>
              <w:snapToGrid w:val="0"/>
              <w:spacing w:line="360" w:lineRule="auto"/>
              <w:jc w:val="left"/>
              <w:rPr>
                <w:rFonts w:hint="default" w:eastAsia="宋体" w:cs="宋体"/>
                <w:b/>
                <w:bCs w:val="0"/>
                <w:color w:val="auto"/>
                <w:sz w:val="24"/>
                <w:szCs w:val="21"/>
                <w:lang w:val="en-US" w:eastAsia="zh-CN"/>
              </w:rPr>
            </w:pPr>
            <w:r>
              <w:rPr>
                <w:rFonts w:hint="eastAsia" w:eastAsia="宋体" w:cs="宋体"/>
                <w:b/>
                <w:bCs w:val="0"/>
                <w:color w:val="auto"/>
                <w:sz w:val="24"/>
                <w:szCs w:val="21"/>
                <w:lang w:val="en-US" w:eastAsia="zh-CN"/>
              </w:rPr>
              <w:t>2、废气环境保护措施</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①油烟</w:t>
            </w:r>
          </w:p>
          <w:p>
            <w:pPr>
              <w:adjustRightInd w:val="0"/>
              <w:snapToGrid w:val="0"/>
              <w:spacing w:line="360" w:lineRule="auto"/>
              <w:ind w:firstLine="440" w:firstLineChars="200"/>
              <w:jc w:val="left"/>
              <w:rPr>
                <w:rFonts w:hint="default" w:ascii="Times New Roman" w:hAnsi="Times New Roman" w:eastAsia="宋体" w:cs="宋体"/>
                <w:bCs/>
                <w:color w:val="auto"/>
                <w:spacing w:val="-10"/>
                <w:sz w:val="24"/>
                <w:szCs w:val="21"/>
                <w:lang w:val="en-US" w:eastAsia="zh-CN"/>
              </w:rPr>
            </w:pPr>
            <w:r>
              <w:rPr>
                <w:rFonts w:hint="eastAsia" w:ascii="Times New Roman" w:hAnsi="Times New Roman" w:eastAsia="宋体" w:cs="宋体"/>
                <w:bCs/>
                <w:color w:val="auto"/>
                <w:spacing w:val="-10"/>
                <w:sz w:val="24"/>
                <w:szCs w:val="21"/>
                <w:lang w:eastAsia="zh-CN"/>
              </w:rPr>
              <w:t>于</w:t>
            </w:r>
            <w:r>
              <w:rPr>
                <w:rFonts w:hint="eastAsia" w:ascii="Times New Roman" w:hAnsi="Times New Roman" w:eastAsia="宋体" w:cs="宋体"/>
                <w:bCs/>
                <w:color w:val="auto"/>
                <w:spacing w:val="-10"/>
                <w:sz w:val="24"/>
                <w:szCs w:val="21"/>
                <w:lang w:val="en-US" w:eastAsia="zh-CN"/>
              </w:rPr>
              <w:t>家庭用房</w:t>
            </w:r>
            <w:r>
              <w:rPr>
                <w:rFonts w:hint="eastAsia" w:ascii="Times New Roman" w:hAnsi="Times New Roman" w:eastAsia="宋体" w:cs="宋体"/>
                <w:bCs/>
                <w:color w:val="auto"/>
                <w:spacing w:val="-10"/>
                <w:sz w:val="24"/>
                <w:szCs w:val="21"/>
                <w:lang w:eastAsia="zh-CN"/>
              </w:rPr>
              <w:t>内厨房油烟产生量较小，</w:t>
            </w:r>
            <w:r>
              <w:rPr>
                <w:rFonts w:hint="eastAsia" w:ascii="Times New Roman" w:hAnsi="Times New Roman" w:eastAsia="宋体" w:cs="宋体"/>
                <w:bCs/>
                <w:color w:val="auto"/>
                <w:spacing w:val="-10"/>
                <w:sz w:val="24"/>
                <w:szCs w:val="21"/>
                <w:lang w:val="en-US" w:eastAsia="zh-CN"/>
              </w:rPr>
              <w:t>且用户均会安装符合要求的油烟净化器，少量油烟经净化器处理后</w:t>
            </w:r>
            <w:r>
              <w:rPr>
                <w:rFonts w:hint="default" w:ascii="Times New Roman" w:hAnsi="Times New Roman" w:eastAsia="宋体" w:cs="宋体"/>
                <w:bCs/>
                <w:color w:val="auto"/>
                <w:spacing w:val="-10"/>
                <w:sz w:val="24"/>
                <w:szCs w:val="21"/>
              </w:rPr>
              <w:t>可以达到《饮食业油烟排放标准</w:t>
            </w:r>
            <w:r>
              <w:rPr>
                <w:rFonts w:hint="default" w:ascii="Times New Roman" w:hAnsi="Times New Roman" w:eastAsia="宋体" w:cs="宋体"/>
                <w:bCs/>
                <w:color w:val="auto"/>
                <w:spacing w:val="-10"/>
                <w:sz w:val="24"/>
                <w:szCs w:val="21"/>
                <w:lang w:val="en-US" w:eastAsia="zh-CN"/>
              </w:rPr>
              <w:t>（试行）》（GB18483-2001）要求</w:t>
            </w:r>
            <w:r>
              <w:rPr>
                <w:rFonts w:hint="eastAsia" w:ascii="Times New Roman" w:hAnsi="Times New Roman" w:eastAsia="宋体" w:cs="宋体"/>
                <w:bCs/>
                <w:color w:val="auto"/>
                <w:spacing w:val="-10"/>
                <w:sz w:val="24"/>
                <w:szCs w:val="21"/>
                <w:lang w:val="en-US" w:eastAsia="zh-CN"/>
              </w:rPr>
              <w:t>。</w:t>
            </w:r>
          </w:p>
          <w:p>
            <w:pPr>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②汽车尾气</w:t>
            </w:r>
          </w:p>
          <w:p>
            <w:pPr>
              <w:spacing w:line="360" w:lineRule="auto"/>
              <w:ind w:firstLine="480" w:firstLineChars="200"/>
              <w:jc w:val="left"/>
              <w:rPr>
                <w:rFonts w:hint="eastAsia" w:eastAsia="宋体"/>
                <w:color w:val="auto"/>
                <w:sz w:val="24"/>
                <w:lang w:eastAsia="zh-CN"/>
              </w:rPr>
            </w:pPr>
            <w:r>
              <w:rPr>
                <w:rFonts w:hint="eastAsia"/>
                <w:color w:val="auto"/>
                <w:sz w:val="24"/>
                <w:lang w:val="en-US" w:eastAsia="zh-CN"/>
              </w:rPr>
              <w:t>项目周边空气流通性较好，同时项目安置区内</w:t>
            </w:r>
            <w:r>
              <w:rPr>
                <w:rFonts w:hint="eastAsia"/>
                <w:color w:val="auto"/>
                <w:sz w:val="24"/>
              </w:rPr>
              <w:t>加强绿化，种植一些对</w:t>
            </w:r>
            <w:r>
              <w:rPr>
                <w:rFonts w:hAnsi="宋体"/>
                <w:color w:val="auto"/>
                <w:sz w:val="24"/>
              </w:rPr>
              <w:t>有害气体吸收能力较强的树木</w:t>
            </w:r>
            <w:r>
              <w:rPr>
                <w:rFonts w:hint="eastAsia" w:hAnsi="宋体"/>
                <w:color w:val="auto"/>
                <w:sz w:val="24"/>
              </w:rPr>
              <w:t>，可进一步减小尾气产生量</w:t>
            </w:r>
            <w:r>
              <w:rPr>
                <w:rFonts w:hint="eastAsia" w:hAnsi="宋体"/>
                <w:color w:val="auto"/>
                <w:sz w:val="24"/>
                <w:lang w:eastAsia="zh-CN"/>
              </w:rPr>
              <w:t>。</w:t>
            </w:r>
          </w:p>
          <w:p>
            <w:pPr>
              <w:spacing w:line="360" w:lineRule="auto"/>
              <w:ind w:firstLine="480" w:firstLineChars="200"/>
              <w:jc w:val="left"/>
              <w:rPr>
                <w:rFonts w:hint="default" w:ascii="Times New Roman" w:hAnsi="宋体" w:eastAsia="宋体" w:cs="Times New Roman"/>
                <w:color w:val="auto"/>
                <w:sz w:val="24"/>
              </w:rPr>
            </w:pPr>
            <w:r>
              <w:rPr>
                <w:rFonts w:hint="default" w:ascii="Times New Roman" w:hAnsi="宋体" w:eastAsia="宋体" w:cs="Times New Roman"/>
                <w:color w:val="auto"/>
                <w:sz w:val="24"/>
              </w:rPr>
              <w:t>③恶臭</w:t>
            </w:r>
          </w:p>
          <w:p>
            <w:pPr>
              <w:spacing w:line="360" w:lineRule="auto"/>
              <w:ind w:firstLine="480" w:firstLineChars="200"/>
              <w:jc w:val="left"/>
              <w:rPr>
                <w:rFonts w:hint="default" w:ascii="Times New Roman" w:hAnsi="宋体" w:eastAsia="宋体" w:cs="Times New Roman"/>
                <w:color w:val="auto"/>
                <w:sz w:val="24"/>
              </w:rPr>
            </w:pPr>
            <w:r>
              <w:rPr>
                <w:rFonts w:hint="eastAsia" w:ascii="Times New Roman" w:hAnsi="宋体" w:eastAsia="宋体" w:cs="Times New Roman"/>
                <w:color w:val="auto"/>
                <w:sz w:val="24"/>
              </w:rPr>
              <w:t>由于</w:t>
            </w:r>
            <w:r>
              <w:rPr>
                <w:rFonts w:hint="eastAsia" w:ascii="Times New Roman" w:hAnsi="宋体" w:eastAsia="宋体" w:cs="Times New Roman"/>
                <w:color w:val="auto"/>
                <w:sz w:val="24"/>
                <w:lang w:val="en-US" w:eastAsia="zh-CN"/>
              </w:rPr>
              <w:t>安置区内垃圾桶体量较小且分布</w:t>
            </w:r>
            <w:r>
              <w:rPr>
                <w:rFonts w:hint="eastAsia" w:ascii="Times New Roman" w:hAnsi="宋体" w:eastAsia="宋体" w:cs="Times New Roman"/>
                <w:color w:val="auto"/>
                <w:sz w:val="24"/>
                <w:lang w:eastAsia="zh-CN"/>
              </w:rPr>
              <w:t>相对分散，</w:t>
            </w:r>
            <w:r>
              <w:rPr>
                <w:rFonts w:hint="eastAsia" w:ascii="Times New Roman" w:hAnsi="宋体" w:eastAsia="宋体" w:cs="Times New Roman"/>
                <w:color w:val="auto"/>
                <w:sz w:val="24"/>
                <w:lang w:val="en-US" w:eastAsia="zh-CN"/>
              </w:rPr>
              <w:t>安置区内物业人员及时清理清运</w:t>
            </w:r>
            <w:r>
              <w:rPr>
                <w:rFonts w:hint="eastAsia" w:ascii="Times New Roman" w:hAnsi="宋体" w:eastAsia="宋体" w:cs="Times New Roman"/>
                <w:color w:val="auto"/>
                <w:sz w:val="24"/>
              </w:rPr>
              <w:t>，本项目</w:t>
            </w:r>
            <w:r>
              <w:rPr>
                <w:rFonts w:hint="eastAsia" w:ascii="Times New Roman" w:hAnsi="宋体" w:eastAsia="宋体" w:cs="Times New Roman"/>
                <w:color w:val="auto"/>
                <w:sz w:val="24"/>
                <w:lang w:val="en-US" w:eastAsia="zh-CN"/>
              </w:rPr>
              <w:t>恶臭</w:t>
            </w:r>
            <w:r>
              <w:rPr>
                <w:rFonts w:hint="eastAsia" w:ascii="Times New Roman" w:hAnsi="宋体" w:eastAsia="宋体" w:cs="Times New Roman"/>
                <w:color w:val="auto"/>
                <w:sz w:val="24"/>
              </w:rPr>
              <w:t>污染物浓度较低</w:t>
            </w:r>
            <w:r>
              <w:rPr>
                <w:rFonts w:hint="eastAsia" w:ascii="Times New Roman" w:hAnsi="宋体" w:eastAsia="宋体" w:cs="Times New Roman"/>
                <w:color w:val="auto"/>
                <w:sz w:val="24"/>
                <w:lang w:eastAsia="zh-CN"/>
              </w:rPr>
              <w:t>，</w:t>
            </w:r>
            <w:r>
              <w:rPr>
                <w:rFonts w:hint="eastAsia" w:ascii="Times New Roman" w:hAnsi="Times New Roman" w:eastAsia="宋体" w:cs="宋体"/>
                <w:bCs/>
                <w:color w:val="auto"/>
                <w:spacing w:val="-10"/>
                <w:sz w:val="24"/>
                <w:szCs w:val="21"/>
                <w:lang w:val="en-US" w:eastAsia="zh-CN"/>
              </w:rPr>
              <w:t>经周边大气环境稀释后对周边环境影响较小</w:t>
            </w:r>
            <w:r>
              <w:rPr>
                <w:rFonts w:hint="eastAsia" w:ascii="Times New Roman" w:hAnsi="宋体" w:eastAsia="宋体" w:cs="Times New Roman"/>
                <w:color w:val="auto"/>
                <w:sz w:val="24"/>
              </w:rPr>
              <w:t>。</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3、</w:t>
            </w:r>
            <w:r>
              <w:rPr>
                <w:rFonts w:hint="eastAsia" w:cs="宋体"/>
                <w:b/>
                <w:color w:val="auto"/>
                <w:spacing w:val="-10"/>
                <w:sz w:val="24"/>
                <w:szCs w:val="21"/>
              </w:rPr>
              <w:t>废水环境影响分析</w:t>
            </w:r>
          </w:p>
          <w:p>
            <w:pPr>
              <w:pStyle w:val="49"/>
              <w:spacing w:line="360" w:lineRule="auto"/>
              <w:ind w:firstLine="482" w:firstLineChars="200"/>
              <w:jc w:val="left"/>
              <w:rPr>
                <w:rFonts w:hint="eastAsia" w:ascii="Times New Roman" w:hAnsi="Times New Roman" w:eastAsia="宋体" w:cs="宋体"/>
                <w:b/>
                <w:bCs/>
                <w:color w:val="auto"/>
                <w:sz w:val="24"/>
                <w:szCs w:val="21"/>
                <w:lang w:val="en-US" w:eastAsia="zh-CN"/>
              </w:rPr>
            </w:pPr>
            <w:r>
              <w:rPr>
                <w:rFonts w:hint="eastAsia" w:ascii="Times New Roman" w:hAnsi="Times New Roman" w:eastAsia="宋体" w:cs="宋体"/>
                <w:b/>
                <w:bCs/>
                <w:color w:val="auto"/>
                <w:sz w:val="24"/>
                <w:szCs w:val="21"/>
                <w:lang w:val="en-US" w:eastAsia="zh-CN"/>
              </w:rPr>
              <w:t>3.1废水污染防治措施</w:t>
            </w:r>
          </w:p>
          <w:p>
            <w:pPr>
              <w:adjustRightInd w:val="0"/>
              <w:snapToGrid w:val="0"/>
              <w:spacing w:line="360" w:lineRule="auto"/>
              <w:ind w:firstLine="468" w:firstLineChars="200"/>
              <w:jc w:val="left"/>
              <w:rPr>
                <w:rFonts w:hint="eastAsia" w:ascii="Times New Roman" w:hAnsi="Times New Roman" w:eastAsia="宋体" w:cs="Times New Roman"/>
                <w:color w:val="auto"/>
              </w:rPr>
            </w:pPr>
            <w:r>
              <w:rPr>
                <w:rFonts w:hint="eastAsia"/>
                <w:color w:val="auto"/>
                <w:spacing w:val="-3"/>
                <w:sz w:val="24"/>
                <w:szCs w:val="24"/>
              </w:rPr>
              <w:t>本项目生活污水经化粪池处理后</w:t>
            </w:r>
            <w:r>
              <w:rPr>
                <w:rFonts w:hint="eastAsia"/>
                <w:color w:val="auto"/>
                <w:spacing w:val="-3"/>
                <w:sz w:val="24"/>
                <w:szCs w:val="24"/>
                <w:lang w:val="en-US" w:eastAsia="zh-CN"/>
              </w:rPr>
              <w:t>达到</w:t>
            </w:r>
            <w:r>
              <w:rPr>
                <w:color w:val="auto"/>
                <w:sz w:val="24"/>
                <w:lang w:val="en-US" w:eastAsia="zh-CN"/>
              </w:rPr>
              <w:t>华容县团洲乡</w:t>
            </w:r>
            <w:r>
              <w:rPr>
                <w:rFonts w:hint="eastAsia"/>
                <w:color w:val="auto"/>
                <w:sz w:val="24"/>
                <w:lang w:val="en-US" w:eastAsia="zh-CN"/>
              </w:rPr>
              <w:t>团洲新村</w:t>
            </w:r>
            <w:r>
              <w:rPr>
                <w:color w:val="auto"/>
                <w:sz w:val="24"/>
                <w:lang w:val="en-US" w:eastAsia="zh-CN"/>
              </w:rPr>
              <w:t>污水处理厂</w:t>
            </w:r>
            <w:r>
              <w:rPr>
                <w:rFonts w:hint="eastAsia"/>
                <w:color w:val="auto"/>
                <w:sz w:val="24"/>
                <w:lang w:val="en-US" w:eastAsia="zh-CN"/>
              </w:rPr>
              <w:t>进水水质标准后</w:t>
            </w:r>
            <w:r>
              <w:rPr>
                <w:rFonts w:hint="eastAsia"/>
                <w:color w:val="auto"/>
                <w:sz w:val="24"/>
              </w:rPr>
              <w:t>经</w:t>
            </w:r>
            <w:r>
              <w:rPr>
                <w:rFonts w:hint="eastAsia"/>
                <w:color w:val="auto"/>
                <w:sz w:val="24"/>
                <w:lang w:val="en-US" w:eastAsia="zh-CN"/>
              </w:rPr>
              <w:t>市政</w:t>
            </w:r>
            <w:r>
              <w:rPr>
                <w:rFonts w:hint="eastAsia"/>
                <w:color w:val="auto"/>
                <w:sz w:val="24"/>
              </w:rPr>
              <w:t>污水管网收集后</w:t>
            </w:r>
            <w:r>
              <w:rPr>
                <w:rFonts w:hint="eastAsia"/>
                <w:color w:val="auto"/>
                <w:sz w:val="24"/>
                <w:lang w:val="en-US" w:eastAsia="zh-CN"/>
              </w:rPr>
              <w:t>排入华</w:t>
            </w:r>
            <w:r>
              <w:rPr>
                <w:color w:val="auto"/>
                <w:sz w:val="24"/>
                <w:lang w:val="en-US" w:eastAsia="zh-CN"/>
              </w:rPr>
              <w:t>容县团洲乡污水处理厂</w:t>
            </w:r>
            <w:r>
              <w:rPr>
                <w:rFonts w:hint="eastAsia"/>
                <w:color w:val="auto"/>
                <w:sz w:val="24"/>
              </w:rPr>
              <w:t>进行深度处理</w:t>
            </w:r>
            <w:r>
              <w:rPr>
                <w:rFonts w:hint="eastAsia"/>
                <w:color w:val="auto"/>
                <w:sz w:val="24"/>
                <w:lang w:eastAsia="zh-CN"/>
              </w:rPr>
              <w:t>，</w:t>
            </w:r>
            <w:r>
              <w:rPr>
                <w:rFonts w:hint="eastAsia"/>
                <w:color w:val="auto"/>
                <w:sz w:val="24"/>
                <w:lang w:val="en-US" w:eastAsia="zh-CN"/>
              </w:rPr>
              <w:t>经处理</w:t>
            </w:r>
            <w:r>
              <w:rPr>
                <w:rFonts w:hint="eastAsia"/>
                <w:color w:val="auto"/>
                <w:sz w:val="24"/>
              </w:rPr>
              <w:t>排水水质达《城镇污水处理厂污染物排放标准》（GB</w:t>
            </w:r>
            <w:r>
              <w:rPr>
                <w:rFonts w:hint="eastAsia"/>
                <w:color w:val="auto"/>
                <w:sz w:val="24"/>
                <w:lang w:val="en-US" w:eastAsia="zh-CN"/>
              </w:rPr>
              <w:t xml:space="preserve"> </w:t>
            </w:r>
            <w:r>
              <w:rPr>
                <w:rFonts w:hint="eastAsia"/>
                <w:color w:val="auto"/>
                <w:sz w:val="24"/>
              </w:rPr>
              <w:t>18918-2002）</w:t>
            </w:r>
            <w:r>
              <w:rPr>
                <w:rFonts w:hint="eastAsia" w:eastAsia="宋体"/>
                <w:color w:val="auto"/>
                <w:sz w:val="24"/>
              </w:rPr>
              <w:t>一级A标准后</w:t>
            </w:r>
            <w:r>
              <w:rPr>
                <w:rFonts w:hint="eastAsia" w:ascii="Times New Roman" w:hAnsi="Times New Roman" w:eastAsia="宋体" w:cs="宋体"/>
                <w:bCs/>
                <w:i w:val="0"/>
                <w:iCs w:val="0"/>
                <w:color w:val="auto"/>
                <w:sz w:val="24"/>
                <w:szCs w:val="21"/>
                <w:u w:val="none"/>
                <w:lang w:val="en-US" w:eastAsia="zh-CN"/>
              </w:rPr>
              <w:t>回用。</w:t>
            </w:r>
          </w:p>
          <w:p>
            <w:pPr>
              <w:pStyle w:val="53"/>
              <w:adjustRightInd w:val="0"/>
              <w:snapToGrid w:val="0"/>
              <w:spacing w:line="360" w:lineRule="auto"/>
              <w:ind w:firstLine="482"/>
              <w:jc w:val="left"/>
              <w:rPr>
                <w:rFonts w:hint="eastAsia"/>
                <w:b/>
                <w:bCs/>
                <w:color w:val="auto"/>
                <w:sz w:val="24"/>
                <w:highlight w:val="none"/>
              </w:rPr>
            </w:pPr>
            <w:r>
              <w:rPr>
                <w:rFonts w:hint="eastAsia"/>
                <w:b/>
                <w:bCs/>
                <w:color w:val="auto"/>
                <w:sz w:val="24"/>
                <w:highlight w:val="none"/>
                <w:lang w:val="en-US" w:eastAsia="zh-CN"/>
              </w:rPr>
              <w:t>3.2</w:t>
            </w:r>
            <w:r>
              <w:rPr>
                <w:rFonts w:hint="eastAsia"/>
                <w:b/>
                <w:bCs/>
                <w:color w:val="auto"/>
                <w:sz w:val="24"/>
                <w:highlight w:val="none"/>
              </w:rPr>
              <w:t>废水处理设施可行性分析</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生活污水经化粪池处理后可达华容县团洲乡团洲新村污水处理厂进水水质标准，之后进入市政污水管网，由华容县团洲乡团洲新村污水处理厂处理达标后回用，项目废水污染物对环境影响较小。</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团洲乡团洲新村污水处理厂位于团洲乡的东南部，南电排渠的西侧，设计日处理能力为</w:t>
            </w:r>
            <w:r>
              <w:rPr>
                <w:rFonts w:hint="eastAsia" w:cs="宋体"/>
                <w:bCs/>
                <w:i w:val="0"/>
                <w:iCs w:val="0"/>
                <w:color w:val="auto"/>
                <w:sz w:val="24"/>
                <w:szCs w:val="21"/>
                <w:u w:val="none"/>
                <w:lang w:val="en-US" w:eastAsia="zh-CN"/>
              </w:rPr>
              <w:t>3</w:t>
            </w:r>
            <w:r>
              <w:rPr>
                <w:rFonts w:hint="eastAsia" w:ascii="Times New Roman" w:hAnsi="Times New Roman" w:eastAsia="宋体" w:cs="宋体"/>
                <w:bCs/>
                <w:i w:val="0"/>
                <w:iCs w:val="0"/>
                <w:color w:val="auto"/>
                <w:sz w:val="24"/>
                <w:szCs w:val="21"/>
                <w:u w:val="none"/>
                <w:lang w:val="en-US" w:eastAsia="zh-CN"/>
              </w:rPr>
              <w:t>00吨/天，该厂拟采用“预处理+生化处理（A²/O工艺）+深度处理（砂滤、消毒）”的工艺流程，确保出水水质达到《城镇污水处理厂污染物排放标准》中的一级A类排放标准。同时配备污水回用系统，污水经处理后回用于厂区绿化灌溉或道路冲洗，提高了水资源利用率。</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该污水处理厂为配套华容县团洲垸灾后重建安置房建设项目</w:t>
            </w:r>
            <w:r>
              <w:rPr>
                <w:rFonts w:hint="eastAsia" w:cs="宋体"/>
                <w:bCs/>
                <w:i w:val="0"/>
                <w:iCs w:val="0"/>
                <w:color w:val="auto"/>
                <w:sz w:val="24"/>
                <w:szCs w:val="21"/>
                <w:u w:val="none"/>
                <w:lang w:val="en-US" w:eastAsia="zh-CN"/>
              </w:rPr>
              <w:t>而建设，</w:t>
            </w:r>
            <w:r>
              <w:rPr>
                <w:rFonts w:hint="eastAsia" w:ascii="Times New Roman" w:hAnsi="Times New Roman" w:eastAsia="宋体" w:cs="宋体"/>
                <w:bCs/>
                <w:i w:val="0"/>
                <w:iCs w:val="0"/>
                <w:color w:val="auto"/>
                <w:sz w:val="24"/>
                <w:szCs w:val="21"/>
                <w:u w:val="none"/>
                <w:lang w:val="en-US" w:eastAsia="zh-CN"/>
              </w:rPr>
              <w:t>本项目所在地属于该污水处理厂的纳污范围，且区域内污水管网已经铺设完成，</w:t>
            </w:r>
            <w:r>
              <w:rPr>
                <w:rFonts w:hint="eastAsia" w:cs="宋体"/>
                <w:bCs/>
                <w:i w:val="0"/>
                <w:iCs w:val="0"/>
                <w:color w:val="auto"/>
                <w:sz w:val="24"/>
                <w:szCs w:val="21"/>
                <w:u w:val="none"/>
                <w:lang w:val="en-US" w:eastAsia="zh-CN"/>
              </w:rPr>
              <w:t>污水处理厂预计可于今年下半年建成运行，与本项目交房日期同步，</w:t>
            </w:r>
            <w:r>
              <w:rPr>
                <w:rFonts w:hint="eastAsia" w:ascii="Times New Roman" w:hAnsi="Times New Roman" w:eastAsia="宋体" w:cs="宋体"/>
                <w:bCs/>
                <w:i w:val="0"/>
                <w:iCs w:val="0"/>
                <w:color w:val="auto"/>
                <w:sz w:val="24"/>
                <w:szCs w:val="21"/>
                <w:u w:val="none"/>
                <w:lang w:val="en-US" w:eastAsia="zh-CN"/>
              </w:rPr>
              <w:t>因此项目废水可接入该污水处理厂</w:t>
            </w:r>
            <w:r>
              <w:rPr>
                <w:rFonts w:hint="eastAsia" w:cs="宋体"/>
                <w:bCs/>
                <w:i w:val="0"/>
                <w:iCs w:val="0"/>
                <w:color w:val="auto"/>
                <w:sz w:val="24"/>
                <w:szCs w:val="21"/>
                <w:u w:val="none"/>
                <w:lang w:val="en-US" w:eastAsia="zh-CN"/>
              </w:rPr>
              <w:t>；污水处理厂日处理3</w:t>
            </w:r>
            <w:r>
              <w:rPr>
                <w:rFonts w:hint="eastAsia" w:ascii="Times New Roman" w:hAnsi="Times New Roman" w:eastAsia="宋体" w:cs="宋体"/>
                <w:bCs/>
                <w:i w:val="0"/>
                <w:iCs w:val="0"/>
                <w:color w:val="auto"/>
                <w:sz w:val="24"/>
                <w:szCs w:val="21"/>
                <w:u w:val="none"/>
                <w:lang w:val="en-US" w:eastAsia="zh-CN"/>
              </w:rPr>
              <w:t>00吨/天</w:t>
            </w:r>
            <w:r>
              <w:rPr>
                <w:rFonts w:hint="eastAsia" w:cs="宋体"/>
                <w:bCs/>
                <w:i w:val="0"/>
                <w:iCs w:val="0"/>
                <w:color w:val="auto"/>
                <w:sz w:val="24"/>
                <w:szCs w:val="21"/>
                <w:u w:val="none"/>
                <w:lang w:val="en-US" w:eastAsia="zh-CN"/>
              </w:rPr>
              <w:t>，本项目日污水量仅为80</w:t>
            </w:r>
            <w:r>
              <w:rPr>
                <w:rFonts w:hint="eastAsia" w:ascii="Times New Roman" w:hAnsi="Times New Roman" w:eastAsia="宋体" w:cs="宋体"/>
                <w:bCs/>
                <w:i w:val="0"/>
                <w:iCs w:val="0"/>
                <w:color w:val="auto"/>
                <w:sz w:val="24"/>
                <w:szCs w:val="21"/>
                <w:u w:val="none"/>
                <w:lang w:val="en-US" w:eastAsia="zh-CN"/>
              </w:rPr>
              <w:t>吨/天</w:t>
            </w:r>
            <w:r>
              <w:rPr>
                <w:rFonts w:hint="eastAsia" w:cs="宋体"/>
                <w:bCs/>
                <w:i w:val="0"/>
                <w:iCs w:val="0"/>
                <w:color w:val="auto"/>
                <w:sz w:val="24"/>
                <w:szCs w:val="21"/>
                <w:u w:val="none"/>
                <w:lang w:val="en-US" w:eastAsia="zh-CN"/>
              </w:rPr>
              <w:t>，该污水处理厂可有效接纳本项目污水</w:t>
            </w:r>
            <w:r>
              <w:rPr>
                <w:rFonts w:hint="eastAsia" w:ascii="Times New Roman" w:hAnsi="Times New Roman" w:eastAsia="宋体" w:cs="宋体"/>
                <w:bCs/>
                <w:i w:val="0"/>
                <w:iCs w:val="0"/>
                <w:color w:val="auto"/>
                <w:sz w:val="24"/>
                <w:szCs w:val="21"/>
                <w:u w:val="none"/>
                <w:lang w:val="en-US" w:eastAsia="zh-CN"/>
              </w:rPr>
              <w:t>。因此，本项目废水纳入该污水处理厂处理是可行的。</w:t>
            </w:r>
          </w:p>
          <w:p>
            <w:pPr>
              <w:adjustRightInd w:val="0"/>
              <w:snapToGrid w:val="0"/>
              <w:spacing w:line="360" w:lineRule="auto"/>
              <w:ind w:firstLine="480" w:firstLineChars="200"/>
              <w:jc w:val="left"/>
              <w:rPr>
                <w:rFonts w:hint="eastAsia"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综上所述，本项目废水处理措施是可行的。</w:t>
            </w:r>
          </w:p>
          <w:p>
            <w:pPr>
              <w:numPr>
                <w:ilvl w:val="0"/>
                <w:numId w:val="0"/>
              </w:numPr>
              <w:adjustRightInd w:val="0"/>
              <w:snapToGrid w:val="0"/>
              <w:spacing w:line="360" w:lineRule="auto"/>
              <w:jc w:val="left"/>
              <w:rPr>
                <w:rFonts w:hint="default" w:eastAsia="宋体" w:cs="宋体"/>
                <w:b/>
                <w:color w:val="auto"/>
                <w:spacing w:val="-10"/>
                <w:sz w:val="24"/>
                <w:szCs w:val="21"/>
                <w:lang w:val="en-US" w:eastAsia="zh-CN"/>
              </w:rPr>
            </w:pPr>
            <w:r>
              <w:rPr>
                <w:rFonts w:hint="eastAsia" w:cs="宋体"/>
                <w:b/>
                <w:color w:val="auto"/>
                <w:spacing w:val="-10"/>
                <w:sz w:val="24"/>
                <w:szCs w:val="21"/>
                <w:lang w:val="en-US" w:eastAsia="zh-CN"/>
              </w:rPr>
              <w:t>4、</w:t>
            </w:r>
            <w:r>
              <w:rPr>
                <w:rFonts w:hint="eastAsia" w:cs="宋体"/>
                <w:b/>
                <w:color w:val="auto"/>
                <w:spacing w:val="-10"/>
                <w:sz w:val="24"/>
                <w:szCs w:val="21"/>
              </w:rPr>
              <w:t>声环境</w:t>
            </w:r>
            <w:r>
              <w:rPr>
                <w:rFonts w:hint="eastAsia" w:cs="宋体"/>
                <w:b/>
                <w:color w:val="auto"/>
                <w:spacing w:val="-10"/>
                <w:sz w:val="24"/>
                <w:szCs w:val="21"/>
                <w:lang w:val="en-US" w:eastAsia="zh-CN"/>
              </w:rPr>
              <w:t>保护措施</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1</w:t>
            </w:r>
            <w:r>
              <w:rPr>
                <w:rFonts w:hint="default" w:ascii="Times New Roman" w:hAnsi="Times New Roman" w:eastAsia="宋体" w:cs="宋体"/>
                <w:bCs/>
                <w:i w:val="0"/>
                <w:iCs w:val="0"/>
                <w:color w:val="auto"/>
                <w:sz w:val="24"/>
                <w:szCs w:val="21"/>
                <w:u w:val="none"/>
                <w:lang w:val="en-US" w:eastAsia="zh-CN"/>
              </w:rPr>
              <w:t>）地面设备噪声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变配电室位于场地西南角，采用吸声、基础减震等措施，通过建筑物隔声后，对外界影响较小，不会影响到校区的正常运行。少量</w:t>
            </w:r>
            <w:r>
              <w:rPr>
                <w:rFonts w:hint="default" w:ascii="Times New Roman" w:hAnsi="Times New Roman" w:eastAsia="宋体" w:cs="宋体"/>
                <w:bCs/>
                <w:i w:val="0"/>
                <w:iCs w:val="0"/>
                <w:color w:val="auto"/>
                <w:sz w:val="24"/>
                <w:szCs w:val="21"/>
                <w:u w:val="none"/>
                <w:lang w:val="en-US" w:eastAsia="zh-CN"/>
              </w:rPr>
              <w:t>空调</w:t>
            </w:r>
            <w:r>
              <w:rPr>
                <w:rFonts w:hint="eastAsia" w:ascii="Times New Roman" w:hAnsi="Times New Roman" w:eastAsia="宋体" w:cs="宋体"/>
                <w:bCs/>
                <w:i w:val="0"/>
                <w:iCs w:val="0"/>
                <w:color w:val="auto"/>
                <w:sz w:val="24"/>
                <w:szCs w:val="21"/>
                <w:u w:val="none"/>
                <w:lang w:val="en-US" w:eastAsia="zh-CN"/>
              </w:rPr>
              <w:t>外机</w:t>
            </w:r>
            <w:r>
              <w:rPr>
                <w:rFonts w:hint="default" w:ascii="Times New Roman" w:hAnsi="Times New Roman" w:eastAsia="宋体" w:cs="宋体"/>
                <w:bCs/>
                <w:i w:val="0"/>
                <w:iCs w:val="0"/>
                <w:color w:val="auto"/>
                <w:sz w:val="24"/>
                <w:szCs w:val="21"/>
                <w:u w:val="none"/>
                <w:lang w:val="en-US" w:eastAsia="zh-CN"/>
              </w:rPr>
              <w:t>选用低噪声型号，并按设计位置布置，基础设减振垫；同时加强设备的日常检修和维护。</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本项目电梯机组安装于每栋楼房顶楼位置，设置于密闭房间内。经墙壁隔声后噪声可大大降低。</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default" w:ascii="Times New Roman" w:hAnsi="Times New Roman" w:eastAsia="宋体" w:cs="宋体"/>
                <w:bCs/>
                <w:i w:val="0"/>
                <w:iCs w:val="0"/>
                <w:color w:val="auto"/>
                <w:sz w:val="24"/>
                <w:szCs w:val="21"/>
                <w:u w:val="none"/>
                <w:lang w:val="en-US" w:eastAsia="zh-CN"/>
              </w:rPr>
              <w:t>（</w:t>
            </w:r>
            <w:r>
              <w:rPr>
                <w:rFonts w:hint="eastAsia" w:ascii="Times New Roman" w:hAnsi="Times New Roman" w:eastAsia="宋体" w:cs="宋体"/>
                <w:bCs/>
                <w:i w:val="0"/>
                <w:iCs w:val="0"/>
                <w:color w:val="auto"/>
                <w:sz w:val="24"/>
                <w:szCs w:val="21"/>
                <w:u w:val="none"/>
                <w:lang w:val="en-US" w:eastAsia="zh-CN"/>
              </w:rPr>
              <w:t>2</w:t>
            </w:r>
            <w:r>
              <w:rPr>
                <w:rFonts w:hint="default" w:ascii="Times New Roman" w:hAnsi="Times New Roman" w:eastAsia="宋体" w:cs="宋体"/>
                <w:bCs/>
                <w:i w:val="0"/>
                <w:iCs w:val="0"/>
                <w:color w:val="auto"/>
                <w:sz w:val="24"/>
                <w:szCs w:val="21"/>
                <w:u w:val="none"/>
                <w:lang w:val="en-US" w:eastAsia="zh-CN"/>
              </w:rPr>
              <w:t>）人群活动噪声</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①车辆</w:t>
            </w:r>
            <w:r>
              <w:rPr>
                <w:rFonts w:hint="default" w:ascii="Times New Roman" w:hAnsi="Times New Roman" w:eastAsia="宋体" w:cs="宋体"/>
                <w:bCs/>
                <w:i w:val="0"/>
                <w:iCs w:val="0"/>
                <w:color w:val="auto"/>
                <w:sz w:val="24"/>
                <w:szCs w:val="21"/>
                <w:u w:val="none"/>
                <w:lang w:val="en-US" w:eastAsia="zh-CN"/>
              </w:rPr>
              <w:t>出入口设置禁鸣和限速标志，严格控制车辆出入时的车速</w:t>
            </w:r>
            <w:r>
              <w:rPr>
                <w:rFonts w:hint="eastAsia" w:ascii="Times New Roman" w:hAnsi="Times New Roman" w:eastAsia="宋体" w:cs="宋体"/>
                <w:bCs/>
                <w:i w:val="0"/>
                <w:iCs w:val="0"/>
                <w:color w:val="auto"/>
                <w:sz w:val="24"/>
                <w:szCs w:val="21"/>
                <w:u w:val="none"/>
                <w:lang w:val="en-US" w:eastAsia="zh-CN"/>
              </w:rPr>
              <w:t>以及数量，合理安排行车路线</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宋体"/>
                <w:bCs/>
                <w:i w:val="0"/>
                <w:iCs w:val="0"/>
                <w:color w:val="auto"/>
                <w:sz w:val="24"/>
                <w:szCs w:val="21"/>
                <w:u w:val="none"/>
                <w:lang w:val="en-US" w:eastAsia="zh-CN"/>
              </w:rPr>
            </w:pPr>
            <w:r>
              <w:rPr>
                <w:rFonts w:hint="eastAsia" w:ascii="Times New Roman" w:hAnsi="Times New Roman" w:eastAsia="宋体" w:cs="宋体"/>
                <w:bCs/>
                <w:i w:val="0"/>
                <w:iCs w:val="0"/>
                <w:color w:val="auto"/>
                <w:sz w:val="24"/>
                <w:szCs w:val="21"/>
                <w:u w:val="none"/>
                <w:lang w:val="en-US" w:eastAsia="zh-CN"/>
              </w:rPr>
              <w:t>②</w:t>
            </w:r>
            <w:r>
              <w:rPr>
                <w:rFonts w:hint="default" w:ascii="Times New Roman" w:hAnsi="Times New Roman" w:eastAsia="宋体" w:cs="宋体"/>
                <w:bCs/>
                <w:i w:val="0"/>
                <w:iCs w:val="0"/>
                <w:color w:val="auto"/>
                <w:sz w:val="24"/>
                <w:szCs w:val="21"/>
                <w:u w:val="none"/>
                <w:lang w:val="en-US" w:eastAsia="zh-CN"/>
              </w:rPr>
              <w:t>并应注意合理布局</w:t>
            </w:r>
            <w:r>
              <w:rPr>
                <w:rFonts w:hint="eastAsia" w:ascii="Times New Roman" w:hAnsi="Times New Roman" w:eastAsia="宋体" w:cs="宋体"/>
                <w:bCs/>
                <w:i w:val="0"/>
                <w:iCs w:val="0"/>
                <w:color w:val="auto"/>
                <w:sz w:val="24"/>
                <w:szCs w:val="21"/>
                <w:u w:val="none"/>
                <w:lang w:val="en-US" w:eastAsia="zh-CN"/>
              </w:rPr>
              <w:t>，将主出入口以及大型休闲场地布置在离周边居民较远的南部位置</w:t>
            </w:r>
            <w:r>
              <w:rPr>
                <w:rFonts w:hint="default" w:ascii="Times New Roman" w:hAnsi="Times New Roman" w:eastAsia="宋体" w:cs="宋体"/>
                <w:bCs/>
                <w:i w:val="0"/>
                <w:iCs w:val="0"/>
                <w:color w:val="auto"/>
                <w:sz w:val="24"/>
                <w:szCs w:val="21"/>
                <w:u w:val="none"/>
                <w:lang w:val="en-US" w:eastAsia="zh-CN"/>
              </w:rPr>
              <w:t>。</w:t>
            </w:r>
          </w:p>
          <w:p>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eastAsia" w:ascii="Times New Roman" w:hAnsi="Times New Roman" w:eastAsia="宋体" w:cs="宋体"/>
                <w:bCs/>
                <w:i w:val="0"/>
                <w:iCs w:val="0"/>
                <w:color w:val="auto"/>
                <w:sz w:val="24"/>
                <w:szCs w:val="21"/>
                <w:u w:val="none"/>
                <w:lang w:val="en-US" w:eastAsia="zh-CN"/>
              </w:rPr>
              <w:t>③</w:t>
            </w:r>
            <w:r>
              <w:rPr>
                <w:rFonts w:hint="default" w:ascii="Times New Roman" w:hAnsi="Times New Roman" w:eastAsia="宋体" w:cs="宋体"/>
                <w:bCs/>
                <w:i w:val="0"/>
                <w:iCs w:val="0"/>
                <w:color w:val="auto"/>
                <w:sz w:val="24"/>
                <w:szCs w:val="21"/>
                <w:u w:val="none"/>
                <w:lang w:val="en-US" w:eastAsia="zh-CN"/>
              </w:rPr>
              <w:t>应少用或不用高音喇叭，</w:t>
            </w:r>
            <w:r>
              <w:rPr>
                <w:rFonts w:hint="eastAsia" w:ascii="Times New Roman" w:hAnsi="Times New Roman" w:eastAsia="宋体" w:cs="宋体"/>
                <w:bCs/>
                <w:i w:val="0"/>
                <w:iCs w:val="0"/>
                <w:color w:val="auto"/>
                <w:sz w:val="24"/>
                <w:szCs w:val="21"/>
                <w:u w:val="none"/>
                <w:lang w:val="en-US" w:eastAsia="zh-CN"/>
              </w:rPr>
              <w:t>娱乐</w:t>
            </w:r>
            <w:r>
              <w:rPr>
                <w:rFonts w:hint="default" w:ascii="Times New Roman" w:hAnsi="Times New Roman" w:eastAsia="宋体" w:cs="宋体"/>
                <w:bCs/>
                <w:i w:val="0"/>
                <w:iCs w:val="0"/>
                <w:color w:val="auto"/>
                <w:sz w:val="24"/>
                <w:szCs w:val="21"/>
                <w:u w:val="none"/>
                <w:lang w:val="en-US" w:eastAsia="zh-CN"/>
              </w:rPr>
              <w:t>必需可采取多个低音喇叭布局</w:t>
            </w:r>
            <w:r>
              <w:rPr>
                <w:rFonts w:hint="default" w:ascii="Times New Roman" w:hAnsi="Times New Roman" w:eastAsia="宋体" w:cs="Times New Roman"/>
                <w:color w:val="auto"/>
                <w:sz w:val="24"/>
              </w:rPr>
              <w:t>。</w:t>
            </w:r>
          </w:p>
          <w:p>
            <w:pPr>
              <w:adjustRightInd w:val="0"/>
              <w:snapToGrid w:val="0"/>
              <w:jc w:val="center"/>
              <w:rPr>
                <w:rFonts w:hint="default" w:ascii="Times New Roman" w:hAnsi="Times New Roman" w:eastAsia="宋体" w:cs="Times New Roman"/>
                <w:b/>
                <w:color w:val="auto"/>
                <w:sz w:val="24"/>
                <w:szCs w:val="21"/>
                <w:lang w:val="en-US" w:eastAsia="zh-CN"/>
              </w:rPr>
            </w:pPr>
            <w:r>
              <w:rPr>
                <w:rFonts w:hint="default" w:ascii="Times New Roman" w:hAnsi="Times New Roman" w:eastAsia="宋体" w:cs="Times New Roman"/>
                <w:b/>
                <w:color w:val="auto"/>
                <w:sz w:val="24"/>
                <w:szCs w:val="21"/>
                <w:lang w:val="en-US" w:eastAsia="zh-CN"/>
              </w:rPr>
              <w:t>表</w:t>
            </w:r>
            <w:r>
              <w:rPr>
                <w:rFonts w:hint="eastAsia" w:ascii="Times New Roman" w:hAnsi="Times New Roman" w:eastAsia="宋体" w:cs="Times New Roman"/>
                <w:b/>
                <w:color w:val="auto"/>
                <w:sz w:val="24"/>
                <w:szCs w:val="21"/>
                <w:lang w:val="en-US" w:eastAsia="zh-CN"/>
              </w:rPr>
              <w:t>5-1</w:t>
            </w:r>
            <w:r>
              <w:rPr>
                <w:rFonts w:hint="default" w:ascii="Times New Roman" w:hAnsi="Times New Roman" w:eastAsia="宋体" w:cs="Times New Roman"/>
                <w:b/>
                <w:color w:val="auto"/>
                <w:sz w:val="24"/>
                <w:szCs w:val="21"/>
                <w:lang w:val="en-US" w:eastAsia="zh-CN"/>
              </w:rPr>
              <w:t xml:space="preserve">  </w:t>
            </w:r>
            <w:r>
              <w:rPr>
                <w:rFonts w:hint="eastAsia" w:ascii="Times New Roman" w:hAnsi="Times New Roman" w:eastAsia="宋体" w:cs="Times New Roman"/>
                <w:b/>
                <w:color w:val="auto"/>
                <w:sz w:val="24"/>
                <w:szCs w:val="21"/>
                <w:lang w:val="en-US" w:eastAsia="zh-CN"/>
              </w:rPr>
              <w:t>噪声防治措施一览表</w:t>
            </w:r>
          </w:p>
          <w:tbl>
            <w:tblPr>
              <w:tblStyle w:val="22"/>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1644"/>
              <w:gridCol w:w="2142"/>
              <w:gridCol w:w="21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噪声源名称</w:t>
                  </w:r>
                </w:p>
              </w:tc>
              <w:tc>
                <w:tcPr>
                  <w:tcW w:w="1644"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源强值</w:t>
                  </w:r>
                </w:p>
              </w:tc>
              <w:tc>
                <w:tcPr>
                  <w:tcW w:w="2142" w:type="dxa"/>
                  <w:tcBorders>
                    <w:tl2br w:val="nil"/>
                    <w:tr2bl w:val="nil"/>
                  </w:tcBorders>
                  <w:noWrap w:val="0"/>
                  <w:vAlign w:val="center"/>
                </w:tcPr>
                <w:p>
                  <w:pPr>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c>
                <w:tcPr>
                  <w:tcW w:w="2140" w:type="dxa"/>
                  <w:tcBorders>
                    <w:tl2br w:val="nil"/>
                    <w:tr2bl w:val="nil"/>
                  </w:tcBorders>
                  <w:noWrap w:val="0"/>
                  <w:vAlign w:val="center"/>
                </w:tcPr>
                <w:p>
                  <w:pPr>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eastAsia="zh-CN"/>
                    </w:rPr>
                    <w:t>处理后噪声值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小型汽车行驶</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怠速50～60</w:t>
                  </w:r>
                </w:p>
              </w:tc>
              <w:tc>
                <w:tcPr>
                  <w:tcW w:w="2142" w:type="dxa"/>
                  <w:vMerge w:val="restart"/>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采取禁鸣喇叭、控制进入车辆数量、控制行车路线</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正常60～70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rPr>
                    <w:t>鸣笛</w:t>
                  </w:r>
                  <w:r>
                    <w:rPr>
                      <w:rFonts w:hint="default" w:ascii="Times New Roman" w:hAnsi="Times New Roman" w:eastAsia="宋体" w:cs="Times New Roman"/>
                      <w:color w:val="auto"/>
                      <w:szCs w:val="21"/>
                    </w:rPr>
                    <w:t>70～75</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配电房</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70～80</w:t>
                  </w:r>
                </w:p>
              </w:tc>
              <w:tc>
                <w:tcPr>
                  <w:tcW w:w="2142" w:type="dxa"/>
                  <w:vMerge w:val="restart"/>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eastAsia="zh-CN"/>
                    </w:rPr>
                  </w:pPr>
                  <w:r>
                    <w:rPr>
                      <w:rFonts w:hint="default" w:ascii="Times New Roman" w:hAnsi="Times New Roman" w:cs="Times New Roman"/>
                      <w:color w:val="auto"/>
                      <w:szCs w:val="21"/>
                    </w:rPr>
                    <w:t>隔声、减振、消声措施，选用低噪声设备</w:t>
                  </w:r>
                  <w:r>
                    <w:rPr>
                      <w:rFonts w:hint="eastAsia" w:ascii="Times New Roman" w:hAnsi="Times New Roman" w:cs="Times New Roman"/>
                      <w:color w:val="auto"/>
                      <w:szCs w:val="21"/>
                      <w:lang w:eastAsia="zh-CN"/>
                    </w:rPr>
                    <w:t>、尽量室内安放</w:t>
                  </w:r>
                </w:p>
              </w:tc>
              <w:tc>
                <w:tcPr>
                  <w:tcW w:w="2140" w:type="dxa"/>
                  <w:tcBorders>
                    <w:tl2br w:val="nil"/>
                    <w:tr2bl w:val="nil"/>
                  </w:tcBorders>
                  <w:noWrap w:val="0"/>
                  <w:vAlign w:val="center"/>
                </w:tcPr>
                <w:p>
                  <w:pPr>
                    <w:spacing w:line="240" w:lineRule="atLeast"/>
                    <w:jc w:val="center"/>
                    <w:rPr>
                      <w:rFonts w:hint="eastAsia" w:ascii="Times New Roman" w:hAnsi="Times New Roman" w:eastAsia="等线" w:cs="Times New Roman"/>
                      <w:color w:val="auto"/>
                      <w:szCs w:val="21"/>
                      <w:lang w:val="en-US" w:eastAsia="zh-CN"/>
                    </w:rPr>
                  </w:pP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电梯机组</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75～80</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011"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社会噪声</w:t>
                  </w:r>
                </w:p>
              </w:tc>
              <w:tc>
                <w:tcPr>
                  <w:tcW w:w="1644" w:type="dxa"/>
                  <w:tcBorders>
                    <w:tl2br w:val="nil"/>
                    <w:tr2bl w:val="nil"/>
                  </w:tcBorders>
                  <w:noWrap w:val="0"/>
                  <w:vAlign w:val="center"/>
                </w:tcPr>
                <w:p>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85~97</w:t>
                  </w:r>
                </w:p>
              </w:tc>
              <w:tc>
                <w:tcPr>
                  <w:tcW w:w="2142" w:type="dxa"/>
                  <w:vMerge w:val="continue"/>
                  <w:tcBorders>
                    <w:tl2br w:val="nil"/>
                    <w:tr2bl w:val="nil"/>
                  </w:tcBorders>
                  <w:noWrap w:val="0"/>
                  <w:vAlign w:val="center"/>
                </w:tcPr>
                <w:p>
                  <w:pPr>
                    <w:jc w:val="center"/>
                    <w:rPr>
                      <w:rFonts w:hint="default" w:ascii="Times New Roman" w:hAnsi="Times New Roman" w:eastAsia="宋体" w:cs="Times New Roman"/>
                      <w:color w:val="auto"/>
                      <w:szCs w:val="21"/>
                    </w:rPr>
                  </w:pPr>
                </w:p>
              </w:tc>
              <w:tc>
                <w:tcPr>
                  <w:tcW w:w="2140" w:type="dxa"/>
                  <w:tcBorders>
                    <w:tl2br w:val="nil"/>
                    <w:tr2bl w:val="nil"/>
                  </w:tcBorders>
                  <w:noWrap w:val="0"/>
                  <w:vAlign w:val="center"/>
                </w:tcPr>
                <w:p>
                  <w:pPr>
                    <w:spacing w:line="240" w:lineRule="atLeast"/>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rPr>
                    <w:t>＜60</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left"/>
              <w:textAlignment w:val="auto"/>
              <w:rPr>
                <w:rFonts w:cs="宋体"/>
                <w:b/>
                <w:color w:val="auto"/>
                <w:spacing w:val="-10"/>
                <w:sz w:val="24"/>
                <w:szCs w:val="21"/>
              </w:rPr>
            </w:pPr>
            <w:r>
              <w:rPr>
                <w:rFonts w:hint="eastAsia" w:cs="宋体"/>
                <w:b/>
                <w:color w:val="auto"/>
                <w:spacing w:val="-10"/>
                <w:sz w:val="24"/>
                <w:szCs w:val="21"/>
                <w:lang w:val="en-US" w:eastAsia="zh-CN"/>
              </w:rPr>
              <w:t>5、</w:t>
            </w:r>
            <w:r>
              <w:rPr>
                <w:rFonts w:hint="eastAsia" w:cs="宋体"/>
                <w:b/>
                <w:color w:val="auto"/>
                <w:spacing w:val="-10"/>
                <w:sz w:val="24"/>
                <w:szCs w:val="21"/>
              </w:rPr>
              <w:t>固体废弃物环境影响分析</w:t>
            </w:r>
          </w:p>
          <w:p>
            <w:pPr>
              <w:pStyle w:val="19"/>
              <w:widowControl w:val="0"/>
              <w:adjustRightInd w:val="0"/>
              <w:snapToGrid w:val="0"/>
              <w:spacing w:before="0" w:beforeAutospacing="0" w:after="0" w:afterAutospacing="0" w:line="360" w:lineRule="auto"/>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生活垃圾由校内垃圾桶收集，由校内环卫人员送至垃圾站压缩处理，</w:t>
            </w:r>
            <w:r>
              <w:rPr>
                <w:rFonts w:hint="eastAsia" w:ascii="Times New Roman" w:hAnsi="Times New Roman" w:eastAsia="宋体" w:cs="Times New Roman"/>
                <w:color w:val="auto"/>
                <w:lang w:eastAsia="zh-CN"/>
              </w:rPr>
              <w:t>之后</w:t>
            </w:r>
            <w:r>
              <w:rPr>
                <w:rFonts w:hint="default" w:ascii="Times New Roman" w:hAnsi="Times New Roman" w:eastAsia="宋体" w:cs="Times New Roman"/>
                <w:color w:val="auto"/>
              </w:rPr>
              <w:t>由环卫部门统一收集外运处理。</w:t>
            </w:r>
          </w:p>
          <w:p>
            <w:pPr>
              <w:numPr>
                <w:ilvl w:val="0"/>
                <w:numId w:val="0"/>
              </w:numPr>
              <w:adjustRightInd w:val="0"/>
              <w:snapToGrid w:val="0"/>
              <w:spacing w:line="360" w:lineRule="auto"/>
              <w:jc w:val="left"/>
              <w:rPr>
                <w:rFonts w:cs="宋体"/>
                <w:b/>
                <w:color w:val="auto"/>
                <w:spacing w:val="-10"/>
                <w:sz w:val="24"/>
                <w:szCs w:val="21"/>
              </w:rPr>
            </w:pPr>
            <w:r>
              <w:rPr>
                <w:rFonts w:hint="eastAsia" w:cs="宋体"/>
                <w:b/>
                <w:color w:val="auto"/>
                <w:spacing w:val="-10"/>
                <w:sz w:val="24"/>
                <w:szCs w:val="21"/>
                <w:lang w:val="en-US" w:eastAsia="zh-CN"/>
              </w:rPr>
              <w:t>6、</w:t>
            </w:r>
            <w:r>
              <w:rPr>
                <w:rFonts w:hint="eastAsia" w:cs="宋体"/>
                <w:b/>
                <w:color w:val="auto"/>
                <w:spacing w:val="-10"/>
                <w:sz w:val="24"/>
                <w:szCs w:val="21"/>
              </w:rPr>
              <w:t>环境风险</w:t>
            </w:r>
          </w:p>
          <w:p>
            <w:pPr>
              <w:pStyle w:val="53"/>
              <w:adjustRightInd w:val="0"/>
              <w:snapToGrid w:val="0"/>
              <w:spacing w:line="360" w:lineRule="auto"/>
              <w:ind w:firstLine="482"/>
              <w:jc w:val="left"/>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6.1</w:t>
            </w:r>
            <w:r>
              <w:rPr>
                <w:rFonts w:hint="eastAsia" w:ascii="Times New Roman" w:hAnsi="Times New Roman" w:eastAsia="宋体" w:cs="Times New Roman"/>
                <w:b/>
                <w:bCs/>
                <w:color w:val="auto"/>
                <w:sz w:val="24"/>
                <w:highlight w:val="none"/>
              </w:rPr>
              <w:t>环境风险防范措施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为尽量避免火灾事故对周围环境的影响，需要采取一定的防范措施：</w:t>
            </w:r>
          </w:p>
          <w:p>
            <w:pPr>
              <w:adjustRightInd w:val="0"/>
              <w:snapToGrid w:val="0"/>
              <w:spacing w:line="360" w:lineRule="auto"/>
              <w:ind w:firstLine="480" w:firstLineChars="200"/>
              <w:jc w:val="left"/>
              <w:rPr>
                <w:bCs/>
                <w:color w:val="auto"/>
                <w:sz w:val="24"/>
                <w:szCs w:val="21"/>
                <w:u w:val="none"/>
              </w:rPr>
            </w:pPr>
            <w:r>
              <w:rPr>
                <w:rFonts w:hint="eastAsia"/>
                <w:bCs/>
                <w:color w:val="auto"/>
                <w:sz w:val="24"/>
                <w:szCs w:val="21"/>
                <w:u w:val="none"/>
                <w:lang w:val="en-US" w:eastAsia="zh-CN"/>
              </w:rPr>
              <w:t>①严格按照初步设计进行施工，厨房设置燃气泄漏保护装置。</w:t>
            </w:r>
          </w:p>
          <w:p>
            <w:pPr>
              <w:numPr>
                <w:ilvl w:val="0"/>
                <w:numId w:val="0"/>
              </w:numPr>
              <w:adjustRightInd w:val="0"/>
              <w:snapToGrid w:val="0"/>
              <w:spacing w:line="360" w:lineRule="auto"/>
              <w:ind w:leftChars="200"/>
              <w:jc w:val="left"/>
              <w:rPr>
                <w:rFonts w:cs="宋体"/>
                <w:bCs/>
                <w:color w:val="auto"/>
                <w:spacing w:val="-10"/>
                <w:sz w:val="24"/>
                <w:szCs w:val="21"/>
              </w:rPr>
            </w:pPr>
            <w:r>
              <w:rPr>
                <w:rFonts w:hint="eastAsia"/>
                <w:bCs/>
                <w:color w:val="auto"/>
                <w:sz w:val="24"/>
                <w:szCs w:val="21"/>
                <w:u w:val="none"/>
                <w:lang w:val="en-US" w:eastAsia="zh-CN"/>
              </w:rPr>
              <w:t>②物业公司配合燃气单位定期对小区内天然气管道进行检修</w:t>
            </w:r>
          </w:p>
          <w:p>
            <w:pPr>
              <w:pStyle w:val="53"/>
              <w:adjustRightInd w:val="0"/>
              <w:snapToGrid w:val="0"/>
              <w:spacing w:line="360" w:lineRule="auto"/>
              <w:ind w:firstLine="482"/>
              <w:jc w:val="left"/>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6.2</w:t>
            </w:r>
            <w:r>
              <w:rPr>
                <w:rFonts w:hint="eastAsia" w:ascii="Times New Roman" w:hAnsi="Times New Roman" w:eastAsia="宋体" w:cs="Times New Roman"/>
                <w:b/>
                <w:bCs/>
                <w:color w:val="auto"/>
                <w:sz w:val="24"/>
                <w:highlight w:val="none"/>
              </w:rPr>
              <w:t>环境风险应急措施</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①若发生火灾，应立即使用干粉灭火器进行灭火，关闭总电源，同时视火势情况进行报警求助。</w:t>
            </w:r>
          </w:p>
          <w:p>
            <w:pPr>
              <w:adjustRightInd w:val="0"/>
              <w:snapToGrid w:val="0"/>
              <w:spacing w:line="360" w:lineRule="auto"/>
              <w:ind w:firstLine="440" w:firstLineChars="200"/>
              <w:jc w:val="left"/>
              <w:rPr>
                <w:rFonts w:cs="宋体"/>
                <w:bCs/>
                <w:color w:val="auto"/>
                <w:spacing w:val="-10"/>
                <w:sz w:val="24"/>
                <w:szCs w:val="21"/>
              </w:rPr>
            </w:pPr>
            <w:r>
              <w:rPr>
                <w:rFonts w:cs="宋体"/>
                <w:bCs/>
                <w:color w:val="auto"/>
                <w:spacing w:val="-10"/>
                <w:sz w:val="24"/>
                <w:szCs w:val="21"/>
              </w:rPr>
              <w:t>②若产生事故废水，需对事故废水进行收集，待事故后经水质检测合格后才可排放；受污染的土壤和废吸附材料及检测不达标的事故废水需交由有资质单位进行处置。</w:t>
            </w:r>
          </w:p>
          <w:p>
            <w:pPr>
              <w:pageBreakBefore w:val="0"/>
              <w:kinsoku/>
              <w:overflowPunct/>
              <w:bidi w:val="0"/>
              <w:spacing w:line="360" w:lineRule="auto"/>
              <w:jc w:val="both"/>
              <w:textAlignment w:val="auto"/>
              <w:rPr>
                <w:rFonts w:hint="default" w:ascii="Times New Roman" w:hAnsi="Times New Roman" w:cs="Times New Roman"/>
                <w:color w:val="auto"/>
                <w:sz w:val="24"/>
                <w:szCs w:val="24"/>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其他</w:t>
            </w:r>
          </w:p>
        </w:tc>
        <w:tc>
          <w:tcPr>
            <w:tcW w:w="4523" w:type="pct"/>
            <w:noWrap w:val="0"/>
            <w:vAlign w:val="top"/>
          </w:tcPr>
          <w:p>
            <w:pPr>
              <w:pageBreakBefore w:val="0"/>
              <w:kinsoku/>
              <w:overflowPunct/>
              <w:bidi w:val="0"/>
              <w:spacing w:line="360" w:lineRule="auto"/>
              <w:jc w:val="center"/>
              <w:textAlignment w:val="auto"/>
              <w:rPr>
                <w:rFonts w:hint="default" w:ascii="Times New Roman" w:hAnsi="Times New Roman" w:eastAsia="宋体" w:cs="Times New Roman"/>
                <w:bCs/>
                <w:color w:val="auto"/>
                <w:spacing w:val="10"/>
                <w:sz w:val="24"/>
                <w:szCs w:val="24"/>
                <w:lang w:val="en-US" w:eastAsia="zh-CN"/>
              </w:rPr>
            </w:pPr>
            <w:r>
              <w:rPr>
                <w:rFonts w:hint="eastAsia" w:eastAsia="宋体" w:cs="Times New Roman"/>
                <w:bCs/>
                <w:color w:val="auto"/>
                <w:spacing w:val="1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pPr>
              <w:pStyle w:val="72"/>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w:t>
            </w:r>
          </w:p>
        </w:tc>
        <w:tc>
          <w:tcPr>
            <w:tcW w:w="4523" w:type="pct"/>
            <w:noWrap w:val="0"/>
            <w:vAlign w:val="top"/>
          </w:tcPr>
          <w:p>
            <w:pPr>
              <w:pStyle w:val="49"/>
              <w:spacing w:line="360" w:lineRule="auto"/>
              <w:jc w:val="left"/>
              <w:rPr>
                <w:rFonts w:cs="宋体"/>
                <w:color w:val="auto"/>
                <w:sz w:val="24"/>
                <w:szCs w:val="21"/>
              </w:rPr>
            </w:pPr>
            <w:r>
              <w:rPr>
                <w:rFonts w:hint="eastAsia" w:cs="宋体"/>
                <w:b/>
                <w:bCs/>
                <w:color w:val="auto"/>
                <w:sz w:val="24"/>
                <w:szCs w:val="21"/>
                <w:lang w:val="en-US" w:eastAsia="zh-CN"/>
              </w:rPr>
              <w:t>1、</w:t>
            </w:r>
            <w:r>
              <w:rPr>
                <w:rFonts w:cs="宋体"/>
                <w:b/>
                <w:bCs/>
                <w:color w:val="auto"/>
                <w:sz w:val="24"/>
                <w:szCs w:val="21"/>
              </w:rPr>
              <w:t>环保投资估算</w:t>
            </w:r>
          </w:p>
          <w:p>
            <w:pPr>
              <w:pStyle w:val="49"/>
              <w:spacing w:line="360" w:lineRule="auto"/>
              <w:ind w:firstLine="480" w:firstLineChars="200"/>
              <w:jc w:val="left"/>
              <w:rPr>
                <w:rFonts w:cs="宋体"/>
                <w:color w:val="auto"/>
                <w:sz w:val="24"/>
                <w:szCs w:val="21"/>
              </w:rPr>
            </w:pPr>
            <w:r>
              <w:rPr>
                <w:rFonts w:hint="eastAsia" w:cs="宋体"/>
                <w:color w:val="auto"/>
                <w:sz w:val="24"/>
                <w:szCs w:val="21"/>
              </w:rPr>
              <w:t>项目总投资为万</w:t>
            </w:r>
            <w:r>
              <w:rPr>
                <w:rFonts w:hint="eastAsia" w:cs="宋体"/>
                <w:color w:val="auto"/>
                <w:sz w:val="24"/>
                <w:szCs w:val="21"/>
                <w:lang w:val="en-US" w:eastAsia="zh-CN"/>
              </w:rPr>
              <w:t>19995</w:t>
            </w:r>
            <w:r>
              <w:rPr>
                <w:rFonts w:hint="eastAsia" w:cs="宋体"/>
                <w:color w:val="auto"/>
                <w:sz w:val="24"/>
                <w:szCs w:val="21"/>
              </w:rPr>
              <w:t>元，环保投资为</w:t>
            </w:r>
            <w:r>
              <w:rPr>
                <w:rFonts w:hint="eastAsia" w:cs="宋体"/>
                <w:color w:val="auto"/>
                <w:sz w:val="24"/>
                <w:szCs w:val="21"/>
                <w:lang w:val="en-US" w:eastAsia="zh-CN"/>
              </w:rPr>
              <w:t>158</w:t>
            </w:r>
            <w:r>
              <w:rPr>
                <w:rFonts w:hint="eastAsia" w:cs="宋体"/>
                <w:color w:val="auto"/>
                <w:sz w:val="24"/>
                <w:szCs w:val="21"/>
              </w:rPr>
              <w:t>万元，占投资总额</w:t>
            </w:r>
            <w:r>
              <w:rPr>
                <w:rFonts w:hint="eastAsia" w:cs="宋体"/>
                <w:color w:val="auto"/>
                <w:sz w:val="24"/>
                <w:szCs w:val="21"/>
                <w:lang w:val="en-US" w:eastAsia="zh-CN"/>
              </w:rPr>
              <w:t>0.79</w:t>
            </w:r>
            <w:r>
              <w:rPr>
                <w:rFonts w:hint="eastAsia" w:cs="宋体"/>
                <w:color w:val="auto"/>
                <w:sz w:val="24"/>
                <w:szCs w:val="21"/>
              </w:rPr>
              <w:t>%，项目环保投资详见表</w:t>
            </w:r>
            <w:r>
              <w:rPr>
                <w:rFonts w:hint="eastAsia" w:cs="宋体"/>
                <w:color w:val="auto"/>
                <w:sz w:val="24"/>
                <w:szCs w:val="21"/>
                <w:lang w:val="en-US" w:eastAsia="zh-CN"/>
              </w:rPr>
              <w:t>5-2</w:t>
            </w:r>
            <w:r>
              <w:rPr>
                <w:rFonts w:hint="eastAsia" w:cs="宋体"/>
                <w:color w:val="auto"/>
                <w:sz w:val="24"/>
                <w:szCs w:val="21"/>
              </w:rPr>
              <w:t>。</w:t>
            </w:r>
          </w:p>
          <w:p>
            <w:pPr>
              <w:pStyle w:val="49"/>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rPr>
            </w:pPr>
            <w:r>
              <w:rPr>
                <w:rFonts w:hint="eastAsia" w:cs="宋体"/>
                <w:b/>
                <w:bCs/>
                <w:color w:val="auto"/>
                <w:sz w:val="24"/>
                <w:szCs w:val="21"/>
              </w:rPr>
              <w:t>表</w:t>
            </w:r>
            <w:r>
              <w:rPr>
                <w:rFonts w:hint="eastAsia" w:cs="宋体"/>
                <w:b/>
                <w:bCs/>
                <w:color w:val="auto"/>
                <w:sz w:val="24"/>
                <w:szCs w:val="21"/>
                <w:lang w:val="en-US" w:eastAsia="zh-CN"/>
              </w:rPr>
              <w:t>5-2</w:t>
            </w:r>
            <w:r>
              <w:rPr>
                <w:rFonts w:hint="eastAsia" w:cs="宋体"/>
                <w:b/>
                <w:bCs/>
                <w:color w:val="auto"/>
                <w:sz w:val="24"/>
                <w:szCs w:val="21"/>
              </w:rPr>
              <w:t xml:space="preserve"> 环保投资一览表</w:t>
            </w:r>
          </w:p>
          <w:tbl>
            <w:tblPr>
              <w:tblStyle w:val="22"/>
              <w:tblW w:w="8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791"/>
              <w:gridCol w:w="2279"/>
              <w:gridCol w:w="2849"/>
              <w:gridCol w:w="1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工程阶段</w:t>
                  </w:r>
                </w:p>
              </w:tc>
              <w:tc>
                <w:tcPr>
                  <w:tcW w:w="791"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类型</w:t>
                  </w:r>
                </w:p>
              </w:tc>
              <w:tc>
                <w:tcPr>
                  <w:tcW w:w="2279"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污染源</w:t>
                  </w:r>
                </w:p>
              </w:tc>
              <w:tc>
                <w:tcPr>
                  <w:tcW w:w="2849"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污染处理设施</w:t>
                  </w:r>
                </w:p>
              </w:tc>
              <w:tc>
                <w:tcPr>
                  <w:tcW w:w="1117" w:type="dxa"/>
                  <w:tcBorders>
                    <w:tl2br w:val="nil"/>
                    <w:tr2bl w:val="nil"/>
                  </w:tcBorders>
                  <w:noWrap w:val="0"/>
                  <w:vAlign w:val="center"/>
                </w:tcPr>
                <w:p>
                  <w:pPr>
                    <w:snapToGrid w:val="0"/>
                    <w:jc w:val="center"/>
                    <w:rPr>
                      <w:rFonts w:hint="default" w:ascii="Times New Roman" w:hAnsi="Times New Roman" w:eastAsia="宋体" w:cs="Times New Roman"/>
                      <w:b/>
                      <w:bCs w:val="0"/>
                      <w:color w:val="auto"/>
                      <w:szCs w:val="21"/>
                    </w:rPr>
                  </w:pPr>
                  <w:r>
                    <w:rPr>
                      <w:rFonts w:hint="default" w:ascii="Times New Roman" w:hAnsi="Times New Roman" w:eastAsia="宋体" w:cs="Times New Roman"/>
                      <w:b/>
                      <w:bCs w:val="0"/>
                      <w:color w:val="auto"/>
                      <w:szCs w:val="21"/>
                    </w:rPr>
                    <w:t>环保投资(万元)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运营期</w:t>
                  </w:r>
                </w:p>
              </w:tc>
              <w:tc>
                <w:tcPr>
                  <w:tcW w:w="791" w:type="dxa"/>
                  <w:vMerge w:val="restart"/>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停车场废气</w:t>
                  </w:r>
                </w:p>
              </w:tc>
              <w:tc>
                <w:tcPr>
                  <w:tcW w:w="2849" w:type="dxa"/>
                  <w:tcBorders>
                    <w:tl2br w:val="nil"/>
                    <w:tr2bl w:val="nil"/>
                  </w:tcBorders>
                  <w:noWrap w:val="0"/>
                  <w:vAlign w:val="center"/>
                </w:tcPr>
                <w:p>
                  <w:pPr>
                    <w:pStyle w:val="7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kern w:val="0"/>
                      <w:u w:val="none"/>
                    </w:rPr>
                    <w:t>加强绿化建设</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rPr>
                  </w:pPr>
                  <w:r>
                    <w:rPr>
                      <w:rFonts w:hint="eastAsia" w:cs="Times New Roman"/>
                      <w:color w:val="auto"/>
                      <w:szCs w:val="21"/>
                      <w:u w:val="none"/>
                      <w:lang w:val="en-US" w:eastAsia="zh-CN"/>
                    </w:rPr>
                    <w:t>8</w:t>
                  </w:r>
                  <w:r>
                    <w:rPr>
                      <w:rFonts w:hint="default" w:ascii="Times New Roman" w:hAnsi="Times New Roman" w:eastAsia="宋体" w:cs="Times New Roman"/>
                      <w:color w:val="auto"/>
                      <w:szCs w:val="21"/>
                      <w:u w:val="none"/>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79"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油烟废气</w:t>
                  </w:r>
                </w:p>
              </w:tc>
              <w:tc>
                <w:tcPr>
                  <w:tcW w:w="2849" w:type="dxa"/>
                  <w:tcBorders>
                    <w:tl2br w:val="nil"/>
                    <w:tr2bl w:val="nil"/>
                  </w:tcBorders>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居民自装油烟净化器</w:t>
                  </w:r>
                </w:p>
              </w:tc>
              <w:tc>
                <w:tcPr>
                  <w:tcW w:w="1117"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垃圾桶恶臭</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及时清理清运</w:t>
                  </w:r>
                </w:p>
              </w:tc>
              <w:tc>
                <w:tcPr>
                  <w:tcW w:w="1117"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2279" w:type="dxa"/>
                  <w:tcBorders>
                    <w:tl2br w:val="nil"/>
                    <w:tr2bl w:val="nil"/>
                  </w:tcBorders>
                  <w:noWrap w:val="0"/>
                  <w:vAlign w:val="center"/>
                </w:tcPr>
                <w:p>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生活废水</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化粪池</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设备噪声</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选用低噪声设备、减震、隔声措施、独立</w:t>
                  </w:r>
                  <w:r>
                    <w:rPr>
                      <w:rFonts w:hint="eastAsia" w:ascii="Times New Roman" w:hAnsi="Times New Roman" w:eastAsia="宋体" w:cs="Times New Roman"/>
                      <w:color w:val="auto"/>
                      <w:szCs w:val="21"/>
                      <w:lang w:val="en-US" w:eastAsia="zh-CN"/>
                    </w:rPr>
                    <w:t>密闭房间</w:t>
                  </w:r>
                  <w:r>
                    <w:rPr>
                      <w:rFonts w:hint="default" w:ascii="Times New Roman" w:hAnsi="Times New Roman" w:eastAsia="宋体" w:cs="Times New Roman"/>
                      <w:color w:val="auto"/>
                      <w:szCs w:val="21"/>
                    </w:rPr>
                    <w:t>等，</w:t>
                  </w:r>
                  <w:r>
                    <w:rPr>
                      <w:rFonts w:hint="eastAsia" w:ascii="Times New Roman" w:hAnsi="Times New Roman" w:eastAsia="宋体" w:cs="Times New Roman"/>
                      <w:color w:val="auto"/>
                      <w:szCs w:val="21"/>
                      <w:lang w:eastAsia="zh-CN"/>
                    </w:rPr>
                    <w:t>加强管理</w:t>
                  </w:r>
                  <w:r>
                    <w:rPr>
                      <w:rFonts w:hint="default" w:ascii="Times New Roman" w:hAnsi="Times New Roman" w:eastAsia="宋体" w:cs="Times New Roman"/>
                      <w:color w:val="auto"/>
                      <w:szCs w:val="21"/>
                    </w:rPr>
                    <w:t>等</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3</w:t>
                  </w:r>
                  <w:r>
                    <w:rPr>
                      <w:rFonts w:hint="default" w:ascii="Times New Roman" w:hAnsi="Times New Roman" w:eastAsia="宋体" w:cs="Times New Roman"/>
                      <w:color w:val="auto"/>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791"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固废</w:t>
                  </w:r>
                </w:p>
              </w:tc>
              <w:tc>
                <w:tcPr>
                  <w:tcW w:w="227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生活垃圾</w:t>
                  </w:r>
                </w:p>
              </w:tc>
              <w:tc>
                <w:tcPr>
                  <w:tcW w:w="2849"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eastAsia="zh-CN"/>
                    </w:rPr>
                    <w:t>垃圾桶</w:t>
                  </w:r>
                  <w:r>
                    <w:rPr>
                      <w:rFonts w:hint="eastAsia"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eastAsia="zh-CN"/>
                    </w:rPr>
                    <w:t>垃圾站</w:t>
                  </w:r>
                  <w:r>
                    <w:rPr>
                      <w:rFonts w:hint="default" w:ascii="Times New Roman" w:hAnsi="Times New Roman" w:eastAsia="宋体" w:cs="Times New Roman"/>
                      <w:color w:val="auto"/>
                      <w:szCs w:val="21"/>
                    </w:rPr>
                    <w:t>收集</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环卫部门清运</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4" w:type="dxa"/>
                  <w:vMerge w:val="continue"/>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p>
              </w:tc>
              <w:tc>
                <w:tcPr>
                  <w:tcW w:w="5919" w:type="dxa"/>
                  <w:gridSpan w:val="3"/>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117" w:type="dxa"/>
                  <w:tcBorders>
                    <w:tl2br w:val="nil"/>
                    <w:tr2bl w:val="nil"/>
                  </w:tcBorders>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r>
                    <w:rPr>
                      <w:rFonts w:hint="eastAsia" w:cs="Times New Roman"/>
                      <w:color w:val="auto"/>
                      <w:szCs w:val="21"/>
                      <w:lang w:val="en-US" w:eastAsia="zh-CN"/>
                    </w:rPr>
                    <w:t>58</w:t>
                  </w:r>
                </w:p>
              </w:tc>
            </w:tr>
          </w:tbl>
          <w:p>
            <w:pPr>
              <w:pStyle w:val="49"/>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cs="宋体"/>
                <w:b/>
                <w:bCs/>
                <w:color w:val="auto"/>
                <w:sz w:val="24"/>
                <w:szCs w:val="21"/>
              </w:rPr>
            </w:pPr>
            <w:r>
              <w:rPr>
                <w:rFonts w:hint="eastAsia" w:cs="宋体"/>
                <w:b/>
                <w:bCs/>
                <w:color w:val="auto"/>
                <w:sz w:val="24"/>
                <w:szCs w:val="21"/>
                <w:lang w:val="en-US" w:eastAsia="zh-CN"/>
              </w:rPr>
              <w:t>2、</w:t>
            </w:r>
            <w:r>
              <w:rPr>
                <w:rFonts w:hint="eastAsia" w:cs="宋体"/>
                <w:b/>
                <w:bCs/>
                <w:color w:val="auto"/>
                <w:sz w:val="24"/>
                <w:szCs w:val="21"/>
              </w:rPr>
              <w:t>竣工环境保护验收</w:t>
            </w:r>
          </w:p>
          <w:p>
            <w:pPr>
              <w:pStyle w:val="49"/>
              <w:spacing w:line="360" w:lineRule="auto"/>
              <w:ind w:firstLine="480" w:firstLineChars="200"/>
              <w:jc w:val="left"/>
              <w:rPr>
                <w:rFonts w:cs="宋体"/>
                <w:color w:val="auto"/>
                <w:sz w:val="24"/>
                <w:szCs w:val="21"/>
              </w:rPr>
            </w:pPr>
            <w:r>
              <w:rPr>
                <w:rFonts w:cs="宋体"/>
                <w:color w:val="auto"/>
                <w:sz w:val="24"/>
                <w:szCs w:val="21"/>
              </w:rPr>
              <w:t>建设项目需要配套建设的环境保护设施，必须与主体工程同时设计、同时施工、同步投产使用。建设单位应按照环境保护行政主管部门规定的标准和程序，对配套建设的环境保护设施进行验收，编制验收报告。除按照国家规定需要保密的情形外，建设单位应当依法向社会公开验收报告。建设项目配套建设的环境保护设施经验收合格，方可投入生产或者使用；未经验收或者验收不合格的，不得投入生产或者使用。</w:t>
            </w:r>
          </w:p>
          <w:p>
            <w:pPr>
              <w:pStyle w:val="49"/>
              <w:spacing w:line="360" w:lineRule="auto"/>
              <w:ind w:firstLine="480" w:firstLineChars="200"/>
              <w:jc w:val="left"/>
              <w:rPr>
                <w:rFonts w:cs="宋体"/>
                <w:color w:val="auto"/>
                <w:sz w:val="24"/>
                <w:szCs w:val="21"/>
              </w:rPr>
            </w:pPr>
            <w:r>
              <w:rPr>
                <w:rFonts w:hint="eastAsia" w:cs="宋体"/>
                <w:color w:val="auto"/>
                <w:sz w:val="24"/>
                <w:szCs w:val="21"/>
              </w:rPr>
              <w:t>项目所涉及的主要环保措施验收项目见下表：</w:t>
            </w:r>
          </w:p>
          <w:p>
            <w:pPr>
              <w:pStyle w:val="49"/>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cs="宋体"/>
                <w:b/>
                <w:bCs/>
                <w:color w:val="auto"/>
                <w:sz w:val="24"/>
                <w:szCs w:val="21"/>
                <w:lang w:val="zh-CN"/>
              </w:rPr>
            </w:pPr>
            <w:r>
              <w:rPr>
                <w:rFonts w:hint="eastAsia" w:cs="宋体"/>
                <w:b/>
                <w:bCs/>
                <w:color w:val="auto"/>
                <w:sz w:val="24"/>
                <w:szCs w:val="21"/>
                <w:lang w:val="zh-CN"/>
              </w:rPr>
              <w:t>表</w:t>
            </w:r>
            <w:r>
              <w:rPr>
                <w:rFonts w:hint="eastAsia" w:cs="宋体"/>
                <w:b/>
                <w:bCs/>
                <w:color w:val="auto"/>
                <w:sz w:val="24"/>
                <w:szCs w:val="21"/>
                <w:lang w:val="en-US" w:eastAsia="zh-CN"/>
              </w:rPr>
              <w:t>5-3</w:t>
            </w:r>
            <w:r>
              <w:rPr>
                <w:rFonts w:hint="eastAsia" w:cs="宋体"/>
                <w:b/>
                <w:bCs/>
                <w:color w:val="auto"/>
                <w:sz w:val="24"/>
                <w:szCs w:val="21"/>
                <w:lang w:val="zh-CN"/>
              </w:rPr>
              <w:t xml:space="preserve"> </w:t>
            </w:r>
            <w:r>
              <w:rPr>
                <w:rFonts w:hint="eastAsia" w:cs="宋体"/>
                <w:b/>
                <w:bCs/>
                <w:color w:val="auto"/>
                <w:sz w:val="24"/>
                <w:szCs w:val="21"/>
              </w:rPr>
              <w:t>项目竣工</w:t>
            </w:r>
            <w:r>
              <w:rPr>
                <w:rFonts w:hint="eastAsia" w:cs="宋体"/>
                <w:b/>
                <w:bCs/>
                <w:color w:val="auto"/>
                <w:sz w:val="24"/>
                <w:szCs w:val="21"/>
                <w:lang w:val="zh-CN"/>
              </w:rPr>
              <w:t>环境保护验收一览表</w:t>
            </w:r>
          </w:p>
          <w:tbl>
            <w:tblPr>
              <w:tblStyle w:val="22"/>
              <w:tblW w:w="791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1407"/>
              <w:gridCol w:w="1443"/>
              <w:gridCol w:w="2513"/>
              <w:gridCol w:w="21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blHeader/>
              </w:trPr>
              <w:tc>
                <w:tcPr>
                  <w:tcW w:w="431"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项目</w:t>
                  </w:r>
                </w:p>
              </w:tc>
              <w:tc>
                <w:tcPr>
                  <w:tcW w:w="1407"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排放源</w:t>
                  </w:r>
                </w:p>
              </w:tc>
              <w:tc>
                <w:tcPr>
                  <w:tcW w:w="1443" w:type="dxa"/>
                  <w:tcBorders>
                    <w:tl2br w:val="nil"/>
                    <w:tr2bl w:val="nil"/>
                  </w:tcBorders>
                  <w:shd w:val="clear" w:color="auto" w:fill="auto"/>
                  <w:vAlign w:val="center"/>
                </w:tcPr>
                <w:p>
                  <w:pPr>
                    <w:jc w:val="center"/>
                    <w:rPr>
                      <w:b/>
                      <w:bCs/>
                      <w:color w:val="auto"/>
                      <w:sz w:val="21"/>
                      <w:szCs w:val="21"/>
                    </w:rPr>
                  </w:pPr>
                  <w:r>
                    <w:rPr>
                      <w:rFonts w:hint="eastAsia"/>
                      <w:b/>
                      <w:color w:val="auto"/>
                      <w:sz w:val="21"/>
                      <w:szCs w:val="21"/>
                    </w:rPr>
                    <w:t>污染物名称</w:t>
                  </w:r>
                </w:p>
              </w:tc>
              <w:tc>
                <w:tcPr>
                  <w:tcW w:w="2513"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环保措施</w:t>
                  </w:r>
                </w:p>
              </w:tc>
              <w:tc>
                <w:tcPr>
                  <w:tcW w:w="2122" w:type="dxa"/>
                  <w:tcBorders>
                    <w:tl2br w:val="nil"/>
                    <w:tr2bl w:val="nil"/>
                  </w:tcBorders>
                  <w:shd w:val="clear" w:color="auto" w:fill="auto"/>
                  <w:vAlign w:val="center"/>
                </w:tcPr>
                <w:p>
                  <w:pPr>
                    <w:adjustRightInd w:val="0"/>
                    <w:snapToGrid w:val="0"/>
                    <w:jc w:val="center"/>
                    <w:rPr>
                      <w:b/>
                      <w:bCs/>
                      <w:snapToGrid w:val="0"/>
                      <w:color w:val="auto"/>
                      <w:sz w:val="21"/>
                      <w:szCs w:val="21"/>
                    </w:rPr>
                  </w:pPr>
                  <w:r>
                    <w:rPr>
                      <w:rFonts w:hint="eastAsia"/>
                      <w:b/>
                      <w:bCs/>
                      <w:snapToGrid w:val="0"/>
                      <w:color w:val="auto"/>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废气</w:t>
                  </w:r>
                </w:p>
              </w:tc>
              <w:tc>
                <w:tcPr>
                  <w:tcW w:w="1407" w:type="dxa"/>
                  <w:tcBorders>
                    <w:tl2br w:val="nil"/>
                    <w:tr2bl w:val="nil"/>
                  </w:tcBorders>
                  <w:vAlign w:val="center"/>
                </w:tcPr>
                <w:p>
                  <w:pPr>
                    <w:adjustRightInd w:val="0"/>
                    <w:snapToGrid w:val="0"/>
                    <w:jc w:val="center"/>
                    <w:rPr>
                      <w:color w:val="auto"/>
                      <w:sz w:val="21"/>
                      <w:szCs w:val="21"/>
                      <w:lang w:bidi="ar"/>
                    </w:rPr>
                  </w:pPr>
                  <w:r>
                    <w:rPr>
                      <w:rFonts w:hint="eastAsia"/>
                      <w:color w:val="auto"/>
                      <w:sz w:val="21"/>
                      <w:szCs w:val="21"/>
                    </w:rPr>
                    <w:t>无组织废气</w:t>
                  </w:r>
                </w:p>
              </w:tc>
              <w:tc>
                <w:tcPr>
                  <w:tcW w:w="1443" w:type="dxa"/>
                  <w:tcBorders>
                    <w:tl2br w:val="nil"/>
                    <w:tr2bl w:val="nil"/>
                  </w:tcBorders>
                  <w:vAlign w:val="center"/>
                </w:tcPr>
                <w:p>
                  <w:pPr>
                    <w:adjustRightInd w:val="0"/>
                    <w:snapToGrid w:val="0"/>
                    <w:jc w:val="center"/>
                    <w:rPr>
                      <w:rFonts w:hint="eastAsia" w:eastAsia="宋体"/>
                      <w:color w:val="auto"/>
                      <w:sz w:val="21"/>
                      <w:szCs w:val="21"/>
                      <w:lang w:eastAsia="zh-CN" w:bidi="ar"/>
                    </w:rPr>
                  </w:pPr>
                  <w:r>
                    <w:rPr>
                      <w:rFonts w:hint="eastAsia"/>
                      <w:color w:val="auto"/>
                      <w:sz w:val="21"/>
                      <w:szCs w:val="21"/>
                      <w:lang w:val="en-US" w:eastAsia="zh-CN" w:bidi="ar"/>
                    </w:rPr>
                    <w:t>/</w:t>
                  </w:r>
                </w:p>
              </w:tc>
              <w:tc>
                <w:tcPr>
                  <w:tcW w:w="2513" w:type="dxa"/>
                  <w:tcBorders>
                    <w:tl2br w:val="nil"/>
                    <w:tr2bl w:val="nil"/>
                  </w:tcBorders>
                  <w:vAlign w:val="center"/>
                </w:tcPr>
                <w:p>
                  <w:pPr>
                    <w:pStyle w:val="54"/>
                    <w:spacing w:before="48" w:after="48"/>
                    <w:ind w:firstLine="420" w:firstLineChars="200"/>
                    <w:rPr>
                      <w:rFonts w:hint="default" w:eastAsia="宋体"/>
                      <w:color w:val="auto"/>
                      <w:szCs w:val="21"/>
                      <w:lang w:val="en-US" w:eastAsia="zh-CN"/>
                    </w:rPr>
                  </w:pPr>
                  <w:r>
                    <w:rPr>
                      <w:rFonts w:hint="eastAsia"/>
                      <w:color w:val="auto"/>
                      <w:szCs w:val="21"/>
                      <w:lang w:val="en-US" w:eastAsia="zh-CN"/>
                    </w:rPr>
                    <w:t>/</w:t>
                  </w:r>
                </w:p>
              </w:tc>
              <w:tc>
                <w:tcPr>
                  <w:tcW w:w="2122" w:type="dxa"/>
                  <w:tcBorders>
                    <w:tl2br w:val="nil"/>
                    <w:tr2bl w:val="nil"/>
                  </w:tcBorders>
                  <w:vAlign w:val="center"/>
                </w:tcPr>
                <w:p>
                  <w:pPr>
                    <w:adjustRightInd w:val="0"/>
                    <w:snapToGrid w:val="0"/>
                    <w:jc w:val="center"/>
                    <w:rPr>
                      <w:bCs/>
                      <w:color w:val="auto"/>
                      <w:sz w:val="21"/>
                      <w:szCs w:val="21"/>
                    </w:rPr>
                  </w:pPr>
                  <w:r>
                    <w:rPr>
                      <w:rFonts w:hint="eastAsia"/>
                      <w:color w:val="auto"/>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废水</w:t>
                  </w:r>
                </w:p>
              </w:tc>
              <w:tc>
                <w:tcPr>
                  <w:tcW w:w="1407"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lang w:val="en-US" w:eastAsia="zh-CN"/>
                    </w:rPr>
                    <w:t>生活污水</w:t>
                  </w:r>
                </w:p>
              </w:tc>
              <w:tc>
                <w:tcPr>
                  <w:tcW w:w="1443" w:type="dxa"/>
                  <w:tcBorders>
                    <w:tl2br w:val="nil"/>
                    <w:tr2bl w:val="nil"/>
                  </w:tcBorders>
                  <w:vAlign w:val="center"/>
                </w:tcPr>
                <w:p>
                  <w:pPr>
                    <w:jc w:val="center"/>
                    <w:rPr>
                      <w:rFonts w:hint="default" w:eastAsia="宋体"/>
                      <w:color w:val="auto"/>
                      <w:sz w:val="21"/>
                      <w:szCs w:val="21"/>
                      <w:lang w:val="en-US" w:eastAsia="zh-CN"/>
                    </w:rPr>
                  </w:pPr>
                  <w:r>
                    <w:rPr>
                      <w:rFonts w:hint="eastAsia"/>
                      <w:color w:val="auto"/>
                      <w:sz w:val="21"/>
                      <w:szCs w:val="21"/>
                    </w:rPr>
                    <w:t>pH、COD、BOD</w:t>
                  </w:r>
                  <w:r>
                    <w:rPr>
                      <w:color w:val="auto"/>
                      <w:sz w:val="21"/>
                      <w:szCs w:val="21"/>
                      <w:vertAlign w:val="subscript"/>
                    </w:rPr>
                    <w:t>5</w:t>
                  </w:r>
                  <w:r>
                    <w:rPr>
                      <w:rFonts w:hint="eastAsia"/>
                      <w:color w:val="auto"/>
                      <w:sz w:val="21"/>
                      <w:szCs w:val="21"/>
                    </w:rPr>
                    <w:t>、SS、NH</w:t>
                  </w:r>
                  <w:r>
                    <w:rPr>
                      <w:color w:val="auto"/>
                      <w:sz w:val="21"/>
                      <w:szCs w:val="21"/>
                      <w:vertAlign w:val="subscript"/>
                    </w:rPr>
                    <w:t>3</w:t>
                  </w:r>
                  <w:r>
                    <w:rPr>
                      <w:color w:val="auto"/>
                      <w:sz w:val="21"/>
                      <w:szCs w:val="21"/>
                    </w:rPr>
                    <w:t>-N</w:t>
                  </w:r>
                  <w:r>
                    <w:rPr>
                      <w:rFonts w:hint="eastAsia"/>
                      <w:color w:val="auto"/>
                      <w:sz w:val="21"/>
                      <w:szCs w:val="21"/>
                      <w:lang w:val="en-US" w:eastAsia="zh-CN"/>
                    </w:rPr>
                    <w:t>、TP</w:t>
                  </w:r>
                </w:p>
              </w:tc>
              <w:tc>
                <w:tcPr>
                  <w:tcW w:w="2513" w:type="dxa"/>
                  <w:tcBorders>
                    <w:tl2br w:val="nil"/>
                    <w:tr2bl w:val="nil"/>
                  </w:tcBorders>
                  <w:vAlign w:val="center"/>
                </w:tcPr>
                <w:p>
                  <w:pPr>
                    <w:adjustRightInd w:val="0"/>
                    <w:snapToGrid w:val="0"/>
                    <w:jc w:val="center"/>
                    <w:rPr>
                      <w:rFonts w:hint="default" w:ascii="Times New Roman" w:hAnsi="Times New Roman" w:cs="Times New Roman"/>
                      <w:snapToGrid w:val="0"/>
                      <w:color w:val="auto"/>
                      <w:sz w:val="21"/>
                      <w:szCs w:val="21"/>
                      <w:lang w:val="en-US"/>
                    </w:rPr>
                  </w:pPr>
                  <w:r>
                    <w:rPr>
                      <w:rFonts w:hint="eastAsia" w:ascii="Times New Roman" w:hAnsi="Times New Roman" w:cs="Times New Roman"/>
                      <w:snapToGrid w:val="0"/>
                      <w:color w:val="auto"/>
                      <w:sz w:val="21"/>
                      <w:szCs w:val="21"/>
                      <w:lang w:val="en-US" w:eastAsia="zh-CN"/>
                    </w:rPr>
                    <w:t>化粪池+市政污水管网</w:t>
                  </w:r>
                </w:p>
              </w:tc>
              <w:tc>
                <w:tcPr>
                  <w:tcW w:w="2122" w:type="dxa"/>
                  <w:tcBorders>
                    <w:tl2br w:val="nil"/>
                    <w:tr2bl w:val="nil"/>
                  </w:tcBorders>
                  <w:vAlign w:val="center"/>
                </w:tcPr>
                <w:p>
                  <w:pPr>
                    <w:adjustRightInd w:val="0"/>
                    <w:snapToGrid w:val="0"/>
                    <w:jc w:val="center"/>
                    <w:rPr>
                      <w:rFonts w:hint="default" w:ascii="Times New Roman" w:hAnsi="Times New Roman" w:cs="Times New Roman"/>
                      <w:snapToGrid w:val="0"/>
                      <w:color w:val="auto"/>
                      <w:sz w:val="21"/>
                      <w:szCs w:val="21"/>
                      <w:lang w:val="en-US"/>
                    </w:rPr>
                  </w:pPr>
                  <w:r>
                    <w:rPr>
                      <w:rFonts w:hint="eastAsia" w:ascii="Times New Roman" w:hAnsi="Times New Roman" w:cs="Times New Roman"/>
                      <w:snapToGrid w:val="0"/>
                      <w:color w:val="auto"/>
                      <w:sz w:val="21"/>
                      <w:szCs w:val="21"/>
                      <w:lang w:val="en-US" w:eastAsia="zh-CN"/>
                    </w:rPr>
                    <w:t>华容县团洲乡团洲新村污水处理厂进水水质标准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噪声</w:t>
                  </w:r>
                </w:p>
              </w:tc>
              <w:tc>
                <w:tcPr>
                  <w:tcW w:w="1407"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机械设备</w:t>
                  </w:r>
                </w:p>
              </w:tc>
              <w:tc>
                <w:tcPr>
                  <w:tcW w:w="144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设备噪声</w:t>
                  </w:r>
                </w:p>
              </w:tc>
              <w:tc>
                <w:tcPr>
                  <w:tcW w:w="2513"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低噪声设备、基础减振、厂房隔声</w:t>
                  </w:r>
                </w:p>
              </w:tc>
              <w:tc>
                <w:tcPr>
                  <w:tcW w:w="2122" w:type="dxa"/>
                  <w:tcBorders>
                    <w:tl2br w:val="nil"/>
                    <w:tr2bl w:val="nil"/>
                  </w:tcBorders>
                  <w:vAlign w:val="center"/>
                </w:tcPr>
                <w:p>
                  <w:pPr>
                    <w:adjustRightInd w:val="0"/>
                    <w:snapToGrid w:val="0"/>
                    <w:jc w:val="center"/>
                    <w:rPr>
                      <w:snapToGrid w:val="0"/>
                      <w:color w:val="auto"/>
                      <w:sz w:val="21"/>
                      <w:szCs w:val="21"/>
                    </w:rPr>
                  </w:pPr>
                  <w:r>
                    <w:rPr>
                      <w:rFonts w:hint="eastAsia"/>
                      <w:snapToGrid w:val="0"/>
                      <w:color w:val="auto"/>
                      <w:sz w:val="21"/>
                      <w:szCs w:val="21"/>
                    </w:rPr>
                    <w:t>厂界噪声执行《工业企业厂界环境噪声排放标准》</w:t>
                  </w:r>
                  <w:r>
                    <w:rPr>
                      <w:snapToGrid w:val="0"/>
                      <w:color w:val="auto"/>
                      <w:sz w:val="21"/>
                      <w:szCs w:val="21"/>
                    </w:rPr>
                    <w:t xml:space="preserve"> </w:t>
                  </w:r>
                  <w:r>
                    <w:rPr>
                      <w:rFonts w:hint="eastAsia"/>
                      <w:snapToGrid w:val="0"/>
                      <w:color w:val="auto"/>
                      <w:sz w:val="21"/>
                      <w:szCs w:val="21"/>
                    </w:rPr>
                    <w:t>（GB12348</w:t>
                  </w:r>
                  <w:r>
                    <w:rPr>
                      <w:rFonts w:hint="eastAsia"/>
                      <w:snapToGrid w:val="0"/>
                      <w:color w:val="auto"/>
                      <w:sz w:val="21"/>
                      <w:szCs w:val="21"/>
                      <w:lang w:val="en-US" w:eastAsia="zh-CN"/>
                    </w:rPr>
                    <w:t xml:space="preserve"> </w:t>
                  </w:r>
                  <w:r>
                    <w:rPr>
                      <w:rFonts w:hint="eastAsia"/>
                      <w:snapToGrid w:val="0"/>
                      <w:color w:val="auto"/>
                      <w:sz w:val="21"/>
                      <w:szCs w:val="21"/>
                    </w:rPr>
                    <w:t>-2008）中</w:t>
                  </w:r>
                  <w:r>
                    <w:rPr>
                      <w:snapToGrid w:val="0"/>
                      <w:color w:val="auto"/>
                      <w:sz w:val="21"/>
                      <w:szCs w:val="21"/>
                    </w:rPr>
                    <w:t xml:space="preserve"> 2</w:t>
                  </w:r>
                  <w:r>
                    <w:rPr>
                      <w:rFonts w:hint="eastAsia"/>
                      <w:snapToGrid w:val="0"/>
                      <w:color w:val="auto"/>
                      <w:sz w:val="21"/>
                      <w:szCs w:val="21"/>
                    </w:rPr>
                    <w:t>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1" w:type="dxa"/>
                  <w:tcBorders>
                    <w:tl2br w:val="nil"/>
                    <w:tr2bl w:val="nil"/>
                  </w:tcBorders>
                  <w:vAlign w:val="center"/>
                </w:tcPr>
                <w:p>
                  <w:pPr>
                    <w:autoSpaceDE w:val="0"/>
                    <w:autoSpaceDN w:val="0"/>
                    <w:adjustRightInd w:val="0"/>
                    <w:snapToGrid w:val="0"/>
                    <w:jc w:val="center"/>
                    <w:rPr>
                      <w:bCs/>
                      <w:color w:val="auto"/>
                      <w:kern w:val="0"/>
                      <w:sz w:val="21"/>
                      <w:szCs w:val="21"/>
                    </w:rPr>
                  </w:pPr>
                  <w:r>
                    <w:rPr>
                      <w:rFonts w:hint="eastAsia"/>
                      <w:bCs/>
                      <w:color w:val="auto"/>
                      <w:kern w:val="0"/>
                      <w:sz w:val="21"/>
                      <w:szCs w:val="21"/>
                    </w:rPr>
                    <w:t>固废</w:t>
                  </w:r>
                </w:p>
              </w:tc>
              <w:tc>
                <w:tcPr>
                  <w:tcW w:w="1407" w:type="dxa"/>
                  <w:tcBorders>
                    <w:tl2br w:val="nil"/>
                    <w:tr2bl w:val="nil"/>
                  </w:tcBorders>
                  <w:vAlign w:val="center"/>
                </w:tcPr>
                <w:p>
                  <w:pPr>
                    <w:autoSpaceDE w:val="0"/>
                    <w:autoSpaceDN w:val="0"/>
                    <w:adjustRightInd w:val="0"/>
                    <w:snapToGrid w:val="0"/>
                    <w:jc w:val="center"/>
                    <w:rPr>
                      <w:rFonts w:hint="default" w:eastAsia="宋体"/>
                      <w:bCs/>
                      <w:color w:val="auto"/>
                      <w:kern w:val="0"/>
                      <w:sz w:val="21"/>
                      <w:szCs w:val="21"/>
                      <w:lang w:val="en-US" w:eastAsia="zh-CN"/>
                    </w:rPr>
                  </w:pPr>
                  <w:r>
                    <w:rPr>
                      <w:rFonts w:hint="eastAsia"/>
                      <w:bCs/>
                      <w:color w:val="auto"/>
                      <w:kern w:val="0"/>
                      <w:sz w:val="21"/>
                      <w:szCs w:val="21"/>
                      <w:lang w:val="en-US" w:eastAsia="zh-CN"/>
                    </w:rPr>
                    <w:t>生活垃圾</w:t>
                  </w:r>
                </w:p>
              </w:tc>
              <w:tc>
                <w:tcPr>
                  <w:tcW w:w="1443" w:type="dxa"/>
                  <w:tcBorders>
                    <w:tl2br w:val="nil"/>
                    <w:tr2bl w:val="nil"/>
                  </w:tcBorders>
                  <w:vAlign w:val="center"/>
                </w:tcPr>
                <w:p>
                  <w:pPr>
                    <w:adjustRightInd w:val="0"/>
                    <w:snapToGrid w:val="0"/>
                    <w:jc w:val="center"/>
                    <w:rPr>
                      <w:rFonts w:hint="default" w:eastAsia="宋体"/>
                      <w:snapToGrid w:val="0"/>
                      <w:color w:val="auto"/>
                      <w:sz w:val="21"/>
                      <w:szCs w:val="21"/>
                      <w:lang w:val="en-US" w:eastAsia="zh-CN"/>
                    </w:rPr>
                  </w:pPr>
                  <w:r>
                    <w:rPr>
                      <w:rFonts w:hint="eastAsia"/>
                      <w:snapToGrid w:val="0"/>
                      <w:color w:val="auto"/>
                      <w:sz w:val="21"/>
                      <w:szCs w:val="21"/>
                      <w:lang w:val="en-US" w:eastAsia="zh-CN"/>
                    </w:rPr>
                    <w:t>果皮、纸张等</w:t>
                  </w:r>
                </w:p>
              </w:tc>
              <w:tc>
                <w:tcPr>
                  <w:tcW w:w="2513" w:type="dxa"/>
                  <w:tcBorders>
                    <w:tl2br w:val="nil"/>
                    <w:tr2bl w:val="nil"/>
                  </w:tcBorders>
                  <w:vAlign w:val="center"/>
                </w:tcPr>
                <w:p>
                  <w:pPr>
                    <w:adjustRightInd w:val="0"/>
                    <w:snapToGrid w:val="0"/>
                    <w:jc w:val="center"/>
                    <w:rPr>
                      <w:snapToGrid w:val="0"/>
                      <w:color w:val="auto"/>
                      <w:sz w:val="21"/>
                      <w:szCs w:val="21"/>
                    </w:rPr>
                  </w:pPr>
                </w:p>
                <w:p>
                  <w:pPr>
                    <w:adjustRightInd w:val="0"/>
                    <w:snapToGrid w:val="0"/>
                    <w:jc w:val="center"/>
                    <w:rPr>
                      <w:rFonts w:hint="default"/>
                      <w:snapToGrid w:val="0"/>
                      <w:color w:val="auto"/>
                      <w:sz w:val="21"/>
                      <w:szCs w:val="21"/>
                      <w:lang w:val="en-US"/>
                    </w:rPr>
                  </w:pPr>
                  <w:r>
                    <w:rPr>
                      <w:rFonts w:hint="eastAsia"/>
                      <w:snapToGrid w:val="0"/>
                      <w:color w:val="auto"/>
                      <w:sz w:val="21"/>
                      <w:szCs w:val="21"/>
                      <w:lang w:val="en-US" w:eastAsia="zh-CN"/>
                    </w:rPr>
                    <w:t>分类收集垃圾桶+环卫及时清运</w:t>
                  </w:r>
                </w:p>
              </w:tc>
              <w:tc>
                <w:tcPr>
                  <w:tcW w:w="2122" w:type="dxa"/>
                  <w:tcBorders>
                    <w:tl2br w:val="nil"/>
                    <w:tr2bl w:val="nil"/>
                  </w:tcBorders>
                  <w:vAlign w:val="center"/>
                </w:tcPr>
                <w:p>
                  <w:pPr>
                    <w:adjustRightInd w:val="0"/>
                    <w:snapToGrid w:val="0"/>
                    <w:jc w:val="center"/>
                    <w:rPr>
                      <w:rFonts w:hint="eastAsia" w:eastAsia="宋体"/>
                      <w:snapToGrid w:val="0"/>
                      <w:color w:val="auto"/>
                      <w:sz w:val="21"/>
                      <w:szCs w:val="21"/>
                      <w:lang w:val="en-US" w:eastAsia="zh-CN"/>
                    </w:rPr>
                  </w:pPr>
                  <w:r>
                    <w:rPr>
                      <w:rFonts w:hint="eastAsia"/>
                      <w:snapToGrid w:val="0"/>
                      <w:color w:val="auto"/>
                      <w:sz w:val="21"/>
                      <w:szCs w:val="21"/>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0" w:firstLineChars="200"/>
              <w:textAlignment w:val="auto"/>
              <w:rPr>
                <w:rFonts w:hint="default" w:ascii="Times New Roman" w:hAnsi="Times New Roman" w:eastAsia="宋体" w:cs="Times New Roman"/>
                <w:bCs/>
                <w:color w:val="auto"/>
                <w:spacing w:val="10"/>
                <w:sz w:val="24"/>
                <w:szCs w:val="24"/>
                <w:lang w:val="en-US" w:eastAsia="zh-CN"/>
              </w:rPr>
            </w:pPr>
          </w:p>
        </w:tc>
      </w:tr>
    </w:tbl>
    <w:p>
      <w:pPr>
        <w:rPr>
          <w:rFonts w:hint="eastAsia" w:ascii="黑体" w:hAnsi="黑体" w:eastAsia="黑体"/>
          <w:snapToGrid w:val="0"/>
          <w:color w:val="auto"/>
          <w:sz w:val="30"/>
          <w:szCs w:val="30"/>
        </w:rPr>
      </w:pPr>
    </w:p>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bookmarkEnd w:id="20"/>
    <w:p>
      <w:pPr>
        <w:keepNext w:val="0"/>
        <w:keepLines w:val="0"/>
        <w:pageBreakBefore w:val="0"/>
        <w:widowControl w:val="0"/>
        <w:numPr>
          <w:ilvl w:val="0"/>
          <w:numId w:val="5"/>
        </w:numPr>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eastAsia="黑体" w:cs="Times New Roman"/>
          <w:snapToGrid w:val="0"/>
          <w:color w:val="auto"/>
          <w:sz w:val="30"/>
          <w:szCs w:val="30"/>
        </w:rPr>
      </w:pPr>
      <w:bookmarkStart w:id="21" w:name="_Toc10235"/>
      <w:bookmarkStart w:id="22" w:name="_Toc20635"/>
      <w:bookmarkStart w:id="23" w:name="_Toc32340"/>
      <w:bookmarkStart w:id="24" w:name="_Toc18335"/>
      <w:bookmarkStart w:id="25" w:name="_Toc16874"/>
      <w:bookmarkStart w:id="26" w:name="_Toc19557"/>
      <w:bookmarkStart w:id="27" w:name="_Toc11421"/>
      <w:bookmarkStart w:id="28" w:name="_Toc16573"/>
      <w:bookmarkStart w:id="29" w:name="_Toc12760"/>
      <w:r>
        <w:rPr>
          <w:rFonts w:hint="default" w:ascii="Times New Roman" w:hAnsi="Times New Roman" w:eastAsia="黑体" w:cs="Times New Roman"/>
          <w:snapToGrid w:val="0"/>
          <w:color w:val="auto"/>
          <w:sz w:val="30"/>
          <w:szCs w:val="30"/>
        </w:rPr>
        <w:t>生态环境保护措施监督检查清单</w:t>
      </w:r>
      <w:bookmarkEnd w:id="21"/>
      <w:bookmarkEnd w:id="22"/>
      <w:bookmarkEnd w:id="23"/>
      <w:bookmarkEnd w:id="24"/>
      <w:bookmarkEnd w:id="25"/>
      <w:bookmarkEnd w:id="26"/>
      <w:bookmarkEnd w:id="27"/>
      <w:bookmarkEnd w:id="28"/>
      <w:bookmarkEnd w:id="29"/>
    </w:p>
    <w:p>
      <w:pPr>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outlineLvl w:val="0"/>
        <w:rPr>
          <w:rFonts w:hint="default" w:ascii="Times New Roman" w:hAnsi="Times New Roman" w:eastAsia="黑体" w:cs="Times New Roman"/>
          <w:snapToGrid w:val="0"/>
          <w:color w:val="auto"/>
          <w:sz w:val="30"/>
          <w:szCs w:val="30"/>
        </w:rPr>
      </w:pP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705"/>
        <w:gridCol w:w="1180"/>
        <w:gridCol w:w="2388"/>
        <w:gridCol w:w="1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restart"/>
            <w:tcBorders>
              <w:tl2br w:val="single" w:color="auto" w:sz="4" w:space="0"/>
            </w:tcBorders>
            <w:noWrap w:val="0"/>
            <w:vAlign w:val="top"/>
          </w:tcPr>
          <w:p>
            <w:pPr>
              <w:pStyle w:val="73"/>
              <w:bidi w:val="0"/>
              <w:jc w:val="right"/>
              <w:rPr>
                <w:rFonts w:hint="default" w:ascii="Times New Roman" w:hAnsi="Times New Roman" w:cs="Times New Roman"/>
                <w:color w:val="auto"/>
                <w:sz w:val="21"/>
                <w:szCs w:val="21"/>
              </w:rPr>
            </w:pPr>
            <w:bookmarkStart w:id="30" w:name="_Toc8513"/>
            <w:bookmarkStart w:id="31" w:name="_Toc10050"/>
            <w:bookmarkStart w:id="32" w:name="_Toc3720"/>
            <w:bookmarkStart w:id="33" w:name="_Toc23512"/>
            <w:r>
              <w:rPr>
                <w:rFonts w:hint="default" w:ascii="Times New Roman" w:hAnsi="Times New Roman" w:cs="Times New Roman"/>
                <w:color w:val="auto"/>
                <w:sz w:val="21"/>
                <w:szCs w:val="21"/>
              </w:rPr>
              <w:t>内容</w:t>
            </w:r>
            <w:bookmarkEnd w:id="30"/>
            <w:bookmarkEnd w:id="31"/>
            <w:bookmarkEnd w:id="32"/>
            <w:bookmarkEnd w:id="33"/>
          </w:p>
          <w:p>
            <w:pPr>
              <w:pStyle w:val="73"/>
              <w:bidi w:val="0"/>
              <w:rPr>
                <w:rFonts w:hint="default" w:ascii="Times New Roman" w:hAnsi="Times New Roman" w:cs="Times New Roman"/>
                <w:color w:val="auto"/>
                <w:sz w:val="21"/>
                <w:szCs w:val="21"/>
                <w:lang w:eastAsia="zh-CN"/>
              </w:rPr>
            </w:pPr>
          </w:p>
          <w:p>
            <w:pPr>
              <w:pStyle w:val="73"/>
              <w:bidi w:val="0"/>
              <w:jc w:val="left"/>
              <w:rPr>
                <w:rFonts w:hint="default" w:ascii="Times New Roman" w:hAnsi="Times New Roman" w:cs="Times New Roman"/>
                <w:color w:val="auto"/>
                <w:sz w:val="21"/>
                <w:szCs w:val="21"/>
              </w:rPr>
            </w:pPr>
            <w:bookmarkStart w:id="34" w:name="_Toc30363"/>
            <w:bookmarkStart w:id="35" w:name="_Toc8231"/>
            <w:bookmarkStart w:id="36" w:name="_Toc13521"/>
            <w:bookmarkStart w:id="37" w:name="_Toc19374"/>
            <w:r>
              <w:rPr>
                <w:rFonts w:hint="default" w:ascii="Times New Roman" w:hAnsi="Times New Roman" w:cs="Times New Roman"/>
                <w:color w:val="auto"/>
                <w:sz w:val="21"/>
                <w:szCs w:val="21"/>
              </w:rPr>
              <w:t>要素</w:t>
            </w:r>
            <w:bookmarkEnd w:id="34"/>
            <w:bookmarkEnd w:id="35"/>
            <w:bookmarkEnd w:id="36"/>
            <w:bookmarkEnd w:id="37"/>
          </w:p>
        </w:tc>
        <w:tc>
          <w:tcPr>
            <w:tcW w:w="3885" w:type="dxa"/>
            <w:gridSpan w:val="2"/>
            <w:noWrap w:val="0"/>
            <w:vAlign w:val="center"/>
          </w:tcPr>
          <w:p>
            <w:pPr>
              <w:pStyle w:val="73"/>
              <w:bidi w:val="0"/>
              <w:rPr>
                <w:rFonts w:hint="default" w:ascii="Times New Roman" w:hAnsi="Times New Roman" w:cs="Times New Roman"/>
                <w:color w:val="auto"/>
                <w:sz w:val="21"/>
                <w:szCs w:val="21"/>
              </w:rPr>
            </w:pPr>
            <w:bookmarkStart w:id="38" w:name="_Toc28752"/>
            <w:bookmarkStart w:id="39" w:name="_Toc1849"/>
            <w:bookmarkStart w:id="40" w:name="_Toc11388"/>
            <w:bookmarkStart w:id="41" w:name="_Toc1129"/>
            <w:r>
              <w:rPr>
                <w:rFonts w:hint="default" w:ascii="Times New Roman" w:hAnsi="Times New Roman" w:cs="Times New Roman"/>
                <w:color w:val="auto"/>
                <w:sz w:val="21"/>
                <w:szCs w:val="21"/>
              </w:rPr>
              <w:t>施工期</w:t>
            </w:r>
            <w:bookmarkEnd w:id="38"/>
            <w:bookmarkEnd w:id="39"/>
            <w:bookmarkEnd w:id="40"/>
            <w:bookmarkEnd w:id="41"/>
          </w:p>
        </w:tc>
        <w:tc>
          <w:tcPr>
            <w:tcW w:w="3578" w:type="dxa"/>
            <w:gridSpan w:val="2"/>
            <w:noWrap w:val="0"/>
            <w:vAlign w:val="center"/>
          </w:tcPr>
          <w:p>
            <w:pPr>
              <w:pStyle w:val="73"/>
              <w:bidi w:val="0"/>
              <w:rPr>
                <w:rFonts w:hint="default" w:ascii="Times New Roman" w:hAnsi="Times New Roman" w:cs="Times New Roman"/>
                <w:color w:val="auto"/>
                <w:sz w:val="21"/>
                <w:szCs w:val="21"/>
              </w:rPr>
            </w:pPr>
            <w:bookmarkStart w:id="42" w:name="_Toc9079"/>
            <w:bookmarkStart w:id="43" w:name="_Toc4675"/>
            <w:bookmarkStart w:id="44" w:name="_Toc31319"/>
            <w:bookmarkStart w:id="45" w:name="_Toc27513"/>
            <w:r>
              <w:rPr>
                <w:rFonts w:hint="default" w:ascii="Times New Roman" w:hAnsi="Times New Roman" w:cs="Times New Roman"/>
                <w:color w:val="auto"/>
                <w:sz w:val="21"/>
                <w:szCs w:val="21"/>
              </w:rPr>
              <w:t>运营期</w:t>
            </w:r>
            <w:bookmarkEnd w:id="42"/>
            <w:bookmarkEnd w:id="43"/>
            <w:bookmarkEnd w:id="44"/>
            <w:bookmarkEnd w:id="4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9" w:type="dxa"/>
            <w:vMerge w:val="continue"/>
            <w:noWrap w:val="0"/>
            <w:vAlign w:val="top"/>
          </w:tcPr>
          <w:p>
            <w:pPr>
              <w:pStyle w:val="73"/>
              <w:bidi w:val="0"/>
              <w:rPr>
                <w:rFonts w:hint="default" w:ascii="Times New Roman" w:hAnsi="Times New Roman" w:cs="Times New Roman"/>
                <w:color w:val="auto"/>
                <w:sz w:val="21"/>
                <w:szCs w:val="21"/>
              </w:rPr>
            </w:pPr>
          </w:p>
        </w:tc>
        <w:tc>
          <w:tcPr>
            <w:tcW w:w="2705" w:type="dxa"/>
            <w:noWrap w:val="0"/>
            <w:vAlign w:val="center"/>
          </w:tcPr>
          <w:p>
            <w:pPr>
              <w:pStyle w:val="73"/>
              <w:bidi w:val="0"/>
              <w:rPr>
                <w:rFonts w:hint="default" w:ascii="Times New Roman" w:hAnsi="Times New Roman" w:cs="Times New Roman"/>
                <w:color w:val="auto"/>
                <w:sz w:val="21"/>
                <w:szCs w:val="21"/>
              </w:rPr>
            </w:pPr>
            <w:bookmarkStart w:id="46" w:name="_Toc21009"/>
            <w:bookmarkStart w:id="47" w:name="_Toc8833"/>
            <w:bookmarkStart w:id="48" w:name="_Toc5515"/>
            <w:bookmarkStart w:id="49" w:name="_Toc8120"/>
            <w:r>
              <w:rPr>
                <w:rFonts w:hint="default" w:ascii="Times New Roman" w:hAnsi="Times New Roman" w:cs="Times New Roman"/>
                <w:color w:val="auto"/>
                <w:sz w:val="21"/>
                <w:szCs w:val="21"/>
              </w:rPr>
              <w:t>环境保护措施</w:t>
            </w:r>
            <w:bookmarkEnd w:id="46"/>
            <w:bookmarkEnd w:id="47"/>
            <w:bookmarkEnd w:id="48"/>
            <w:bookmarkEnd w:id="49"/>
          </w:p>
        </w:tc>
        <w:tc>
          <w:tcPr>
            <w:tcW w:w="1180" w:type="dxa"/>
            <w:noWrap w:val="0"/>
            <w:vAlign w:val="center"/>
          </w:tcPr>
          <w:p>
            <w:pPr>
              <w:pStyle w:val="73"/>
              <w:bidi w:val="0"/>
              <w:rPr>
                <w:rFonts w:hint="default" w:ascii="Times New Roman" w:hAnsi="Times New Roman" w:cs="Times New Roman"/>
                <w:color w:val="auto"/>
                <w:sz w:val="21"/>
                <w:szCs w:val="21"/>
              </w:rPr>
            </w:pPr>
            <w:bookmarkStart w:id="50" w:name="_Toc7915"/>
            <w:bookmarkStart w:id="51" w:name="_Toc18000"/>
            <w:bookmarkStart w:id="52" w:name="_Toc17205"/>
            <w:bookmarkStart w:id="53" w:name="_Toc10890"/>
            <w:r>
              <w:rPr>
                <w:rFonts w:hint="default" w:ascii="Times New Roman" w:hAnsi="Times New Roman" w:cs="Times New Roman"/>
                <w:color w:val="auto"/>
                <w:sz w:val="21"/>
                <w:szCs w:val="21"/>
              </w:rPr>
              <w:t>验收要求</w:t>
            </w:r>
            <w:bookmarkEnd w:id="50"/>
            <w:bookmarkEnd w:id="51"/>
            <w:bookmarkEnd w:id="52"/>
            <w:bookmarkEnd w:id="53"/>
          </w:p>
        </w:tc>
        <w:tc>
          <w:tcPr>
            <w:tcW w:w="2388" w:type="dxa"/>
            <w:noWrap w:val="0"/>
            <w:vAlign w:val="center"/>
          </w:tcPr>
          <w:p>
            <w:pPr>
              <w:pStyle w:val="73"/>
              <w:bidi w:val="0"/>
              <w:rPr>
                <w:rFonts w:hint="default" w:ascii="Times New Roman" w:hAnsi="Times New Roman" w:cs="Times New Roman"/>
                <w:color w:val="auto"/>
                <w:sz w:val="21"/>
                <w:szCs w:val="21"/>
              </w:rPr>
            </w:pPr>
            <w:bookmarkStart w:id="54" w:name="_Toc10215"/>
            <w:bookmarkStart w:id="55" w:name="_Toc9253"/>
            <w:bookmarkStart w:id="56" w:name="_Toc15063"/>
            <w:bookmarkStart w:id="57" w:name="_Toc638"/>
            <w:r>
              <w:rPr>
                <w:rFonts w:hint="default" w:ascii="Times New Roman" w:hAnsi="Times New Roman" w:cs="Times New Roman"/>
                <w:color w:val="auto"/>
                <w:sz w:val="21"/>
                <w:szCs w:val="21"/>
              </w:rPr>
              <w:t>环境保护措施</w:t>
            </w:r>
            <w:bookmarkEnd w:id="54"/>
            <w:bookmarkEnd w:id="55"/>
            <w:bookmarkEnd w:id="56"/>
            <w:bookmarkEnd w:id="57"/>
          </w:p>
        </w:tc>
        <w:tc>
          <w:tcPr>
            <w:tcW w:w="1190" w:type="dxa"/>
            <w:noWrap w:val="0"/>
            <w:vAlign w:val="center"/>
          </w:tcPr>
          <w:p>
            <w:pPr>
              <w:pStyle w:val="73"/>
              <w:bidi w:val="0"/>
              <w:rPr>
                <w:rFonts w:hint="default" w:ascii="Times New Roman" w:hAnsi="Times New Roman" w:cs="Times New Roman"/>
                <w:color w:val="auto"/>
                <w:sz w:val="21"/>
                <w:szCs w:val="21"/>
              </w:rPr>
            </w:pPr>
            <w:bookmarkStart w:id="58" w:name="_Toc27204"/>
            <w:bookmarkStart w:id="59" w:name="_Toc8879"/>
            <w:bookmarkStart w:id="60" w:name="_Toc25774"/>
            <w:bookmarkStart w:id="61" w:name="_Toc9006"/>
            <w:r>
              <w:rPr>
                <w:rFonts w:hint="default" w:ascii="Times New Roman" w:hAnsi="Times New Roman" w:cs="Times New Roman"/>
                <w:color w:val="auto"/>
                <w:sz w:val="21"/>
                <w:szCs w:val="21"/>
              </w:rPr>
              <w:t>验收要求</w:t>
            </w:r>
            <w:bookmarkEnd w:id="58"/>
            <w:bookmarkEnd w:id="59"/>
            <w:bookmarkEnd w:id="60"/>
            <w:bookmarkEnd w:id="61"/>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陆生生态</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①合理组织施工、加强施工管理，严格控制施工活动在征地红线范围内进行，减少土地占用；②绿化补偿工作，临时占地生态复垦；③加强对林地、植物保护及恢复；④加强动物保护，严禁捕杀动物；⑤水土保持措施</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c>
          <w:tcPr>
            <w:tcW w:w="2388" w:type="dxa"/>
            <w:vMerge w:val="restart"/>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建设单位必须担负生态保护、恢复、补偿、建设和管理责任</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水生生态</w:t>
            </w:r>
          </w:p>
        </w:tc>
        <w:tc>
          <w:tcPr>
            <w:tcW w:w="2705"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影响降低到最小</w:t>
            </w:r>
          </w:p>
        </w:tc>
        <w:tc>
          <w:tcPr>
            <w:tcW w:w="2388" w:type="dxa"/>
            <w:vMerge w:val="continue"/>
            <w:noWrap w:val="0"/>
            <w:vAlign w:val="center"/>
          </w:tcPr>
          <w:p>
            <w:pPr>
              <w:pStyle w:val="74"/>
              <w:bidi w:val="0"/>
              <w:rPr>
                <w:rFonts w:hint="default" w:ascii="Times New Roman" w:hAnsi="Times New Roman" w:cs="Times New Roman"/>
                <w:color w:val="auto"/>
              </w:rPr>
            </w:pPr>
          </w:p>
        </w:tc>
        <w:tc>
          <w:tcPr>
            <w:tcW w:w="1190"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地表水</w:t>
            </w:r>
          </w:p>
          <w:p>
            <w:pPr>
              <w:pStyle w:val="74"/>
              <w:bidi w:val="0"/>
              <w:rPr>
                <w:rFonts w:hint="default" w:ascii="Times New Roman" w:hAnsi="Times New Roman" w:cs="Times New Roman"/>
                <w:color w:val="auto"/>
              </w:rPr>
            </w:pPr>
            <w:r>
              <w:rPr>
                <w:rFonts w:hint="default" w:ascii="Times New Roman" w:hAnsi="Times New Roman" w:cs="Times New Roman"/>
                <w:color w:val="auto"/>
              </w:rPr>
              <w:t>环境</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《污水综合排放标准》（GB8978-1996）中表4一级标准</w:t>
            </w:r>
          </w:p>
        </w:tc>
        <w:tc>
          <w:tcPr>
            <w:tcW w:w="2388"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①加强</w:t>
            </w:r>
            <w:r>
              <w:rPr>
                <w:rFonts w:hint="eastAsia" w:cs="Times New Roman"/>
                <w:color w:val="auto"/>
                <w:lang w:val="en-US" w:eastAsia="zh-CN"/>
              </w:rPr>
              <w:t>对安置区内各项设备的</w:t>
            </w:r>
            <w:r>
              <w:rPr>
                <w:rFonts w:hint="default" w:ascii="Times New Roman" w:hAnsi="Times New Roman" w:cs="Times New Roman"/>
                <w:color w:val="auto"/>
                <w:lang w:val="en-US" w:eastAsia="zh-CN"/>
              </w:rPr>
              <w:t>日常维护与管理；②完善</w:t>
            </w:r>
            <w:r>
              <w:rPr>
                <w:rFonts w:hint="eastAsia" w:cs="Times New Roman"/>
                <w:color w:val="auto"/>
                <w:lang w:val="en-US" w:eastAsia="zh-CN"/>
              </w:rPr>
              <w:t>区内</w:t>
            </w:r>
            <w:r>
              <w:rPr>
                <w:rFonts w:hint="default" w:ascii="Times New Roman" w:hAnsi="Times New Roman" w:cs="Times New Roman"/>
                <w:color w:val="auto"/>
                <w:lang w:val="en-US" w:eastAsia="zh-CN"/>
              </w:rPr>
              <w:t>排水设施</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eastAsia="zh-CN"/>
              </w:rPr>
              <w:t>影响降低到最小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地下水及土壤环境</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声环境</w:t>
            </w:r>
          </w:p>
        </w:tc>
        <w:tc>
          <w:tcPr>
            <w:tcW w:w="2705"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《建筑施工场界环境噪声排放标准》（</w:t>
            </w:r>
            <w:r>
              <w:rPr>
                <w:rFonts w:hint="default" w:ascii="Times New Roman" w:hAnsi="Times New Roman" w:cs="Times New Roman"/>
                <w:color w:val="auto"/>
                <w:lang w:val="en-US" w:eastAsia="zh-CN"/>
              </w:rPr>
              <w:t>GB</w:t>
            </w:r>
            <w:r>
              <w:rPr>
                <w:rFonts w:hint="default" w:ascii="Times New Roman" w:hAnsi="Times New Roman" w:cs="Times New Roman"/>
                <w:color w:val="auto"/>
              </w:rPr>
              <w:t>12523-2011）</w:t>
            </w:r>
          </w:p>
        </w:tc>
        <w:tc>
          <w:tcPr>
            <w:tcW w:w="2388" w:type="dxa"/>
            <w:noWrap w:val="0"/>
            <w:vAlign w:val="center"/>
          </w:tcPr>
          <w:p>
            <w:pPr>
              <w:pStyle w:val="74"/>
              <w:bidi w:val="0"/>
              <w:rPr>
                <w:rFonts w:hint="default" w:ascii="Times New Roman" w:hAnsi="Times New Roman" w:cs="Times New Roman"/>
                <w:color w:val="auto"/>
              </w:rPr>
            </w:pPr>
            <w:r>
              <w:rPr>
                <w:rFonts w:hint="eastAsia" w:cs="宋体"/>
                <w:color w:val="auto"/>
                <w:sz w:val="21"/>
                <w:szCs w:val="21"/>
              </w:rPr>
              <w:t>减震、隔声</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《声环境质量标准》（GB3096-2008）2类、4a类标准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振动</w:t>
            </w:r>
          </w:p>
        </w:tc>
        <w:tc>
          <w:tcPr>
            <w:tcW w:w="2705"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大气环境</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eastAsia="宋体" w:cs="Times New Roman"/>
                <w:color w:val="auto"/>
                <w:lang w:val="en-US" w:eastAsia="zh-CN"/>
              </w:rPr>
            </w:pPr>
            <w:r>
              <w:rPr>
                <w:rFonts w:hint="eastAsia" w:cs="Times New Roman"/>
                <w:color w:val="auto"/>
                <w:lang w:val="en-US" w:eastAsia="zh-CN"/>
              </w:rPr>
              <w:t>地表水环境</w:t>
            </w:r>
          </w:p>
        </w:tc>
        <w:tc>
          <w:tcPr>
            <w:tcW w:w="2705"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1180" w:type="dxa"/>
            <w:shd w:val="clear" w:color="auto" w:fill="auto"/>
            <w:noWrap w:val="0"/>
            <w:vAlign w:val="center"/>
          </w:tcPr>
          <w:p>
            <w:pPr>
              <w:pStyle w:val="74"/>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eastAsia="宋体" w:cs="Times New Roman"/>
                <w:color w:val="auto"/>
                <w:lang w:val="en-US" w:eastAsia="zh-CN"/>
              </w:rPr>
            </w:pPr>
            <w:r>
              <w:rPr>
                <w:rFonts w:hint="eastAsia" w:cs="宋体"/>
                <w:color w:val="auto"/>
                <w:sz w:val="21"/>
                <w:szCs w:val="21"/>
              </w:rPr>
              <w:t>化粪池</w:t>
            </w:r>
            <w:r>
              <w:rPr>
                <w:rFonts w:hint="eastAsia" w:cs="宋体"/>
                <w:color w:val="auto"/>
                <w:sz w:val="21"/>
                <w:szCs w:val="21"/>
                <w:lang w:val="en-US" w:eastAsia="zh-CN"/>
              </w:rPr>
              <w:t>+市政污水处理厂</w:t>
            </w:r>
          </w:p>
        </w:tc>
        <w:tc>
          <w:tcPr>
            <w:tcW w:w="1190" w:type="dxa"/>
            <w:noWrap w:val="0"/>
            <w:vAlign w:val="center"/>
          </w:tcPr>
          <w:p>
            <w:pPr>
              <w:pStyle w:val="74"/>
              <w:bidi w:val="0"/>
              <w:rPr>
                <w:rFonts w:hint="default" w:ascii="Times New Roman" w:hAnsi="Times New Roman" w:cs="Times New Roman"/>
                <w:color w:val="auto"/>
                <w:lang w:val="en-US" w:eastAsia="zh-CN"/>
              </w:rPr>
            </w:pPr>
            <w:r>
              <w:rPr>
                <w:rFonts w:hint="eastAsia" w:cs="宋体"/>
                <w:color w:val="auto"/>
                <w:sz w:val="21"/>
                <w:szCs w:val="21"/>
                <w:lang w:val="en-US" w:eastAsia="zh-CN"/>
              </w:rPr>
              <w:t>市政污水处理厂进水水质标准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固体废物</w:t>
            </w:r>
          </w:p>
        </w:tc>
        <w:tc>
          <w:tcPr>
            <w:tcW w:w="2705"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eastAsia" w:cs="宋体"/>
                <w:color w:val="auto"/>
                <w:sz w:val="21"/>
                <w:szCs w:val="21"/>
              </w:rPr>
              <w:t>生活垃圾：分离垃圾桶收集，交由环卫部门统一处置</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电磁环境</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环境风险</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cs="宋体"/>
                <w:color w:val="auto"/>
                <w:sz w:val="21"/>
                <w:szCs w:val="21"/>
                <w:lang w:val="en-US" w:eastAsia="zh-CN"/>
              </w:rPr>
            </w:pPr>
            <w:r>
              <w:rPr>
                <w:rFonts w:hint="eastAsia" w:cs="宋体"/>
                <w:color w:val="auto"/>
                <w:sz w:val="21"/>
                <w:szCs w:val="21"/>
                <w:lang w:val="en-US" w:eastAsia="zh-CN"/>
              </w:rPr>
              <w:t>加强对天然气管道进行检修维护；合理设置灭火器</w:t>
            </w:r>
          </w:p>
          <w:p>
            <w:pPr>
              <w:pStyle w:val="74"/>
              <w:bidi w:val="0"/>
              <w:rPr>
                <w:rFonts w:hint="default" w:cs="宋体"/>
                <w:color w:val="auto"/>
                <w:sz w:val="21"/>
                <w:szCs w:val="21"/>
              </w:rPr>
            </w:pPr>
          </w:p>
        </w:tc>
        <w:tc>
          <w:tcPr>
            <w:tcW w:w="1190" w:type="dxa"/>
            <w:noWrap w:val="0"/>
            <w:vAlign w:val="center"/>
          </w:tcPr>
          <w:p>
            <w:pPr>
              <w:pStyle w:val="74"/>
              <w:bidi w:val="0"/>
              <w:rPr>
                <w:rFonts w:hint="default" w:cs="宋体"/>
                <w:color w:val="auto"/>
                <w:sz w:val="21"/>
                <w:szCs w:val="21"/>
              </w:rPr>
            </w:pPr>
            <w:r>
              <w:rPr>
                <w:rFonts w:hint="default" w:cs="宋体"/>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环境监测</w:t>
            </w:r>
          </w:p>
        </w:tc>
        <w:tc>
          <w:tcPr>
            <w:tcW w:w="2705" w:type="dxa"/>
            <w:noWrap w:val="0"/>
            <w:vAlign w:val="center"/>
          </w:tcPr>
          <w:p>
            <w:pPr>
              <w:pStyle w:val="74"/>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9"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rPr>
              <w:t>其他</w:t>
            </w:r>
          </w:p>
        </w:tc>
        <w:tc>
          <w:tcPr>
            <w:tcW w:w="2705"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8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2388"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c>
          <w:tcPr>
            <w:tcW w:w="1190" w:type="dxa"/>
            <w:noWrap w:val="0"/>
            <w:vAlign w:val="center"/>
          </w:tcPr>
          <w:p>
            <w:pPr>
              <w:pStyle w:val="74"/>
              <w:bidi w:val="0"/>
              <w:rPr>
                <w:rFonts w:hint="default" w:ascii="Times New Roman" w:hAnsi="Times New Roman" w:cs="Times New Roman"/>
                <w:color w:val="auto"/>
              </w:rPr>
            </w:pPr>
            <w:r>
              <w:rPr>
                <w:rFonts w:hint="default" w:ascii="Times New Roman" w:hAnsi="Times New Roman" w:cs="Times New Roman"/>
                <w:color w:val="auto"/>
                <w:lang w:val="en-US" w:eastAsia="zh-CN"/>
              </w:rPr>
              <w:t>--</w:t>
            </w:r>
          </w:p>
        </w:tc>
      </w:tr>
    </w:tbl>
    <w:p>
      <w:pPr>
        <w:pStyle w:val="19"/>
        <w:jc w:val="center"/>
        <w:outlineLvl w:val="0"/>
        <w:rPr>
          <w:rFonts w:ascii="黑体" w:hAnsi="黑体" w:eastAsia="黑体"/>
          <w:snapToGrid w:val="0"/>
          <w:color w:val="auto"/>
          <w:sz w:val="30"/>
          <w:szCs w:val="30"/>
        </w:rPr>
      </w:pPr>
      <w:r>
        <w:rPr>
          <w:snapToGrid w:val="0"/>
          <w:color w:val="auto"/>
        </w:rPr>
        <w:br w:type="page"/>
      </w:r>
      <w:bookmarkStart w:id="62" w:name="_Toc14502"/>
      <w:bookmarkStart w:id="63" w:name="_Toc17058"/>
      <w:r>
        <w:rPr>
          <w:rFonts w:hint="eastAsia"/>
          <w:b/>
          <w:bCs/>
          <w:snapToGrid w:val="0"/>
          <w:color w:val="auto"/>
          <w:lang w:val="en-US" w:eastAsia="zh-CN"/>
        </w:rPr>
        <w:t>七</w:t>
      </w:r>
      <w:r>
        <w:rPr>
          <w:rFonts w:hint="eastAsia" w:ascii="黑体" w:hAnsi="黑体" w:eastAsia="黑体"/>
          <w:b/>
          <w:bCs/>
          <w:snapToGrid w:val="0"/>
          <w:color w:val="auto"/>
          <w:sz w:val="30"/>
          <w:szCs w:val="30"/>
        </w:rPr>
        <w:t>、结论</w:t>
      </w:r>
      <w:bookmarkEnd w:id="62"/>
      <w:bookmarkEnd w:id="63"/>
    </w:p>
    <w:tbl>
      <w:tblPr>
        <w:tblStyle w:val="22"/>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pPr>
              <w:adjustRightInd w:val="0"/>
              <w:snapToGrid w:val="0"/>
              <w:spacing w:line="360" w:lineRule="auto"/>
              <w:ind w:firstLine="482" w:firstLineChars="200"/>
              <w:rPr>
                <w:b/>
                <w:bCs/>
                <w:color w:val="auto"/>
                <w:sz w:val="24"/>
              </w:rPr>
            </w:pPr>
            <w:r>
              <w:rPr>
                <w:rFonts w:hint="eastAsia"/>
                <w:b/>
                <w:bCs/>
                <w:color w:val="auto"/>
                <w:sz w:val="24"/>
              </w:rPr>
              <w:t>1、结论</w:t>
            </w:r>
          </w:p>
          <w:p>
            <w:pPr>
              <w:adjustRightInd w:val="0"/>
              <w:snapToGrid w:val="0"/>
              <w:spacing w:line="360" w:lineRule="auto"/>
              <w:ind w:firstLine="480" w:firstLineChars="200"/>
              <w:rPr>
                <w:color w:val="auto"/>
                <w:sz w:val="24"/>
              </w:rPr>
            </w:pPr>
            <w:r>
              <w:rPr>
                <w:rFonts w:hint="eastAsia"/>
                <w:color w:val="auto"/>
                <w:sz w:val="24"/>
              </w:rPr>
              <w:t>本项目符合国家产业政策，与相关规划相符，选址较合理，通过该项目的工程分析、影响分析，在采取环评提出的污染控制措施的基础上，项目产生的废气、噪声可达到相关排放标准， 固体废物也将得到妥善、安全处置，项目对周边环境空气、声环境、地表水环境</w:t>
            </w:r>
            <w:r>
              <w:rPr>
                <w:rFonts w:hint="eastAsia"/>
                <w:color w:val="auto"/>
                <w:sz w:val="24"/>
                <w:lang w:eastAsia="zh-CN"/>
              </w:rPr>
              <w:t>、</w:t>
            </w:r>
            <w:r>
              <w:rPr>
                <w:rFonts w:hint="eastAsia"/>
                <w:color w:val="auto"/>
                <w:sz w:val="24"/>
                <w:lang w:val="en-US" w:eastAsia="zh-CN"/>
              </w:rPr>
              <w:t>生态环境</w:t>
            </w:r>
            <w:r>
              <w:rPr>
                <w:rFonts w:hint="eastAsia"/>
                <w:color w:val="auto"/>
                <w:sz w:val="24"/>
              </w:rPr>
              <w:t>的影响较小。本项目在该建设地点按照该项目建设内容、建设规模进行建设从环境保护的角度分析是可行的。</w:t>
            </w:r>
          </w:p>
          <w:p>
            <w:pPr>
              <w:numPr>
                <w:ilvl w:val="0"/>
                <w:numId w:val="6"/>
              </w:numPr>
              <w:adjustRightInd w:val="0"/>
              <w:snapToGrid w:val="0"/>
              <w:spacing w:line="360" w:lineRule="auto"/>
              <w:ind w:firstLine="482" w:firstLineChars="200"/>
              <w:rPr>
                <w:b/>
                <w:bCs/>
                <w:color w:val="auto"/>
                <w:sz w:val="24"/>
              </w:rPr>
            </w:pPr>
            <w:r>
              <w:rPr>
                <w:rFonts w:hint="eastAsia"/>
                <w:b/>
                <w:bCs/>
                <w:color w:val="auto"/>
                <w:sz w:val="24"/>
              </w:rPr>
              <w:t>建议</w:t>
            </w:r>
          </w:p>
          <w:p>
            <w:pPr>
              <w:adjustRightInd w:val="0"/>
              <w:snapToGrid w:val="0"/>
              <w:spacing w:line="360" w:lineRule="auto"/>
              <w:ind w:firstLine="480" w:firstLineChars="200"/>
              <w:rPr>
                <w:color w:val="auto"/>
                <w:sz w:val="24"/>
              </w:rPr>
            </w:pPr>
            <w:r>
              <w:rPr>
                <w:color w:val="auto"/>
                <w:sz w:val="24"/>
              </w:rPr>
              <w:t>为确保本项目对环境的影响控制在环境允许的范围内，建设单位要做好下列工作：</w:t>
            </w:r>
          </w:p>
          <w:p>
            <w:pPr>
              <w:adjustRightInd w:val="0"/>
              <w:snapToGrid w:val="0"/>
              <w:spacing w:line="360" w:lineRule="auto"/>
              <w:ind w:firstLine="480" w:firstLineChars="200"/>
              <w:rPr>
                <w:rFonts w:ascii="Times New Roman" w:hAnsi="Times New Roman" w:cs="Times New Roman"/>
                <w:color w:val="auto"/>
                <w:sz w:val="24"/>
              </w:rPr>
            </w:pPr>
            <w:r>
              <w:rPr>
                <w:color w:val="auto"/>
                <w:sz w:val="24"/>
              </w:rPr>
              <w:t>（1</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加强、日常环境管理，有效保证居民生活环境</w:t>
            </w:r>
            <w:r>
              <w:rPr>
                <w:rFonts w:ascii="Times New Roman" w:hAnsi="Times New Roman" w:cs="Times New Roman"/>
                <w:color w:val="auto"/>
                <w:sz w:val="24"/>
              </w:rPr>
              <w:t>。</w:t>
            </w:r>
          </w:p>
          <w:p>
            <w:pPr>
              <w:adjustRightInd w:val="0"/>
              <w:snapToGrid w:val="0"/>
              <w:spacing w:line="360" w:lineRule="auto"/>
              <w:ind w:firstLine="480" w:firstLineChars="200"/>
              <w:rPr>
                <w:rFonts w:ascii="Times New Roman" w:hAnsi="Times New Roman" w:cs="Times New Roman"/>
                <w:color w:val="auto"/>
                <w:sz w:val="24"/>
              </w:rPr>
            </w:pPr>
            <w:r>
              <w:rPr>
                <w:rFonts w:ascii="Times New Roman" w:hAnsi="Times New Roman" w:cs="Times New Roman"/>
                <w:color w:val="auto"/>
                <w:sz w:val="24"/>
              </w:rPr>
              <w:t>（2）如产</w:t>
            </w:r>
            <w:r>
              <w:rPr>
                <w:rFonts w:hint="eastAsia" w:ascii="Times New Roman" w:hAnsi="Times New Roman" w:cs="Times New Roman"/>
                <w:color w:val="auto"/>
                <w:sz w:val="24"/>
                <w:lang w:val="en-US" w:eastAsia="zh-CN"/>
              </w:rPr>
              <w:t>项目规模</w:t>
            </w:r>
            <w:r>
              <w:rPr>
                <w:rFonts w:ascii="Times New Roman" w:hAnsi="Times New Roman" w:cs="Times New Roman"/>
                <w:color w:val="auto"/>
                <w:sz w:val="24"/>
              </w:rPr>
              <w:t>、</w:t>
            </w:r>
            <w:r>
              <w:rPr>
                <w:rFonts w:hint="eastAsia" w:ascii="Times New Roman" w:hAnsi="Times New Roman" w:cs="Times New Roman"/>
                <w:color w:val="auto"/>
                <w:sz w:val="24"/>
                <w:lang w:val="en-US" w:eastAsia="zh-CN"/>
              </w:rPr>
              <w:t>位置等</w:t>
            </w:r>
            <w:r>
              <w:rPr>
                <w:rFonts w:ascii="Times New Roman" w:hAnsi="Times New Roman" w:cs="Times New Roman"/>
                <w:color w:val="auto"/>
                <w:sz w:val="24"/>
              </w:rPr>
              <w:t>情况有大的变动，应及时向有关部门申报。</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ascii="Times New Roman" w:hAnsi="Times New Roman" w:cs="Times New Roman"/>
                <w:color w:val="auto"/>
                <w:sz w:val="24"/>
              </w:rPr>
              <w:t>（3）</w:t>
            </w:r>
            <w:r>
              <w:rPr>
                <w:rFonts w:hint="eastAsia" w:ascii="Times New Roman" w:hAnsi="Times New Roman" w:cs="Times New Roman"/>
                <w:color w:val="auto"/>
                <w:sz w:val="24"/>
                <w:lang w:val="en-US" w:eastAsia="zh-CN"/>
              </w:rPr>
              <w:t>积极推广生活垃圾分类收集、处理。</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4）必须严格执行建设项目竣工环保验收制度，对项目废水、噪声、固废采取相应的治理措施，并将环保治理措施上报环保管理部门备案。项目建成后根据《建设项目竣工环境保护验收暂行办法》经自主验收后方可投入运营。</w:t>
            </w:r>
          </w:p>
          <w:p>
            <w:pPr>
              <w:spacing w:line="360" w:lineRule="auto"/>
              <w:rPr>
                <w:rFonts w:ascii="宋体" w:cs="宋体"/>
                <w:color w:val="auto"/>
                <w:sz w:val="24"/>
              </w:rPr>
            </w:pPr>
          </w:p>
        </w:tc>
      </w:tr>
    </w:tbl>
    <w:p>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pPr>
        <w:jc w:val="center"/>
        <w:outlineLvl w:val="0"/>
        <w:rPr>
          <w:rFonts w:ascii="方正小标宋_GBK" w:hAnsi="黑体" w:eastAsia="方正小标宋_GBK"/>
          <w:snapToGrid w:val="0"/>
          <w:color w:val="auto"/>
          <w:kern w:val="0"/>
          <w:sz w:val="38"/>
          <w:szCs w:val="38"/>
        </w:rPr>
      </w:pPr>
      <w:bookmarkStart w:id="64" w:name="_Toc19926"/>
      <w:bookmarkStart w:id="65" w:name="_Toc1282"/>
      <w:r>
        <w:rPr>
          <w:rFonts w:hint="eastAsia" w:ascii="方正小标宋_GBK" w:hAnsi="黑体" w:eastAsia="方正小标宋_GBK"/>
          <w:snapToGrid w:val="0"/>
          <w:color w:val="auto"/>
          <w:kern w:val="0"/>
          <w:sz w:val="38"/>
          <w:szCs w:val="38"/>
        </w:rPr>
        <w:t>附图</w:t>
      </w:r>
      <w:bookmarkEnd w:id="64"/>
      <w:bookmarkEnd w:id="65"/>
    </w:p>
    <w:p>
      <w:pPr>
        <w:widowControl/>
        <w:spacing w:line="360" w:lineRule="auto"/>
        <w:outlineLvl w:val="1"/>
        <w:rPr>
          <w:color w:val="auto"/>
        </w:rPr>
      </w:pPr>
      <w:bookmarkStart w:id="66" w:name="_Toc5793"/>
      <w:bookmarkStart w:id="67" w:name="_Toc8779"/>
      <w:bookmarkStart w:id="68" w:name="_Toc14548"/>
      <w:bookmarkStart w:id="69" w:name="_Toc29193"/>
      <w:bookmarkStart w:id="70" w:name="_Toc2754"/>
      <w:r>
        <w:rPr>
          <w:b/>
          <w:bCs/>
          <w:color w:val="auto"/>
          <w:sz w:val="28"/>
          <w:szCs w:val="28"/>
        </w:rPr>
        <w:t>附图1 项目地理位置图</w:t>
      </w:r>
      <w:bookmarkEnd w:id="66"/>
      <w:bookmarkEnd w:id="67"/>
      <w:bookmarkEnd w:id="68"/>
      <w:bookmarkEnd w:id="69"/>
      <w:bookmarkEnd w:id="70"/>
    </w:p>
    <w:p>
      <w:pPr>
        <w:jc w:val="center"/>
        <w:rPr>
          <w:color w:val="auto"/>
        </w:rPr>
        <w:sectPr>
          <w:footerReference r:id="rId7" w:type="default"/>
          <w:pgSz w:w="16838" w:h="11906" w:orient="landscape"/>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r>
        <w:rPr>
          <w:rFonts w:ascii="Times New Roman" w:hAnsi="Times New Roman" w:eastAsia="仿宋_GB2312" w:cs="Times New Roman"/>
          <w:snapToGrid w:val="0"/>
          <w:color w:val="auto"/>
          <w:spacing w:val="0"/>
          <w:kern w:val="0"/>
          <w:position w:val="0"/>
          <w:sz w:val="28"/>
          <w:szCs w:val="28"/>
          <w:lang w:val="en-US" w:eastAsia="en-US" w:bidi="ar-SA"/>
        </w:rPr>
        <w:drawing>
          <wp:inline distT="0" distB="0" distL="114300" distR="114300">
            <wp:extent cx="6126480" cy="4584700"/>
            <wp:effectExtent l="19050" t="19050" r="26670" b="254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
                    <a:stretch>
                      <a:fillRect/>
                    </a:stretch>
                  </pic:blipFill>
                  <pic:spPr>
                    <a:xfrm>
                      <a:off x="0" y="0"/>
                      <a:ext cx="6126480" cy="4584700"/>
                    </a:xfrm>
                    <a:prstGeom prst="rect">
                      <a:avLst/>
                    </a:prstGeom>
                    <a:noFill/>
                    <a:ln w="19050" cmpd="sng">
                      <a:solidFill>
                        <a:schemeClr val="tx1"/>
                      </a:solidFill>
                      <a:prstDash val="solid"/>
                    </a:ln>
                  </pic:spPr>
                </pic:pic>
              </a:graphicData>
            </a:graphic>
          </wp:inline>
        </w:drawing>
      </w:r>
    </w:p>
    <w:p>
      <w:pPr>
        <w:widowControl/>
        <w:spacing w:line="360" w:lineRule="auto"/>
        <w:outlineLvl w:val="1"/>
        <w:rPr>
          <w:b/>
          <w:bCs/>
          <w:color w:val="auto"/>
          <w:sz w:val="28"/>
          <w:szCs w:val="28"/>
        </w:rPr>
      </w:pPr>
      <w:bookmarkStart w:id="71" w:name="_Toc32167"/>
      <w:bookmarkStart w:id="72" w:name="_Toc23410"/>
      <w:bookmarkStart w:id="73" w:name="_Toc29913"/>
      <w:bookmarkStart w:id="74" w:name="_Toc25904"/>
      <w:bookmarkStart w:id="75" w:name="_Toc25423"/>
      <w:r>
        <w:rPr>
          <w:b/>
          <w:bCs/>
          <w:color w:val="auto"/>
          <w:sz w:val="28"/>
          <w:szCs w:val="28"/>
        </w:rPr>
        <w:t>附图2 厂区平面布置图</w:t>
      </w:r>
      <w:bookmarkEnd w:id="71"/>
      <w:bookmarkEnd w:id="72"/>
      <w:bookmarkEnd w:id="73"/>
      <w:bookmarkEnd w:id="74"/>
      <w:bookmarkEnd w:id="75"/>
    </w:p>
    <w:p>
      <w:pPr>
        <w:rPr>
          <w:rFonts w:hint="eastAsia"/>
          <w:color w:val="auto"/>
          <w:lang w:val="en-US" w:eastAsia="zh-CN"/>
        </w:rPr>
      </w:pPr>
      <w:r>
        <w:drawing>
          <wp:inline distT="0" distB="0" distL="114300" distR="114300">
            <wp:extent cx="8404225" cy="5153025"/>
            <wp:effectExtent l="19050" t="19050" r="34925" b="28575"/>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24"/>
                    <a:srcRect t="2162" b="4006"/>
                    <a:stretch>
                      <a:fillRect/>
                    </a:stretch>
                  </pic:blipFill>
                  <pic:spPr>
                    <a:xfrm>
                      <a:off x="0" y="0"/>
                      <a:ext cx="8404225" cy="5153025"/>
                    </a:xfrm>
                    <a:prstGeom prst="rect">
                      <a:avLst/>
                    </a:prstGeom>
                    <a:noFill/>
                    <a:ln w="19050">
                      <a:solidFill>
                        <a:schemeClr val="tx1"/>
                      </a:solidFill>
                    </a:ln>
                  </pic:spPr>
                </pic:pic>
              </a:graphicData>
            </a:graphic>
          </wp:inline>
        </w:drawing>
      </w:r>
      <w:r>
        <w:rPr>
          <w:rFonts w:hint="eastAsia"/>
          <w:color w:val="auto"/>
          <w:lang w:val="en-US" w:eastAsia="zh-CN"/>
        </w:rPr>
        <w:br w:type="page"/>
      </w:r>
    </w:p>
    <w:p>
      <w:pPr>
        <w:widowControl/>
        <w:spacing w:line="360" w:lineRule="auto"/>
        <w:outlineLvl w:val="1"/>
        <w:rPr>
          <w:b/>
          <w:bCs/>
          <w:color w:val="auto"/>
          <w:sz w:val="28"/>
          <w:szCs w:val="28"/>
        </w:rPr>
      </w:pPr>
      <w:bookmarkStart w:id="76" w:name="_Toc32110"/>
      <w:bookmarkStart w:id="77" w:name="_Toc4653"/>
      <w:bookmarkStart w:id="78" w:name="_Toc14316"/>
      <w:bookmarkStart w:id="79" w:name="_Toc22328"/>
      <w:bookmarkStart w:id="80" w:name="_Toc6746"/>
      <w:r>
        <w:rPr>
          <w:b/>
          <w:bCs/>
          <w:color w:val="auto"/>
          <w:sz w:val="28"/>
          <w:szCs w:val="28"/>
        </w:rPr>
        <w:t>附图</w:t>
      </w:r>
      <w:r>
        <w:rPr>
          <w:rFonts w:hint="eastAsia"/>
          <w:b/>
          <w:bCs/>
          <w:color w:val="auto"/>
          <w:sz w:val="28"/>
          <w:szCs w:val="28"/>
        </w:rPr>
        <w:t>3</w:t>
      </w:r>
      <w:r>
        <w:rPr>
          <w:b/>
          <w:bCs/>
          <w:color w:val="auto"/>
          <w:sz w:val="28"/>
          <w:szCs w:val="28"/>
        </w:rPr>
        <w:t xml:space="preserve"> </w:t>
      </w:r>
      <w:r>
        <w:rPr>
          <w:rFonts w:hint="eastAsia"/>
          <w:b/>
          <w:bCs/>
          <w:color w:val="auto"/>
          <w:sz w:val="28"/>
          <w:szCs w:val="28"/>
        </w:rPr>
        <w:t>项目周边环境及敏感目标</w:t>
      </w:r>
      <w:r>
        <w:rPr>
          <w:b/>
          <w:bCs/>
          <w:color w:val="auto"/>
          <w:sz w:val="28"/>
          <w:szCs w:val="28"/>
        </w:rPr>
        <w:t>图</w:t>
      </w:r>
      <w:bookmarkEnd w:id="76"/>
      <w:bookmarkEnd w:id="77"/>
      <w:bookmarkEnd w:id="78"/>
      <w:bookmarkEnd w:id="79"/>
      <w:bookmarkEnd w:id="80"/>
    </w:p>
    <w:p>
      <w:pPr>
        <w:tabs>
          <w:tab w:val="left" w:pos="1187"/>
        </w:tabs>
        <w:bidi w:val="0"/>
        <w:jc w:val="left"/>
        <w:rPr>
          <w:color w:val="auto"/>
        </w:rPr>
      </w:pPr>
      <w:r>
        <w:rPr>
          <w:color w:val="auto"/>
          <w:sz w:val="18"/>
        </w:rPr>
        <mc:AlternateContent>
          <mc:Choice Requires="wps">
            <w:drawing>
              <wp:anchor distT="0" distB="0" distL="114300" distR="114300" simplePos="0" relativeHeight="251671552" behindDoc="0" locked="0" layoutInCell="1" allowOverlap="1">
                <wp:simplePos x="0" y="0"/>
                <wp:positionH relativeFrom="column">
                  <wp:posOffset>3937000</wp:posOffset>
                </wp:positionH>
                <wp:positionV relativeFrom="paragraph">
                  <wp:posOffset>1894205</wp:posOffset>
                </wp:positionV>
                <wp:extent cx="1101725" cy="448945"/>
                <wp:effectExtent l="0" t="0" r="0" b="0"/>
                <wp:wrapNone/>
                <wp:docPr id="28" name="矩形 28"/>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0pt;margin-top:149.15pt;height:35.35pt;width:86.75pt;z-index:251671552;v-text-anchor:middle;mso-width-relative:page;mso-height-relative:page;" filled="f" stroked="f" coordsize="21600,21600" o:gfxdata="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TnrkPYAAAACwEAAA8AAAAAAAAAAQAgAAAAIgAAAGRycy9kb3ducmV2LnhtbFBLAQIUABQAAAAI&#10;AIdO4kAng+6wXwIAAKQEAAAOAAAAAAAAAAEAIAAAACcBAABkcnMvZTJvRG9jLnhtbFBLBQYAAAAA&#10;BgAGAFkBAAD4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sz w:val="18"/>
        </w:rPr>
        <mc:AlternateContent>
          <mc:Choice Requires="wps">
            <w:drawing>
              <wp:anchor distT="0" distB="0" distL="114300" distR="114300" simplePos="0" relativeHeight="251672576" behindDoc="0" locked="0" layoutInCell="1" allowOverlap="1">
                <wp:simplePos x="0" y="0"/>
                <wp:positionH relativeFrom="column">
                  <wp:posOffset>2787650</wp:posOffset>
                </wp:positionH>
                <wp:positionV relativeFrom="paragraph">
                  <wp:posOffset>1711325</wp:posOffset>
                </wp:positionV>
                <wp:extent cx="1101725" cy="448945"/>
                <wp:effectExtent l="0" t="0" r="0" b="0"/>
                <wp:wrapNone/>
                <wp:docPr id="29" name="矩形 29"/>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5pt;margin-top:134.75pt;height:35.35pt;width:86.75pt;z-index:251672576;v-text-anchor:middle;mso-width-relative:page;mso-height-relative:page;" filled="f" stroked="f" coordsize="21600,21600" o:gfxdata="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sqiADaAAAA&#10;CwEAAA8AAAAAAAAAAQAgAAAAIgAAAGRycy9kb3ducmV2LnhtbFBLAQIUABQAAAAIAIdO4kBnV0nO&#10;VAIAAJgEAAAOAAAAAAAAAAEAIAAAACkBAABkcnMvZTJvRG9jLnhtbFBLBQYAAAAABgAGAFkBAADv&#10;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674624" behindDoc="0" locked="0" layoutInCell="1" allowOverlap="1">
                <wp:simplePos x="0" y="0"/>
                <wp:positionH relativeFrom="column">
                  <wp:posOffset>1711960</wp:posOffset>
                </wp:positionH>
                <wp:positionV relativeFrom="paragraph">
                  <wp:posOffset>1386205</wp:posOffset>
                </wp:positionV>
                <wp:extent cx="911860" cy="530225"/>
                <wp:effectExtent l="0" t="0" r="0" b="0"/>
                <wp:wrapNone/>
                <wp:docPr id="34" name="矩形 34"/>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4.8pt;margin-top:109.15pt;height:41.75pt;width:71.8pt;z-index:251674624;v-text-anchor:middle;mso-width-relative:page;mso-height-relative:page;" filled="f" stroked="f" coordsize="21600,21600" o:gfxdata="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0rMb+2gAAAAsB&#10;AAAPAAAAAAAAAAEAIAAAACIAAABkcnMvZG93bnJldi54bWxQSwECFAAUAAAACACHTuJALt1ubFIC&#10;AACXBAAADgAAAAAAAAABACAAAAApAQAAZHJzL2Uyb0RvYy54bWxQSwUGAAAAAAYABgBZAQAA7QUA&#10;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673600" behindDoc="0" locked="0" layoutInCell="1" allowOverlap="1">
                <wp:simplePos x="0" y="0"/>
                <wp:positionH relativeFrom="column">
                  <wp:posOffset>3077845</wp:posOffset>
                </wp:positionH>
                <wp:positionV relativeFrom="paragraph">
                  <wp:posOffset>3186430</wp:posOffset>
                </wp:positionV>
                <wp:extent cx="1101725" cy="530225"/>
                <wp:effectExtent l="0" t="0" r="0" b="0"/>
                <wp:wrapNone/>
                <wp:docPr id="33" name="矩形 33"/>
                <wp:cNvGraphicFramePr/>
                <a:graphic xmlns:a="http://schemas.openxmlformats.org/drawingml/2006/main">
                  <a:graphicData uri="http://schemas.microsoft.com/office/word/2010/wordprocessingShape">
                    <wps:wsp>
                      <wps:cNvSpPr/>
                      <wps:spPr>
                        <a:xfrm>
                          <a:off x="0" y="0"/>
                          <a:ext cx="110172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2.35pt;margin-top:250.9pt;height:41.75pt;width:86.75pt;z-index:251673600;v-text-anchor:middle;mso-width-relative:page;mso-height-relative:page;" filled="f" stroked="f" coordsize="21600,21600" o:gfxdata="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xm6GdoAAAAL&#10;AQAADwAAAAAAAAABACAAAAAiAAAAZHJzL2Rvd25yZXYueG1sUEsBAhQAFAAAAAgAh07iQIX0OG5T&#10;AgAAmAQAAA4AAAAAAAAAAQAgAAAAKQEAAGRycy9lMm9Eb2MueG1sUEsFBgAAAAAGAAYAWQEAAO4F&#10;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rFonts w:hint="default" w:ascii="Times New Roman" w:hAnsi="Times New Roman" w:cs="Times New Roman"/>
          <w:color w:val="auto"/>
        </w:rPr>
        <w:drawing>
          <wp:anchor distT="0" distB="0" distL="114300" distR="114300" simplePos="0" relativeHeight="251675648"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36"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1"/>
                    <pic:cNvPicPr>
                      <a:picLocks noChangeAspect="1"/>
                    </pic:cNvPicPr>
                  </pic:nvPicPr>
                  <pic:blipFill>
                    <a:blip r:embed="rId25"/>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8397875" cy="5053330"/>
            <wp:effectExtent l="19050" t="19050" r="22225" b="3302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6"/>
                    <a:stretch>
                      <a:fillRect/>
                    </a:stretch>
                  </pic:blipFill>
                  <pic:spPr>
                    <a:xfrm>
                      <a:off x="0" y="0"/>
                      <a:ext cx="8397875" cy="5053330"/>
                    </a:xfrm>
                    <a:prstGeom prst="rect">
                      <a:avLst/>
                    </a:prstGeom>
                    <a:noFill/>
                    <a:ln w="19050">
                      <a:solidFill>
                        <a:schemeClr val="tx1"/>
                      </a:solidFill>
                    </a:ln>
                  </pic:spPr>
                </pic:pic>
              </a:graphicData>
            </a:graphic>
          </wp:inline>
        </w:drawing>
      </w:r>
      <w:r>
        <w:rPr>
          <w:color w:val="auto"/>
          <w:sz w:val="18"/>
        </w:rPr>
        <mc:AlternateContent>
          <mc:Choice Requires="wps">
            <w:drawing>
              <wp:anchor distT="0" distB="0" distL="114300" distR="114300" simplePos="0" relativeHeight="251684864" behindDoc="0" locked="0" layoutInCell="1" allowOverlap="1">
                <wp:simplePos x="0" y="0"/>
                <wp:positionH relativeFrom="column">
                  <wp:posOffset>3937000</wp:posOffset>
                </wp:positionH>
                <wp:positionV relativeFrom="paragraph">
                  <wp:posOffset>1894205</wp:posOffset>
                </wp:positionV>
                <wp:extent cx="1101725" cy="448945"/>
                <wp:effectExtent l="0" t="0" r="0" b="0"/>
                <wp:wrapNone/>
                <wp:docPr id="31" name="矩形 31"/>
                <wp:cNvGraphicFramePr/>
                <a:graphic xmlns:a="http://schemas.openxmlformats.org/drawingml/2006/main">
                  <a:graphicData uri="http://schemas.microsoft.com/office/word/2010/wordprocessingShape">
                    <wps:wsp>
                      <wps:cNvSpPr/>
                      <wps:spPr>
                        <a:xfrm>
                          <a:off x="5728335" y="204216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安置区二期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0pt;margin-top:149.15pt;height:35.35pt;width:86.75pt;z-index:251684864;v-text-anchor:middle;mso-width-relative:page;mso-height-relative:page;" filled="f" stroked="f" coordsize="21600,21600" o:gfxdata="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TnrkPYAAAACwEAAA8AAAAAAAAAAQAgAAAAIgAAAGRycy9kb3ducmV2LnhtbFBLAQIUABQAAAAI&#10;AIdO4kBdYuSCXwIAAKQEAAAOAAAAAAAAAAEAIAAAACcBAABkcnMvZTJvRG9jLnhtbFBLBQYAAAAA&#10;BgAGAFkBAAD4BQ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安置区二期</w:t>
                      </w:r>
                    </w:p>
                  </w:txbxContent>
                </v:textbox>
              </v:rect>
            </w:pict>
          </mc:Fallback>
        </mc:AlternateContent>
      </w:r>
      <w:r>
        <w:rPr>
          <w:color w:val="auto"/>
          <w:sz w:val="18"/>
        </w:rPr>
        <mc:AlternateContent>
          <mc:Choice Requires="wps">
            <w:drawing>
              <wp:anchor distT="0" distB="0" distL="114300" distR="114300" simplePos="0" relativeHeight="251685888" behindDoc="0" locked="0" layoutInCell="1" allowOverlap="1">
                <wp:simplePos x="0" y="0"/>
                <wp:positionH relativeFrom="column">
                  <wp:posOffset>2787650</wp:posOffset>
                </wp:positionH>
                <wp:positionV relativeFrom="paragraph">
                  <wp:posOffset>1711325</wp:posOffset>
                </wp:positionV>
                <wp:extent cx="1101725" cy="448945"/>
                <wp:effectExtent l="0" t="0" r="0" b="0"/>
                <wp:wrapNone/>
                <wp:docPr id="32" name="矩形 32"/>
                <wp:cNvGraphicFramePr/>
                <a:graphic xmlns:a="http://schemas.openxmlformats.org/drawingml/2006/main">
                  <a:graphicData uri="http://schemas.microsoft.com/office/word/2010/wordprocessingShape">
                    <wps:wsp>
                      <wps:cNvSpPr/>
                      <wps:spPr>
                        <a:xfrm>
                          <a:off x="0" y="0"/>
                          <a:ext cx="1101725" cy="4489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花园小区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5pt;margin-top:134.75pt;height:35.35pt;width:86.75pt;z-index:251685888;v-text-anchor:middle;mso-width-relative:page;mso-height-relative:page;" filled="f" stroked="f" coordsize="21600,21600" o:gfxdata="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7KogA2gAA&#10;AAsBAAAPAAAAAAAAAAEAIAAAACIAAABkcnMvZG93bnJldi54bWxQSwECFAAUAAAACACHTuJAg24S&#10;nlUCAACYBAAADgAAAAAAAAABACAAAAApAQAAZHJzL2Uyb0RvYy54bWxQSwUGAAAAAAYABgBZAQAA&#10;8AU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花园小区</w:t>
                      </w:r>
                    </w:p>
                  </w:txbxContent>
                </v:textbox>
              </v:rect>
            </w:pict>
          </mc:Fallback>
        </mc:AlternateContent>
      </w:r>
      <w:r>
        <w:rPr>
          <w:color w:val="auto"/>
          <w:sz w:val="18"/>
        </w:rPr>
        <mc:AlternateContent>
          <mc:Choice Requires="wps">
            <w:drawing>
              <wp:anchor distT="0" distB="0" distL="114300" distR="114300" simplePos="0" relativeHeight="251687936" behindDoc="0" locked="0" layoutInCell="1" allowOverlap="1">
                <wp:simplePos x="0" y="0"/>
                <wp:positionH relativeFrom="column">
                  <wp:posOffset>1711960</wp:posOffset>
                </wp:positionH>
                <wp:positionV relativeFrom="paragraph">
                  <wp:posOffset>1386205</wp:posOffset>
                </wp:positionV>
                <wp:extent cx="911860" cy="530225"/>
                <wp:effectExtent l="0" t="0" r="0" b="0"/>
                <wp:wrapNone/>
                <wp:docPr id="35" name="矩形 35"/>
                <wp:cNvGraphicFramePr/>
                <a:graphic xmlns:a="http://schemas.openxmlformats.org/drawingml/2006/main">
                  <a:graphicData uri="http://schemas.microsoft.com/office/word/2010/wordprocessingShape">
                    <wps:wsp>
                      <wps:cNvSpPr/>
                      <wps:spPr>
                        <a:xfrm>
                          <a:off x="0" y="0"/>
                          <a:ext cx="911860"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团洲乡中心小学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4.8pt;margin-top:109.15pt;height:41.75pt;width:71.8pt;z-index:251687936;v-text-anchor:middle;mso-width-relative:page;mso-height-relative:page;" filled="f" stroked="f" coordsize="21600,21600" o:gfxdata="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KzG/toAAAAL&#10;AQAADwAAAAAAAAABACAAAAAiAAAAZHJzL2Rvd25yZXYueG1sUEsBAhQAFAAAAAgAh07iQLKGWX5T&#10;AgAAlwQAAA4AAAAAAAAAAQAgAAAAKQEAAGRycy9lMm9Eb2MueG1sUEsFBgAAAAAGAAYAWQEAAO4F&#10;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团洲乡中心小学</w:t>
                      </w:r>
                    </w:p>
                  </w:txbxContent>
                </v:textbox>
              </v:rect>
            </w:pict>
          </mc:Fallback>
        </mc:AlternateContent>
      </w:r>
      <w:r>
        <w:rPr>
          <w:color w:val="auto"/>
          <w:sz w:val="18"/>
        </w:rPr>
        <mc:AlternateContent>
          <mc:Choice Requires="wps">
            <w:drawing>
              <wp:anchor distT="0" distB="0" distL="114300" distR="114300" simplePos="0" relativeHeight="251686912" behindDoc="0" locked="0" layoutInCell="1" allowOverlap="1">
                <wp:simplePos x="0" y="0"/>
                <wp:positionH relativeFrom="column">
                  <wp:posOffset>3077845</wp:posOffset>
                </wp:positionH>
                <wp:positionV relativeFrom="paragraph">
                  <wp:posOffset>3186430</wp:posOffset>
                </wp:positionV>
                <wp:extent cx="1101725" cy="530225"/>
                <wp:effectExtent l="0" t="0" r="0" b="0"/>
                <wp:wrapNone/>
                <wp:docPr id="37" name="矩形 37"/>
                <wp:cNvGraphicFramePr/>
                <a:graphic xmlns:a="http://schemas.openxmlformats.org/drawingml/2006/main">
                  <a:graphicData uri="http://schemas.microsoft.com/office/word/2010/wordprocessingShape">
                    <wps:wsp>
                      <wps:cNvSpPr/>
                      <wps:spPr>
                        <a:xfrm>
                          <a:off x="0" y="0"/>
                          <a:ext cx="1101725" cy="5302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团洲乡居民散户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2.35pt;margin-top:250.9pt;height:41.75pt;width:86.75pt;z-index:251686912;v-text-anchor:middle;mso-width-relative:page;mso-height-relative:page;" filled="f" stroked="f" coordsize="21600,21600" o:gfxdata="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xm6GdoAAAAL&#10;AQAADwAAAAAAAAABACAAAAAiAAAAZHJzL2Rvd25yZXYueG1sUEsBAhQAFAAAAAgAh07iQNdYdT5T&#10;AgAAmAQAAA4AAAAAAAAAAQAgAAAAKQEAAGRycy9lMm9Eb2MueG1sUEsFBgAAAAAGAAYAWQEAAO4F&#10;AAAAAA==&#10;">
                <v:fill on="f" focussize="0,0"/>
                <v:stroke on="f" weight="2pt"/>
                <v:imagedata o:title=""/>
                <o:lock v:ext="edit" aspectratio="f"/>
                <v:textbox>
                  <w:txbxContent>
                    <w:p>
                      <w:pPr>
                        <w:jc w:val="center"/>
                        <w:rPr>
                          <w:rFonts w:hint="default" w:eastAsia="宋体"/>
                          <w:lang w:val="en-US" w:eastAsia="zh-CN"/>
                        </w:rPr>
                      </w:pPr>
                      <w:r>
                        <w:rPr>
                          <w:rFonts w:hint="eastAsia"/>
                          <w:lang w:val="en-US" w:eastAsia="zh-CN"/>
                        </w:rPr>
                        <w:t>团洲乡居民散户</w:t>
                      </w:r>
                    </w:p>
                  </w:txbxContent>
                </v:textbox>
              </v:rect>
            </w:pict>
          </mc:Fallback>
        </mc:AlternateContent>
      </w:r>
      <w:r>
        <w:rPr>
          <w:rFonts w:hint="default" w:ascii="Times New Roman" w:hAnsi="Times New Roman" w:cs="Times New Roman"/>
          <w:color w:val="auto"/>
        </w:rPr>
        <w:drawing>
          <wp:anchor distT="0" distB="0" distL="114300" distR="114300" simplePos="0" relativeHeight="251688960" behindDoc="0" locked="0" layoutInCell="1" allowOverlap="1">
            <wp:simplePos x="0" y="0"/>
            <wp:positionH relativeFrom="column">
              <wp:posOffset>7813675</wp:posOffset>
            </wp:positionH>
            <wp:positionV relativeFrom="paragraph">
              <wp:posOffset>78105</wp:posOffset>
            </wp:positionV>
            <wp:extent cx="529590" cy="689610"/>
            <wp:effectExtent l="0" t="0" r="3810" b="15240"/>
            <wp:wrapNone/>
            <wp:docPr id="3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1"/>
                    <pic:cNvPicPr>
                      <a:picLocks noChangeAspect="1"/>
                    </pic:cNvPicPr>
                  </pic:nvPicPr>
                  <pic:blipFill>
                    <a:blip r:embed="rId25"/>
                    <a:stretch>
                      <a:fillRect/>
                    </a:stretch>
                  </pic:blipFill>
                  <pic:spPr>
                    <a:xfrm>
                      <a:off x="0" y="0"/>
                      <a:ext cx="529590" cy="689610"/>
                    </a:xfrm>
                    <a:prstGeom prst="rect">
                      <a:avLst/>
                    </a:prstGeom>
                    <a:noFill/>
                    <a:ln>
                      <a:noFill/>
                    </a:ln>
                  </pic:spPr>
                </pic:pic>
              </a:graphicData>
            </a:graphic>
          </wp:anchor>
        </w:drawing>
      </w:r>
    </w:p>
    <w:p>
      <w:pPr>
        <w:pStyle w:val="11"/>
        <w:rPr>
          <w:color w:val="auto"/>
        </w:rPr>
      </w:pPr>
    </w:p>
    <w:p>
      <w:pPr>
        <w:rPr>
          <w:color w:val="auto"/>
        </w:rPr>
      </w:pPr>
      <w:r>
        <w:rPr>
          <w:color w:val="auto"/>
        </w:rPr>
        <w:br w:type="page"/>
      </w:r>
    </w:p>
    <w:p>
      <w:pPr>
        <w:widowControl/>
        <w:spacing w:line="360" w:lineRule="auto"/>
        <w:outlineLvl w:val="1"/>
        <w:rPr>
          <w:b/>
          <w:bCs/>
          <w:color w:val="auto"/>
          <w:sz w:val="28"/>
          <w:szCs w:val="28"/>
        </w:rPr>
      </w:pPr>
      <w:bookmarkStart w:id="81" w:name="_Toc30936"/>
      <w:r>
        <w:rPr>
          <w:b/>
          <w:bCs/>
          <w:color w:val="auto"/>
          <w:sz w:val="28"/>
          <w:szCs w:val="28"/>
        </w:rPr>
        <w:t>附图</w:t>
      </w:r>
      <w:r>
        <w:rPr>
          <w:rFonts w:hint="eastAsia"/>
          <w:b/>
          <w:bCs/>
          <w:color w:val="auto"/>
          <w:sz w:val="28"/>
          <w:szCs w:val="28"/>
          <w:lang w:val="en-US" w:eastAsia="zh-CN"/>
        </w:rPr>
        <w:t>4</w:t>
      </w:r>
      <w:r>
        <w:rPr>
          <w:b/>
          <w:bCs/>
          <w:color w:val="auto"/>
          <w:sz w:val="28"/>
          <w:szCs w:val="28"/>
        </w:rPr>
        <w:t xml:space="preserve"> </w:t>
      </w:r>
      <w:r>
        <w:rPr>
          <w:rFonts w:hint="eastAsia"/>
          <w:b/>
          <w:bCs/>
          <w:color w:val="auto"/>
          <w:sz w:val="28"/>
          <w:szCs w:val="28"/>
          <w:lang w:val="en-US" w:eastAsia="zh-CN"/>
        </w:rPr>
        <w:t>噪声监测布点</w:t>
      </w:r>
      <w:r>
        <w:rPr>
          <w:b/>
          <w:bCs/>
          <w:color w:val="auto"/>
          <w:sz w:val="28"/>
          <w:szCs w:val="28"/>
        </w:rPr>
        <w:t>图</w:t>
      </w:r>
      <w:bookmarkEnd w:id="81"/>
    </w:p>
    <w:p>
      <w:pPr>
        <w:widowControl/>
        <w:spacing w:line="360" w:lineRule="auto"/>
        <w:outlineLvl w:val="1"/>
        <w:rPr>
          <w:color w:val="auto"/>
        </w:rPr>
      </w:pPr>
      <w:bookmarkStart w:id="82" w:name="_Toc9715"/>
      <w:bookmarkStart w:id="83" w:name="_Toc27990"/>
      <w:bookmarkStart w:id="84" w:name="_Toc25053"/>
      <w:r>
        <w:rPr>
          <w:rFonts w:hint="default" w:ascii="Times New Roman" w:hAnsi="Times New Roman" w:cs="Times New Roman"/>
          <w:color w:val="auto"/>
        </w:rPr>
        <w:drawing>
          <wp:anchor distT="0" distB="0" distL="114300" distR="114300" simplePos="0" relativeHeight="251676672" behindDoc="0" locked="0" layoutInCell="1" allowOverlap="1">
            <wp:simplePos x="0" y="0"/>
            <wp:positionH relativeFrom="column">
              <wp:posOffset>7806690</wp:posOffset>
            </wp:positionH>
            <wp:positionV relativeFrom="paragraph">
              <wp:posOffset>90805</wp:posOffset>
            </wp:positionV>
            <wp:extent cx="529590" cy="689610"/>
            <wp:effectExtent l="0" t="0" r="3810" b="15240"/>
            <wp:wrapNone/>
            <wp:docPr id="38"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1"/>
                    <pic:cNvPicPr>
                      <a:picLocks noChangeAspect="1"/>
                    </pic:cNvPicPr>
                  </pic:nvPicPr>
                  <pic:blipFill>
                    <a:blip r:embed="rId25"/>
                    <a:stretch>
                      <a:fillRect/>
                    </a:stretch>
                  </pic:blipFill>
                  <pic:spPr>
                    <a:xfrm>
                      <a:off x="0" y="0"/>
                      <a:ext cx="529590" cy="689610"/>
                    </a:xfrm>
                    <a:prstGeom prst="rect">
                      <a:avLst/>
                    </a:prstGeom>
                    <a:noFill/>
                    <a:ln>
                      <a:noFill/>
                    </a:ln>
                  </pic:spPr>
                </pic:pic>
              </a:graphicData>
            </a:graphic>
          </wp:anchor>
        </w:drawing>
      </w:r>
      <w:r>
        <w:rPr>
          <w:color w:val="auto"/>
        </w:rPr>
        <w:drawing>
          <wp:inline distT="0" distB="0" distL="114300" distR="114300">
            <wp:extent cx="7958455" cy="4963795"/>
            <wp:effectExtent l="19050" t="19050" r="23495" b="2730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7"/>
                    <a:stretch>
                      <a:fillRect/>
                    </a:stretch>
                  </pic:blipFill>
                  <pic:spPr>
                    <a:xfrm>
                      <a:off x="0" y="0"/>
                      <a:ext cx="7958455" cy="4963795"/>
                    </a:xfrm>
                    <a:prstGeom prst="rect">
                      <a:avLst/>
                    </a:prstGeom>
                    <a:noFill/>
                    <a:ln w="19050" cmpd="sng">
                      <a:solidFill>
                        <a:schemeClr val="tx1"/>
                      </a:solidFill>
                      <a:prstDash val="solid"/>
                    </a:ln>
                  </pic:spPr>
                </pic:pic>
              </a:graphicData>
            </a:graphic>
          </wp:inline>
        </w:drawing>
      </w:r>
      <w:bookmarkEnd w:id="82"/>
      <w:bookmarkEnd w:id="83"/>
      <w:bookmarkEnd w:id="84"/>
      <w:bookmarkStart w:id="85" w:name="_Toc19812"/>
    </w:p>
    <w:p>
      <w:pPr>
        <w:rPr>
          <w:color w:val="auto"/>
        </w:rPr>
      </w:pPr>
      <w:r>
        <w:rPr>
          <w:color w:val="auto"/>
        </w:rPr>
        <w:br w:type="page"/>
      </w:r>
    </w:p>
    <w:p>
      <w:pPr>
        <w:widowControl/>
        <w:spacing w:line="360" w:lineRule="auto"/>
        <w:outlineLvl w:val="1"/>
        <w:rPr>
          <w:rFonts w:hint="default"/>
          <w:b/>
          <w:bCs/>
          <w:color w:val="auto"/>
          <w:sz w:val="28"/>
          <w:szCs w:val="28"/>
          <w:lang w:val="en-US"/>
        </w:rPr>
      </w:pPr>
      <w:bookmarkStart w:id="86" w:name="_Toc2703"/>
      <w:r>
        <w:rPr>
          <w:b/>
          <w:bCs/>
          <w:color w:val="auto"/>
          <w:sz w:val="28"/>
          <w:szCs w:val="28"/>
        </w:rPr>
        <w:t>附图</w:t>
      </w:r>
      <w:r>
        <w:rPr>
          <w:rFonts w:hint="eastAsia"/>
          <w:b/>
          <w:bCs/>
          <w:color w:val="auto"/>
          <w:sz w:val="28"/>
          <w:szCs w:val="28"/>
          <w:lang w:val="en-US" w:eastAsia="zh-CN"/>
        </w:rPr>
        <w:t>5</w:t>
      </w:r>
      <w:r>
        <w:rPr>
          <w:b/>
          <w:bCs/>
          <w:color w:val="auto"/>
          <w:sz w:val="28"/>
          <w:szCs w:val="28"/>
        </w:rPr>
        <w:t xml:space="preserve"> </w:t>
      </w:r>
      <w:r>
        <w:rPr>
          <w:rFonts w:hint="eastAsia"/>
          <w:b/>
          <w:bCs/>
          <w:color w:val="auto"/>
          <w:sz w:val="28"/>
          <w:szCs w:val="28"/>
          <w:lang w:val="en-US" w:eastAsia="zh-CN"/>
        </w:rPr>
        <w:t>本项目与湖南东洞庭湖国家级自然保护区位置示意图</w:t>
      </w:r>
      <w:bookmarkEnd w:id="85"/>
      <w:r>
        <w:rPr>
          <w:rFonts w:hint="eastAsia"/>
          <w:b/>
          <w:bCs/>
          <w:color w:val="auto"/>
          <w:sz w:val="28"/>
          <w:szCs w:val="28"/>
          <w:lang w:val="en-US" w:eastAsia="zh-CN"/>
        </w:rPr>
        <w:t>（调整前及调整后）</w:t>
      </w:r>
      <w:bookmarkEnd w:id="86"/>
    </w:p>
    <w:p>
      <w:pPr>
        <w:rPr>
          <w:color w:val="auto"/>
        </w:rPr>
      </w:pP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2600960</wp:posOffset>
                </wp:positionH>
                <wp:positionV relativeFrom="paragraph">
                  <wp:posOffset>1749425</wp:posOffset>
                </wp:positionV>
                <wp:extent cx="976630" cy="424815"/>
                <wp:effectExtent l="0" t="0" r="0" b="0"/>
                <wp:wrapNone/>
                <wp:docPr id="58" name="矩形 58"/>
                <wp:cNvGraphicFramePr/>
                <a:graphic xmlns:a="http://schemas.openxmlformats.org/drawingml/2006/main">
                  <a:graphicData uri="http://schemas.microsoft.com/office/word/2010/wordprocessingShape">
                    <wps:wsp>
                      <wps:cNvSpPr/>
                      <wps:spPr>
                        <a:xfrm>
                          <a:off x="3971925" y="316992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8pt;margin-top:137.75pt;height:33.45pt;width:76.9pt;z-index:251679744;v-text-anchor:middle;mso-width-relative:page;mso-height-relative:page;" filled="f" stroked="f" coordsize="21600,21600" o:gfxdata="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KF8hbbAAAACwEAAA8AAAAAAAAAAQAgAAAAIgAAAGRycy9kb3ducmV2LnhtbFBLAQIUABQA&#10;AAAIAIdO4kBcsakeXwIAAKMEAAAOAAAAAAAAAAEAIAAAACoBAABkcnMvZTJvRG9jLnhtbFBLBQYA&#10;AAAABgAGAFkBAAD7BQA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78720" behindDoc="0" locked="0" layoutInCell="1" allowOverlap="1">
                <wp:simplePos x="0" y="0"/>
                <wp:positionH relativeFrom="column">
                  <wp:posOffset>3041650</wp:posOffset>
                </wp:positionH>
                <wp:positionV relativeFrom="paragraph">
                  <wp:posOffset>2122170</wp:posOffset>
                </wp:positionV>
                <wp:extent cx="97790" cy="102235"/>
                <wp:effectExtent l="4445" t="4445" r="12065" b="7620"/>
                <wp:wrapNone/>
                <wp:docPr id="59" name="五角星 59"/>
                <wp:cNvGraphicFramePr/>
                <a:graphic xmlns:a="http://schemas.openxmlformats.org/drawingml/2006/main">
                  <a:graphicData uri="http://schemas.microsoft.com/office/word/2010/wordprocessingShape">
                    <wps:wsp>
                      <wps:cNvSpPr/>
                      <wps:spPr>
                        <a:xfrm>
                          <a:off x="4241165" y="3517265"/>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9.5pt;margin-top:167.1pt;height:8.05pt;width:7.7pt;z-index:251678720;v-text-anchor:middle;mso-width-relative:page;mso-height-relative:page;" fillcolor="#C0504D [3205]" filled="t" stroked="t" coordsize="97790,102235" o:gfxdata="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TlcgvXAAAACwEAAA8AAAAAAAAAAQAgAAAAIgAA&#10;AGRycy9kb3ducmV2LnhtbFBLAQIUABQAAAAIAIdO4kC07eYvewIAAOwEAAAOAAAAAAAAAAEAIAAA&#10;ACYBAABkcnMvZTJvRG9jLnhtbFBLBQYAAAAABgAGAFkBAAAT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color w:val="auto"/>
        </w:rPr>
        <w:drawing>
          <wp:inline distT="0" distB="0" distL="114300" distR="114300">
            <wp:extent cx="8048625" cy="5265420"/>
            <wp:effectExtent l="0" t="0" r="9525" b="11430"/>
            <wp:docPr id="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28"/>
                    <a:stretch>
                      <a:fillRect/>
                    </a:stretch>
                  </pic:blipFill>
                  <pic:spPr>
                    <a:xfrm>
                      <a:off x="0" y="0"/>
                      <a:ext cx="8048625" cy="5265420"/>
                    </a:xfrm>
                    <a:prstGeom prst="rect">
                      <a:avLst/>
                    </a:prstGeom>
                    <a:noFill/>
                    <a:ln>
                      <a:noFill/>
                    </a:ln>
                  </pic:spPr>
                </pic:pic>
              </a:graphicData>
            </a:graphic>
          </wp:inline>
        </w:drawing>
      </w:r>
    </w:p>
    <w:p>
      <w:pPr>
        <w:rPr>
          <w:rFonts w:hint="eastAsia" w:eastAsia="宋体"/>
          <w:color w:val="auto"/>
          <w:lang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2261870</wp:posOffset>
                </wp:positionH>
                <wp:positionV relativeFrom="paragraph">
                  <wp:posOffset>2283460</wp:posOffset>
                </wp:positionV>
                <wp:extent cx="976630" cy="424815"/>
                <wp:effectExtent l="0" t="0" r="0" b="0"/>
                <wp:wrapNone/>
                <wp:docPr id="3" name="矩形 3"/>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1pt;margin-top:179.8pt;height:33.45pt;width:76.9pt;z-index:251680768;v-text-anchor:middle;mso-width-relative:page;mso-height-relative:page;" filled="f" stroked="f" coordsize="21600,21600" o:gfxdata="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XyX1D2gAAAAsB&#10;AAAPAAAAAAAAAAEAIAAAACIAAABkcnMvZG93bnJldi54bWxQSwECFAAUAAAACACHTuJAmHmpIVIC&#10;AACVBAAADgAAAAAAAAABACAAAAApAQAAZHJzL2Uyb0RvYy54bWxQSwUGAAAAAAYABgBZAQAA7QUA&#10;A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2816" behindDoc="0" locked="0" layoutInCell="1" allowOverlap="1">
                <wp:simplePos x="0" y="0"/>
                <wp:positionH relativeFrom="column">
                  <wp:posOffset>2728595</wp:posOffset>
                </wp:positionH>
                <wp:positionV relativeFrom="paragraph">
                  <wp:posOffset>2698750</wp:posOffset>
                </wp:positionV>
                <wp:extent cx="97790" cy="102235"/>
                <wp:effectExtent l="4445" t="4445" r="12065" b="7620"/>
                <wp:wrapNone/>
                <wp:docPr id="61" name="五角星 61"/>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4.85pt;margin-top:212.5pt;height:8.05pt;width:7.7pt;z-index:251682816;v-text-anchor:middle;mso-width-relative:page;mso-height-relative:page;" fillcolor="#C0504D [3205]" filled="t" stroked="t" coordsize="97790,102235" o:gfxdata="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N5yhP3VAAAACwEAAA8AAAAAAAAAAQAgAAAAIgAAAGRycy9kb3ducmV2LnhtbFBL&#10;AQIUABQAAAAIAIdO4kBgmhRcawIAAOAEAAAOAAAAAAAAAAEAIAAAACQBAABkcnMvZTJvRG9jLnht&#10;bFBLBQYAAAAABgAGAFkBAAAB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r>
        <w:rPr>
          <w:rFonts w:hint="eastAsia" w:eastAsia="宋体"/>
          <w:color w:val="auto"/>
          <w:lang w:eastAsia="zh-CN"/>
        </w:rPr>
        <w:drawing>
          <wp:inline distT="0" distB="0" distL="114300" distR="114300">
            <wp:extent cx="8190230" cy="5725795"/>
            <wp:effectExtent l="0" t="0" r="1270" b="8255"/>
            <wp:docPr id="26" name="图片 26" descr="0e0ff5dcd1ae8b1b665183315c5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e0ff5dcd1ae8b1b665183315c58220"/>
                    <pic:cNvPicPr>
                      <a:picLocks noChangeAspect="1"/>
                    </pic:cNvPicPr>
                  </pic:nvPicPr>
                  <pic:blipFill>
                    <a:blip r:embed="rId29"/>
                    <a:stretch>
                      <a:fillRect/>
                    </a:stretch>
                  </pic:blipFill>
                  <pic:spPr>
                    <a:xfrm>
                      <a:off x="0" y="0"/>
                      <a:ext cx="8190230" cy="5725795"/>
                    </a:xfrm>
                    <a:prstGeom prst="rect">
                      <a:avLst/>
                    </a:prstGeom>
                  </pic:spPr>
                </pic:pic>
              </a:graphicData>
            </a:graphic>
          </wp:inline>
        </w:drawing>
      </w: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2611120</wp:posOffset>
                </wp:positionH>
                <wp:positionV relativeFrom="paragraph">
                  <wp:posOffset>2320925</wp:posOffset>
                </wp:positionV>
                <wp:extent cx="976630" cy="424815"/>
                <wp:effectExtent l="0" t="0" r="0" b="0"/>
                <wp:wrapNone/>
                <wp:docPr id="27" name="矩形 27"/>
                <wp:cNvGraphicFramePr/>
                <a:graphic xmlns:a="http://schemas.openxmlformats.org/drawingml/2006/main">
                  <a:graphicData uri="http://schemas.microsoft.com/office/word/2010/wordprocessingShape">
                    <wps:wsp>
                      <wps:cNvSpPr/>
                      <wps:spPr>
                        <a:xfrm>
                          <a:off x="0" y="0"/>
                          <a:ext cx="976630" cy="424815"/>
                        </a:xfrm>
                        <a:prstGeom prst="rect">
                          <a:avLst/>
                        </a:prstGeom>
                        <a:noFill/>
                        <a:ln w="15875">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宋体"/>
                                <w:color w:val="FF0000"/>
                                <w:lang w:val="en-US" w:eastAsia="zh-CN"/>
                              </w:rPr>
                            </w:pPr>
                            <w:r>
                              <w:rPr>
                                <w:rFonts w:hint="eastAsia"/>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6pt;margin-top:182.75pt;height:33.45pt;width:76.9pt;z-index:251681792;v-text-anchor:middle;mso-width-relative:page;mso-height-relative:page;" filled="f" stroked="f" coordsize="21600,21600" o:gfxdata="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JTe4jYAAAACwEA&#10;AA8AAAAAAAAAAQAgAAAAIgAAAGRycy9kb3ducmV2LnhtbFBLAQIUABQAAAAIAIdO4kA7K1mJUwIA&#10;AJcEAAAOAAAAAAAAAAEAIAAAACcBAABkcnMvZTJvRG9jLnhtbFBLBQYAAAAABgAGAFkBAADsBQAA&#10;AAA=&#10;">
                <v:fill on="f" focussize="0,0"/>
                <v:stroke on="f" weight="1.25pt"/>
                <v:imagedata o:title=""/>
                <o:lock v:ext="edit" aspectratio="f"/>
                <v:textbox>
                  <w:txbxContent>
                    <w:p>
                      <w:pPr>
                        <w:jc w:val="center"/>
                        <w:rPr>
                          <w:rFonts w:hint="default" w:eastAsia="宋体"/>
                          <w:color w:val="FF0000"/>
                          <w:lang w:val="en-US" w:eastAsia="zh-CN"/>
                        </w:rPr>
                      </w:pPr>
                      <w:r>
                        <w:rPr>
                          <w:rFonts w:hint="eastAsia"/>
                          <w:color w:val="FF0000"/>
                          <w:lang w:val="en-US" w:eastAsia="zh-CN"/>
                        </w:rPr>
                        <w:t>项目所在地</w:t>
                      </w:r>
                    </w:p>
                  </w:txbxContent>
                </v:textbox>
              </v:rect>
            </w:pict>
          </mc:Fallback>
        </mc:AlternateContent>
      </w:r>
      <w:r>
        <w:rPr>
          <w:color w:val="auto"/>
          <w:sz w:val="21"/>
        </w:rPr>
        <mc:AlternateContent>
          <mc:Choice Requires="wps">
            <w:drawing>
              <wp:anchor distT="0" distB="0" distL="114300" distR="114300" simplePos="0" relativeHeight="251683840" behindDoc="0" locked="0" layoutInCell="1" allowOverlap="1">
                <wp:simplePos x="0" y="0"/>
                <wp:positionH relativeFrom="column">
                  <wp:posOffset>3126105</wp:posOffset>
                </wp:positionH>
                <wp:positionV relativeFrom="paragraph">
                  <wp:posOffset>2698115</wp:posOffset>
                </wp:positionV>
                <wp:extent cx="97790" cy="102235"/>
                <wp:effectExtent l="4445" t="4445" r="12065" b="7620"/>
                <wp:wrapNone/>
                <wp:docPr id="62" name="五角星 62"/>
                <wp:cNvGraphicFramePr/>
                <a:graphic xmlns:a="http://schemas.openxmlformats.org/drawingml/2006/main">
                  <a:graphicData uri="http://schemas.microsoft.com/office/word/2010/wordprocessingShape">
                    <wps:wsp>
                      <wps:cNvSpPr/>
                      <wps:spPr>
                        <a:xfrm>
                          <a:off x="0" y="0"/>
                          <a:ext cx="97790" cy="102235"/>
                        </a:xfrm>
                        <a:prstGeom prst="star5">
                          <a:avLst/>
                        </a:prstGeom>
                        <a:solidFill>
                          <a:schemeClr val="accent2"/>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46.15pt;margin-top:212.45pt;height:8.05pt;width:7.7pt;z-index:251683840;v-text-anchor:middle;mso-width-relative:page;mso-height-relative:page;" fillcolor="#C0504D [3205]" filled="t" stroked="t" coordsize="97790,102235" o:gfxdata="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8atdXXAAAACwEAAA8AAAAAAAAAAQAgAAAAIgAAAGRycy9kb3ducmV2Lnht&#10;bFBLAQIUABQAAAAIAIdO4kBhTGj3bAIAAOAEAAAOAAAAAAAAAAEAIAAAACYBAABkcnMvZTJvRG9j&#10;LnhtbFBLBQYAAAAABgAGAFkBAAAEBgAAAAA=&#10;" path="m0,39050l37352,39050,48895,0,60437,39050,97789,39050,67570,63184,79113,102234,48895,78100,18676,102234,30219,63184xe">
                <v:path o:connectlocs="48895,0;0,39050;18676,102234;79113,102234;97789,39050" o:connectangles="247,164,82,82,0"/>
                <v:fill on="t" focussize="0,0"/>
                <v:stroke color="#000000 [3213]" joinstyle="round"/>
                <v:imagedata o:title=""/>
                <o:lock v:ext="edit" aspectratio="f"/>
              </v:shape>
            </w:pict>
          </mc:Fallback>
        </mc:AlternateContent>
      </w:r>
    </w:p>
    <w:p>
      <w:pPr>
        <w:widowControl/>
        <w:spacing w:line="360" w:lineRule="auto"/>
        <w:outlineLvl w:val="1"/>
        <w:rPr>
          <w:rFonts w:hint="default" w:eastAsia="宋体"/>
          <w:color w:val="auto"/>
          <w:lang w:val="en-US" w:eastAsia="zh-CN"/>
        </w:rPr>
      </w:pPr>
      <w:bookmarkStart w:id="87" w:name="_Toc2016"/>
      <w:r>
        <w:rPr>
          <w:b/>
          <w:bCs/>
          <w:color w:val="auto"/>
          <w:sz w:val="28"/>
          <w:szCs w:val="28"/>
        </w:rPr>
        <w:t>附图</w:t>
      </w:r>
      <w:r>
        <w:rPr>
          <w:rFonts w:hint="eastAsia"/>
          <w:b/>
          <w:bCs/>
          <w:color w:val="auto"/>
          <w:sz w:val="28"/>
          <w:szCs w:val="28"/>
          <w:lang w:val="en-US" w:eastAsia="zh-CN"/>
        </w:rPr>
        <w:t>6</w:t>
      </w:r>
      <w:r>
        <w:rPr>
          <w:b/>
          <w:bCs/>
          <w:color w:val="auto"/>
          <w:sz w:val="28"/>
          <w:szCs w:val="28"/>
        </w:rPr>
        <w:t xml:space="preserve"> </w:t>
      </w:r>
      <w:r>
        <w:rPr>
          <w:rFonts w:hint="eastAsia"/>
          <w:b/>
          <w:bCs/>
          <w:color w:val="auto"/>
          <w:sz w:val="28"/>
          <w:szCs w:val="28"/>
          <w:lang w:val="en-US" w:eastAsia="zh-CN"/>
        </w:rPr>
        <w:t>项目及周边土地利用现状图</w:t>
      </w:r>
      <w:bookmarkEnd w:id="87"/>
    </w:p>
    <w:p>
      <w:pPr>
        <w:jc w:val="center"/>
        <w:rPr>
          <w:color w:val="auto"/>
        </w:rPr>
      </w:pPr>
      <w:r>
        <w:rPr>
          <w:color w:val="auto"/>
        </w:rPr>
        <w:drawing>
          <wp:inline distT="0" distB="0" distL="114300" distR="114300">
            <wp:extent cx="8065135" cy="5120005"/>
            <wp:effectExtent l="0" t="0" r="12065" b="444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30"/>
                    <a:srcRect t="3252" r="58"/>
                    <a:stretch>
                      <a:fillRect/>
                    </a:stretch>
                  </pic:blipFill>
                  <pic:spPr>
                    <a:xfrm>
                      <a:off x="0" y="0"/>
                      <a:ext cx="8065135" cy="5120005"/>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88" w:name="_Toc436"/>
      <w:r>
        <w:rPr>
          <w:b/>
          <w:bCs/>
          <w:color w:val="auto"/>
          <w:sz w:val="28"/>
          <w:szCs w:val="28"/>
        </w:rPr>
        <w:t>附图</w:t>
      </w:r>
      <w:r>
        <w:rPr>
          <w:rFonts w:hint="eastAsia"/>
          <w:b/>
          <w:bCs/>
          <w:color w:val="auto"/>
          <w:sz w:val="28"/>
          <w:szCs w:val="28"/>
          <w:lang w:val="en-US" w:eastAsia="zh-CN"/>
        </w:rPr>
        <w:t>7</w:t>
      </w:r>
      <w:r>
        <w:rPr>
          <w:b/>
          <w:bCs/>
          <w:color w:val="auto"/>
          <w:sz w:val="28"/>
          <w:szCs w:val="28"/>
        </w:rPr>
        <w:t xml:space="preserve"> </w:t>
      </w:r>
      <w:r>
        <w:rPr>
          <w:rFonts w:hint="eastAsia"/>
          <w:b/>
          <w:bCs/>
          <w:color w:val="auto"/>
          <w:sz w:val="28"/>
          <w:szCs w:val="28"/>
          <w:lang w:val="en-US" w:eastAsia="zh-CN"/>
        </w:rPr>
        <w:t>项目及周边区域植被分布图</w:t>
      </w:r>
      <w:bookmarkEnd w:id="88"/>
    </w:p>
    <w:p>
      <w:pPr>
        <w:pStyle w:val="2"/>
        <w:ind w:left="0" w:leftChars="0" w:firstLine="0" w:firstLineChars="0"/>
        <w:jc w:val="center"/>
        <w:rPr>
          <w:color w:val="auto"/>
        </w:rPr>
      </w:pPr>
      <w:r>
        <w:rPr>
          <w:color w:val="auto"/>
        </w:rPr>
        <w:drawing>
          <wp:inline distT="0" distB="0" distL="114300" distR="114300">
            <wp:extent cx="8261985" cy="5045075"/>
            <wp:effectExtent l="0" t="0" r="5715" b="317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31"/>
                    <a:srcRect t="5776" r="216"/>
                    <a:stretch>
                      <a:fillRect/>
                    </a:stretch>
                  </pic:blipFill>
                  <pic:spPr>
                    <a:xfrm>
                      <a:off x="0" y="0"/>
                      <a:ext cx="8261985" cy="5045075"/>
                    </a:xfrm>
                    <a:prstGeom prst="rect">
                      <a:avLst/>
                    </a:prstGeom>
                    <a:noFill/>
                    <a:ln>
                      <a:noFill/>
                    </a:ln>
                  </pic:spPr>
                </pic:pic>
              </a:graphicData>
            </a:graphic>
          </wp:inline>
        </w:drawing>
      </w:r>
    </w:p>
    <w:p>
      <w:pPr>
        <w:rPr>
          <w:color w:val="auto"/>
        </w:rPr>
      </w:pPr>
      <w:r>
        <w:rPr>
          <w:color w:val="auto"/>
        </w:rPr>
        <w:br w:type="page"/>
      </w:r>
    </w:p>
    <w:p>
      <w:pPr>
        <w:widowControl/>
        <w:spacing w:line="360" w:lineRule="auto"/>
        <w:outlineLvl w:val="1"/>
        <w:rPr>
          <w:rFonts w:hint="default" w:eastAsia="宋体"/>
          <w:color w:val="auto"/>
          <w:lang w:val="en-US" w:eastAsia="zh-CN"/>
        </w:rPr>
      </w:pPr>
      <w:bookmarkStart w:id="89" w:name="_Toc9553"/>
      <w:r>
        <w:rPr>
          <w:b/>
          <w:bCs/>
          <w:color w:val="auto"/>
          <w:sz w:val="28"/>
          <w:szCs w:val="28"/>
        </w:rPr>
        <w:t>附图</w:t>
      </w:r>
      <w:r>
        <w:rPr>
          <w:rFonts w:hint="eastAsia"/>
          <w:b/>
          <w:bCs/>
          <w:color w:val="auto"/>
          <w:sz w:val="28"/>
          <w:szCs w:val="28"/>
          <w:lang w:val="en-US" w:eastAsia="zh-CN"/>
        </w:rPr>
        <w:t>8</w:t>
      </w:r>
      <w:r>
        <w:rPr>
          <w:b/>
          <w:bCs/>
          <w:color w:val="auto"/>
          <w:sz w:val="28"/>
          <w:szCs w:val="28"/>
        </w:rPr>
        <w:t xml:space="preserve"> </w:t>
      </w:r>
      <w:r>
        <w:rPr>
          <w:rFonts w:hint="eastAsia"/>
          <w:b/>
          <w:bCs/>
          <w:color w:val="auto"/>
          <w:sz w:val="28"/>
          <w:szCs w:val="28"/>
          <w:lang w:val="en-US" w:eastAsia="zh-CN"/>
        </w:rPr>
        <w:t>项目三区三线套合图</w:t>
      </w:r>
      <w:bookmarkEnd w:id="89"/>
    </w:p>
    <w:p>
      <w:pPr>
        <w:pStyle w:val="2"/>
        <w:rPr>
          <w:color w:val="auto"/>
        </w:rPr>
      </w:pPr>
      <w:r>
        <w:rPr>
          <w:color w:val="auto"/>
        </w:rPr>
        <w:drawing>
          <wp:inline distT="0" distB="0" distL="114300" distR="114300">
            <wp:extent cx="7486650" cy="5302250"/>
            <wp:effectExtent l="0" t="0" r="0" b="1270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32"/>
                    <a:stretch>
                      <a:fillRect/>
                    </a:stretch>
                  </pic:blipFill>
                  <pic:spPr>
                    <a:xfrm>
                      <a:off x="0" y="0"/>
                      <a:ext cx="7486650" cy="5302250"/>
                    </a:xfrm>
                    <a:prstGeom prst="rect">
                      <a:avLst/>
                    </a:prstGeom>
                    <a:noFill/>
                    <a:ln>
                      <a:noFill/>
                    </a:ln>
                  </pic:spPr>
                </pic:pic>
              </a:graphicData>
            </a:graphic>
          </wp:inline>
        </w:drawing>
      </w:r>
    </w:p>
    <w:p>
      <w:pPr>
        <w:widowControl/>
        <w:spacing w:line="360" w:lineRule="auto"/>
        <w:outlineLvl w:val="1"/>
        <w:rPr>
          <w:rFonts w:hint="default" w:eastAsia="宋体"/>
          <w:color w:val="auto"/>
          <w:lang w:val="en-US" w:eastAsia="zh-CN"/>
        </w:rPr>
      </w:pPr>
      <w:bookmarkStart w:id="90" w:name="_Toc5080"/>
      <w:r>
        <w:rPr>
          <w:b/>
          <w:bCs/>
          <w:color w:val="auto"/>
          <w:sz w:val="28"/>
          <w:szCs w:val="28"/>
        </w:rPr>
        <w:t>附图</w:t>
      </w:r>
      <w:r>
        <w:rPr>
          <w:rFonts w:hint="eastAsia"/>
          <w:b/>
          <w:bCs/>
          <w:color w:val="auto"/>
          <w:sz w:val="28"/>
          <w:szCs w:val="28"/>
          <w:lang w:val="en-US" w:eastAsia="zh-CN"/>
        </w:rPr>
        <w:t>9</w:t>
      </w:r>
      <w:r>
        <w:rPr>
          <w:b/>
          <w:bCs/>
          <w:color w:val="auto"/>
          <w:sz w:val="28"/>
          <w:szCs w:val="28"/>
        </w:rPr>
        <w:t xml:space="preserve"> </w:t>
      </w:r>
      <w:r>
        <w:rPr>
          <w:rFonts w:hint="eastAsia"/>
          <w:b/>
          <w:bCs/>
          <w:color w:val="auto"/>
          <w:sz w:val="28"/>
          <w:szCs w:val="28"/>
          <w:lang w:val="en-US" w:eastAsia="zh-CN"/>
        </w:rPr>
        <w:t>项目调查样方调查分布图</w:t>
      </w:r>
      <w:bookmarkEnd w:id="90"/>
    </w:p>
    <w:p>
      <w:pPr>
        <w:pStyle w:val="2"/>
        <w:rPr>
          <w:color w:val="auto"/>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color w:val="auto"/>
        </w:rPr>
        <w:drawing>
          <wp:inline distT="0" distB="0" distL="114300" distR="114300">
            <wp:extent cx="7664450" cy="4906010"/>
            <wp:effectExtent l="0" t="0" r="0" b="0"/>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33"/>
                    <a:srcRect t="4144" r="609"/>
                    <a:stretch>
                      <a:fillRect/>
                    </a:stretch>
                  </pic:blipFill>
                  <pic:spPr>
                    <a:xfrm>
                      <a:off x="0" y="0"/>
                      <a:ext cx="7664450" cy="4906010"/>
                    </a:xfrm>
                    <a:prstGeom prst="rect">
                      <a:avLst/>
                    </a:prstGeom>
                    <a:noFill/>
                    <a:ln>
                      <a:noFill/>
                    </a:ln>
                  </pic:spPr>
                </pic:pic>
              </a:graphicData>
            </a:graphic>
          </wp:inline>
        </w:drawing>
      </w:r>
    </w:p>
    <w:p>
      <w:pPr>
        <w:jc w:val="center"/>
        <w:outlineLvl w:val="0"/>
        <w:rPr>
          <w:rFonts w:ascii="方正小标宋_GBK" w:hAnsi="黑体" w:eastAsia="方正小标宋_GBK"/>
          <w:snapToGrid w:val="0"/>
          <w:color w:val="auto"/>
          <w:kern w:val="0"/>
          <w:sz w:val="38"/>
          <w:szCs w:val="38"/>
        </w:rPr>
      </w:pPr>
      <w:bookmarkStart w:id="91" w:name="_Toc22042"/>
      <w:bookmarkStart w:id="92" w:name="_Toc18817"/>
      <w:r>
        <w:rPr>
          <w:rFonts w:hint="eastAsia" w:ascii="方正小标宋_GBK" w:hAnsi="黑体" w:eastAsia="方正小标宋_GBK"/>
          <w:snapToGrid w:val="0"/>
          <w:color w:val="auto"/>
          <w:kern w:val="0"/>
          <w:sz w:val="38"/>
          <w:szCs w:val="38"/>
        </w:rPr>
        <w:t>附件</w:t>
      </w:r>
      <w:bookmarkEnd w:id="91"/>
      <w:bookmarkEnd w:id="92"/>
    </w:p>
    <w:p>
      <w:pPr>
        <w:outlineLvl w:val="1"/>
        <w:rPr>
          <w:b/>
          <w:bCs/>
          <w:color w:val="auto"/>
          <w:sz w:val="28"/>
          <w:szCs w:val="28"/>
        </w:rPr>
      </w:pPr>
      <w:bookmarkStart w:id="93" w:name="_Toc22529"/>
      <w:bookmarkStart w:id="94" w:name="_Toc17014"/>
      <w:bookmarkStart w:id="95" w:name="_Toc31062"/>
      <w:bookmarkStart w:id="96" w:name="_Toc8590"/>
      <w:r>
        <w:rPr>
          <w:b/>
          <w:bCs/>
          <w:color w:val="auto"/>
          <w:sz w:val="28"/>
          <w:szCs w:val="28"/>
        </w:rPr>
        <w:t>附</w:t>
      </w:r>
      <w:r>
        <w:rPr>
          <w:rFonts w:hint="eastAsia"/>
          <w:b/>
          <w:bCs/>
          <w:color w:val="auto"/>
          <w:sz w:val="28"/>
          <w:szCs w:val="28"/>
        </w:rPr>
        <w:t>件</w:t>
      </w:r>
      <w:r>
        <w:rPr>
          <w:b/>
          <w:bCs/>
          <w:color w:val="auto"/>
          <w:sz w:val="28"/>
          <w:szCs w:val="28"/>
        </w:rPr>
        <w:t xml:space="preserve">1 </w:t>
      </w:r>
      <w:r>
        <w:rPr>
          <w:rFonts w:hint="eastAsia"/>
          <w:b/>
          <w:bCs/>
          <w:color w:val="auto"/>
          <w:sz w:val="28"/>
          <w:szCs w:val="28"/>
        </w:rPr>
        <w:t>环评委托书</w:t>
      </w:r>
      <w:bookmarkEnd w:id="93"/>
      <w:bookmarkEnd w:id="94"/>
      <w:bookmarkEnd w:id="95"/>
      <w:bookmarkEnd w:id="96"/>
    </w:p>
    <w:p>
      <w:pPr>
        <w:pStyle w:val="65"/>
        <w:ind w:firstLine="480"/>
        <w:rPr>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0" w:num="1"/>
          <w:docGrid w:type="lines" w:linePitch="312" w:charSpace="0"/>
        </w:sectPr>
      </w:pPr>
      <w:r>
        <w:rPr>
          <w:rFonts w:hint="eastAsia" w:ascii="Times New Roman" w:hAnsi="Times New Roman" w:eastAsia="宋体" w:cs="Times New Roman"/>
          <w:color w:val="auto"/>
          <w:lang w:eastAsia="zh-CN"/>
        </w:rPr>
        <w:drawing>
          <wp:inline distT="0" distB="0" distL="114300" distR="114300">
            <wp:extent cx="5378450" cy="7818120"/>
            <wp:effectExtent l="0" t="0" r="12700" b="11430"/>
            <wp:docPr id="84" name="图片 84" descr="委托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委托书"/>
                    <pic:cNvPicPr>
                      <a:picLocks noChangeAspect="1"/>
                    </pic:cNvPicPr>
                  </pic:nvPicPr>
                  <pic:blipFill>
                    <a:blip r:embed="rId34"/>
                    <a:srcRect r="-216" b="20476"/>
                    <a:stretch>
                      <a:fillRect/>
                    </a:stretch>
                  </pic:blipFill>
                  <pic:spPr>
                    <a:xfrm>
                      <a:off x="0" y="0"/>
                      <a:ext cx="5378450" cy="7818120"/>
                    </a:xfrm>
                    <a:prstGeom prst="rect">
                      <a:avLst/>
                    </a:prstGeom>
                  </pic:spPr>
                </pic:pic>
              </a:graphicData>
            </a:graphic>
          </wp:inline>
        </w:drawing>
      </w:r>
    </w:p>
    <w:p>
      <w:pPr>
        <w:outlineLvl w:val="1"/>
        <w:rPr>
          <w:b/>
          <w:bCs/>
          <w:color w:val="auto"/>
          <w:sz w:val="28"/>
          <w:szCs w:val="28"/>
          <w:highlight w:val="none"/>
        </w:rPr>
      </w:pPr>
      <w:bookmarkStart w:id="97" w:name="_Toc8393"/>
      <w:bookmarkStart w:id="98" w:name="_Toc11325"/>
      <w:bookmarkStart w:id="99" w:name="_Toc25018"/>
      <w:bookmarkStart w:id="100" w:name="_Toc8645"/>
      <w:r>
        <w:rPr>
          <w:b/>
          <w:bCs/>
          <w:color w:val="auto"/>
          <w:sz w:val="28"/>
          <w:szCs w:val="28"/>
          <w:highlight w:val="none"/>
        </w:rPr>
        <w:t>附</w:t>
      </w:r>
      <w:r>
        <w:rPr>
          <w:rFonts w:hint="eastAsia"/>
          <w:b/>
          <w:bCs/>
          <w:color w:val="auto"/>
          <w:sz w:val="28"/>
          <w:szCs w:val="28"/>
          <w:highlight w:val="none"/>
        </w:rPr>
        <w:t>件2</w:t>
      </w:r>
      <w:r>
        <w:rPr>
          <w:b/>
          <w:bCs/>
          <w:color w:val="auto"/>
          <w:sz w:val="28"/>
          <w:szCs w:val="28"/>
          <w:highlight w:val="none"/>
        </w:rPr>
        <w:t xml:space="preserve"> </w:t>
      </w:r>
      <w:r>
        <w:rPr>
          <w:rFonts w:hint="eastAsia"/>
          <w:b/>
          <w:bCs/>
          <w:color w:val="auto"/>
          <w:sz w:val="28"/>
          <w:szCs w:val="28"/>
          <w:highlight w:val="none"/>
        </w:rPr>
        <w:t>营业执照</w:t>
      </w:r>
      <w:bookmarkEnd w:id="97"/>
      <w:bookmarkEnd w:id="98"/>
      <w:bookmarkEnd w:id="99"/>
      <w:bookmarkEnd w:id="100"/>
    </w:p>
    <w:p>
      <w:pPr>
        <w:jc w:val="center"/>
        <w:rPr>
          <w:color w:val="auto"/>
        </w:rPr>
        <w:sectPr>
          <w:pgSz w:w="16838" w:h="11906" w:orient="landscape"/>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color w:val="auto"/>
        </w:rPr>
        <w:drawing>
          <wp:inline distT="0" distB="0" distL="114300" distR="114300">
            <wp:extent cx="7985760" cy="5123815"/>
            <wp:effectExtent l="0" t="0" r="1524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
                    <a:stretch>
                      <a:fillRect/>
                    </a:stretch>
                  </pic:blipFill>
                  <pic:spPr>
                    <a:xfrm>
                      <a:off x="0" y="0"/>
                      <a:ext cx="7985760" cy="5123815"/>
                    </a:xfrm>
                    <a:prstGeom prst="rect">
                      <a:avLst/>
                    </a:prstGeom>
                    <a:noFill/>
                    <a:ln>
                      <a:noFill/>
                    </a:ln>
                  </pic:spPr>
                </pic:pic>
              </a:graphicData>
            </a:graphic>
          </wp:inline>
        </w:drawing>
      </w:r>
    </w:p>
    <w:p>
      <w:pPr>
        <w:outlineLvl w:val="1"/>
        <w:rPr>
          <w:rFonts w:hint="default" w:eastAsia="宋体"/>
          <w:b/>
          <w:bCs/>
          <w:color w:val="auto"/>
          <w:sz w:val="28"/>
          <w:szCs w:val="28"/>
          <w:lang w:val="en-US" w:eastAsia="zh-CN"/>
        </w:rPr>
      </w:pPr>
      <w:bookmarkStart w:id="101" w:name="_Toc17010"/>
      <w:bookmarkStart w:id="102" w:name="_Toc19870"/>
      <w:bookmarkStart w:id="103" w:name="_Toc27929"/>
      <w:bookmarkStart w:id="104" w:name="_Toc6647"/>
      <w:r>
        <w:rPr>
          <w:b/>
          <w:bCs/>
          <w:color w:val="auto"/>
          <w:sz w:val="28"/>
          <w:szCs w:val="28"/>
        </w:rPr>
        <w:t>附</w:t>
      </w:r>
      <w:r>
        <w:rPr>
          <w:rFonts w:hint="eastAsia"/>
          <w:b/>
          <w:bCs/>
          <w:color w:val="auto"/>
          <w:sz w:val="28"/>
          <w:szCs w:val="28"/>
        </w:rPr>
        <w:t>件3</w:t>
      </w:r>
      <w:r>
        <w:rPr>
          <w:b/>
          <w:bCs/>
          <w:color w:val="auto"/>
          <w:sz w:val="28"/>
          <w:szCs w:val="28"/>
        </w:rPr>
        <w:t xml:space="preserve"> </w:t>
      </w:r>
      <w:bookmarkEnd w:id="101"/>
      <w:bookmarkEnd w:id="102"/>
      <w:bookmarkEnd w:id="103"/>
      <w:r>
        <w:rPr>
          <w:rFonts w:hint="eastAsia"/>
          <w:b/>
          <w:bCs/>
          <w:color w:val="auto"/>
          <w:sz w:val="28"/>
          <w:szCs w:val="28"/>
          <w:lang w:val="en-US" w:eastAsia="zh-CN"/>
        </w:rPr>
        <w:t>用地预审意见书</w:t>
      </w:r>
      <w:bookmarkEnd w:id="104"/>
    </w:p>
    <w:p>
      <w:pPr>
        <w:keepNext w:val="0"/>
        <w:keepLines w:val="0"/>
        <w:pageBreakBefore w:val="0"/>
        <w:widowControl w:val="0"/>
        <w:kinsoku/>
        <w:wordWrap/>
        <w:overflowPunct/>
        <w:topLinePunct w:val="0"/>
        <w:autoSpaceDE/>
        <w:autoSpaceDN/>
        <w:bidi w:val="0"/>
        <w:adjustRightInd w:val="0"/>
        <w:snapToGrid w:val="0"/>
        <w:spacing w:before="159" w:beforeLines="50" w:after="159" w:afterLines="50" w:afterAutospacing="0" w:line="360" w:lineRule="auto"/>
        <w:ind w:firstLine="420" w:firstLineChars="200"/>
        <w:jc w:val="left"/>
        <w:textAlignment w:val="auto"/>
        <w:outlineLvl w:val="9"/>
        <w:rPr>
          <w:color w:val="auto"/>
        </w:rPr>
      </w:pPr>
      <w:r>
        <w:rPr>
          <w:color w:val="auto"/>
        </w:rPr>
        <w:drawing>
          <wp:inline distT="0" distB="0" distL="114300" distR="114300">
            <wp:extent cx="5186680" cy="7780020"/>
            <wp:effectExtent l="0" t="0" r="13970" b="1143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36"/>
                    <a:stretch>
                      <a:fillRect/>
                    </a:stretch>
                  </pic:blipFill>
                  <pic:spPr>
                    <a:xfrm>
                      <a:off x="0" y="0"/>
                      <a:ext cx="5186680" cy="7780020"/>
                    </a:xfrm>
                    <a:prstGeom prst="rect">
                      <a:avLst/>
                    </a:prstGeom>
                    <a:noFill/>
                    <a:ln>
                      <a:noFill/>
                    </a:ln>
                  </pic:spPr>
                </pic:pic>
              </a:graphicData>
            </a:graphic>
          </wp:inline>
        </w:drawing>
      </w:r>
      <w:r>
        <w:rPr>
          <w:color w:val="auto"/>
        </w:rPr>
        <w:drawing>
          <wp:inline distT="0" distB="0" distL="114300" distR="114300">
            <wp:extent cx="5711190" cy="7505065"/>
            <wp:effectExtent l="0" t="0" r="3810" b="63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37"/>
                    <a:stretch>
                      <a:fillRect/>
                    </a:stretch>
                  </pic:blipFill>
                  <pic:spPr>
                    <a:xfrm>
                      <a:off x="0" y="0"/>
                      <a:ext cx="5711190" cy="7505065"/>
                    </a:xfrm>
                    <a:prstGeom prst="rect">
                      <a:avLst/>
                    </a:prstGeom>
                    <a:noFill/>
                    <a:ln>
                      <a:noFill/>
                    </a:ln>
                  </pic:spPr>
                </pic:pic>
              </a:graphicData>
            </a:graphic>
          </wp:inline>
        </w:drawing>
      </w:r>
    </w:p>
    <w:p>
      <w:pPr>
        <w:rPr>
          <w:color w:val="auto"/>
        </w:rPr>
      </w:pPr>
      <w:r>
        <w:rPr>
          <w:color w:val="auto"/>
        </w:rPr>
        <w:br w:type="page"/>
      </w:r>
    </w:p>
    <w:p>
      <w:pPr>
        <w:outlineLvl w:val="1"/>
        <w:rPr>
          <w:rFonts w:hint="eastAsia" w:ascii="Times New Roman" w:hAnsi="Times New Roman" w:eastAsia="宋体" w:cs="Times New Roman"/>
          <w:b/>
          <w:bCs/>
          <w:color w:val="auto"/>
          <w:sz w:val="28"/>
          <w:szCs w:val="28"/>
          <w:lang w:val="en-US" w:eastAsia="zh-CN"/>
        </w:rPr>
      </w:pPr>
      <w:bookmarkStart w:id="105" w:name="_Toc9717"/>
      <w:bookmarkStart w:id="106" w:name="_Toc20762"/>
      <w:r>
        <w:rPr>
          <w:rFonts w:hint="eastAsia" w:ascii="Times New Roman" w:hAnsi="Times New Roman" w:eastAsia="宋体" w:cs="Times New Roman"/>
          <w:b/>
          <w:bCs/>
          <w:color w:val="auto"/>
          <w:sz w:val="28"/>
          <w:szCs w:val="28"/>
          <w:lang w:val="en-US" w:eastAsia="zh-CN"/>
        </w:rPr>
        <w:t>附件4、华容县住房和城乡建设局关于华容县团洲垸灾后重建安置房建设项目</w:t>
      </w:r>
      <w:r>
        <w:rPr>
          <w:rFonts w:hint="eastAsia" w:cs="Times New Roman"/>
          <w:b/>
          <w:bCs/>
          <w:color w:val="auto"/>
          <w:sz w:val="28"/>
          <w:szCs w:val="28"/>
          <w:lang w:val="en-US" w:eastAsia="zh-CN"/>
        </w:rPr>
        <w:t>（二期）</w:t>
      </w:r>
      <w:r>
        <w:rPr>
          <w:rFonts w:hint="eastAsia" w:ascii="Times New Roman" w:hAnsi="Times New Roman" w:eastAsia="宋体" w:cs="Times New Roman"/>
          <w:b/>
          <w:bCs/>
          <w:color w:val="auto"/>
          <w:sz w:val="28"/>
          <w:szCs w:val="28"/>
          <w:lang w:val="en-US" w:eastAsia="zh-CN"/>
        </w:rPr>
        <w:t>的审查意见</w:t>
      </w:r>
      <w:bookmarkEnd w:id="105"/>
      <w:bookmarkEnd w:id="106"/>
    </w:p>
    <w:p>
      <w:pPr>
        <w:rPr>
          <w:rFonts w:hint="eastAsia" w:ascii="仿宋" w:hAnsi="仿宋" w:eastAsia="仿宋" w:cs="仿宋"/>
          <w:b w:val="0"/>
          <w:bCs w:val="0"/>
          <w:color w:val="auto"/>
          <w:spacing w:val="0"/>
          <w:kern w:val="0"/>
          <w:sz w:val="28"/>
          <w:szCs w:val="28"/>
          <w:lang w:val="en-US" w:eastAsia="zh-CN" w:bidi="ar"/>
        </w:rPr>
      </w:pPr>
      <w:r>
        <w:rPr>
          <w:color w:val="auto"/>
        </w:rPr>
        <w:drawing>
          <wp:inline distT="0" distB="0" distL="114300" distR="114300">
            <wp:extent cx="5410835" cy="7329170"/>
            <wp:effectExtent l="0" t="0" r="18415" b="508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38"/>
                    <a:stretch>
                      <a:fillRect/>
                    </a:stretch>
                  </pic:blipFill>
                  <pic:spPr>
                    <a:xfrm>
                      <a:off x="0" y="0"/>
                      <a:ext cx="5410835" cy="7329170"/>
                    </a:xfrm>
                    <a:prstGeom prst="rect">
                      <a:avLst/>
                    </a:prstGeom>
                    <a:noFill/>
                    <a:ln>
                      <a:noFill/>
                    </a:ln>
                  </pic:spPr>
                </pic:pic>
              </a:graphicData>
            </a:graphic>
          </wp:inline>
        </w:drawing>
      </w:r>
    </w:p>
    <w:p>
      <w:pPr>
        <w:rPr>
          <w:color w:val="auto"/>
        </w:rPr>
      </w:pPr>
      <w:r>
        <w:rPr>
          <w:rFonts w:hint="eastAsia" w:ascii="仿宋" w:hAnsi="仿宋" w:eastAsia="仿宋" w:cs="仿宋"/>
          <w:b w:val="0"/>
          <w:bCs w:val="0"/>
          <w:color w:val="auto"/>
          <w:spacing w:val="0"/>
          <w:kern w:val="0"/>
          <w:sz w:val="28"/>
          <w:szCs w:val="28"/>
          <w:lang w:val="en-US" w:eastAsia="zh-CN" w:bidi="ar"/>
        </w:rPr>
        <w:br w:type="page"/>
      </w:r>
    </w:p>
    <w:p>
      <w:pPr>
        <w:rPr>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07" w:name="_Toc1289"/>
      <w:bookmarkStart w:id="108" w:name="_Toc3875"/>
      <w:bookmarkStart w:id="109" w:name="_Toc6630"/>
      <w:bookmarkStart w:id="110" w:name="_Toc15892"/>
      <w:r>
        <w:rPr>
          <w:rFonts w:hint="eastAsia" w:ascii="Times New Roman" w:hAnsi="Times New Roman" w:eastAsia="宋体" w:cs="Times New Roman"/>
          <w:b/>
          <w:bCs/>
          <w:color w:val="auto"/>
          <w:sz w:val="28"/>
          <w:szCs w:val="28"/>
        </w:rPr>
        <w:t xml:space="preserve">附件5 </w:t>
      </w:r>
      <w:r>
        <w:rPr>
          <w:rFonts w:hint="eastAsia" w:cs="Times New Roman"/>
          <w:b/>
          <w:bCs/>
          <w:color w:val="auto"/>
          <w:sz w:val="28"/>
          <w:szCs w:val="28"/>
          <w:lang w:val="en-US" w:eastAsia="zh-CN"/>
        </w:rPr>
        <w:t>生物多样性影响评价报告</w:t>
      </w:r>
      <w:bookmarkEnd w:id="107"/>
    </w:p>
    <w:p>
      <w:r>
        <w:drawing>
          <wp:inline distT="0" distB="0" distL="114300" distR="114300">
            <wp:extent cx="5601335" cy="7063740"/>
            <wp:effectExtent l="0" t="0" r="18415" b="381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39"/>
                    <a:srcRect r="4286"/>
                    <a:stretch>
                      <a:fillRect/>
                    </a:stretch>
                  </pic:blipFill>
                  <pic:spPr>
                    <a:xfrm>
                      <a:off x="0" y="0"/>
                      <a:ext cx="5601335" cy="7063740"/>
                    </a:xfrm>
                    <a:prstGeom prst="rect">
                      <a:avLst/>
                    </a:prstGeom>
                    <a:noFill/>
                    <a:ln>
                      <a:noFill/>
                    </a:ln>
                  </pic:spPr>
                </pic:pic>
              </a:graphicData>
            </a:graphic>
          </wp:inline>
        </w:drawing>
      </w:r>
    </w:p>
    <w:p>
      <w:r>
        <w:br w:type="page"/>
      </w:r>
      <w:r>
        <w:drawing>
          <wp:inline distT="0" distB="0" distL="114300" distR="114300">
            <wp:extent cx="5561965" cy="6501130"/>
            <wp:effectExtent l="0" t="0" r="635" b="1397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40"/>
                    <a:stretch>
                      <a:fillRect/>
                    </a:stretch>
                  </pic:blipFill>
                  <pic:spPr>
                    <a:xfrm>
                      <a:off x="0" y="0"/>
                      <a:ext cx="5561965" cy="6501130"/>
                    </a:xfrm>
                    <a:prstGeom prst="rect">
                      <a:avLst/>
                    </a:prstGeom>
                    <a:noFill/>
                    <a:ln>
                      <a:noFill/>
                    </a:ln>
                  </pic:spPr>
                </pic:pic>
              </a:graphicData>
            </a:graphic>
          </wp:inline>
        </w:drawing>
      </w:r>
      <w:r>
        <w:drawing>
          <wp:inline distT="0" distB="0" distL="114300" distR="114300">
            <wp:extent cx="5516245" cy="7983220"/>
            <wp:effectExtent l="0" t="0" r="8255" b="17780"/>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41"/>
                    <a:stretch>
                      <a:fillRect/>
                    </a:stretch>
                  </pic:blipFill>
                  <pic:spPr>
                    <a:xfrm>
                      <a:off x="0" y="0"/>
                      <a:ext cx="5516245" cy="7983220"/>
                    </a:xfrm>
                    <a:prstGeom prst="rect">
                      <a:avLst/>
                    </a:prstGeom>
                    <a:noFill/>
                    <a:ln>
                      <a:noFill/>
                    </a:ln>
                  </pic:spPr>
                </pic:pic>
              </a:graphicData>
            </a:graphic>
          </wp:inline>
        </w:drawing>
      </w:r>
      <w:r>
        <w:drawing>
          <wp:inline distT="0" distB="0" distL="114300" distR="114300">
            <wp:extent cx="5602605" cy="7877175"/>
            <wp:effectExtent l="0" t="0" r="17145" b="9525"/>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42"/>
                    <a:stretch>
                      <a:fillRect/>
                    </a:stretch>
                  </pic:blipFill>
                  <pic:spPr>
                    <a:xfrm>
                      <a:off x="0" y="0"/>
                      <a:ext cx="5602605" cy="7877175"/>
                    </a:xfrm>
                    <a:prstGeom prst="rect">
                      <a:avLst/>
                    </a:prstGeom>
                    <a:noFill/>
                    <a:ln>
                      <a:noFill/>
                    </a:ln>
                  </pic:spPr>
                </pic:pic>
              </a:graphicData>
            </a:graphic>
          </wp:inline>
        </w:drawing>
      </w:r>
      <w:r>
        <w:drawing>
          <wp:inline distT="0" distB="0" distL="114300" distR="114300">
            <wp:extent cx="5655310" cy="7079615"/>
            <wp:effectExtent l="0" t="0" r="2540" b="6985"/>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43"/>
                    <a:stretch>
                      <a:fillRect/>
                    </a:stretch>
                  </pic:blipFill>
                  <pic:spPr>
                    <a:xfrm>
                      <a:off x="0" y="0"/>
                      <a:ext cx="5655310" cy="7079615"/>
                    </a:xfrm>
                    <a:prstGeom prst="rect">
                      <a:avLst/>
                    </a:prstGeom>
                    <a:noFill/>
                    <a:ln>
                      <a:noFill/>
                    </a:ln>
                  </pic:spPr>
                </pic:pic>
              </a:graphicData>
            </a:graphic>
          </wp:inline>
        </w:drawing>
      </w:r>
    </w:p>
    <w:p>
      <w: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default" w:ascii="Times New Roman" w:hAnsi="Times New Roman" w:eastAsia="宋体" w:cs="Times New Roman"/>
          <w:b/>
          <w:bCs/>
          <w:color w:val="auto"/>
          <w:sz w:val="28"/>
          <w:szCs w:val="28"/>
          <w:lang w:val="en-US" w:eastAsia="zh-CN"/>
        </w:rPr>
      </w:pPr>
      <w:bookmarkStart w:id="111" w:name="_Toc15126"/>
      <w:r>
        <w:rPr>
          <w:rFonts w:hint="eastAsia" w:cs="Times New Roman"/>
          <w:b/>
          <w:bCs/>
          <w:color w:val="auto"/>
          <w:sz w:val="28"/>
          <w:szCs w:val="28"/>
          <w:lang w:val="en-US" w:eastAsia="zh-CN"/>
        </w:rPr>
        <w:t>附件6  林业局关于</w:t>
      </w:r>
      <w:r>
        <w:rPr>
          <w:rFonts w:hint="eastAsia" w:ascii="Times New Roman" w:hAnsi="Times New Roman" w:eastAsia="宋体" w:cs="Times New Roman"/>
          <w:b/>
          <w:bCs/>
          <w:color w:val="auto"/>
          <w:sz w:val="28"/>
          <w:szCs w:val="28"/>
          <w:lang w:val="en-US" w:eastAsia="zh-CN"/>
        </w:rPr>
        <w:t>华容县团洲垸灾后重建安置房建设项目的</w:t>
      </w:r>
      <w:r>
        <w:rPr>
          <w:rFonts w:hint="eastAsia" w:cs="Times New Roman"/>
          <w:b/>
          <w:bCs/>
          <w:color w:val="auto"/>
          <w:sz w:val="28"/>
          <w:szCs w:val="28"/>
          <w:lang w:val="en-US" w:eastAsia="zh-CN"/>
        </w:rPr>
        <w:t>意见</w:t>
      </w:r>
      <w:bookmarkEnd w:id="111"/>
    </w:p>
    <w:p>
      <w:pPr>
        <w:rPr>
          <w:color w:val="auto"/>
        </w:rPr>
      </w:pPr>
      <w:r>
        <w:rPr>
          <w:color w:val="auto"/>
        </w:rPr>
        <w:drawing>
          <wp:inline distT="0" distB="0" distL="114300" distR="114300">
            <wp:extent cx="5274310" cy="7271385"/>
            <wp:effectExtent l="0" t="0" r="2540" b="5715"/>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44"/>
                    <a:stretch>
                      <a:fillRect/>
                    </a:stretch>
                  </pic:blipFill>
                  <pic:spPr>
                    <a:xfrm>
                      <a:off x="0" y="0"/>
                      <a:ext cx="5274310" cy="7271385"/>
                    </a:xfrm>
                    <a:prstGeom prst="rect">
                      <a:avLst/>
                    </a:prstGeom>
                    <a:noFill/>
                    <a:ln>
                      <a:noFill/>
                    </a:ln>
                  </pic:spPr>
                </pic:pic>
              </a:graphicData>
            </a:graphic>
          </wp:inline>
        </w:drawing>
      </w:r>
    </w:p>
    <w:p>
      <w:pPr>
        <w:rPr>
          <w:color w:val="auto"/>
        </w:rPr>
      </w:pPr>
      <w:r>
        <w:rPr>
          <w:color w:val="auto"/>
        </w:rPr>
        <w:br w:type="page"/>
      </w:r>
    </w:p>
    <w:p>
      <w:pPr>
        <w:rPr>
          <w:color w:val="auto"/>
        </w:rPr>
      </w:pPr>
      <w:r>
        <w:rPr>
          <w:color w:val="auto"/>
        </w:rPr>
        <w:drawing>
          <wp:inline distT="0" distB="0" distL="114300" distR="114300">
            <wp:extent cx="5181600" cy="6829425"/>
            <wp:effectExtent l="0" t="0" r="0" b="9525"/>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r:embed="rId45"/>
                    <a:stretch>
                      <a:fillRect/>
                    </a:stretch>
                  </pic:blipFill>
                  <pic:spPr>
                    <a:xfrm>
                      <a:off x="0" y="0"/>
                      <a:ext cx="5181600" cy="6829425"/>
                    </a:xfrm>
                    <a:prstGeom prst="rect">
                      <a:avLst/>
                    </a:prstGeom>
                    <a:noFill/>
                    <a:ln>
                      <a:noFill/>
                    </a:ln>
                  </pic:spPr>
                </pic:pic>
              </a:graphicData>
            </a:graphic>
          </wp:inline>
        </w:drawing>
      </w:r>
    </w:p>
    <w:p>
      <w:pPr>
        <w:rPr>
          <w:color w:val="auto"/>
        </w:rPr>
      </w:pPr>
      <w:r>
        <w:rPr>
          <w:color w:val="auto"/>
        </w:rPr>
        <w:drawing>
          <wp:inline distT="0" distB="0" distL="114300" distR="114300">
            <wp:extent cx="5114925" cy="6877050"/>
            <wp:effectExtent l="0" t="0" r="9525" b="0"/>
            <wp:docPr id="6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8"/>
                    <pic:cNvPicPr>
                      <a:picLocks noChangeAspect="1"/>
                    </pic:cNvPicPr>
                  </pic:nvPicPr>
                  <pic:blipFill>
                    <a:blip r:embed="rId46"/>
                    <a:stretch>
                      <a:fillRect/>
                    </a:stretch>
                  </pic:blipFill>
                  <pic:spPr>
                    <a:xfrm>
                      <a:off x="0" y="0"/>
                      <a:ext cx="5114925" cy="6877050"/>
                    </a:xfrm>
                    <a:prstGeom prst="rect">
                      <a:avLst/>
                    </a:prstGeom>
                    <a:noFill/>
                    <a:ln>
                      <a:noFill/>
                    </a:ln>
                  </pic:spPr>
                </pic:pic>
              </a:graphicData>
            </a:graphic>
          </wp:inline>
        </w:drawing>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eastAsia" w:ascii="Times New Roman" w:hAnsi="Times New Roman" w:eastAsia="宋体" w:cs="Times New Roman"/>
          <w:b/>
          <w:bCs/>
          <w:color w:val="auto"/>
          <w:sz w:val="28"/>
          <w:szCs w:val="28"/>
        </w:rPr>
      </w:pPr>
      <w:bookmarkStart w:id="112" w:name="_Toc25857"/>
      <w:bookmarkStart w:id="113" w:name="_Toc18878"/>
      <w:r>
        <w:rPr>
          <w:color w:val="auto"/>
        </w:rPr>
        <w:drawing>
          <wp:inline distT="0" distB="0" distL="114300" distR="114300">
            <wp:extent cx="5172075" cy="5857875"/>
            <wp:effectExtent l="0" t="0" r="9525" b="9525"/>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47"/>
                    <a:stretch>
                      <a:fillRect/>
                    </a:stretch>
                  </pic:blipFill>
                  <pic:spPr>
                    <a:xfrm>
                      <a:off x="0" y="0"/>
                      <a:ext cx="5172075" cy="5857875"/>
                    </a:xfrm>
                    <a:prstGeom prst="rect">
                      <a:avLst/>
                    </a:prstGeom>
                    <a:noFill/>
                    <a:ln>
                      <a:noFill/>
                    </a:ln>
                  </pic:spPr>
                </pic:pic>
              </a:graphicData>
            </a:graphic>
          </wp:inline>
        </w:drawing>
      </w:r>
      <w:bookmarkEnd w:id="112"/>
      <w:bookmarkEnd w:id="113"/>
    </w:p>
    <w:p>
      <w:pPr>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br w:type="page"/>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9" w:beforeLines="50" w:after="159" w:afterLines="50" w:afterAutospacing="0" w:line="360" w:lineRule="auto"/>
        <w:ind w:left="17" w:leftChars="0" w:firstLine="0" w:firstLineChars="0"/>
        <w:jc w:val="left"/>
        <w:textAlignment w:val="baseline"/>
        <w:outlineLvl w:val="1"/>
        <w:rPr>
          <w:rFonts w:hint="eastAsia" w:ascii="Times New Roman" w:hAnsi="Times New Roman" w:eastAsia="宋体" w:cs="Times New Roman"/>
          <w:b/>
          <w:bCs/>
          <w:color w:val="auto"/>
          <w:sz w:val="28"/>
          <w:szCs w:val="28"/>
          <w:lang w:val="en-US" w:eastAsia="zh-CN"/>
        </w:rPr>
      </w:pPr>
      <w:bookmarkStart w:id="114" w:name="_Toc19273"/>
      <w:r>
        <w:rPr>
          <w:rFonts w:hint="eastAsia" w:cs="Times New Roman"/>
          <w:b/>
          <w:bCs/>
          <w:color w:val="auto"/>
          <w:sz w:val="28"/>
          <w:szCs w:val="28"/>
          <w:lang w:val="en-US" w:eastAsia="zh-CN"/>
        </w:rPr>
        <w:t xml:space="preserve">附件7 </w:t>
      </w:r>
      <w:r>
        <w:rPr>
          <w:rFonts w:hint="eastAsia" w:ascii="Times New Roman" w:hAnsi="Times New Roman" w:eastAsia="宋体" w:cs="Times New Roman"/>
          <w:b/>
          <w:bCs/>
          <w:color w:val="auto"/>
          <w:sz w:val="28"/>
          <w:szCs w:val="28"/>
          <w:lang w:val="en-US" w:eastAsia="zh-CN"/>
        </w:rPr>
        <w:t>华容县人民政府县长办公会议纪要</w:t>
      </w:r>
      <w:bookmarkEnd w:id="114"/>
    </w:p>
    <w:p>
      <w:pPr>
        <w:pageBreakBefore w:val="0"/>
        <w:wordWrap/>
        <w:overflowPunct/>
        <w:topLinePunct w:val="0"/>
        <w:bidi w:val="0"/>
        <w:spacing w:before="157" w:beforeLines="50" w:beforeAutospacing="0" w:after="157" w:afterLines="50" w:afterAutospacing="0" w:line="360" w:lineRule="auto"/>
        <w:rPr>
          <w:rFonts w:hint="default"/>
          <w:color w:val="auto"/>
          <w:lang w:val="en-US" w:eastAsia="zh-CN"/>
        </w:rPr>
      </w:pPr>
      <w:r>
        <w:rPr>
          <w:color w:val="auto"/>
        </w:rPr>
        <w:drawing>
          <wp:inline distT="0" distB="0" distL="114300" distR="114300">
            <wp:extent cx="5172075" cy="6467475"/>
            <wp:effectExtent l="0" t="0" r="9525" b="952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48"/>
                    <a:stretch>
                      <a:fillRect/>
                    </a:stretch>
                  </pic:blipFill>
                  <pic:spPr>
                    <a:xfrm>
                      <a:off x="0" y="0"/>
                      <a:ext cx="5172075" cy="6467475"/>
                    </a:xfrm>
                    <a:prstGeom prst="rect">
                      <a:avLst/>
                    </a:prstGeom>
                    <a:noFill/>
                    <a:ln>
                      <a:noFill/>
                    </a:ln>
                  </pic:spPr>
                </pic:pic>
              </a:graphicData>
            </a:graphic>
          </wp:inline>
        </w:drawing>
      </w:r>
      <w:r>
        <w:rPr>
          <w:color w:val="auto"/>
        </w:rPr>
        <w:drawing>
          <wp:inline distT="0" distB="0" distL="114300" distR="114300">
            <wp:extent cx="5514975" cy="6553200"/>
            <wp:effectExtent l="0" t="0" r="9525" b="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49"/>
                    <a:stretch>
                      <a:fillRect/>
                    </a:stretch>
                  </pic:blipFill>
                  <pic:spPr>
                    <a:xfrm>
                      <a:off x="0" y="0"/>
                      <a:ext cx="5514975" cy="6553200"/>
                    </a:xfrm>
                    <a:prstGeom prst="rect">
                      <a:avLst/>
                    </a:prstGeom>
                    <a:noFill/>
                    <a:ln>
                      <a:noFill/>
                    </a:ln>
                  </pic:spPr>
                </pic:pic>
              </a:graphicData>
            </a:graphic>
          </wp:inline>
        </w:drawing>
      </w:r>
      <w:r>
        <w:rPr>
          <w:color w:val="auto"/>
        </w:rPr>
        <w:drawing>
          <wp:inline distT="0" distB="0" distL="114300" distR="114300">
            <wp:extent cx="5530850" cy="7139305"/>
            <wp:effectExtent l="0" t="0" r="12700" b="444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50"/>
                    <a:stretch>
                      <a:fillRect/>
                    </a:stretch>
                  </pic:blipFill>
                  <pic:spPr>
                    <a:xfrm>
                      <a:off x="0" y="0"/>
                      <a:ext cx="5530850" cy="7139305"/>
                    </a:xfrm>
                    <a:prstGeom prst="rect">
                      <a:avLst/>
                    </a:prstGeom>
                    <a:noFill/>
                    <a:ln>
                      <a:noFill/>
                    </a:ln>
                  </pic:spPr>
                </pic:pic>
              </a:graphicData>
            </a:graphic>
          </wp:inline>
        </w:drawing>
      </w:r>
      <w:r>
        <w:rPr>
          <w:color w:val="auto"/>
        </w:rPr>
        <w:drawing>
          <wp:inline distT="0" distB="0" distL="114300" distR="114300">
            <wp:extent cx="5621655" cy="6960870"/>
            <wp:effectExtent l="0" t="0" r="17145" b="1143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51"/>
                    <a:stretch>
                      <a:fillRect/>
                    </a:stretch>
                  </pic:blipFill>
                  <pic:spPr>
                    <a:xfrm>
                      <a:off x="0" y="0"/>
                      <a:ext cx="5621655" cy="6960870"/>
                    </a:xfrm>
                    <a:prstGeom prst="rect">
                      <a:avLst/>
                    </a:prstGeom>
                    <a:noFill/>
                    <a:ln>
                      <a:noFill/>
                    </a:ln>
                  </pic:spPr>
                </pic:pic>
              </a:graphicData>
            </a:graphic>
          </wp:inline>
        </w:drawing>
      </w:r>
      <w:r>
        <w:rPr>
          <w:color w:val="auto"/>
        </w:rPr>
        <w:drawing>
          <wp:inline distT="0" distB="0" distL="114300" distR="114300">
            <wp:extent cx="5643880" cy="6945630"/>
            <wp:effectExtent l="0" t="0" r="13970" b="762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52"/>
                    <a:stretch>
                      <a:fillRect/>
                    </a:stretch>
                  </pic:blipFill>
                  <pic:spPr>
                    <a:xfrm>
                      <a:off x="0" y="0"/>
                      <a:ext cx="5643880" cy="6945630"/>
                    </a:xfrm>
                    <a:prstGeom prst="rect">
                      <a:avLst/>
                    </a:prstGeom>
                    <a:noFill/>
                    <a:ln>
                      <a:noFill/>
                    </a:ln>
                  </pic:spPr>
                </pic:pic>
              </a:graphicData>
            </a:graphic>
          </wp:inline>
        </w:drawing>
      </w:r>
    </w:p>
    <w:p>
      <w:pPr>
        <w:jc w:val="left"/>
        <w:outlineLvl w:val="1"/>
        <w:rPr>
          <w:rFonts w:hint="default" w:eastAsia="宋体"/>
          <w:b/>
          <w:bCs/>
          <w:color w:val="auto"/>
          <w:sz w:val="28"/>
          <w:szCs w:val="28"/>
          <w:lang w:val="en-US" w:eastAsia="zh-CN"/>
        </w:rPr>
      </w:pPr>
    </w:p>
    <w:p>
      <w:pPr>
        <w:rPr>
          <w:rFonts w:hint="eastAsia"/>
          <w:b/>
          <w:bCs/>
          <w:color w:val="auto"/>
          <w:sz w:val="28"/>
          <w:szCs w:val="28"/>
        </w:rPr>
      </w:pPr>
      <w:r>
        <w:rPr>
          <w:rFonts w:hint="eastAsia"/>
          <w:b/>
          <w:bCs/>
          <w:color w:val="auto"/>
          <w:sz w:val="28"/>
          <w:szCs w:val="28"/>
        </w:rPr>
        <w:br w:type="page"/>
      </w:r>
    </w:p>
    <w:p>
      <w:pPr>
        <w:jc w:val="left"/>
        <w:outlineLvl w:val="1"/>
        <w:rPr>
          <w:rFonts w:hint="default" w:eastAsia="宋体"/>
          <w:color w:val="auto"/>
          <w:lang w:val="en-US" w:eastAsia="zh-CN"/>
        </w:rPr>
      </w:pPr>
      <w:bookmarkStart w:id="115" w:name="_Toc15955"/>
      <w:r>
        <w:rPr>
          <w:rFonts w:hint="eastAsia"/>
          <w:b/>
          <w:bCs/>
          <w:color w:val="auto"/>
          <w:sz w:val="28"/>
          <w:szCs w:val="28"/>
          <w:lang w:val="en-US" w:eastAsia="zh-CN"/>
        </w:rPr>
        <w:t>附件8 备案文件</w:t>
      </w:r>
      <w:bookmarkEnd w:id="115"/>
    </w:p>
    <w:p>
      <w:pPr>
        <w:rPr>
          <w:rFonts w:hint="eastAsia"/>
          <w:b/>
          <w:bCs/>
          <w:color w:val="auto"/>
          <w:sz w:val="28"/>
          <w:szCs w:val="28"/>
          <w:lang w:val="en-US" w:eastAsia="zh-CN"/>
        </w:rPr>
      </w:pPr>
      <w:r>
        <w:rPr>
          <w:color w:val="auto"/>
        </w:rPr>
        <w:drawing>
          <wp:inline distT="0" distB="0" distL="114300" distR="114300">
            <wp:extent cx="5598795" cy="7595235"/>
            <wp:effectExtent l="0" t="0" r="1905" b="571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53"/>
                    <a:stretch>
                      <a:fillRect/>
                    </a:stretch>
                  </pic:blipFill>
                  <pic:spPr>
                    <a:xfrm>
                      <a:off x="0" y="0"/>
                      <a:ext cx="5598795" cy="7595235"/>
                    </a:xfrm>
                    <a:prstGeom prst="rect">
                      <a:avLst/>
                    </a:prstGeom>
                    <a:noFill/>
                    <a:ln>
                      <a:noFill/>
                    </a:ln>
                  </pic:spPr>
                </pic:pic>
              </a:graphicData>
            </a:graphic>
          </wp:inline>
        </w:drawing>
      </w:r>
    </w:p>
    <w:p>
      <w:pPr>
        <w:rPr>
          <w:rFonts w:hint="eastAsia"/>
          <w:b/>
          <w:bCs/>
          <w:color w:val="auto"/>
          <w:sz w:val="28"/>
          <w:szCs w:val="28"/>
          <w:lang w:val="en-US" w:eastAsia="zh-CN"/>
        </w:rPr>
      </w:pPr>
      <w:r>
        <w:rPr>
          <w:rFonts w:hint="eastAsia"/>
          <w:b/>
          <w:bCs/>
          <w:color w:val="auto"/>
          <w:sz w:val="28"/>
          <w:szCs w:val="28"/>
          <w:lang w:val="en-US" w:eastAsia="zh-CN"/>
        </w:rPr>
        <w:br w:type="page"/>
      </w:r>
    </w:p>
    <w:p>
      <w:pPr>
        <w:rPr>
          <w:rFonts w:hint="eastAsia"/>
          <w:b/>
          <w:bCs/>
          <w:color w:val="auto"/>
          <w:sz w:val="28"/>
          <w:szCs w:val="28"/>
          <w:lang w:val="en-US" w:eastAsia="zh-CN"/>
        </w:rPr>
      </w:pPr>
      <w:r>
        <w:rPr>
          <w:color w:val="auto"/>
        </w:rPr>
        <w:drawing>
          <wp:inline distT="0" distB="0" distL="114300" distR="114300">
            <wp:extent cx="5815965" cy="7807960"/>
            <wp:effectExtent l="0" t="0" r="13335" b="254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54"/>
                    <a:stretch>
                      <a:fillRect/>
                    </a:stretch>
                  </pic:blipFill>
                  <pic:spPr>
                    <a:xfrm>
                      <a:off x="0" y="0"/>
                      <a:ext cx="5815965" cy="7807960"/>
                    </a:xfrm>
                    <a:prstGeom prst="rect">
                      <a:avLst/>
                    </a:prstGeom>
                    <a:noFill/>
                    <a:ln>
                      <a:noFill/>
                    </a:ln>
                  </pic:spPr>
                </pic:pic>
              </a:graphicData>
            </a:graphic>
          </wp:inline>
        </w:drawing>
      </w:r>
    </w:p>
    <w:p>
      <w:pPr>
        <w:rPr>
          <w:rFonts w:hint="eastAsia"/>
          <w:b/>
          <w:bCs/>
          <w:color w:val="auto"/>
          <w:sz w:val="28"/>
          <w:szCs w:val="28"/>
          <w:lang w:val="en-US" w:eastAsia="zh-CN"/>
        </w:rPr>
      </w:pPr>
      <w:r>
        <w:rPr>
          <w:rFonts w:hint="eastAsia"/>
          <w:b/>
          <w:bCs/>
          <w:color w:val="auto"/>
          <w:sz w:val="28"/>
          <w:szCs w:val="28"/>
          <w:lang w:val="en-US" w:eastAsia="zh-CN"/>
        </w:rPr>
        <w:br w:type="page"/>
      </w:r>
      <w:r>
        <w:rPr>
          <w:color w:val="auto"/>
        </w:rPr>
        <w:drawing>
          <wp:inline distT="0" distB="0" distL="114300" distR="114300">
            <wp:extent cx="5810250" cy="7444105"/>
            <wp:effectExtent l="0" t="0" r="0" b="4445"/>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55"/>
                    <a:stretch>
                      <a:fillRect/>
                    </a:stretch>
                  </pic:blipFill>
                  <pic:spPr>
                    <a:xfrm>
                      <a:off x="0" y="0"/>
                      <a:ext cx="5810250" cy="7444105"/>
                    </a:xfrm>
                    <a:prstGeom prst="rect">
                      <a:avLst/>
                    </a:prstGeom>
                    <a:noFill/>
                    <a:ln>
                      <a:noFill/>
                    </a:ln>
                  </pic:spPr>
                </pic:pic>
              </a:graphicData>
            </a:graphic>
          </wp:inline>
        </w:drawing>
      </w:r>
    </w:p>
    <w:p>
      <w:pPr>
        <w:rPr>
          <w:rFonts w:hint="eastAsia"/>
          <w:b/>
          <w:bCs/>
          <w:color w:val="auto"/>
          <w:sz w:val="28"/>
          <w:szCs w:val="28"/>
          <w:lang w:val="en-US" w:eastAsia="zh-CN"/>
        </w:rPr>
      </w:pPr>
      <w:r>
        <w:rPr>
          <w:rFonts w:hint="eastAsia"/>
          <w:b/>
          <w:bCs/>
          <w:color w:val="auto"/>
          <w:sz w:val="28"/>
          <w:szCs w:val="28"/>
          <w:lang w:val="en-US" w:eastAsia="zh-CN"/>
        </w:rPr>
        <w:br w:type="page"/>
      </w:r>
    </w:p>
    <w:bookmarkEnd w:id="108"/>
    <w:bookmarkEnd w:id="109"/>
    <w:bookmarkEnd w:id="110"/>
    <w:p>
      <w:pPr>
        <w:jc w:val="left"/>
        <w:outlineLvl w:val="1"/>
        <w:rPr>
          <w:rFonts w:hint="default" w:ascii="方正小标宋_GBK" w:hAnsi="黑体" w:eastAsia="方正小标宋_GBK" w:cs="Times New Roman"/>
          <w:snapToGrid w:val="0"/>
          <w:color w:val="auto"/>
          <w:kern w:val="0"/>
          <w:sz w:val="38"/>
          <w:szCs w:val="38"/>
          <w:lang w:eastAsia="zh-CN"/>
        </w:rPr>
      </w:pPr>
      <w:bookmarkStart w:id="311" w:name="_GoBack"/>
      <w:bookmarkEnd w:id="311"/>
      <w:bookmarkStart w:id="116" w:name="_Toc14330"/>
      <w:r>
        <w:rPr>
          <w:rFonts w:hint="eastAsia" w:ascii="方正小标宋_GBK" w:hAnsi="黑体" w:eastAsia="方正小标宋_GBK" w:cs="Times New Roman"/>
          <w:snapToGrid w:val="0"/>
          <w:color w:val="auto"/>
          <w:kern w:val="0"/>
          <w:sz w:val="38"/>
          <w:szCs w:val="38"/>
          <w:lang w:val="en-US" w:eastAsia="zh-CN"/>
        </w:rPr>
        <w:t>华容县团洲垸灾后重建安置房建设项目（二期）</w:t>
      </w:r>
      <w:bookmarkEnd w:id="116"/>
    </w:p>
    <w:p>
      <w:pPr>
        <w:jc w:val="center"/>
        <w:outlineLvl w:val="0"/>
        <w:rPr>
          <w:rFonts w:hint="default" w:ascii="方正小标宋_GBK" w:hAnsi="黑体" w:eastAsia="方正小标宋_GBK" w:cs="Times New Roman"/>
          <w:snapToGrid w:val="0"/>
          <w:color w:val="auto"/>
          <w:kern w:val="0"/>
          <w:sz w:val="38"/>
          <w:szCs w:val="38"/>
        </w:rPr>
      </w:pPr>
      <w:bookmarkStart w:id="117" w:name="_Toc6912"/>
      <w:bookmarkStart w:id="118" w:name="_Toc15599"/>
      <w:r>
        <w:rPr>
          <w:rFonts w:hint="eastAsia" w:ascii="方正小标宋_GBK" w:hAnsi="黑体" w:eastAsia="方正小标宋_GBK" w:cs="Times New Roman"/>
          <w:snapToGrid w:val="0"/>
          <w:color w:val="auto"/>
          <w:kern w:val="0"/>
          <w:sz w:val="38"/>
          <w:szCs w:val="38"/>
          <w:lang w:eastAsia="zh-CN"/>
        </w:rPr>
        <w:t>生态</w:t>
      </w:r>
      <w:r>
        <w:rPr>
          <w:rFonts w:hint="default" w:ascii="方正小标宋_GBK" w:hAnsi="黑体" w:eastAsia="方正小标宋_GBK" w:cs="Times New Roman"/>
          <w:snapToGrid w:val="0"/>
          <w:color w:val="auto"/>
          <w:kern w:val="0"/>
          <w:sz w:val="38"/>
          <w:szCs w:val="38"/>
        </w:rPr>
        <w:t>环境影响专项报告</w:t>
      </w:r>
      <w:bookmarkEnd w:id="117"/>
      <w:bookmarkEnd w:id="118"/>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spacing w:before="60" w:after="60"/>
        <w:ind w:firstLine="0" w:firstLineChars="0"/>
        <w:jc w:val="center"/>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rPr>
          <w:rFonts w:hint="default" w:ascii="Times New Roman" w:hAnsi="Times New Roman" w:cs="Times New Roman"/>
          <w:b/>
          <w:bCs/>
          <w:color w:val="auto"/>
          <w:spacing w:val="20"/>
          <w:sz w:val="32"/>
        </w:rPr>
      </w:pPr>
    </w:p>
    <w:p>
      <w:pPr>
        <w:pStyle w:val="75"/>
        <w:ind w:left="0" w:leftChars="0" w:firstLine="0" w:firstLineChars="0"/>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cs="Times New Roman"/>
          <w:b/>
          <w:bCs/>
          <w:color w:val="auto"/>
          <w:spacing w:val="20"/>
          <w:sz w:val="32"/>
        </w:rPr>
      </w:pPr>
      <w:r>
        <w:rPr>
          <w:rFonts w:hint="default" w:ascii="Times New Roman" w:hAnsi="Times New Roman" w:cs="Times New Roman"/>
          <w:b/>
          <w:bCs/>
          <w:color w:val="auto"/>
          <w:spacing w:val="20"/>
          <w:sz w:val="32"/>
          <w:lang w:eastAsia="zh-CN"/>
        </w:rPr>
        <w:t>湖南润美环保科技有限公司</w:t>
      </w:r>
    </w:p>
    <w:p>
      <w:pPr>
        <w:spacing w:before="0" w:beforeLines="0" w:after="0" w:afterLines="0"/>
        <w:ind w:firstLine="0" w:firstLineChars="0"/>
        <w:jc w:val="center"/>
        <w:rPr>
          <w:rFonts w:hint="default" w:ascii="Times New Roman" w:hAnsi="Times New Roman" w:cs="Times New Roman"/>
          <w:b/>
          <w:bCs/>
          <w:color w:val="auto"/>
          <w:spacing w:val="20"/>
          <w:sz w:val="32"/>
        </w:rPr>
      </w:pPr>
    </w:p>
    <w:p>
      <w:pPr>
        <w:spacing w:before="0" w:beforeLines="0" w:after="0" w:afterLines="0"/>
        <w:ind w:firstLine="0" w:firstLineChars="0"/>
        <w:jc w:val="center"/>
        <w:rPr>
          <w:rFonts w:hint="default" w:ascii="Times New Roman" w:hAnsi="Times New Roman" w:eastAsia="宋体" w:cs="Times New Roman"/>
          <w:b/>
          <w:bCs/>
          <w:color w:val="auto"/>
          <w:spacing w:val="20"/>
          <w:sz w:val="32"/>
          <w:lang w:val="en-US" w:eastAsia="zh-CN"/>
        </w:rPr>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78"/>
          <w:cols w:space="720" w:num="1"/>
          <w:docGrid w:linePitch="312" w:charSpace="0"/>
        </w:sectPr>
      </w:pPr>
      <w:r>
        <w:rPr>
          <w:rFonts w:hint="default" w:ascii="Times New Roman" w:hAnsi="Times New Roman" w:cs="Times New Roman"/>
          <w:b/>
          <w:bCs/>
          <w:color w:val="auto"/>
          <w:spacing w:val="20"/>
          <w:sz w:val="32"/>
        </w:rPr>
        <w:t>二〇</w:t>
      </w:r>
      <w:r>
        <w:rPr>
          <w:rFonts w:hint="default" w:ascii="Times New Roman" w:hAnsi="Times New Roman" w:cs="Times New Roman"/>
          <w:b/>
          <w:bCs/>
          <w:color w:val="auto"/>
          <w:spacing w:val="20"/>
          <w:sz w:val="32"/>
          <w:lang w:eastAsia="zh-CN"/>
        </w:rPr>
        <w:t>二</w:t>
      </w:r>
      <w:r>
        <w:rPr>
          <w:rFonts w:hint="eastAsia" w:cs="Times New Roman"/>
          <w:b/>
          <w:bCs/>
          <w:color w:val="auto"/>
          <w:spacing w:val="20"/>
          <w:sz w:val="32"/>
          <w:lang w:val="en-US" w:eastAsia="zh-CN"/>
        </w:rPr>
        <w:t>五</w:t>
      </w:r>
      <w:r>
        <w:rPr>
          <w:rFonts w:hint="default" w:ascii="Times New Roman" w:hAnsi="Times New Roman" w:cs="Times New Roman"/>
          <w:b/>
          <w:bCs/>
          <w:color w:val="auto"/>
          <w:spacing w:val="20"/>
          <w:sz w:val="32"/>
        </w:rPr>
        <w:t>年</w:t>
      </w:r>
      <w:r>
        <w:rPr>
          <w:rFonts w:hint="eastAsia" w:cs="Times New Roman"/>
          <w:b/>
          <w:bCs/>
          <w:color w:val="auto"/>
          <w:spacing w:val="20"/>
          <w:sz w:val="32"/>
          <w:lang w:val="en-US" w:eastAsia="zh-CN"/>
        </w:rPr>
        <w:t>四月</w:t>
      </w:r>
    </w:p>
    <w:p>
      <w:pPr>
        <w:keepNext w:val="0"/>
        <w:keepLines w:val="0"/>
        <w:pageBreakBefore w:val="0"/>
        <w:widowControl w:val="0"/>
        <w:kinsoku/>
        <w:wordWrap/>
        <w:overflowPunct/>
        <w:topLinePunct w:val="0"/>
        <w:autoSpaceDE/>
        <w:autoSpaceDN/>
        <w:bidi w:val="0"/>
        <w:adjustRightInd w:val="0"/>
        <w:snapToGrid w:val="0"/>
        <w:spacing w:before="0" w:beforeLines="0" w:after="164" w:afterLines="50" w:line="240" w:lineRule="auto"/>
        <w:ind w:left="0" w:leftChars="0" w:right="0" w:rightChars="0" w:firstLine="0" w:firstLineChars="0"/>
        <w:jc w:val="center"/>
        <w:textAlignment w:val="auto"/>
        <w:rPr>
          <w:color w:val="auto"/>
        </w:rPr>
      </w:pPr>
      <w:r>
        <w:rPr>
          <w:rFonts w:ascii="宋体" w:hAnsi="宋体" w:eastAsia="宋体"/>
          <w:b/>
          <w:bCs/>
          <w:color w:val="auto"/>
          <w:sz w:val="28"/>
          <w:szCs w:val="28"/>
        </w:rPr>
        <w:t>目录</w:t>
      </w:r>
      <w:r>
        <w:rPr>
          <w:color w:val="auto"/>
        </w:rPr>
        <w:fldChar w:fldCharType="begin"/>
      </w:r>
      <w:r>
        <w:rPr>
          <w:color w:val="auto"/>
        </w:rPr>
        <w:instrText xml:space="preserve">TOC \o "1-2" \h \u </w:instrText>
      </w:r>
      <w:r>
        <w:rPr>
          <w:color w:val="auto"/>
        </w:rPr>
        <w:fldChar w:fldCharType="separate"/>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_Toc29359 </w:instrText>
      </w:r>
      <w:r>
        <w:rPr>
          <w:color w:val="auto"/>
        </w:rPr>
        <w:fldChar w:fldCharType="separate"/>
      </w:r>
      <w:r>
        <w:rPr>
          <w:rFonts w:ascii="Times New Roman" w:hAnsi="Times New Roman" w:eastAsia="宋体" w:cs="Times New Roman"/>
          <w:snapToGrid w:val="0"/>
          <w:color w:val="auto"/>
          <w:kern w:val="0"/>
          <w:szCs w:val="30"/>
          <w:lang w:val="en-US" w:eastAsia="zh-CN" w:bidi="ar-SA"/>
        </w:rPr>
        <w:t>1总则</w:t>
      </w:r>
      <w:r>
        <w:rPr>
          <w:color w:val="auto"/>
        </w:rPr>
        <w:tab/>
      </w:r>
      <w:r>
        <w:rPr>
          <w:color w:val="auto"/>
        </w:rPr>
        <w:fldChar w:fldCharType="begin"/>
      </w:r>
      <w:r>
        <w:rPr>
          <w:color w:val="auto"/>
        </w:rPr>
        <w:instrText xml:space="preserve"> PAGEREF _Toc29359 \h </w:instrText>
      </w:r>
      <w:r>
        <w:rPr>
          <w:color w:val="auto"/>
        </w:rPr>
        <w:fldChar w:fldCharType="separate"/>
      </w:r>
      <w:r>
        <w:rPr>
          <w:color w:val="auto"/>
        </w:rPr>
        <w:t>1</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_Toc9323 </w:instrText>
      </w:r>
      <w:r>
        <w:rPr>
          <w:color w:val="auto"/>
        </w:rPr>
        <w:fldChar w:fldCharType="separate"/>
      </w:r>
      <w:r>
        <w:rPr>
          <w:rFonts w:ascii="Times New Roman" w:hAnsi="Times New Roman" w:eastAsia="宋体" w:cs="Times New Roman"/>
          <w:bCs/>
          <w:color w:val="auto"/>
          <w:kern w:val="2"/>
          <w:szCs w:val="28"/>
          <w:lang w:val="en-US" w:eastAsia="zh-CN" w:bidi="ar-SA"/>
        </w:rPr>
        <w:t>1.1项目由来</w:t>
      </w:r>
      <w:r>
        <w:rPr>
          <w:color w:val="auto"/>
        </w:rPr>
        <w:tab/>
      </w:r>
      <w:r>
        <w:rPr>
          <w:color w:val="auto"/>
        </w:rPr>
        <w:fldChar w:fldCharType="begin"/>
      </w:r>
      <w:r>
        <w:rPr>
          <w:color w:val="auto"/>
        </w:rPr>
        <w:instrText xml:space="preserve"> PAGEREF _Toc9323 \h </w:instrText>
      </w:r>
      <w:r>
        <w:rPr>
          <w:color w:val="auto"/>
        </w:rPr>
        <w:fldChar w:fldCharType="separate"/>
      </w:r>
      <w:r>
        <w:rPr>
          <w:color w:val="auto"/>
        </w:rPr>
        <w:t>1</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_Toc22516 </w:instrText>
      </w:r>
      <w:r>
        <w:rPr>
          <w:color w:val="auto"/>
        </w:rPr>
        <w:fldChar w:fldCharType="separate"/>
      </w:r>
      <w:r>
        <w:rPr>
          <w:rFonts w:ascii="Times New Roman" w:hAnsi="Times New Roman" w:eastAsia="宋体" w:cs="Times New Roman"/>
          <w:bCs/>
          <w:color w:val="auto"/>
          <w:kern w:val="2"/>
          <w:szCs w:val="28"/>
          <w:lang w:val="en-US" w:eastAsia="zh-CN" w:bidi="ar-SA"/>
        </w:rPr>
        <w:t>1.2评价目的和评价原则</w:t>
      </w:r>
      <w:r>
        <w:rPr>
          <w:color w:val="auto"/>
        </w:rPr>
        <w:tab/>
      </w:r>
      <w:r>
        <w:rPr>
          <w:color w:val="auto"/>
        </w:rPr>
        <w:fldChar w:fldCharType="begin"/>
      </w:r>
      <w:r>
        <w:rPr>
          <w:color w:val="auto"/>
        </w:rPr>
        <w:instrText xml:space="preserve"> PAGEREF _Toc22516 \h </w:instrText>
      </w:r>
      <w:r>
        <w:rPr>
          <w:color w:val="auto"/>
        </w:rPr>
        <w:fldChar w:fldCharType="separate"/>
      </w:r>
      <w:r>
        <w:rPr>
          <w:color w:val="auto"/>
        </w:rPr>
        <w:t>1</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_Toc7949 </w:instrText>
      </w:r>
      <w:r>
        <w:rPr>
          <w:color w:val="auto"/>
        </w:rPr>
        <w:fldChar w:fldCharType="separate"/>
      </w:r>
      <w:r>
        <w:rPr>
          <w:rFonts w:ascii="Times New Roman" w:hAnsi="Times New Roman" w:eastAsia="宋体" w:cs="Times New Roman"/>
          <w:bCs/>
          <w:color w:val="auto"/>
          <w:kern w:val="2"/>
          <w:szCs w:val="28"/>
          <w:lang w:val="en-US" w:eastAsia="zh-CN" w:bidi="ar-SA"/>
        </w:rPr>
        <w:t>1.3工作原则</w:t>
      </w:r>
      <w:r>
        <w:rPr>
          <w:color w:val="auto"/>
        </w:rPr>
        <w:tab/>
      </w:r>
      <w:r>
        <w:rPr>
          <w:color w:val="auto"/>
        </w:rPr>
        <w:fldChar w:fldCharType="begin"/>
      </w:r>
      <w:r>
        <w:rPr>
          <w:color w:val="auto"/>
        </w:rPr>
        <w:instrText xml:space="preserve"> PAGEREF _Toc7949 \h </w:instrText>
      </w:r>
      <w:r>
        <w:rPr>
          <w:color w:val="auto"/>
        </w:rPr>
        <w:fldChar w:fldCharType="separate"/>
      </w:r>
      <w:r>
        <w:rPr>
          <w:color w:val="auto"/>
        </w:rPr>
        <w:t>2</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_Toc12498 </w:instrText>
      </w:r>
      <w:r>
        <w:rPr>
          <w:color w:val="auto"/>
        </w:rPr>
        <w:fldChar w:fldCharType="separate"/>
      </w:r>
      <w:r>
        <w:rPr>
          <w:rFonts w:ascii="Times New Roman" w:hAnsi="Times New Roman" w:eastAsia="宋体" w:cs="Times New Roman"/>
          <w:bCs/>
          <w:color w:val="auto"/>
          <w:kern w:val="2"/>
          <w:szCs w:val="28"/>
          <w:lang w:val="en-US" w:eastAsia="zh-CN" w:bidi="ar-SA"/>
        </w:rPr>
        <w:t>1.4评价依据</w:t>
      </w:r>
      <w:r>
        <w:rPr>
          <w:color w:val="auto"/>
        </w:rPr>
        <w:tab/>
      </w:r>
      <w:r>
        <w:rPr>
          <w:color w:val="auto"/>
        </w:rPr>
        <w:fldChar w:fldCharType="begin"/>
      </w:r>
      <w:r>
        <w:rPr>
          <w:color w:val="auto"/>
        </w:rPr>
        <w:instrText xml:space="preserve"> PAGEREF _Toc12498 \h </w:instrText>
      </w:r>
      <w:r>
        <w:rPr>
          <w:color w:val="auto"/>
        </w:rPr>
        <w:fldChar w:fldCharType="separate"/>
      </w:r>
      <w:r>
        <w:rPr>
          <w:color w:val="auto"/>
        </w:rPr>
        <w:t>2</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_Toc25026 </w:instrText>
      </w:r>
      <w:r>
        <w:rPr>
          <w:color w:val="auto"/>
        </w:rPr>
        <w:fldChar w:fldCharType="separate"/>
      </w:r>
      <w:r>
        <w:rPr>
          <w:rFonts w:ascii="Times New Roman" w:hAnsi="Times New Roman" w:eastAsia="宋体" w:cs="Times New Roman"/>
          <w:bCs/>
          <w:color w:val="auto"/>
          <w:kern w:val="2"/>
          <w:szCs w:val="28"/>
          <w:lang w:val="en-US" w:eastAsia="zh-CN" w:bidi="ar-SA"/>
        </w:rPr>
        <w:t>1.5生态环境评价工作等级及范围</w:t>
      </w:r>
      <w:r>
        <w:rPr>
          <w:color w:val="auto"/>
        </w:rPr>
        <w:tab/>
      </w:r>
      <w:r>
        <w:rPr>
          <w:color w:val="auto"/>
        </w:rPr>
        <w:fldChar w:fldCharType="begin"/>
      </w:r>
      <w:r>
        <w:rPr>
          <w:color w:val="auto"/>
        </w:rPr>
        <w:instrText xml:space="preserve"> PAGEREF _Toc25026 \h </w:instrText>
      </w:r>
      <w:r>
        <w:rPr>
          <w:color w:val="auto"/>
        </w:rPr>
        <w:fldChar w:fldCharType="separate"/>
      </w:r>
      <w:r>
        <w:rPr>
          <w:color w:val="auto"/>
        </w:rPr>
        <w:t>5</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_Toc2532 </w:instrText>
      </w:r>
      <w:r>
        <w:rPr>
          <w:color w:val="auto"/>
        </w:rPr>
        <w:fldChar w:fldCharType="separate"/>
      </w:r>
      <w:r>
        <w:rPr>
          <w:rFonts w:hint="eastAsia" w:ascii="Times New Roman" w:hAnsi="Times New Roman" w:eastAsia="宋体" w:cs="Times New Roman"/>
          <w:bCs/>
          <w:color w:val="auto"/>
          <w:kern w:val="2"/>
          <w:szCs w:val="28"/>
          <w:lang w:val="en-US" w:eastAsia="zh-CN" w:bidi="ar-SA"/>
        </w:rPr>
        <w:t>1.6评价因子筛选及评价重点</w:t>
      </w:r>
      <w:r>
        <w:rPr>
          <w:color w:val="auto"/>
        </w:rPr>
        <w:tab/>
      </w:r>
      <w:r>
        <w:rPr>
          <w:color w:val="auto"/>
        </w:rPr>
        <w:fldChar w:fldCharType="begin"/>
      </w:r>
      <w:r>
        <w:rPr>
          <w:color w:val="auto"/>
        </w:rPr>
        <w:instrText xml:space="preserve"> PAGEREF _Toc2532 \h </w:instrText>
      </w:r>
      <w:r>
        <w:rPr>
          <w:color w:val="auto"/>
        </w:rPr>
        <w:fldChar w:fldCharType="separate"/>
      </w:r>
      <w:r>
        <w:rPr>
          <w:color w:val="auto"/>
        </w:rPr>
        <w:t>6</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_Toc22427 </w:instrText>
      </w:r>
      <w:r>
        <w:rPr>
          <w:color w:val="auto"/>
        </w:rPr>
        <w:fldChar w:fldCharType="separate"/>
      </w:r>
      <w:r>
        <w:rPr>
          <w:rFonts w:ascii="Times New Roman" w:hAnsi="Times New Roman" w:eastAsia="宋体" w:cs="Times New Roman"/>
          <w:color w:val="auto"/>
          <w:kern w:val="2"/>
          <w:szCs w:val="28"/>
          <w:lang w:val="en-US" w:eastAsia="zh-CN" w:bidi="ar-SA"/>
        </w:rPr>
        <w:t>1.</w:t>
      </w:r>
      <w:r>
        <w:rPr>
          <w:rFonts w:hint="eastAsia" w:ascii="Times New Roman" w:hAnsi="Times New Roman" w:eastAsia="宋体" w:cs="Times New Roman"/>
          <w:color w:val="auto"/>
          <w:kern w:val="2"/>
          <w:szCs w:val="28"/>
          <w:lang w:val="en-US" w:eastAsia="zh-CN" w:bidi="ar-SA"/>
        </w:rPr>
        <w:t>7</w:t>
      </w:r>
      <w:r>
        <w:rPr>
          <w:rFonts w:ascii="Times New Roman" w:hAnsi="Times New Roman" w:eastAsia="宋体" w:cs="Times New Roman"/>
          <w:color w:val="auto"/>
          <w:kern w:val="2"/>
          <w:szCs w:val="28"/>
          <w:lang w:val="en-US" w:eastAsia="zh-CN" w:bidi="ar-SA"/>
        </w:rPr>
        <w:t>生态环境保护目标</w:t>
      </w:r>
      <w:r>
        <w:rPr>
          <w:color w:val="auto"/>
        </w:rPr>
        <w:tab/>
      </w:r>
      <w:r>
        <w:rPr>
          <w:color w:val="auto"/>
        </w:rPr>
        <w:fldChar w:fldCharType="begin"/>
      </w:r>
      <w:r>
        <w:rPr>
          <w:color w:val="auto"/>
        </w:rPr>
        <w:instrText xml:space="preserve"> PAGEREF _Toc22427 \h </w:instrText>
      </w:r>
      <w:r>
        <w:rPr>
          <w:color w:val="auto"/>
        </w:rPr>
        <w:fldChar w:fldCharType="separate"/>
      </w:r>
      <w:r>
        <w:rPr>
          <w:color w:val="auto"/>
        </w:rPr>
        <w:t>7</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_Toc30542 </w:instrText>
      </w:r>
      <w:r>
        <w:rPr>
          <w:color w:val="auto"/>
        </w:rPr>
        <w:fldChar w:fldCharType="separate"/>
      </w:r>
      <w:r>
        <w:rPr>
          <w:rFonts w:ascii="Times New Roman" w:hAnsi="Times New Roman" w:eastAsia="宋体" w:cs="Times New Roman"/>
          <w:snapToGrid w:val="0"/>
          <w:color w:val="auto"/>
          <w:kern w:val="0"/>
          <w:szCs w:val="30"/>
          <w:lang w:val="en-US" w:eastAsia="zh-CN" w:bidi="ar-SA"/>
        </w:rPr>
        <w:t>2项目工程分析</w:t>
      </w:r>
      <w:r>
        <w:rPr>
          <w:color w:val="auto"/>
        </w:rPr>
        <w:tab/>
      </w:r>
      <w:r>
        <w:rPr>
          <w:color w:val="auto"/>
        </w:rPr>
        <w:fldChar w:fldCharType="begin"/>
      </w:r>
      <w:r>
        <w:rPr>
          <w:color w:val="auto"/>
        </w:rPr>
        <w:instrText xml:space="preserve"> PAGEREF _Toc30542 \h </w:instrText>
      </w:r>
      <w:r>
        <w:rPr>
          <w:color w:val="auto"/>
        </w:rPr>
        <w:fldChar w:fldCharType="separate"/>
      </w:r>
      <w:r>
        <w:rPr>
          <w:color w:val="auto"/>
        </w:rPr>
        <w:t>8</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_Toc11291 </w:instrText>
      </w:r>
      <w:r>
        <w:rPr>
          <w:color w:val="auto"/>
        </w:rPr>
        <w:fldChar w:fldCharType="separate"/>
      </w:r>
      <w:r>
        <w:rPr>
          <w:rFonts w:ascii="Times New Roman" w:hAnsi="Times New Roman" w:eastAsia="宋体" w:cs="Times New Roman"/>
          <w:bCs/>
          <w:color w:val="auto"/>
          <w:kern w:val="2"/>
          <w:szCs w:val="28"/>
          <w:lang w:val="en-US" w:eastAsia="zh-CN" w:bidi="ar-SA"/>
        </w:rPr>
        <w:t>2.1</w:t>
      </w:r>
      <w:r>
        <w:rPr>
          <w:rFonts w:hint="eastAsia" w:ascii="Times New Roman" w:hAnsi="Times New Roman" w:eastAsia="宋体" w:cs="Times New Roman"/>
          <w:bCs/>
          <w:color w:val="auto"/>
          <w:kern w:val="2"/>
          <w:szCs w:val="28"/>
          <w:lang w:val="en-US" w:eastAsia="zh-CN" w:bidi="ar-SA"/>
        </w:rPr>
        <w:t>项目概况</w:t>
      </w:r>
      <w:r>
        <w:rPr>
          <w:color w:val="auto"/>
        </w:rPr>
        <w:tab/>
      </w:r>
      <w:r>
        <w:rPr>
          <w:color w:val="auto"/>
        </w:rPr>
        <w:fldChar w:fldCharType="begin"/>
      </w:r>
      <w:r>
        <w:rPr>
          <w:color w:val="auto"/>
        </w:rPr>
        <w:instrText xml:space="preserve"> PAGEREF _Toc11291 \h </w:instrText>
      </w:r>
      <w:r>
        <w:rPr>
          <w:color w:val="auto"/>
        </w:rPr>
        <w:fldChar w:fldCharType="separate"/>
      </w:r>
      <w:r>
        <w:rPr>
          <w:color w:val="auto"/>
        </w:rPr>
        <w:t>8</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_Toc1717 </w:instrText>
      </w:r>
      <w:r>
        <w:rPr>
          <w:color w:val="auto"/>
        </w:rPr>
        <w:fldChar w:fldCharType="separate"/>
      </w:r>
      <w:r>
        <w:rPr>
          <w:rFonts w:hint="eastAsia" w:ascii="Times New Roman" w:hAnsi="Times New Roman" w:eastAsia="宋体" w:cs="Times New Roman"/>
          <w:bCs/>
          <w:color w:val="auto"/>
          <w:kern w:val="2"/>
          <w:szCs w:val="28"/>
          <w:lang w:val="en-US" w:eastAsia="zh-CN" w:bidi="ar-SA"/>
        </w:rPr>
        <w:t>2.2</w:t>
      </w:r>
      <w:r>
        <w:rPr>
          <w:rFonts w:ascii="Times New Roman" w:hAnsi="Times New Roman" w:eastAsia="宋体" w:cs="Times New Roman"/>
          <w:bCs/>
          <w:color w:val="auto"/>
          <w:kern w:val="2"/>
          <w:szCs w:val="28"/>
          <w:lang w:val="en-US" w:eastAsia="zh-CN" w:bidi="ar-SA"/>
        </w:rPr>
        <w:t>工程建设内容</w:t>
      </w:r>
      <w:r>
        <w:rPr>
          <w:color w:val="auto"/>
        </w:rPr>
        <w:tab/>
      </w:r>
      <w:r>
        <w:rPr>
          <w:color w:val="auto"/>
        </w:rPr>
        <w:fldChar w:fldCharType="begin"/>
      </w:r>
      <w:r>
        <w:rPr>
          <w:color w:val="auto"/>
        </w:rPr>
        <w:instrText xml:space="preserve"> PAGEREF _Toc1717 \h </w:instrText>
      </w:r>
      <w:r>
        <w:rPr>
          <w:color w:val="auto"/>
        </w:rPr>
        <w:fldChar w:fldCharType="separate"/>
      </w:r>
      <w:r>
        <w:rPr>
          <w:color w:val="auto"/>
        </w:rPr>
        <w:t>8</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_Toc11734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3生态环境现状调查与评价</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_Toc28113 </w:instrText>
      </w:r>
      <w:r>
        <w:rPr>
          <w:color w:val="auto"/>
        </w:rPr>
        <w:fldChar w:fldCharType="separate"/>
      </w:r>
      <w:r>
        <w:rPr>
          <w:rFonts w:ascii="Times New Roman" w:hAnsi="Times New Roman" w:eastAsia="宋体" w:cs="Times New Roman"/>
          <w:bCs/>
          <w:color w:val="auto"/>
          <w:kern w:val="2"/>
          <w:szCs w:val="28"/>
          <w:lang w:val="en-US" w:eastAsia="zh-CN" w:bidi="ar-SA"/>
        </w:rPr>
        <w:t>3.1</w:t>
      </w:r>
      <w:r>
        <w:rPr>
          <w:rFonts w:hint="eastAsia" w:ascii="Times New Roman" w:hAnsi="Times New Roman" w:eastAsia="宋体" w:cs="Times New Roman"/>
          <w:bCs/>
          <w:color w:val="auto"/>
          <w:kern w:val="2"/>
          <w:szCs w:val="28"/>
          <w:lang w:val="en-US" w:eastAsia="zh-CN" w:bidi="ar-SA"/>
        </w:rPr>
        <w:t>土地利用现状</w:t>
      </w:r>
      <w:r>
        <w:rPr>
          <w:color w:val="auto"/>
        </w:rPr>
        <w:tab/>
      </w:r>
      <w:r>
        <w:rPr>
          <w:color w:val="auto"/>
        </w:rPr>
        <w:fldChar w:fldCharType="begin"/>
      </w:r>
      <w:r>
        <w:rPr>
          <w:color w:val="auto"/>
        </w:rPr>
        <w:instrText xml:space="preserve"> PAGEREF _Toc28113 \h </w:instrText>
      </w:r>
      <w:r>
        <w:rPr>
          <w:color w:val="auto"/>
        </w:rPr>
        <w:fldChar w:fldCharType="separate"/>
      </w:r>
      <w:r>
        <w:rPr>
          <w:color w:val="auto"/>
        </w:rPr>
        <w:t>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_Toc16185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.2生态环境</w:t>
      </w:r>
      <w:r>
        <w:rPr>
          <w:rFonts w:hint="eastAsia" w:ascii="Times New Roman" w:hAnsi="Times New Roman" w:eastAsia="宋体" w:cs="Times New Roman"/>
          <w:bCs/>
          <w:color w:val="auto"/>
          <w:kern w:val="2"/>
          <w:szCs w:val="28"/>
          <w:lang w:val="en-US" w:eastAsia="zh-CN" w:bidi="ar-SA"/>
        </w:rPr>
        <w:t>调查与评价</w:t>
      </w:r>
      <w:r>
        <w:rPr>
          <w:color w:val="auto"/>
        </w:rPr>
        <w:tab/>
      </w:r>
      <w:r>
        <w:rPr>
          <w:color w:val="auto"/>
        </w:rPr>
        <w:fldChar w:fldCharType="begin"/>
      </w:r>
      <w:r>
        <w:rPr>
          <w:color w:val="auto"/>
        </w:rPr>
        <w:instrText xml:space="preserve"> PAGEREF _Toc16185 \h </w:instrText>
      </w:r>
      <w:r>
        <w:rPr>
          <w:color w:val="auto"/>
        </w:rPr>
        <w:fldChar w:fldCharType="separate"/>
      </w:r>
      <w:r>
        <w:rPr>
          <w:color w:val="auto"/>
        </w:rPr>
        <w:t>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_Toc17066 </w:instrText>
      </w:r>
      <w:r>
        <w:rPr>
          <w:color w:val="auto"/>
        </w:rPr>
        <w:fldChar w:fldCharType="separate"/>
      </w:r>
      <w:r>
        <w:rPr>
          <w:rFonts w:hint="eastAsia" w:ascii="Times New Roman" w:hAnsi="Times New Roman" w:eastAsia="宋体" w:cs="Times New Roman"/>
          <w:bCs/>
          <w:color w:val="auto"/>
          <w:kern w:val="2"/>
          <w:szCs w:val="28"/>
          <w:lang w:val="en-US" w:eastAsia="zh-CN" w:bidi="ar-SA"/>
        </w:rPr>
        <w:t>3</w:t>
      </w:r>
      <w:r>
        <w:rPr>
          <w:rFonts w:hint="default" w:ascii="Times New Roman" w:hAnsi="Times New Roman" w:eastAsia="宋体" w:cs="Times New Roman"/>
          <w:bCs/>
          <w:color w:val="auto"/>
          <w:kern w:val="2"/>
          <w:szCs w:val="28"/>
          <w:lang w:val="en-US" w:eastAsia="zh-CN" w:bidi="ar-SA"/>
        </w:rPr>
        <w:t>.3建设项目所在地生态环境现状</w:t>
      </w:r>
      <w:r>
        <w:rPr>
          <w:color w:val="auto"/>
        </w:rPr>
        <w:tab/>
      </w:r>
      <w:r>
        <w:rPr>
          <w:color w:val="auto"/>
        </w:rPr>
        <w:fldChar w:fldCharType="begin"/>
      </w:r>
      <w:r>
        <w:rPr>
          <w:color w:val="auto"/>
        </w:rPr>
        <w:instrText xml:space="preserve"> PAGEREF _Toc17066 \h </w:instrText>
      </w:r>
      <w:r>
        <w:rPr>
          <w:color w:val="auto"/>
        </w:rPr>
        <w:fldChar w:fldCharType="separate"/>
      </w:r>
      <w:r>
        <w:rPr>
          <w:color w:val="auto"/>
        </w:rPr>
        <w:t>10</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_Toc13004 </w:instrText>
      </w:r>
      <w:r>
        <w:rPr>
          <w:color w:val="auto"/>
        </w:rPr>
        <w:fldChar w:fldCharType="separate"/>
      </w:r>
      <w:r>
        <w:rPr>
          <w:rFonts w:hint="eastAsia" w:ascii="Times New Roman" w:hAnsi="Times New Roman" w:eastAsia="宋体" w:cs="Times New Roman"/>
          <w:bCs w:val="0"/>
          <w:snapToGrid w:val="0"/>
          <w:color w:val="auto"/>
          <w:kern w:val="0"/>
          <w:szCs w:val="30"/>
          <w:lang w:val="en-US" w:eastAsia="zh-CN" w:bidi="ar-SA"/>
        </w:rPr>
        <w:t>4</w:t>
      </w:r>
      <w:r>
        <w:rPr>
          <w:rFonts w:ascii="Times New Roman" w:hAnsi="Times New Roman" w:eastAsia="宋体" w:cs="Times New Roman"/>
          <w:bCs w:val="0"/>
          <w:snapToGrid w:val="0"/>
          <w:color w:val="auto"/>
          <w:kern w:val="0"/>
          <w:szCs w:val="30"/>
          <w:lang w:val="en-US" w:eastAsia="zh-CN" w:bidi="ar-SA"/>
        </w:rPr>
        <w:t>生态环境</w:t>
      </w:r>
      <w:r>
        <w:rPr>
          <w:rFonts w:hint="eastAsia" w:ascii="Times New Roman" w:hAnsi="Times New Roman" w:eastAsia="宋体" w:cs="Times New Roman"/>
          <w:bCs w:val="0"/>
          <w:snapToGrid w:val="0"/>
          <w:color w:val="auto"/>
          <w:kern w:val="0"/>
          <w:szCs w:val="30"/>
          <w:lang w:val="en-US" w:eastAsia="zh-CN" w:bidi="ar-SA"/>
        </w:rPr>
        <w:t>影响</w:t>
      </w:r>
      <w:r>
        <w:rPr>
          <w:rFonts w:ascii="Times New Roman" w:hAnsi="Times New Roman" w:eastAsia="宋体" w:cs="Times New Roman"/>
          <w:bCs w:val="0"/>
          <w:snapToGrid w:val="0"/>
          <w:color w:val="auto"/>
          <w:kern w:val="0"/>
          <w:szCs w:val="30"/>
          <w:lang w:val="en-US" w:eastAsia="zh-CN" w:bidi="ar-SA"/>
        </w:rPr>
        <w:t>评价</w:t>
      </w:r>
      <w:r>
        <w:rPr>
          <w:color w:val="auto"/>
        </w:rPr>
        <w:tab/>
      </w:r>
      <w:r>
        <w:rPr>
          <w:color w:val="auto"/>
        </w:rPr>
        <w:fldChar w:fldCharType="begin"/>
      </w:r>
      <w:r>
        <w:rPr>
          <w:color w:val="auto"/>
        </w:rPr>
        <w:instrText xml:space="preserve"> PAGEREF _Toc13004 \h </w:instrText>
      </w:r>
      <w:r>
        <w:rPr>
          <w:color w:val="auto"/>
        </w:rPr>
        <w:fldChar w:fldCharType="separate"/>
      </w:r>
      <w:r>
        <w:rPr>
          <w:color w:val="auto"/>
        </w:rPr>
        <w:t>29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_Toc21397 </w:instrText>
      </w:r>
      <w:r>
        <w:rPr>
          <w:color w:val="auto"/>
        </w:rPr>
        <w:fldChar w:fldCharType="separate"/>
      </w:r>
      <w:r>
        <w:rPr>
          <w:rFonts w:ascii="Times New Roman" w:hAnsi="Times New Roman" w:eastAsia="宋体" w:cs="Times New Roman"/>
          <w:bCs/>
          <w:color w:val="auto"/>
          <w:kern w:val="2"/>
          <w:szCs w:val="28"/>
          <w:lang w:val="en-US" w:eastAsia="zh-CN" w:bidi="ar-SA"/>
        </w:rPr>
        <w:t xml:space="preserve">4.1 </w:t>
      </w:r>
      <w:r>
        <w:rPr>
          <w:rFonts w:hint="eastAsia" w:ascii="Times New Roman" w:hAnsi="Times New Roman" w:eastAsia="宋体" w:cs="Times New Roman"/>
          <w:bCs/>
          <w:color w:val="auto"/>
          <w:kern w:val="2"/>
          <w:szCs w:val="28"/>
          <w:lang w:val="en-US" w:eastAsia="zh-CN" w:bidi="ar-SA"/>
        </w:rPr>
        <w:t>施工期生态环境影响分析与评价</w:t>
      </w:r>
      <w:r>
        <w:rPr>
          <w:color w:val="auto"/>
        </w:rPr>
        <w:tab/>
      </w:r>
      <w:r>
        <w:rPr>
          <w:color w:val="auto"/>
        </w:rPr>
        <w:fldChar w:fldCharType="begin"/>
      </w:r>
      <w:r>
        <w:rPr>
          <w:color w:val="auto"/>
        </w:rPr>
        <w:instrText xml:space="preserve"> PAGEREF _Toc21397 \h </w:instrText>
      </w:r>
      <w:r>
        <w:rPr>
          <w:color w:val="auto"/>
        </w:rPr>
        <w:fldChar w:fldCharType="separate"/>
      </w:r>
      <w:r>
        <w:rPr>
          <w:color w:val="auto"/>
        </w:rPr>
        <w:t>34</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_Toc6378 </w:instrText>
      </w:r>
      <w:r>
        <w:rPr>
          <w:color w:val="auto"/>
        </w:rPr>
        <w:fldChar w:fldCharType="separate"/>
      </w:r>
      <w:r>
        <w:rPr>
          <w:rFonts w:ascii="Times New Roman" w:hAnsi="Times New Roman" w:eastAsia="宋体" w:cs="Times New Roman"/>
          <w:bCs/>
          <w:color w:val="auto"/>
          <w:kern w:val="2"/>
          <w:szCs w:val="28"/>
          <w:lang w:val="en-US" w:eastAsia="zh-CN" w:bidi="ar-SA"/>
        </w:rPr>
        <w:t>4.</w:t>
      </w:r>
      <w:r>
        <w:rPr>
          <w:rFonts w:hint="eastAsia" w:ascii="Times New Roman" w:hAnsi="Times New Roman" w:eastAsia="宋体" w:cs="Times New Roman"/>
          <w:bCs/>
          <w:color w:val="auto"/>
          <w:kern w:val="2"/>
          <w:szCs w:val="28"/>
          <w:lang w:val="en-US" w:eastAsia="zh-CN" w:bidi="ar-SA"/>
        </w:rPr>
        <w:t>2</w:t>
      </w:r>
      <w:r>
        <w:rPr>
          <w:rFonts w:ascii="Times New Roman" w:hAnsi="Times New Roman" w:eastAsia="宋体" w:cs="Times New Roman"/>
          <w:bCs/>
          <w:color w:val="auto"/>
          <w:kern w:val="2"/>
          <w:szCs w:val="28"/>
          <w:lang w:val="en-US" w:eastAsia="zh-CN" w:bidi="ar-SA"/>
        </w:rPr>
        <w:t xml:space="preserve"> </w:t>
      </w:r>
      <w:r>
        <w:rPr>
          <w:rFonts w:hint="eastAsia" w:ascii="Times New Roman" w:hAnsi="Times New Roman" w:eastAsia="宋体" w:cs="Times New Roman"/>
          <w:bCs/>
          <w:color w:val="auto"/>
          <w:kern w:val="2"/>
          <w:szCs w:val="28"/>
          <w:lang w:val="en-US" w:eastAsia="zh-CN" w:bidi="ar-SA"/>
        </w:rPr>
        <w:t>运营期生态环境影响分析与评价</w:t>
      </w:r>
      <w:r>
        <w:rPr>
          <w:color w:val="auto"/>
        </w:rPr>
        <w:tab/>
      </w:r>
      <w:r>
        <w:rPr>
          <w:color w:val="auto"/>
        </w:rPr>
        <w:fldChar w:fldCharType="begin"/>
      </w:r>
      <w:r>
        <w:rPr>
          <w:color w:val="auto"/>
        </w:rPr>
        <w:instrText xml:space="preserve"> PAGEREF _Toc6378 \h </w:instrText>
      </w:r>
      <w:r>
        <w:rPr>
          <w:color w:val="auto"/>
        </w:rPr>
        <w:fldChar w:fldCharType="separate"/>
      </w:r>
      <w:r>
        <w:rPr>
          <w:color w:val="auto"/>
        </w:rPr>
        <w:t>37</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_Toc6600 </w:instrText>
      </w:r>
      <w:r>
        <w:rPr>
          <w:color w:val="auto"/>
        </w:rPr>
        <w:fldChar w:fldCharType="separate"/>
      </w:r>
      <w:r>
        <w:rPr>
          <w:rFonts w:ascii="Times New Roman" w:hAnsi="Times New Roman" w:eastAsia="宋体" w:cs="Times New Roman"/>
          <w:bCs w:val="0"/>
          <w:snapToGrid w:val="0"/>
          <w:color w:val="auto"/>
          <w:kern w:val="0"/>
          <w:szCs w:val="30"/>
          <w:lang w:val="en-US" w:eastAsia="zh-CN" w:bidi="ar-SA"/>
        </w:rPr>
        <w:t>5生态保护对策措施</w:t>
      </w:r>
      <w:r>
        <w:rPr>
          <w:color w:val="auto"/>
        </w:rPr>
        <w:tab/>
      </w:r>
      <w:r>
        <w:rPr>
          <w:color w:val="auto"/>
        </w:rPr>
        <w:fldChar w:fldCharType="begin"/>
      </w:r>
      <w:r>
        <w:rPr>
          <w:color w:val="auto"/>
        </w:rPr>
        <w:instrText xml:space="preserve"> PAGEREF _Toc6600 \h </w:instrText>
      </w:r>
      <w:r>
        <w:rPr>
          <w:color w:val="auto"/>
        </w:rPr>
        <w:fldChar w:fldCharType="separate"/>
      </w:r>
      <w:r>
        <w:rPr>
          <w:color w:val="auto"/>
        </w:rPr>
        <w:t>39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_Toc3275 </w:instrText>
      </w:r>
      <w:r>
        <w:rPr>
          <w:color w:val="auto"/>
        </w:rPr>
        <w:fldChar w:fldCharType="separate"/>
      </w:r>
      <w:r>
        <w:rPr>
          <w:rFonts w:ascii="Times New Roman" w:hAnsi="Times New Roman" w:eastAsia="宋体" w:cs="Times New Roman"/>
          <w:bCs/>
          <w:color w:val="auto"/>
          <w:kern w:val="2"/>
          <w:szCs w:val="28"/>
          <w:lang w:val="en-US" w:eastAsia="zh-CN" w:bidi="ar-SA"/>
        </w:rPr>
        <w:t>5.1施工期生态保护措施</w:t>
      </w:r>
      <w:r>
        <w:rPr>
          <w:color w:val="auto"/>
        </w:rPr>
        <w:tab/>
      </w:r>
      <w:r>
        <w:rPr>
          <w:color w:val="auto"/>
        </w:rPr>
        <w:fldChar w:fldCharType="begin"/>
      </w:r>
      <w:r>
        <w:rPr>
          <w:color w:val="auto"/>
        </w:rPr>
        <w:instrText xml:space="preserve"> PAGEREF _Toc3275 \h </w:instrText>
      </w:r>
      <w:r>
        <w:rPr>
          <w:color w:val="auto"/>
        </w:rPr>
        <w:fldChar w:fldCharType="separate"/>
      </w:r>
      <w:r>
        <w:rPr>
          <w:color w:val="auto"/>
        </w:rPr>
        <w:t>39</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_Toc23134 </w:instrText>
      </w:r>
      <w:r>
        <w:rPr>
          <w:color w:val="auto"/>
        </w:rPr>
        <w:fldChar w:fldCharType="separate"/>
      </w:r>
      <w:r>
        <w:rPr>
          <w:rFonts w:ascii="Times New Roman" w:hAnsi="Times New Roman" w:eastAsia="宋体" w:cs="Times New Roman"/>
          <w:bCs/>
          <w:color w:val="auto"/>
          <w:kern w:val="2"/>
          <w:szCs w:val="28"/>
          <w:lang w:val="en-US" w:eastAsia="zh-CN" w:bidi="ar-SA"/>
        </w:rPr>
        <w:t>5.2营运期生态保护措施</w:t>
      </w:r>
      <w:r>
        <w:rPr>
          <w:color w:val="auto"/>
        </w:rPr>
        <w:tab/>
      </w:r>
      <w:r>
        <w:rPr>
          <w:color w:val="auto"/>
        </w:rPr>
        <w:fldChar w:fldCharType="begin"/>
      </w:r>
      <w:r>
        <w:rPr>
          <w:color w:val="auto"/>
        </w:rPr>
        <w:instrText xml:space="preserve"> PAGEREF _Toc23134 \h </w:instrText>
      </w:r>
      <w:r>
        <w:rPr>
          <w:color w:val="auto"/>
        </w:rPr>
        <w:fldChar w:fldCharType="separate"/>
      </w:r>
      <w:r>
        <w:rPr>
          <w:color w:val="auto"/>
        </w:rPr>
        <w:t>41</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_Toc10105 </w:instrText>
      </w:r>
      <w:r>
        <w:rPr>
          <w:color w:val="auto"/>
        </w:rPr>
        <w:fldChar w:fldCharType="separate"/>
      </w:r>
      <w:r>
        <w:rPr>
          <w:rFonts w:ascii="Times New Roman" w:hAnsi="Times New Roman" w:eastAsia="宋体" w:cs="Times New Roman"/>
          <w:snapToGrid w:val="0"/>
          <w:color w:val="auto"/>
          <w:kern w:val="0"/>
          <w:szCs w:val="30"/>
          <w:lang w:val="en-US" w:eastAsia="zh-CN" w:bidi="ar-SA"/>
        </w:rPr>
        <w:t>6评价结论和建议</w:t>
      </w:r>
      <w:r>
        <w:rPr>
          <w:color w:val="auto"/>
        </w:rPr>
        <w:tab/>
      </w:r>
      <w:r>
        <w:rPr>
          <w:color w:val="auto"/>
        </w:rPr>
        <w:fldChar w:fldCharType="begin"/>
      </w:r>
      <w:r>
        <w:rPr>
          <w:color w:val="auto"/>
        </w:rPr>
        <w:instrText xml:space="preserve"> PAGEREF _Toc10105 \h </w:instrText>
      </w:r>
      <w:r>
        <w:rPr>
          <w:color w:val="auto"/>
        </w:rPr>
        <w:fldChar w:fldCharType="separate"/>
      </w:r>
      <w:r>
        <w:rPr>
          <w:color w:val="auto"/>
        </w:rPr>
        <w:t>42</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_Toc24989 </w:instrText>
      </w:r>
      <w:r>
        <w:rPr>
          <w:color w:val="auto"/>
        </w:rPr>
        <w:fldChar w:fldCharType="separate"/>
      </w:r>
      <w:r>
        <w:rPr>
          <w:rFonts w:ascii="Times New Roman" w:hAnsi="Times New Roman" w:eastAsia="宋体" w:cs="Times New Roman"/>
          <w:bCs/>
          <w:color w:val="auto"/>
          <w:kern w:val="2"/>
          <w:szCs w:val="28"/>
          <w:lang w:val="en-US" w:eastAsia="zh-CN" w:bidi="ar-SA"/>
        </w:rPr>
        <w:t>6.1评价结论</w:t>
      </w:r>
      <w:r>
        <w:rPr>
          <w:color w:val="auto"/>
        </w:rPr>
        <w:tab/>
      </w:r>
      <w:r>
        <w:rPr>
          <w:color w:val="auto"/>
        </w:rPr>
        <w:fldChar w:fldCharType="begin"/>
      </w:r>
      <w:r>
        <w:rPr>
          <w:color w:val="auto"/>
        </w:rPr>
        <w:instrText xml:space="preserve"> PAGEREF _Toc24989 \h </w:instrText>
      </w:r>
      <w:r>
        <w:rPr>
          <w:color w:val="auto"/>
        </w:rPr>
        <w:fldChar w:fldCharType="separate"/>
      </w:r>
      <w:r>
        <w:rPr>
          <w:color w:val="auto"/>
        </w:rPr>
        <w:t>42</w:t>
      </w:r>
      <w:r>
        <w:rPr>
          <w:color w:val="auto"/>
        </w:rPr>
        <w:fldChar w:fldCharType="end"/>
      </w:r>
      <w:r>
        <w:rPr>
          <w:color w:val="auto"/>
        </w:rPr>
        <w:fldChar w:fldCharType="end"/>
      </w:r>
    </w:p>
    <w:p>
      <w:pPr>
        <w:pStyle w:val="18"/>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_Toc17926 </w:instrText>
      </w:r>
      <w:r>
        <w:rPr>
          <w:color w:val="auto"/>
        </w:rPr>
        <w:fldChar w:fldCharType="separate"/>
      </w:r>
      <w:r>
        <w:rPr>
          <w:rFonts w:ascii="Times New Roman" w:hAnsi="Times New Roman" w:eastAsia="宋体" w:cs="Times New Roman"/>
          <w:bCs/>
          <w:color w:val="auto"/>
          <w:kern w:val="2"/>
          <w:szCs w:val="28"/>
          <w:lang w:val="en-US" w:eastAsia="zh-CN" w:bidi="ar-SA"/>
        </w:rPr>
        <w:t>6.2评价建议</w:t>
      </w:r>
      <w:r>
        <w:rPr>
          <w:color w:val="auto"/>
        </w:rPr>
        <w:tab/>
      </w:r>
      <w:r>
        <w:rPr>
          <w:color w:val="auto"/>
        </w:rPr>
        <w:fldChar w:fldCharType="begin"/>
      </w:r>
      <w:r>
        <w:rPr>
          <w:color w:val="auto"/>
        </w:rPr>
        <w:instrText xml:space="preserve"> PAGEREF _Toc17926 \h </w:instrText>
      </w:r>
      <w:r>
        <w:rPr>
          <w:color w:val="auto"/>
        </w:rPr>
        <w:fldChar w:fldCharType="separate"/>
      </w:r>
      <w:r>
        <w:rPr>
          <w:color w:val="auto"/>
        </w:rPr>
        <w:t>42</w:t>
      </w:r>
      <w:r>
        <w:rPr>
          <w:color w:val="auto"/>
        </w:rPr>
        <w:fldChar w:fldCharType="end"/>
      </w:r>
      <w:r>
        <w:rPr>
          <w:color w:val="auto"/>
        </w:rPr>
        <w:fldChar w:fldCharType="end"/>
      </w:r>
    </w:p>
    <w:p>
      <w:pPr>
        <w:pStyle w:val="17"/>
        <w:keepNext w:val="0"/>
        <w:keepLines w:val="0"/>
        <w:pageBreakBefore w:val="0"/>
        <w:widowControl w:val="0"/>
        <w:tabs>
          <w:tab w:val="right" w:leader="dot" w:pos="8313"/>
        </w:tabs>
        <w:kinsoku/>
        <w:wordWrap/>
        <w:overflowPunct/>
        <w:topLinePunct w:val="0"/>
        <w:autoSpaceDE/>
        <w:autoSpaceDN/>
        <w:bidi w:val="0"/>
        <w:adjustRightInd w:val="0"/>
        <w:snapToGrid w:val="0"/>
        <w:ind w:firstLine="0" w:firstLineChars="0"/>
        <w:textAlignment w:val="auto"/>
        <w:rPr>
          <w:color w:val="auto"/>
        </w:rPr>
      </w:pPr>
      <w:r>
        <w:rPr>
          <w:color w:val="auto"/>
        </w:rPr>
        <w:fldChar w:fldCharType="begin"/>
      </w:r>
      <w:r>
        <w:rPr>
          <w:color w:val="auto"/>
        </w:rPr>
        <w:instrText xml:space="preserve"> HYPERLINK \l _Toc15039 </w:instrText>
      </w:r>
      <w:r>
        <w:rPr>
          <w:color w:val="auto"/>
        </w:rPr>
        <w:fldChar w:fldCharType="separate"/>
      </w:r>
      <w:r>
        <w:rPr>
          <w:rFonts w:ascii="Times New Roman" w:hAnsi="Times New Roman" w:eastAsia="宋体" w:cs="Times New Roman"/>
          <w:snapToGrid w:val="0"/>
          <w:color w:val="auto"/>
          <w:kern w:val="0"/>
          <w:szCs w:val="30"/>
          <w:lang w:val="en-US" w:eastAsia="zh-CN" w:bidi="ar-SA"/>
        </w:rPr>
        <w:t>生态影响评价自查表</w:t>
      </w:r>
      <w:r>
        <w:rPr>
          <w:color w:val="auto"/>
        </w:rPr>
        <w:tab/>
      </w:r>
      <w:r>
        <w:rPr>
          <w:color w:val="auto"/>
        </w:rPr>
        <w:fldChar w:fldCharType="begin"/>
      </w:r>
      <w:r>
        <w:rPr>
          <w:color w:val="auto"/>
        </w:rPr>
        <w:instrText xml:space="preserve"> PAGEREF _Toc15039 \h </w:instrText>
      </w:r>
      <w:r>
        <w:rPr>
          <w:color w:val="auto"/>
        </w:rPr>
        <w:fldChar w:fldCharType="separate"/>
      </w:r>
      <w:r>
        <w:rPr>
          <w:color w:val="auto"/>
        </w:rPr>
        <w:t>43</w:t>
      </w:r>
      <w:r>
        <w:rPr>
          <w:color w:val="auto"/>
        </w:rPr>
        <w:fldChar w:fldCharType="end"/>
      </w:r>
      <w:r>
        <w:rPr>
          <w:color w:val="auto"/>
        </w:rPr>
        <w:fldChar w:fldCharType="end"/>
      </w:r>
    </w:p>
    <w:p>
      <w:pPr>
        <w:rPr>
          <w:b/>
          <w:color w:val="auto"/>
        </w:rPr>
      </w:pPr>
      <w:r>
        <w:rPr>
          <w:color w:val="auto"/>
        </w:rPr>
        <w:fldChar w:fldCharType="end"/>
      </w:r>
    </w:p>
    <w:p>
      <w:pPr>
        <w:rPr>
          <w:b/>
          <w:color w:val="auto"/>
        </w:rPr>
        <w:sectPr>
          <w:headerReference r:id="rId9" w:type="default"/>
          <w:footerReference r:id="rId11" w:type="default"/>
          <w:headerReference r:id="rId10" w:type="even"/>
          <w:pgSz w:w="11907" w:h="16839"/>
          <w:pgMar w:top="1440" w:right="1797" w:bottom="1440" w:left="1797" w:header="851" w:footer="851" w:gutter="0"/>
          <w:pgBorders>
            <w:top w:val="none" w:sz="0" w:space="0"/>
            <w:left w:val="none" w:sz="0" w:space="0"/>
            <w:bottom w:val="none" w:sz="0" w:space="0"/>
            <w:right w:val="none" w:sz="0" w:space="0"/>
          </w:pgBorders>
          <w:pgNumType w:fmt="decimal" w:start="1"/>
          <w:cols w:space="720" w:num="1"/>
          <w:docGrid w:linePitch="326" w:charSpace="0"/>
        </w:sectPr>
      </w:pPr>
    </w:p>
    <w:p>
      <w:pPr>
        <w:widowControl/>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119" w:name="_Toc29359"/>
      <w:bookmarkStart w:id="120" w:name="_Toc2863"/>
      <w:bookmarkStart w:id="121" w:name="_Toc24724"/>
      <w:bookmarkStart w:id="122" w:name="_Toc20133"/>
      <w:bookmarkStart w:id="123" w:name="_Toc24516"/>
      <w:bookmarkStart w:id="124" w:name="_Toc1145"/>
      <w:r>
        <w:rPr>
          <w:rFonts w:ascii="Times New Roman" w:hAnsi="Times New Roman" w:eastAsia="宋体" w:cs="Times New Roman"/>
          <w:b/>
          <w:snapToGrid w:val="0"/>
          <w:color w:val="auto"/>
          <w:kern w:val="0"/>
          <w:sz w:val="30"/>
          <w:szCs w:val="30"/>
          <w:lang w:val="en-US" w:eastAsia="zh-CN" w:bidi="ar-SA"/>
        </w:rPr>
        <w:t>1总则</w:t>
      </w:r>
      <w:bookmarkEnd w:id="119"/>
      <w:bookmarkEnd w:id="120"/>
      <w:bookmarkEnd w:id="121"/>
      <w:bookmarkEnd w:id="122"/>
      <w:bookmarkEnd w:id="123"/>
      <w:bookmarkEnd w:id="124"/>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25" w:name="_Toc11368"/>
      <w:bookmarkStart w:id="126" w:name="_Toc1053"/>
      <w:bookmarkStart w:id="127" w:name="_Toc25514"/>
      <w:bookmarkStart w:id="128" w:name="_Toc17584"/>
      <w:bookmarkStart w:id="129" w:name="_Toc22458"/>
      <w:bookmarkStart w:id="130" w:name="_Toc9418"/>
      <w:bookmarkStart w:id="131" w:name="_Toc22364"/>
      <w:bookmarkStart w:id="132" w:name="_Toc9323"/>
      <w:bookmarkStart w:id="133" w:name="_Toc333"/>
      <w:r>
        <w:rPr>
          <w:rFonts w:ascii="Times New Roman" w:hAnsi="Times New Roman" w:eastAsia="宋体" w:cs="Times New Roman"/>
          <w:b/>
          <w:bCs/>
          <w:color w:val="auto"/>
          <w:kern w:val="2"/>
          <w:sz w:val="28"/>
          <w:szCs w:val="28"/>
          <w:lang w:val="en-US" w:eastAsia="zh-CN" w:bidi="ar-SA"/>
        </w:rPr>
        <w:t>1.1项目由来</w:t>
      </w:r>
      <w:bookmarkEnd w:id="125"/>
      <w:bookmarkEnd w:id="126"/>
      <w:bookmarkEnd w:id="127"/>
      <w:bookmarkEnd w:id="128"/>
      <w:bookmarkEnd w:id="129"/>
      <w:bookmarkEnd w:id="130"/>
      <w:bookmarkEnd w:id="131"/>
      <w:bookmarkEnd w:id="132"/>
      <w:bookmarkEnd w:id="133"/>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2024年7月5日下午，团洲乡团北村团洲垸洞庭湖一线堤防发生堤坝决口，团洲垸92.5%的面积被淹，平均水深约5m，遭受了严重的洪涝灾害，对农业生产造成了严重影响。此次灾害是由于持续强降雨和长江水位暴涨导致的，降雨量大幅超出往年同期，致使多个堤防和河道水位超过警戒线。团洲乡地处平原，地势低洼，水流排泄不畅，导致全乡多个村庄遭受了洪水袭击，形成大面积积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团洲乡大面积农田被洪水浸泡，水稻、玉米、大豆等农作物几乎绝收，农业生产受到严重打击；部分村庄的房屋被洪水侵入，泥石流和积水导致墙体倒塌或基础损坏，部分居民不得不转移至安全地点；多条乡村道路因洪水被冲毁或严重积水，交通受阻，物资运输和救援工作难以展开；供水、电力等基础设施受到破坏，部分村庄出现停水停电的情况，生活生产受到极大影响，部分村民被迫撤离，安置点紧急搭建，提供基本生活保障；此次洪涝灾害给团洲乡带来了巨大的经济损失，农业生产和居民生活均受到严重冲击，后续需要大规模的灾后重建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在收到上级批复后，华容县迅速组织了前期研究、选址、规划等工作。项目的选址考虑了洪水灾害的影响因素，确保新建安置房地势较高，避开低洼易涝区域。同时，相关配套基础设施的规划设计也已经完成，包括供水、排水、电力、消防和道路系统，确保新建安置点具备良好的居住和生活条件。团洲垸此次洪涝灾害波及范围广、影响深远，造成了大面积农田绝收、基础设施损毁和居民房屋倒塌。受灾居民被迫转移，生活受到严重影响。为尽快恢复正常生产生活秩序，华容县政府决定启动团洲垸灾后重建安置房建设项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本项目即为团洲垸灾后重建安置房建设项目中的二期工程，因项目位于湖南东洞庭湖国家级自然保护区实验区范围内，根据《建设项目环境影响报告表编制技术指南（生态影响类）》表1专项评价设置原则表，本次评价设置生态专项评价。</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34" w:name="_Toc3286"/>
      <w:bookmarkStart w:id="135" w:name="_Toc32473"/>
      <w:bookmarkStart w:id="136" w:name="_Toc21413"/>
      <w:bookmarkStart w:id="137" w:name="_Toc22516"/>
      <w:bookmarkStart w:id="138" w:name="_Toc28784"/>
      <w:bookmarkStart w:id="139" w:name="_Toc7748"/>
      <w:bookmarkStart w:id="140" w:name="_Toc3932"/>
      <w:bookmarkStart w:id="141" w:name="_Toc23283"/>
      <w:bookmarkStart w:id="142" w:name="_Toc11539"/>
      <w:r>
        <w:rPr>
          <w:rFonts w:ascii="Times New Roman" w:hAnsi="Times New Roman" w:eastAsia="宋体" w:cs="Times New Roman"/>
          <w:b/>
          <w:bCs/>
          <w:color w:val="auto"/>
          <w:kern w:val="2"/>
          <w:sz w:val="28"/>
          <w:szCs w:val="28"/>
          <w:lang w:val="en-US" w:eastAsia="zh-CN" w:bidi="ar-SA"/>
        </w:rPr>
        <w:t>1.2评价目的和评价原则</w:t>
      </w:r>
      <w:bookmarkEnd w:id="134"/>
      <w:bookmarkEnd w:id="135"/>
      <w:bookmarkEnd w:id="136"/>
      <w:bookmarkEnd w:id="137"/>
      <w:bookmarkEnd w:id="138"/>
      <w:bookmarkEnd w:id="139"/>
      <w:bookmarkEnd w:id="140"/>
      <w:bookmarkEnd w:id="141"/>
      <w:bookmarkEnd w:id="142"/>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以保护优先、适度开发为基本原则，认真落实科学发展观，通过对评价区以及周围生态环境的调查，并对项目周围生态环境和对景区直接或间接影响进行分析和预测，论证生态措施可行性，并提出可操作的环境减缓生态保护对策，以达到经济开发与自然保护双赢的目标。</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43" w:name="_Toc661"/>
      <w:bookmarkStart w:id="144" w:name="_Toc1454"/>
      <w:bookmarkStart w:id="145" w:name="_Toc15346"/>
      <w:bookmarkStart w:id="146" w:name="_Toc7949"/>
      <w:bookmarkStart w:id="147" w:name="_Toc3344"/>
      <w:bookmarkStart w:id="148" w:name="_Toc25723"/>
      <w:bookmarkStart w:id="149" w:name="_Toc3301"/>
      <w:bookmarkStart w:id="150" w:name="_Toc14659"/>
      <w:bookmarkStart w:id="151" w:name="_Toc19207"/>
      <w:r>
        <w:rPr>
          <w:rFonts w:ascii="Times New Roman" w:hAnsi="Times New Roman" w:eastAsia="宋体" w:cs="Times New Roman"/>
          <w:b/>
          <w:bCs/>
          <w:color w:val="auto"/>
          <w:kern w:val="2"/>
          <w:sz w:val="28"/>
          <w:szCs w:val="28"/>
          <w:lang w:val="en-US" w:eastAsia="zh-CN" w:bidi="ar-SA"/>
        </w:rPr>
        <w:t>1.3工作原则</w:t>
      </w:r>
      <w:bookmarkEnd w:id="143"/>
      <w:bookmarkEnd w:id="144"/>
      <w:bookmarkEnd w:id="145"/>
      <w:bookmarkEnd w:id="146"/>
      <w:bookmarkEnd w:id="147"/>
      <w:bookmarkEnd w:id="148"/>
      <w:bookmarkEnd w:id="149"/>
      <w:bookmarkEnd w:id="150"/>
      <w:bookmarkEnd w:id="151"/>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1、在构建社会主义和谐社会的重大战略思想指导下，以保护优先、适度开发为原则，落实科学发展观；</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2、紧密结合《全国生态保护纲要》、《环境影响评价技术导则 生态环境》（HJ19-2022）；</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3、优先保护生物多样性，以实现保护生态环境、保护珍稀物种；</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4、突出生态保护与补偿措施的科学性与可操作性；</w:t>
      </w:r>
    </w:p>
    <w:p>
      <w:pPr>
        <w:widowControl w:val="0"/>
        <w:adjustRightInd w:val="0"/>
        <w:snapToGrid w:val="0"/>
        <w:spacing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5、尽量利用现有资料，全面评估本项目对周围生态环境的影响。</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152" w:name="_Toc26767"/>
      <w:bookmarkStart w:id="153" w:name="_Toc18759"/>
      <w:bookmarkStart w:id="154" w:name="_Toc11166"/>
      <w:bookmarkStart w:id="155" w:name="_Toc28367"/>
      <w:bookmarkStart w:id="156" w:name="_Toc30233"/>
      <w:bookmarkStart w:id="157" w:name="_Toc28586"/>
      <w:bookmarkStart w:id="158" w:name="_Toc12498"/>
      <w:bookmarkStart w:id="159" w:name="_Toc23370"/>
      <w:bookmarkStart w:id="160" w:name="_Toc31091"/>
      <w:r>
        <w:rPr>
          <w:rFonts w:ascii="Times New Roman" w:hAnsi="Times New Roman" w:eastAsia="宋体" w:cs="Times New Roman"/>
          <w:b/>
          <w:bCs/>
          <w:color w:val="auto"/>
          <w:kern w:val="2"/>
          <w:sz w:val="28"/>
          <w:szCs w:val="28"/>
          <w:lang w:val="en-US" w:eastAsia="zh-CN" w:bidi="ar-SA"/>
        </w:rPr>
        <w:t>1.4评价依据</w:t>
      </w:r>
      <w:bookmarkEnd w:id="152"/>
      <w:bookmarkEnd w:id="153"/>
      <w:bookmarkEnd w:id="154"/>
      <w:bookmarkEnd w:id="155"/>
      <w:bookmarkEnd w:id="156"/>
      <w:bookmarkEnd w:id="157"/>
      <w:bookmarkEnd w:id="158"/>
      <w:bookmarkEnd w:id="159"/>
      <w:bookmarkEnd w:id="160"/>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61" w:name="_Toc17857"/>
      <w:bookmarkStart w:id="162" w:name="_Toc2649"/>
      <w:bookmarkStart w:id="163" w:name="_Toc12619"/>
      <w:bookmarkStart w:id="164" w:name="_Toc32608"/>
      <w:bookmarkStart w:id="165" w:name="_Toc27122"/>
      <w:bookmarkStart w:id="166" w:name="_Toc23780"/>
      <w:r>
        <w:rPr>
          <w:rFonts w:ascii="Times New Roman" w:hAnsi="Times New Roman" w:eastAsia="宋体" w:cs="Times New Roman"/>
          <w:b/>
          <w:color w:val="auto"/>
          <w:kern w:val="2"/>
          <w:sz w:val="24"/>
          <w:szCs w:val="24"/>
          <w:lang w:val="en-US" w:eastAsia="zh-CN" w:bidi="ar-SA"/>
        </w:rPr>
        <w:t>1.4.1</w:t>
      </w:r>
      <w:bookmarkEnd w:id="161"/>
      <w:bookmarkEnd w:id="162"/>
      <w:bookmarkEnd w:id="163"/>
      <w:bookmarkEnd w:id="164"/>
      <w:bookmarkEnd w:id="165"/>
      <w:bookmarkEnd w:id="166"/>
      <w:r>
        <w:rPr>
          <w:rFonts w:hint="eastAsia" w:ascii="Times New Roman" w:hAnsi="Times New Roman" w:eastAsia="宋体" w:cs="Times New Roman"/>
          <w:b/>
          <w:color w:val="auto"/>
          <w:kern w:val="2"/>
          <w:sz w:val="24"/>
          <w:szCs w:val="24"/>
          <w:lang w:val="en-US" w:eastAsia="zh-CN" w:bidi="ar-SA"/>
        </w:rPr>
        <w:t>法律、法规文件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（2）《中华人民共和国环境影响评价法》（2018年12月29日修正）；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（3）《中华人民共和国水污染防治法》（2018年1月1日起施行）；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（4）《中华人民共和国大气污染防治法》（2018年10月26日修正）；</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（5）《中华人民共和国环境噪声污染防治法》（2022年6月5日修改）；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w:t>
      </w:r>
      <w:r>
        <w:rPr>
          <w:rFonts w:hint="default" w:ascii="Times New Roman" w:hAnsi="Times New Roman" w:eastAsia="宋体" w:cs="Times New Roman"/>
          <w:color w:val="auto"/>
          <w:spacing w:val="-6"/>
          <w:sz w:val="24"/>
          <w:szCs w:val="24"/>
        </w:rPr>
        <w:t>《中华人民共和国固体废物污染环境防治法》（2020年9月1日起施行）；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（7）《中华人民共和国野生动物保护法》（2018年10月26日修改）；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（8）《中华人民共和国森林法》（2020年7月1日起施行）；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（9）《中华人民共和国土地管理法》（2020年1月1日起施行）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（10）《中华人民共和国水土保持法》（2010年12月25日修订）；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（11）《中华人民共和国野生植物保护条例》（2017年10月7日修改）；</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（12）《中华人民共和国陆生野生动物保护实施条例》（2016年2月6日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（13）《中华人民共和国森林法实施条例》（2018年3月19日起实施）；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（14）《建设项目环境保护管理条例》（2017年10月1日起施行）；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（15）《湖南省环境保护条例》（2019年9月28日修订）；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（16）《湖南省野生动植物资源保护条例》（2018年7月19日修正）；</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1.4.</w:t>
      </w:r>
      <w:r>
        <w:rPr>
          <w:rFonts w:hint="eastAsia" w:ascii="Times New Roman" w:hAnsi="Times New Roman" w:eastAsia="宋体" w:cs="Times New Roman"/>
          <w:b/>
          <w:color w:val="auto"/>
          <w:kern w:val="2"/>
          <w:sz w:val="24"/>
          <w:szCs w:val="24"/>
          <w:lang w:val="en-US" w:eastAsia="zh-CN" w:bidi="ar-SA"/>
        </w:rPr>
        <w:t>2规章、规范性文件</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（1）《建设项目使用林地审核审批管理办法》（国家林业局令35号，2015年5月1日实施）；</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）《关于进一步加强生态保护工作的意见》（环发〔2007〕37号）；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（关于进一步加强建设项目环境保护管理工作的通知）（环发[2001]19号）；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）《湖南省生态保护红线划定工作方案》（湘环发〔2016〕9号）；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）《湖南省建设项目环境保护管理办法》（2007年10月1日起施行）；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6"/>
          <w:sz w:val="24"/>
          <w:szCs w:val="24"/>
        </w:rPr>
        <w:t>《湖南省实施〈中华人民共和国水土保持法〉办法》（2018年7月修订）；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cs="Times New Roman"/>
          <w:color w:val="auto"/>
          <w:sz w:val="24"/>
          <w:szCs w:val="24"/>
          <w:lang w:eastAsia="zh-CN"/>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）《湖南省古树名木保护办法》（2022年3月12日施行）</w:t>
      </w:r>
      <w:r>
        <w:rPr>
          <w:rFonts w:hint="eastAsia" w:cs="Times New Roman"/>
          <w:color w:val="auto"/>
          <w:sz w:val="24"/>
          <w:szCs w:val="24"/>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（8）</w:t>
      </w:r>
      <w:r>
        <w:rPr>
          <w:rFonts w:ascii="Times New Roman" w:hAnsi="Times New Roman" w:eastAsia="宋体" w:cs="Times New Roman"/>
          <w:color w:val="auto"/>
          <w:kern w:val="2"/>
          <w:sz w:val="24"/>
          <w:szCs w:val="24"/>
          <w:lang w:val="en-US" w:eastAsia="zh-CN" w:bidi="ar-SA"/>
        </w:rPr>
        <w:t>《国家重点保护野生动物名录》</w:t>
      </w:r>
      <w:r>
        <w:rPr>
          <w:rFonts w:hint="eastAsia" w:ascii="Times New Roman" w:hAnsi="Times New Roman"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2021年2月11日施行</w:t>
      </w:r>
      <w:r>
        <w:rPr>
          <w:rFonts w:hint="eastAsia" w:ascii="Times New Roman" w:hAnsi="Times New Roman" w:eastAsia="宋体" w:cs="Times New Roman"/>
          <w:color w:val="auto"/>
          <w:kern w:val="2"/>
          <w:sz w:val="24"/>
          <w:szCs w:val="24"/>
          <w:lang w:val="en-US" w:eastAsia="zh-CN" w:bidi="ar-SA"/>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.3区划、规划</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（1）《全国生态环境保护纲要》（国务院2000年11月26日）；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（2）《全国生态功能区划》（修编）（2015年11月）；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（3）《全国生态脆弱区保护规划纲要》（2008年9月）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（4）《全国主体功能区规划》（国发〔2010〕46号）；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（5）《中国生物多样性保护战略与行动计划》（2011~2030年）；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）《湖南省主体功能区规划》（2012年11月17日）；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）《湖南省生态功能区划》（2005年11月）；</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4导则、标准、技术规范</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（1）《建设项目环境影响评价技术导则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总纲》（HJ2.1-2016）；</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（2）《环境影响评价技术导则</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生态影响》（HJ19-2022）；</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3</w:t>
      </w:r>
      <w:r>
        <w:rPr>
          <w:rFonts w:hint="default" w:ascii="Times New Roman" w:hAnsi="Times New Roman" w:eastAsia="宋体" w:cs="Times New Roman"/>
          <w:color w:val="auto"/>
          <w:sz w:val="24"/>
          <w:szCs w:val="24"/>
        </w:rPr>
        <w:t>）《土地利用现状分类》（GB/T21010-2017）；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4</w:t>
      </w:r>
      <w:r>
        <w:rPr>
          <w:rFonts w:hint="default" w:ascii="Times New Roman" w:hAnsi="Times New Roman" w:eastAsia="宋体" w:cs="Times New Roman"/>
          <w:color w:val="auto"/>
          <w:sz w:val="24"/>
          <w:szCs w:val="24"/>
        </w:rPr>
        <w:t>）《生态环境状况评价技术规范》（HJ192-2015）；</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5</w:t>
      </w:r>
      <w:r>
        <w:rPr>
          <w:rFonts w:hint="default" w:ascii="Times New Roman" w:hAnsi="Times New Roman" w:eastAsia="宋体" w:cs="Times New Roman"/>
          <w:color w:val="auto"/>
          <w:sz w:val="24"/>
          <w:szCs w:val="24"/>
        </w:rPr>
        <w:t>）《全国植物物种资源调查技术规定（试行）》（公告2010年第27号）；</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eastAsia="宋体" w:cs="Times New Roman"/>
          <w:color w:val="auto"/>
          <w:sz w:val="24"/>
          <w:szCs w:val="24"/>
          <w:lang w:val="en-US" w:eastAsia="zh-CN"/>
        </w:rPr>
        <w:t>6</w:t>
      </w:r>
      <w:r>
        <w:rPr>
          <w:rFonts w:hint="default" w:ascii="Times New Roman" w:hAnsi="Times New Roman" w:eastAsia="宋体" w:cs="Times New Roman"/>
          <w:color w:val="auto"/>
          <w:sz w:val="24"/>
          <w:szCs w:val="24"/>
        </w:rPr>
        <w:t>）《全国动物物种资源调查技术规定（试行）》（公告2010年第27号）；</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1.4.5相关技术材料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华容县团洲垸灾后重建安置房建设项目可行性研究报告</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）华容县发展和改革局“关于同意变更华容县团洲垸灾后重建安置房建设项目可行性研究报告的批复”</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项目建设单位提供的其他相关资料。</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w:t>
      </w:r>
      <w:r>
        <w:rPr>
          <w:rFonts w:hint="eastAsia" w:ascii="Times New Roman" w:hAnsi="Times New Roman" w:eastAsia="宋体" w:cs="Times New Roman"/>
          <w:b/>
          <w:color w:val="auto"/>
          <w:kern w:val="2"/>
          <w:sz w:val="24"/>
          <w:szCs w:val="24"/>
          <w:lang w:val="en-US" w:eastAsia="zh-CN" w:bidi="ar-SA"/>
        </w:rPr>
        <w:t>4</w:t>
      </w:r>
      <w:r>
        <w:rPr>
          <w:rFonts w:hint="default" w:ascii="Times New Roman" w:hAnsi="Times New Roman" w:eastAsia="宋体" w:cs="Times New Roman"/>
          <w:b/>
          <w:color w:val="auto"/>
          <w:kern w:val="2"/>
          <w:sz w:val="24"/>
          <w:szCs w:val="24"/>
          <w:lang w:val="en-US" w:eastAsia="zh-CN" w:bidi="ar-SA"/>
        </w:rPr>
        <w:t>.6参考资料</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（1）《中国植被》（科学出版社，1980年）；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（2）《中国植物志》（科学出版社，1959-2004年）；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（3）《中国高等植物图鉴》（科学出版社，1972-1983年）；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（4）《中国动物地理区划》（科学出版社，2011年）；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（5）《中国动物志》（两栖纲、爬行纲、鸟纲、哺乳纲）（科学出版社，1978-2009年）；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（6）《中国两栖动物图鉴》（费梁，1999年）；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（7）《中国两栖纲和爬行纲动物校正名录》（赵尔宓，张学文等，2000年）；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（8）《中国爬行动物图鉴》（中国野生动物保护协会，2002年）；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（9）《中国鸟类图鉴》（中国野生动物保护协会，1995年）；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（10）《中国鸟类分类与分布名录（第二版）》（科学出版社，2011年）；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（11）《中国兽类野外手册》（湖南教育出版社，2009年）；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（12）《中国哺乳动物种和亚种分类名录与分布大全》（中国林业出版社，2003年）；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（13）《中国珍稀濒危保护植物名录（第一册）》（1987年2月）；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（14）《中国濒危珍惜动物名录》（2010年10月15日）；</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（15）《国家重点保护野生植物名录》（2021年8月7日施行）；</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（16）《国家重点保护野生动物名录》（2021年2月5日修订）。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（17）《湖南省地方重点保护野生动物名录》（2002年9月修订）；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（18）《湖南省地方重点保护野生植物名录》（2002年9月修订）；</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（19）《湖南植被》（湖南科学技术出版社，1990年）；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（20）《湖南植物志》（湖南科学技术出版社，2000年）；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（21）《湖南树木志》（湖南科技出版社，2000年）；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（22）《湖南种子植物总览》（湖南科学技术出版，2002年）；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（23）《湖南动物志·两栖纲》（湖南科学技术出版社，2014年）；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（24）《湖南动物志·爬行纲》（湖南科学技术出版社，2014年）；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（25）《湖南动物志·鸟纲雀形目》（湖南科学技术出版社，2013年）；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（26）《湖南省野生动物资源概况》（张启湘，易伐桂，1996年）；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（27）《湖南省爬行动物区系与地理区划》（邓学建，叶贻云，1998年）；</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（28）《湖南省生物多样性调查和评价研究报告》（长沙环境保护职业技术学院，2010年1月）；</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（29）《湖南省鸟类迁徙通道示意图》（邓学建）；</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（30）《我国森林植被的生物量和净生产量》（方精云，刘国华，徐蒿龄，1996年）。</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167" w:name="_Toc28262"/>
      <w:bookmarkStart w:id="168" w:name="_Toc1968"/>
      <w:bookmarkStart w:id="169" w:name="_Toc25138"/>
      <w:bookmarkStart w:id="170" w:name="_Toc25026"/>
      <w:bookmarkStart w:id="171" w:name="_Toc29023"/>
      <w:bookmarkStart w:id="172" w:name="_Toc2781"/>
      <w:bookmarkStart w:id="173" w:name="_Toc5241"/>
      <w:bookmarkStart w:id="174" w:name="_Toc31579"/>
      <w:bookmarkStart w:id="175" w:name="_Toc21178"/>
      <w:bookmarkStart w:id="176" w:name="_Toc3582"/>
      <w:bookmarkStart w:id="177" w:name="_Toc7522"/>
      <w:r>
        <w:rPr>
          <w:rFonts w:ascii="Times New Roman" w:hAnsi="Times New Roman" w:eastAsia="宋体" w:cs="Times New Roman"/>
          <w:b/>
          <w:bCs/>
          <w:color w:val="auto"/>
          <w:kern w:val="2"/>
          <w:sz w:val="28"/>
          <w:szCs w:val="28"/>
          <w:lang w:val="en-US" w:eastAsia="zh-CN" w:bidi="ar-SA"/>
        </w:rPr>
        <w:t>1.5生态环境评价工作等级及范围</w:t>
      </w:r>
      <w:bookmarkEnd w:id="167"/>
      <w:bookmarkEnd w:id="168"/>
      <w:bookmarkEnd w:id="169"/>
      <w:bookmarkEnd w:id="170"/>
      <w:bookmarkEnd w:id="171"/>
      <w:bookmarkEnd w:id="172"/>
      <w:bookmarkEnd w:id="173"/>
      <w:bookmarkEnd w:id="174"/>
      <w:bookmarkEnd w:id="175"/>
      <w:bookmarkEnd w:id="176"/>
      <w:bookmarkEnd w:id="177"/>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bookmarkStart w:id="178" w:name="_Toc27738"/>
      <w:bookmarkStart w:id="179" w:name="_Toc18529"/>
      <w:bookmarkStart w:id="180" w:name="_Toc22349"/>
      <w:bookmarkStart w:id="181" w:name="_Toc27312"/>
      <w:bookmarkStart w:id="182" w:name="_Toc30661"/>
      <w:bookmarkStart w:id="183" w:name="_Toc19091"/>
      <w:bookmarkStart w:id="184" w:name="_Toc5193"/>
      <w:bookmarkStart w:id="185" w:name="_Toc6365"/>
      <w:r>
        <w:rPr>
          <w:rFonts w:ascii="Times New Roman" w:hAnsi="Times New Roman" w:eastAsia="宋体" w:cs="Times New Roman"/>
          <w:b/>
          <w:color w:val="auto"/>
          <w:kern w:val="2"/>
          <w:sz w:val="24"/>
          <w:szCs w:val="24"/>
          <w:lang w:val="en-US" w:eastAsia="zh-CN" w:bidi="ar-SA"/>
        </w:rPr>
        <w:t>1.5.1评价工作等级</w:t>
      </w:r>
      <w:bookmarkEnd w:id="178"/>
      <w:bookmarkEnd w:id="179"/>
      <w:bookmarkEnd w:id="180"/>
      <w:bookmarkEnd w:id="181"/>
      <w:bookmarkEnd w:id="182"/>
      <w:bookmarkEnd w:id="183"/>
      <w:bookmarkEnd w:id="184"/>
      <w:bookmarkEnd w:id="185"/>
    </w:p>
    <w:p>
      <w:pPr>
        <w:widowControl/>
        <w:adjustRightInd/>
        <w:snapToGrid/>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根据《环境影响评价技术导则-生态影响》（HJ19-2022），依据建设项目影响区域的生态敏感性和影响程度判定生态影响评价等级。</w:t>
      </w:r>
    </w:p>
    <w:p>
      <w:pPr>
        <w:autoSpaceDE w:val="0"/>
        <w:autoSpaceDN w:val="0"/>
        <w:adjustRightInd/>
        <w:snapToGrid/>
        <w:spacing w:line="240" w:lineRule="auto"/>
        <w:ind w:firstLine="0" w:firstLineChars="0"/>
        <w:jc w:val="center"/>
        <w:rPr>
          <w:rFonts w:hint="default" w:ascii="Times New Roman" w:hAnsi="Times New Roman" w:eastAsia="宋体" w:cs="Times New Roman"/>
          <w:b/>
          <w:bCs/>
          <w:iCs/>
          <w:color w:val="auto"/>
          <w:sz w:val="21"/>
          <w:szCs w:val="16"/>
        </w:rPr>
      </w:pPr>
      <w:r>
        <w:rPr>
          <w:rFonts w:hint="default" w:ascii="Times New Roman" w:hAnsi="Times New Roman" w:eastAsia="宋体" w:cs="Times New Roman"/>
          <w:b/>
          <w:bCs/>
          <w:iCs/>
          <w:color w:val="auto"/>
          <w:sz w:val="21"/>
          <w:szCs w:val="16"/>
        </w:rPr>
        <w:t>表1.</w:t>
      </w:r>
      <w:r>
        <w:rPr>
          <w:rFonts w:hint="eastAsia" w:ascii="Times New Roman" w:hAnsi="Times New Roman" w:eastAsia="宋体" w:cs="Times New Roman"/>
          <w:b/>
          <w:bCs/>
          <w:iCs/>
          <w:color w:val="auto"/>
          <w:sz w:val="21"/>
          <w:szCs w:val="16"/>
          <w:lang w:val="en-US" w:eastAsia="zh-CN"/>
        </w:rPr>
        <w:t>5</w:t>
      </w:r>
      <w:r>
        <w:rPr>
          <w:rFonts w:hint="default" w:ascii="Times New Roman" w:hAnsi="Times New Roman" w:eastAsia="宋体" w:cs="Times New Roman"/>
          <w:b/>
          <w:bCs/>
          <w:iCs/>
          <w:color w:val="auto"/>
          <w:sz w:val="21"/>
          <w:szCs w:val="16"/>
        </w:rPr>
        <w:t>-1</w:t>
      </w:r>
      <w:r>
        <w:rPr>
          <w:rFonts w:hint="eastAsia" w:ascii="Times New Roman" w:hAnsi="Times New Roman" w:eastAsia="宋体" w:cs="Times New Roman"/>
          <w:b/>
          <w:bCs/>
          <w:iCs/>
          <w:color w:val="auto"/>
          <w:sz w:val="21"/>
          <w:szCs w:val="16"/>
          <w:lang w:val="en-US" w:eastAsia="zh-CN"/>
        </w:rPr>
        <w:t xml:space="preserve">  </w:t>
      </w:r>
      <w:r>
        <w:rPr>
          <w:rFonts w:hint="default" w:ascii="Times New Roman" w:hAnsi="Times New Roman" w:eastAsia="宋体" w:cs="Times New Roman"/>
          <w:b/>
          <w:bCs/>
          <w:iCs/>
          <w:color w:val="auto"/>
          <w:sz w:val="21"/>
          <w:szCs w:val="16"/>
        </w:rPr>
        <w:t>生态影响评价工作等级划分表</w:t>
      </w:r>
    </w:p>
    <w:tbl>
      <w:tblPr>
        <w:tblStyle w:val="22"/>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193"/>
        <w:gridCol w:w="6199"/>
        <w:gridCol w:w="112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评价等级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判定内容</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color w:val="auto"/>
                <w:sz w:val="21"/>
                <w:szCs w:val="21"/>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一级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涉及国家公园、自然保护区、世界自然遗产、重要生境时</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涉及自然公园</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01"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不低于二级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涉及生态保护红线时；②根据HJ2.3判断属于水文要素影响型且地表水评价等级不低于二级的建设项目；③根据HJ610、HJ964判断地下水水位或土壤影响范围内分布有天然林、公益林、湿地等生态保护目标的建设项目；④当工程占地规模大于20km²时(包括永久和临时占用陆域和水域)。</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三级</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以上之外的</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color w:val="auto"/>
                <w:lang w:val="en-US" w:eastAsia="zh-CN"/>
              </w:rPr>
              <w:t>涉及湖南东洞庭湖国家级自然保护区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说明</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①改扩建项目的占地范围以新增占地(包括陆域和水域)确定；②当评价等级判定同时符合上述多种情况时，应采用其中最高的评价等级；③建设项目涉及经论证对保护生物多样性具有重要意义的区域时，可适当上调评价等级。④建设项目同时涉及陆生、水生生态影响时，可针对陆生生态、水生生态分别判定评价等级。⑤在矿山开采可能导致矿区土地利用类型明显改变，或拦河闸坝建设可能明显改变水文情势等情况下，评价等级应上调一级。⑥线性工程可分段确定评价等级。线性工程地下穿越或地表跨越生态敏感区，在生态敏感区范围内无永久、临时占地时，评价等级可下调一级。⑦涉海工程评价等级判定参照GB/T19485。</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不涉及</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简单分析</w:t>
            </w:r>
          </w:p>
        </w:tc>
        <w:tc>
          <w:tcPr>
            <w:tcW w:w="363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color w:val="auto"/>
                <w:sz w:val="21"/>
                <w:szCs w:val="21"/>
                <w:u w:val="none"/>
                <w:lang w:val="en-US" w:eastAsia="zh-CN" w:bidi="ar"/>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tc>
        <w:tc>
          <w:tcPr>
            <w:tcW w:w="66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color w:val="auto"/>
                <w:sz w:val="21"/>
                <w:szCs w:val="21"/>
                <w:u w:val="none"/>
                <w:lang w:val="en-US" w:eastAsia="zh-CN" w:bidi="ar"/>
              </w:rPr>
              <w:t>不</w:t>
            </w:r>
            <w:r>
              <w:rPr>
                <w:rFonts w:hint="eastAsia" w:eastAsia="宋体" w:cs="Times New Roman"/>
                <w:color w:val="auto"/>
                <w:sz w:val="21"/>
                <w:szCs w:val="21"/>
                <w:u w:val="none"/>
                <w:lang w:val="en-US" w:eastAsia="zh-CN" w:bidi="ar"/>
              </w:rPr>
              <w:t>涉及</w:t>
            </w:r>
          </w:p>
        </w:tc>
      </w:tr>
    </w:tbl>
    <w:p>
      <w:pPr>
        <w:widowControl/>
        <w:adjustRightInd/>
        <w:snapToGrid/>
        <w:spacing w:line="360" w:lineRule="auto"/>
        <w:ind w:firstLine="480" w:firstLineChars="200"/>
        <w:rPr>
          <w:rFonts w:hint="eastAsia" w:ascii="Times New Roman" w:hAnsi="Times New Roman" w:eastAsia="宋体" w:cs="Times New Roman"/>
          <w:color w:val="auto"/>
          <w:sz w:val="24"/>
          <w:lang w:val="en-US" w:eastAsia="zh-CN"/>
        </w:rPr>
      </w:pPr>
      <w:bookmarkStart w:id="186" w:name="_Toc11056"/>
      <w:bookmarkStart w:id="187" w:name="_Toc28868"/>
      <w:bookmarkStart w:id="188" w:name="_Toc10823"/>
      <w:bookmarkStart w:id="189" w:name="_Toc20371"/>
      <w:bookmarkStart w:id="190" w:name="_Toc27736"/>
      <w:bookmarkStart w:id="191" w:name="_Toc17614"/>
      <w:bookmarkStart w:id="192" w:name="_Toc30108"/>
      <w:bookmarkStart w:id="193" w:name="_Toc18736"/>
      <w:r>
        <w:rPr>
          <w:rFonts w:hint="eastAsia" w:ascii="Times New Roman" w:hAnsi="Times New Roman" w:eastAsia="宋体" w:cs="Times New Roman"/>
          <w:color w:val="auto"/>
          <w:sz w:val="24"/>
          <w:lang w:val="en-US" w:eastAsia="zh-CN"/>
        </w:rPr>
        <w:t>根据HJ19-2022关于生态环境影响评价工作等级的划分，本项目生态环境影响评价等级应设定为一级。但参照《关于印发《涉及国家级自然保护区建设项目生态影响专题报告编制指南(试行)》的通知》(环办函[2014]1419号)“对于在国家级自然保护区范围内，生态影响较小，需要按照相关法规要求进行环境影响评价且编制环境影响报告表的建设项目，其《专题报告》应参照本指南并可适当简化。”由于本项目环评编制环境影响报告表，生态环境影响小，且本项目区域位于湖南东洞庭湖国家级自然保护区</w:t>
      </w:r>
      <w:r>
        <w:rPr>
          <w:rFonts w:hint="eastAsia" w:cs="Times New Roman"/>
          <w:color w:val="auto"/>
          <w:sz w:val="24"/>
          <w:lang w:val="en-US" w:eastAsia="zh-CN"/>
        </w:rPr>
        <w:t>整合优化后的边界范围外</w:t>
      </w:r>
      <w:r>
        <w:rPr>
          <w:rFonts w:hint="eastAsia" w:ascii="Times New Roman" w:hAnsi="Times New Roman" w:eastAsia="宋体" w:cs="Times New Roman"/>
          <w:color w:val="auto"/>
          <w:sz w:val="24"/>
          <w:lang w:val="en-US" w:eastAsia="zh-CN"/>
        </w:rPr>
        <w:t>，根据现场调查，项目周边均为农村生态系统，实际为</w:t>
      </w:r>
      <w:r>
        <w:rPr>
          <w:rFonts w:hint="eastAsia" w:cs="Times New Roman"/>
          <w:color w:val="auto"/>
          <w:sz w:val="24"/>
          <w:lang w:val="en-US" w:eastAsia="zh-CN"/>
        </w:rPr>
        <w:t>城镇</w:t>
      </w:r>
      <w:r>
        <w:rPr>
          <w:rFonts w:hint="eastAsia" w:ascii="Times New Roman" w:hAnsi="Times New Roman" w:eastAsia="宋体" w:cs="Times New Roman"/>
          <w:color w:val="auto"/>
          <w:sz w:val="24"/>
          <w:lang w:val="en-US" w:eastAsia="zh-CN"/>
        </w:rPr>
        <w:t>建成区域，生态环境实际并不敏感，所以</w:t>
      </w:r>
      <w:r>
        <w:rPr>
          <w:rFonts w:hint="eastAsia" w:cs="Times New Roman"/>
          <w:color w:val="auto"/>
          <w:sz w:val="24"/>
          <w:lang w:val="en-US" w:eastAsia="zh-CN"/>
        </w:rPr>
        <w:t>本次生态环境影响分析在参照</w:t>
      </w:r>
      <w:r>
        <w:rPr>
          <w:rFonts w:ascii="Times New Roman" w:hAnsi="Times New Roman" w:eastAsia="宋体" w:cs="Times New Roman"/>
          <w:color w:val="auto"/>
          <w:sz w:val="24"/>
        </w:rPr>
        <w:t>《环境影响评价技术导则-生态影响》（HJ19-2022）</w:t>
      </w:r>
      <w:r>
        <w:rPr>
          <w:rFonts w:hint="eastAsia" w:cs="Times New Roman"/>
          <w:color w:val="auto"/>
          <w:sz w:val="24"/>
          <w:lang w:val="en-US" w:eastAsia="zh-CN"/>
        </w:rPr>
        <w:t>的基础上适当简化</w:t>
      </w:r>
      <w:r>
        <w:rPr>
          <w:rFonts w:hint="eastAsia" w:ascii="Times New Roman" w:hAnsi="Times New Roman" w:eastAsia="宋体" w:cs="Times New Roman"/>
          <w:color w:val="auto"/>
          <w:sz w:val="24"/>
          <w:lang w:val="en-US" w:eastAsia="zh-CN"/>
        </w:rPr>
        <w:t>。</w:t>
      </w:r>
    </w:p>
    <w:p>
      <w:pPr>
        <w:keepNext/>
        <w:widowControl w:val="0"/>
        <w:adjustRightInd w:val="0"/>
        <w:snapToGrid w:val="0"/>
        <w:spacing w:line="360" w:lineRule="auto"/>
        <w:ind w:firstLine="0" w:firstLineChars="0"/>
        <w:jc w:val="both"/>
        <w:outlineLvl w:val="2"/>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1.5.2评价范围</w:t>
      </w:r>
      <w:bookmarkEnd w:id="186"/>
      <w:bookmarkEnd w:id="187"/>
      <w:bookmarkEnd w:id="188"/>
      <w:bookmarkEnd w:id="189"/>
      <w:bookmarkEnd w:id="190"/>
      <w:bookmarkEnd w:id="191"/>
      <w:bookmarkEnd w:id="192"/>
      <w:bookmarkEnd w:id="193"/>
      <w:r>
        <w:rPr>
          <w:rFonts w:hint="eastAsia" w:ascii="Times New Roman" w:hAnsi="Times New Roman" w:eastAsia="宋体" w:cs="Times New Roman"/>
          <w:b/>
          <w:color w:val="auto"/>
          <w:kern w:val="2"/>
          <w:sz w:val="24"/>
          <w:szCs w:val="24"/>
          <w:lang w:val="en-US" w:eastAsia="zh-CN" w:bidi="ar-SA"/>
        </w:rPr>
        <w:t>和时段</w:t>
      </w:r>
    </w:p>
    <w:p>
      <w:pPr>
        <w:widowControl/>
        <w:adjustRightInd/>
        <w:snapToGrid/>
        <w:spacing w:line="360" w:lineRule="auto"/>
        <w:ind w:firstLine="480" w:firstLineChars="200"/>
        <w:rPr>
          <w:rFonts w:hint="eastAsia" w:ascii="Times New Roman" w:hAnsi="Times New Roman" w:eastAsia="宋体" w:cs="Times New Roman"/>
          <w:color w:val="auto"/>
          <w:sz w:val="24"/>
          <w:u w:val="single"/>
        </w:rPr>
      </w:pPr>
      <w:r>
        <w:rPr>
          <w:rFonts w:ascii="Times New Roman" w:hAnsi="Times New Roman" w:eastAsia="宋体" w:cs="Times New Roman"/>
          <w:color w:val="auto"/>
          <w:sz w:val="24"/>
        </w:rPr>
        <w:t>根据《环境影响评价技术导则-生态影响》（HJ19-2022），生态影响评价范围应能够重复体现生态完整性，涵盖评价项目全部活动的直接影响区域和间接影响区域。本项目</w:t>
      </w:r>
      <w:r>
        <w:rPr>
          <w:rFonts w:hint="eastAsia" w:ascii="Times New Roman" w:hAnsi="Times New Roman" w:eastAsia="宋体" w:cs="Times New Roman"/>
          <w:color w:val="auto"/>
          <w:sz w:val="24"/>
          <w:lang w:eastAsia="zh-CN"/>
        </w:rPr>
        <w:t>为</w:t>
      </w:r>
      <w:r>
        <w:rPr>
          <w:rFonts w:hint="eastAsia" w:eastAsia="宋体" w:cs="Times New Roman"/>
          <w:color w:val="auto"/>
          <w:sz w:val="24"/>
          <w:lang w:val="en-US" w:eastAsia="zh-CN"/>
        </w:rPr>
        <w:t>房地产开发项目</w:t>
      </w:r>
      <w:r>
        <w:rPr>
          <w:rFonts w:hint="eastAsia" w:ascii="Times New Roman" w:hAnsi="Times New Roman" w:eastAsia="宋体" w:cs="Times New Roman"/>
          <w:color w:val="auto"/>
          <w:sz w:val="24"/>
          <w:lang w:eastAsia="zh-CN"/>
        </w:rPr>
        <w:t>，</w:t>
      </w:r>
      <w:r>
        <w:rPr>
          <w:rFonts w:hint="eastAsia" w:eastAsia="宋体" w:cs="Times New Roman"/>
          <w:color w:val="auto"/>
          <w:sz w:val="24"/>
          <w:lang w:val="en-US" w:eastAsia="zh-CN"/>
        </w:rPr>
        <w:t>占用地区涉及</w:t>
      </w:r>
      <w:r>
        <w:rPr>
          <w:rFonts w:hint="eastAsia" w:ascii="Times New Roman" w:hAnsi="Times New Roman" w:eastAsia="宋体" w:cs="Times New Roman"/>
          <w:color w:val="auto"/>
          <w:sz w:val="24"/>
          <w:lang w:eastAsia="zh-CN"/>
        </w:rPr>
        <w:t>生态敏感区，</w:t>
      </w:r>
      <w:r>
        <w:rPr>
          <w:rFonts w:hint="eastAsia" w:eastAsia="宋体" w:cs="Times New Roman"/>
          <w:color w:val="auto"/>
          <w:sz w:val="24"/>
          <w:lang w:val="en-US" w:eastAsia="zh-CN"/>
        </w:rPr>
        <w:t>因项目建设及运营过程中产生的污染较小，且结合项目周边生态敏感性</w:t>
      </w:r>
      <w:r>
        <w:rPr>
          <w:rFonts w:hint="eastAsia" w:ascii="Times New Roman" w:hAnsi="Times New Roman" w:eastAsia="宋体" w:cs="Times New Roman"/>
          <w:color w:val="auto"/>
          <w:sz w:val="24"/>
          <w:lang w:eastAsia="zh-CN"/>
        </w:rPr>
        <w:t>，项目评价范围确定为</w:t>
      </w:r>
      <w:r>
        <w:rPr>
          <w:rFonts w:hint="eastAsia" w:eastAsia="宋体" w:cs="Times New Roman"/>
          <w:color w:val="auto"/>
          <w:sz w:val="24"/>
          <w:lang w:val="en-US" w:eastAsia="zh-CN"/>
        </w:rPr>
        <w:t>项目占地边界外侧</w:t>
      </w:r>
      <w:r>
        <w:rPr>
          <w:rFonts w:hint="eastAsia" w:cs="Times New Roman"/>
          <w:color w:val="auto"/>
          <w:sz w:val="24"/>
          <w:lang w:val="en-US" w:eastAsia="zh-CN"/>
        </w:rPr>
        <w:t>100</w:t>
      </w:r>
      <w:r>
        <w:rPr>
          <w:rFonts w:hint="eastAsia" w:ascii="Times New Roman" w:hAnsi="Times New Roman" w:eastAsia="宋体" w:cs="Times New Roman"/>
          <w:color w:val="auto"/>
          <w:sz w:val="24"/>
          <w:lang w:eastAsia="zh-CN"/>
        </w:rPr>
        <w:t>0m以内的区域</w:t>
      </w:r>
      <w:r>
        <w:rPr>
          <w:rFonts w:hint="eastAsia" w:ascii="Times New Roman" w:hAnsi="Times New Roman" w:eastAsia="宋体" w:cs="Times New Roman"/>
          <w:color w:val="auto"/>
          <w:sz w:val="24"/>
          <w:u w:val="none"/>
        </w:rPr>
        <w:t>。</w:t>
      </w:r>
    </w:p>
    <w:p>
      <w:pPr>
        <w:widowControl/>
        <w:adjustRightInd/>
        <w:snapToGrid/>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评价时段为施工期及运营期，</w:t>
      </w:r>
      <w:r>
        <w:rPr>
          <w:rFonts w:hint="eastAsia" w:ascii="Times New Roman" w:hAnsi="Times New Roman" w:eastAsia="宋体" w:cs="Times New Roman"/>
          <w:color w:val="auto"/>
          <w:sz w:val="24"/>
          <w:lang w:val="en-US" w:eastAsia="zh-CN"/>
        </w:rPr>
        <w:t>因项目已建成，对施工期主要进行回顾性评价</w:t>
      </w:r>
      <w:r>
        <w:rPr>
          <w:rFonts w:hint="eastAsia" w:ascii="Times New Roman" w:hAnsi="Times New Roman" w:eastAsia="宋体" w:cs="Times New Roman"/>
          <w:color w:val="auto"/>
          <w:sz w:val="24"/>
          <w:lang w:eastAsia="zh-CN"/>
        </w:rPr>
        <w:t>。</w:t>
      </w:r>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194" w:name="_Toc18524"/>
      <w:bookmarkStart w:id="195" w:name="_Toc2532"/>
      <w:bookmarkStart w:id="196" w:name="_Toc12559"/>
      <w:bookmarkStart w:id="197" w:name="_Toc7826"/>
      <w:bookmarkStart w:id="198" w:name="_Toc3333"/>
      <w:bookmarkStart w:id="199" w:name="_Toc28620"/>
      <w:bookmarkStart w:id="200" w:name="_Toc14248"/>
      <w:bookmarkStart w:id="201" w:name="_Toc15125"/>
      <w:bookmarkStart w:id="202" w:name="_Toc25749"/>
      <w:r>
        <w:rPr>
          <w:rFonts w:hint="eastAsia" w:ascii="Times New Roman" w:hAnsi="Times New Roman" w:eastAsia="宋体" w:cs="Times New Roman"/>
          <w:b/>
          <w:bCs/>
          <w:color w:val="auto"/>
          <w:kern w:val="2"/>
          <w:sz w:val="28"/>
          <w:szCs w:val="28"/>
          <w:lang w:val="en-US" w:eastAsia="zh-CN" w:bidi="ar-SA"/>
        </w:rPr>
        <w:t>1.6评价因子筛选及评价重点</w:t>
      </w:r>
      <w:bookmarkEnd w:id="194"/>
      <w:bookmarkEnd w:id="195"/>
      <w:bookmarkEnd w:id="196"/>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根据对本项目的工程特点、周边生态环境特征、工程的环境影响要素分析和识别，筛选出主要的环境影响评价因子，详见下表。</w:t>
      </w:r>
    </w:p>
    <w:p>
      <w:pPr>
        <w:widowControl w:val="0"/>
        <w:spacing w:line="360" w:lineRule="auto"/>
        <w:ind w:firstLine="422" w:firstLineChars="200"/>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表1.6-1  生态影响评价因子筛选表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865"/>
        <w:gridCol w:w="3687"/>
        <w:gridCol w:w="866"/>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受影响对象</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评价因子</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工程内容及影响方式</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影响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性质</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影响程度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分布范围、种群数量、迁徙通道和迁徙地</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施工活动和工程运行造成区域动物趋避、动植物数量减少，工程施工、运行导致个体直接死亡</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生境面积、质量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工程占地包括临时、永久占地导致动植物原有生境直接破坏或丧失；工程运行对周边生境质量造成影响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生物群落</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物种组成、群落结构等</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施工活动引入外来植物、惊扰动物，造成区域生物群落的组成变化</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生态系统</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植被覆盖度、生产力、生物量、生态系统功能、完整性</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工程占地、施工活动对农林业生产、土壤及地貌的影响，破坏了区域原有生境，造成植被损失，使生物量、生产力减少，影响生态系统功能、生态系统的完整性</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lang w:eastAsia="zh-CN"/>
              </w:rPr>
            </w:pPr>
            <w:r>
              <w:rPr>
                <w:rFonts w:hint="default" w:ascii="Times New Roman" w:hAnsi="Times New Roman" w:eastAsia="宋体" w:cs="Times New Roman"/>
                <w:i w:val="0"/>
                <w:iCs w:val="0"/>
                <w:color w:val="auto"/>
                <w:sz w:val="21"/>
                <w:szCs w:val="21"/>
                <w:u w:val="none"/>
                <w:lang w:eastAsia="zh-CN"/>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生物多样性</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物种丰富度、均匀度、优势度</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工程占地区开挖、建设等会扰动地表，破坏地表植物及植被，弃渣场</w:t>
            </w:r>
            <w:r>
              <w:rPr>
                <w:rFonts w:hint="eastAsia" w:eastAsia="宋体" w:cs="Times New Roman"/>
                <w:i w:val="0"/>
                <w:iCs w:val="0"/>
                <w:color w:val="auto"/>
                <w:sz w:val="21"/>
                <w:szCs w:val="21"/>
                <w:u w:val="none"/>
                <w:lang w:val="en-US" w:eastAsia="zh-CN"/>
              </w:rPr>
              <w:t>以及</w:t>
            </w:r>
            <w:r>
              <w:rPr>
                <w:rFonts w:hint="default" w:ascii="Times New Roman" w:hAnsi="Times New Roman" w:eastAsia="宋体" w:cs="Times New Roman"/>
                <w:i w:val="0"/>
                <w:iCs w:val="0"/>
                <w:color w:val="auto"/>
                <w:sz w:val="21"/>
                <w:szCs w:val="21"/>
                <w:u w:val="none"/>
              </w:rPr>
              <w:t>临时施工场地</w:t>
            </w:r>
            <w:r>
              <w:rPr>
                <w:rFonts w:hint="eastAsia" w:eastAsia="宋体" w:cs="Times New Roman"/>
                <w:i w:val="0"/>
                <w:iCs w:val="0"/>
                <w:color w:val="auto"/>
                <w:sz w:val="21"/>
                <w:szCs w:val="21"/>
                <w:u w:val="none"/>
                <w:lang w:eastAsia="zh-CN"/>
              </w:rPr>
              <w:t>（</w:t>
            </w:r>
            <w:r>
              <w:rPr>
                <w:rFonts w:hint="eastAsia" w:eastAsia="宋体" w:cs="Times New Roman"/>
                <w:i w:val="0"/>
                <w:iCs w:val="0"/>
                <w:color w:val="auto"/>
                <w:sz w:val="21"/>
                <w:szCs w:val="21"/>
                <w:u w:val="none"/>
                <w:lang w:val="en-US" w:eastAsia="zh-CN"/>
              </w:rPr>
              <w:t>本项目弃渣场以及临时是哦干场地均设置于项目用地红线范围内，目前已恢复为绿化用地</w:t>
            </w:r>
            <w:r>
              <w:rPr>
                <w:rFonts w:hint="eastAsia" w:eastAsia="宋体" w:cs="Times New Roman"/>
                <w:i w:val="0"/>
                <w:iCs w:val="0"/>
                <w:color w:val="auto"/>
                <w:sz w:val="21"/>
                <w:szCs w:val="21"/>
                <w:u w:val="none"/>
                <w:lang w:eastAsia="zh-CN"/>
              </w:rPr>
              <w:t>）</w:t>
            </w:r>
            <w:r>
              <w:rPr>
                <w:rFonts w:hint="default" w:ascii="Times New Roman" w:hAnsi="Times New Roman" w:eastAsia="宋体" w:cs="Times New Roman"/>
                <w:i w:val="0"/>
                <w:iCs w:val="0"/>
                <w:color w:val="auto"/>
                <w:sz w:val="21"/>
                <w:szCs w:val="21"/>
                <w:u w:val="none"/>
              </w:rPr>
              <w:t>平整、临时施工便道修筑等工程行为使土壤裸露、地表扰动对生物多样性的影响。跨河桥梁施工对水生生态环境的影响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生态敏感区</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主要保护对象、生态功能</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eastAsia="宋体" w:cs="Times New Roman"/>
                <w:i w:val="0"/>
                <w:iCs w:val="0"/>
                <w:color w:val="auto"/>
                <w:kern w:val="0"/>
                <w:sz w:val="21"/>
                <w:szCs w:val="21"/>
                <w:u w:val="none"/>
                <w:lang w:val="en-US" w:eastAsia="zh-CN" w:bidi="ar"/>
              </w:rPr>
              <w:t>本项目涉及</w:t>
            </w:r>
            <w:r>
              <w:rPr>
                <w:rFonts w:hint="eastAsia" w:ascii="Times New Roman" w:hAnsi="Times New Roman" w:eastAsia="宋体" w:cs="Times New Roman"/>
                <w:color w:val="auto"/>
                <w:lang w:val="en-US" w:eastAsia="zh-CN"/>
              </w:rPr>
              <w:t>湖南东洞庭湖国家级自然保护区实验区范围</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短期/可逆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自然景观</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景观质量</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工程占地和工程运行造成区域自然景观的质量下降</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土地利用</w:t>
            </w:r>
          </w:p>
        </w:tc>
        <w:tc>
          <w:tcPr>
            <w:tcW w:w="109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地类面积</w:t>
            </w:r>
          </w:p>
        </w:tc>
        <w:tc>
          <w:tcPr>
            <w:tcW w:w="216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工程占地改变了区域原有土地利用类型和分布</w:t>
            </w:r>
          </w:p>
        </w:tc>
        <w:tc>
          <w:tcPr>
            <w:tcW w:w="50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长期/不可逆</w:t>
            </w:r>
          </w:p>
        </w:tc>
        <w:tc>
          <w:tcPr>
            <w:tcW w:w="46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弱</w:t>
            </w:r>
          </w:p>
        </w:tc>
      </w:tr>
    </w:tbl>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主要现状评价因子：野生动植物、植被、耕地、水土流失等。</w:t>
      </w:r>
    </w:p>
    <w:p>
      <w:pPr>
        <w:widowControl w:val="0"/>
        <w:spacing w:line="360" w:lineRule="auto"/>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主要影响评价因子：施工期为野生动物、植被、耕地、水土流失、景观、林地、土壤的影响；运营期为植被、野生动物、土地复垦及防护工程、绿化工程。</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color w:val="auto"/>
          <w:kern w:val="2"/>
          <w:sz w:val="24"/>
          <w:szCs w:val="28"/>
          <w:lang w:val="en-US" w:eastAsia="zh-CN" w:bidi="ar-SA"/>
        </w:rPr>
      </w:pPr>
      <w:bookmarkStart w:id="203" w:name="_Toc22427"/>
      <w:bookmarkStart w:id="204" w:name="_Toc6705"/>
      <w:bookmarkStart w:id="205" w:name="_Toc11317"/>
      <w:r>
        <w:rPr>
          <w:rFonts w:ascii="Times New Roman" w:hAnsi="Times New Roman" w:eastAsia="宋体" w:cs="Times New Roman"/>
          <w:b/>
          <w:color w:val="auto"/>
          <w:kern w:val="2"/>
          <w:sz w:val="24"/>
          <w:szCs w:val="28"/>
          <w:lang w:val="en-US" w:eastAsia="zh-CN" w:bidi="ar-SA"/>
        </w:rPr>
        <w:t>1.</w:t>
      </w:r>
      <w:r>
        <w:rPr>
          <w:rFonts w:hint="eastAsia" w:ascii="Times New Roman" w:hAnsi="Times New Roman" w:eastAsia="宋体" w:cs="Times New Roman"/>
          <w:b/>
          <w:color w:val="auto"/>
          <w:kern w:val="2"/>
          <w:sz w:val="24"/>
          <w:szCs w:val="28"/>
          <w:lang w:val="en-US" w:eastAsia="zh-CN" w:bidi="ar-SA"/>
        </w:rPr>
        <w:t>7</w:t>
      </w:r>
      <w:r>
        <w:rPr>
          <w:rFonts w:ascii="Times New Roman" w:hAnsi="Times New Roman" w:eastAsia="宋体" w:cs="Times New Roman"/>
          <w:b/>
          <w:color w:val="auto"/>
          <w:kern w:val="2"/>
          <w:sz w:val="24"/>
          <w:szCs w:val="28"/>
          <w:lang w:val="en-US" w:eastAsia="zh-CN" w:bidi="ar-SA"/>
        </w:rPr>
        <w:t>生态环境保护目标</w:t>
      </w:r>
      <w:bookmarkEnd w:id="197"/>
      <w:bookmarkEnd w:id="198"/>
      <w:bookmarkEnd w:id="199"/>
      <w:bookmarkEnd w:id="200"/>
      <w:bookmarkEnd w:id="201"/>
      <w:bookmarkEnd w:id="202"/>
      <w:bookmarkEnd w:id="203"/>
      <w:bookmarkEnd w:id="204"/>
      <w:bookmarkEnd w:id="205"/>
    </w:p>
    <w:p>
      <w:pPr>
        <w:widowControl w:val="0"/>
        <w:adjustRightInd w:val="0"/>
        <w:snapToGrid w:val="0"/>
        <w:spacing w:before="0" w:after="0" w:line="360" w:lineRule="auto"/>
        <w:ind w:right="0" w:firstLine="480" w:firstLineChars="200"/>
        <w:jc w:val="both"/>
        <w:rPr>
          <w:rFonts w:hint="eastAsia" w:ascii="Times New Roman" w:hAnsi="Times New Roman" w:eastAsia="宋体" w:cs="Times New Roman"/>
          <w:b/>
          <w:bCs/>
          <w:color w:val="auto"/>
          <w:kern w:val="13"/>
          <w:sz w:val="21"/>
          <w:szCs w:val="21"/>
          <w:lang w:val="en-US" w:eastAsia="zh-CN" w:bidi="ar-SA"/>
        </w:rPr>
      </w:pPr>
      <w:r>
        <w:rPr>
          <w:rFonts w:hint="eastAsia" w:ascii="Times New Roman" w:hAnsi="Times New Roman" w:eastAsia="宋体" w:cs="Times New Roman"/>
          <w:color w:val="auto"/>
          <w:kern w:val="13"/>
          <w:sz w:val="24"/>
          <w:szCs w:val="24"/>
          <w:lang w:val="en-US" w:eastAsia="zh-CN" w:bidi="ar-SA"/>
        </w:rPr>
        <w:t>项目生态保护目标如下。</w:t>
      </w:r>
    </w:p>
    <w:p>
      <w:pPr>
        <w:widowControl w:val="0"/>
        <w:adjustRightInd w:val="0"/>
        <w:snapToGrid w:val="0"/>
        <w:spacing w:before="0" w:after="0" w:line="360" w:lineRule="auto"/>
        <w:ind w:right="0" w:firstLine="0" w:firstLineChars="0"/>
        <w:jc w:val="center"/>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表</w:t>
      </w:r>
      <w:r>
        <w:rPr>
          <w:rFonts w:hint="eastAsia" w:ascii="Times New Roman" w:hAnsi="Times New Roman" w:eastAsia="宋体" w:cs="Times New Roman"/>
          <w:b/>
          <w:bCs/>
          <w:color w:val="auto"/>
          <w:kern w:val="2"/>
          <w:sz w:val="21"/>
          <w:szCs w:val="21"/>
          <w:lang w:val="en-US" w:eastAsia="zh-CN" w:bidi="ar-SA"/>
        </w:rPr>
        <w:t xml:space="preserve">1.7-1  </w:t>
      </w:r>
      <w:r>
        <w:rPr>
          <w:rFonts w:ascii="Times New Roman" w:hAnsi="Times New Roman" w:eastAsia="宋体" w:cs="Times New Roman"/>
          <w:b/>
          <w:bCs/>
          <w:color w:val="auto"/>
          <w:kern w:val="2"/>
          <w:sz w:val="21"/>
          <w:szCs w:val="21"/>
          <w:lang w:val="en-US" w:eastAsia="zh-CN" w:bidi="ar-SA"/>
        </w:rPr>
        <w:t>主要生态环境保护目标</w:t>
      </w:r>
    </w:p>
    <w:tbl>
      <w:tblPr>
        <w:tblStyle w:val="22"/>
        <w:tblW w:w="50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626"/>
        <w:gridCol w:w="2201"/>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color w:val="auto"/>
                <w:sz w:val="21"/>
                <w:szCs w:val="21"/>
              </w:rPr>
            </w:pPr>
            <w:bookmarkStart w:id="206" w:name="_Toc30725"/>
            <w:bookmarkStart w:id="207" w:name="_Toc32159"/>
            <w:bookmarkStart w:id="208" w:name="_Toc2005"/>
            <w:bookmarkStart w:id="209" w:name="_Toc30772"/>
            <w:bookmarkStart w:id="210" w:name="_Toc23919"/>
            <w:r>
              <w:rPr>
                <w:rFonts w:hint="default" w:ascii="Times New Roman" w:hAnsi="Times New Roman" w:cs="Times New Roman"/>
                <w:b/>
                <w:color w:val="auto"/>
                <w:sz w:val="21"/>
                <w:szCs w:val="21"/>
                <w:lang w:eastAsia="zh-CN"/>
              </w:rPr>
              <w:t>环保</w:t>
            </w:r>
            <w:r>
              <w:rPr>
                <w:rFonts w:hint="default" w:ascii="Times New Roman" w:hAnsi="Times New Roman" w:cs="Times New Roman"/>
                <w:b/>
                <w:color w:val="auto"/>
                <w:sz w:val="21"/>
                <w:szCs w:val="21"/>
              </w:rPr>
              <w:t>目标</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与工程相对位置关系</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color w:val="auto"/>
                <w:sz w:val="21"/>
                <w:szCs w:val="21"/>
                <w:lang w:eastAsia="zh-CN"/>
              </w:rPr>
              <w:t>影响因素</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eastAsia="宋体" w:cs="Times New Roman"/>
                <w:b/>
                <w:color w:val="auto"/>
                <w:sz w:val="21"/>
                <w:szCs w:val="21"/>
                <w:lang w:eastAsia="zh-CN"/>
              </w:rPr>
            </w:pPr>
            <w:r>
              <w:rPr>
                <w:rFonts w:hint="default" w:ascii="Times New Roman" w:hAnsi="Times New Roman" w:cs="Times New Roman"/>
                <w:b/>
                <w:bCs/>
                <w:color w:val="auto"/>
                <w:sz w:val="21"/>
                <w:szCs w:val="21"/>
                <w:lang w:eastAsia="zh-CN"/>
              </w:rPr>
              <w:t>保护要求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pct"/>
            <w:noWrap w:val="0"/>
            <w:tcMar>
              <w:left w:w="0" w:type="dxa"/>
              <w:right w:w="0" w:type="dxa"/>
            </w:tcMar>
            <w:vAlign w:val="center"/>
          </w:tcPr>
          <w:p>
            <w:pPr>
              <w:pStyle w:val="73"/>
              <w:overflowPunct/>
              <w:autoSpaceDE/>
              <w:autoSpaceDN/>
              <w:snapToGrid w:val="0"/>
              <w:spacing w:after="0" w:afterLines="0" w:line="240" w:lineRule="auto"/>
              <w:ind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lang w:eastAsia="zh-CN"/>
              </w:rPr>
              <w:t>陆生</w:t>
            </w:r>
            <w:r>
              <w:rPr>
                <w:rFonts w:hint="default" w:ascii="Times New Roman" w:hAnsi="Times New Roman" w:cs="Times New Roman"/>
                <w:b w:val="0"/>
                <w:bCs w:val="0"/>
                <w:color w:val="auto"/>
                <w:sz w:val="21"/>
                <w:szCs w:val="21"/>
              </w:rPr>
              <w:t>植</w:t>
            </w:r>
            <w:r>
              <w:rPr>
                <w:rFonts w:hint="default" w:ascii="Times New Roman" w:hAnsi="Times New Roman" w:cs="Times New Roman"/>
                <w:b w:val="0"/>
                <w:bCs w:val="0"/>
                <w:color w:val="auto"/>
                <w:sz w:val="21"/>
                <w:szCs w:val="21"/>
                <w:lang w:eastAsia="zh-CN"/>
              </w:rPr>
              <w:t>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rPr>
              <w:t>土地占用</w:t>
            </w:r>
            <w:r>
              <w:rPr>
                <w:rFonts w:hint="default"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kern w:val="2"/>
                <w:sz w:val="21"/>
                <w:szCs w:val="21"/>
                <w:lang w:val="en-US" w:eastAsia="zh-CN"/>
              </w:rPr>
              <w:t>施工期挖填方及弃土</w:t>
            </w:r>
            <w:r>
              <w:rPr>
                <w:rFonts w:hint="default" w:ascii="Times New Roman" w:hAnsi="Times New Roman" w:cs="Times New Roman"/>
                <w:b w:val="0"/>
                <w:bCs w:val="0"/>
                <w:color w:val="auto"/>
                <w:sz w:val="21"/>
                <w:szCs w:val="21"/>
              </w:rPr>
              <w:t>将造成植被的</w:t>
            </w:r>
            <w:r>
              <w:rPr>
                <w:rFonts w:hint="default" w:ascii="Times New Roman" w:hAnsi="Times New Roman" w:cs="Times New Roman"/>
                <w:b w:val="0"/>
                <w:bCs w:val="0"/>
                <w:color w:val="auto"/>
                <w:sz w:val="21"/>
                <w:szCs w:val="21"/>
                <w:lang w:eastAsia="zh-CN"/>
              </w:rPr>
              <w:t>破坏及</w:t>
            </w:r>
            <w:r>
              <w:rPr>
                <w:rFonts w:hint="default" w:ascii="Times New Roman" w:hAnsi="Times New Roman" w:cs="Times New Roman"/>
                <w:b w:val="0"/>
                <w:bCs w:val="0"/>
                <w:color w:val="auto"/>
                <w:sz w:val="21"/>
                <w:szCs w:val="21"/>
              </w:rPr>
              <w:t>损失。影响时段为施工期</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eastAsia="zh-CN"/>
              </w:rPr>
              <w:t>加强施工环境管理和监理，优化施工方式，减少对植被破坏，</w:t>
            </w:r>
            <w:r>
              <w:rPr>
                <w:rFonts w:hint="default" w:ascii="Times New Roman" w:hAnsi="Times New Roman" w:cs="Times New Roman"/>
                <w:b w:val="0"/>
                <w:bCs w:val="0"/>
                <w:color w:val="auto"/>
                <w:kern w:val="2"/>
                <w:sz w:val="21"/>
                <w:szCs w:val="21"/>
                <w:lang w:eastAsia="zh-CN"/>
              </w:rPr>
              <w:t>施工完成后及时对临时施工场地等进行植被恢复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陆生动物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sz w:val="21"/>
                <w:szCs w:val="21"/>
              </w:rPr>
              <w:t>项目主体工程以及</w:t>
            </w:r>
            <w:r>
              <w:rPr>
                <w:rFonts w:hint="default" w:ascii="Times New Roman" w:hAnsi="Times New Roman" w:cs="Times New Roman"/>
                <w:b w:val="0"/>
                <w:bCs w:val="0"/>
                <w:color w:val="auto"/>
                <w:sz w:val="21"/>
                <w:szCs w:val="21"/>
                <w:lang w:eastAsia="zh-CN"/>
              </w:rPr>
              <w:t>施工场地、弃渣场</w:t>
            </w:r>
            <w:r>
              <w:rPr>
                <w:rFonts w:hint="default" w:ascii="Times New Roman" w:hAnsi="Times New Roman" w:cs="Times New Roman"/>
                <w:b w:val="0"/>
                <w:bCs w:val="0"/>
                <w:color w:val="auto"/>
                <w:sz w:val="21"/>
                <w:szCs w:val="21"/>
              </w:rPr>
              <w:t>周边</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default" w:ascii="Times New Roman" w:hAnsi="Times New Roman" w:cs="Times New Roman"/>
                <w:b w:val="0"/>
                <w:bCs w:val="0"/>
                <w:color w:val="auto"/>
                <w:kern w:val="2"/>
                <w:sz w:val="21"/>
                <w:szCs w:val="21"/>
                <w:lang w:val="en-US" w:eastAsia="zh-CN"/>
              </w:rPr>
              <w:t>施工期对其生境的扰动</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eastAsia="zh-CN"/>
              </w:rPr>
            </w:pPr>
            <w:r>
              <w:rPr>
                <w:rFonts w:hint="default" w:ascii="Times New Roman" w:hAnsi="Times New Roman" w:cs="Times New Roman"/>
                <w:b w:val="0"/>
                <w:bCs w:val="0"/>
                <w:color w:val="auto"/>
                <w:kern w:val="2"/>
                <w:sz w:val="21"/>
                <w:szCs w:val="21"/>
                <w:lang w:eastAsia="zh-CN"/>
              </w:rPr>
              <w:t>加强施工管理，优化施工时间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8"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rPr>
            </w:pPr>
            <w:r>
              <w:rPr>
                <w:rFonts w:hint="default" w:ascii="Times New Roman" w:hAnsi="Times New Roman" w:cs="Times New Roman"/>
                <w:b w:val="0"/>
                <w:bCs w:val="0"/>
                <w:color w:val="auto"/>
                <w:kern w:val="2"/>
                <w:sz w:val="21"/>
                <w:szCs w:val="21"/>
              </w:rPr>
              <w:t>水生生物</w:t>
            </w:r>
          </w:p>
        </w:tc>
        <w:tc>
          <w:tcPr>
            <w:tcW w:w="1539"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本项目不涉及涉水施工</w:t>
            </w:r>
          </w:p>
        </w:tc>
        <w:tc>
          <w:tcPr>
            <w:tcW w:w="1290" w:type="pct"/>
            <w:noWrap w:val="0"/>
            <w:tcMar>
              <w:left w:w="0" w:type="dxa"/>
              <w:right w:w="0" w:type="dxa"/>
            </w:tcMar>
            <w:vAlign w:val="center"/>
          </w:tcPr>
          <w:p>
            <w:pPr>
              <w:pStyle w:val="73"/>
              <w:snapToGrid w:val="0"/>
              <w:spacing w:after="0" w:afterLines="0" w:line="240" w:lineRule="auto"/>
              <w:ind w:firstLine="0" w:firstLineChars="0"/>
              <w:rPr>
                <w:rFonts w:hint="default" w:ascii="Times New Roman" w:hAnsi="Times New Roman" w:cs="Times New Roman"/>
                <w:b w:val="0"/>
                <w:bCs w:val="0"/>
                <w:color w:val="auto"/>
                <w:kern w:val="2"/>
                <w:sz w:val="21"/>
                <w:szCs w:val="21"/>
                <w:lang w:val="en-US" w:eastAsia="zh-CN"/>
              </w:rPr>
            </w:pPr>
            <w:r>
              <w:rPr>
                <w:rFonts w:hint="eastAsia" w:cs="Times New Roman"/>
                <w:b w:val="0"/>
                <w:bCs w:val="0"/>
                <w:color w:val="auto"/>
                <w:kern w:val="2"/>
                <w:sz w:val="21"/>
                <w:szCs w:val="21"/>
                <w:lang w:val="en-US" w:eastAsia="zh-CN"/>
              </w:rPr>
              <w:t>/</w:t>
            </w:r>
          </w:p>
        </w:tc>
        <w:tc>
          <w:tcPr>
            <w:tcW w:w="1512" w:type="pct"/>
            <w:noWrap w:val="0"/>
            <w:vAlign w:val="center"/>
          </w:tcPr>
          <w:p>
            <w:pPr>
              <w:pStyle w:val="73"/>
              <w:snapToGrid w:val="0"/>
              <w:spacing w:after="0" w:afterLines="0" w:line="240" w:lineRule="auto"/>
              <w:ind w:firstLine="0" w:firstLineChars="0"/>
              <w:rPr>
                <w:rFonts w:hint="default" w:ascii="Times New Roman" w:hAnsi="Times New Roman" w:eastAsia="宋体" w:cs="Times New Roman"/>
                <w:b w:val="0"/>
                <w:bCs w:val="0"/>
                <w:color w:val="auto"/>
                <w:kern w:val="2"/>
                <w:sz w:val="21"/>
                <w:szCs w:val="21"/>
                <w:lang w:val="en-US" w:eastAsia="zh-CN"/>
              </w:rPr>
            </w:pPr>
            <w:r>
              <w:rPr>
                <w:rFonts w:hint="eastAsia" w:eastAsia="宋体" w:cs="Times New Roman"/>
                <w:b w:val="0"/>
                <w:bCs w:val="0"/>
                <w:color w:val="auto"/>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23" w:type="dxa"/>
            <w:noWrap w:val="0"/>
            <w:tcMar>
              <w:left w:w="0" w:type="dxa"/>
              <w:right w:w="0" w:type="dxa"/>
            </w:tcMar>
            <w:vAlign w:val="center"/>
          </w:tcPr>
          <w:p>
            <w:pPr>
              <w:pStyle w:val="50"/>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湖南东洞庭湖国家级自然保护区实验区</w:t>
            </w:r>
          </w:p>
        </w:tc>
        <w:tc>
          <w:tcPr>
            <w:tcW w:w="2626" w:type="dxa"/>
            <w:noWrap w:val="0"/>
            <w:tcMar>
              <w:left w:w="0" w:type="dxa"/>
              <w:right w:w="0" w:type="dxa"/>
            </w:tcMar>
            <w:vAlign w:val="center"/>
          </w:tcPr>
          <w:p>
            <w:pPr>
              <w:pStyle w:val="50"/>
              <w:spacing w:before="0" w:beforeLines="0" w:after="0" w:afterLines="0"/>
              <w:jc w:val="center"/>
              <w:rPr>
                <w:rFonts w:hint="default" w:ascii="Times New Roman" w:hAnsi="Times New Roman" w:eastAsia="宋体" w:cs="Times New Roman"/>
                <w:b w:val="0"/>
                <w:bCs w:val="0"/>
                <w:color w:val="auto"/>
                <w:kern w:val="2"/>
                <w:sz w:val="21"/>
                <w:szCs w:val="21"/>
                <w:u w:val="single"/>
                <w:lang w:val="en-US" w:eastAsia="zh-CN"/>
              </w:rPr>
            </w:pPr>
            <w:r>
              <w:rPr>
                <w:rFonts w:hint="eastAsia"/>
                <w:b w:val="0"/>
                <w:bCs/>
                <w:color w:val="auto"/>
                <w:sz w:val="21"/>
                <w:szCs w:val="21"/>
                <w:lang w:val="en-US" w:eastAsia="zh-CN"/>
              </w:rPr>
              <w:t>项目位于实验区范围内</w:t>
            </w:r>
          </w:p>
        </w:tc>
        <w:tc>
          <w:tcPr>
            <w:tcW w:w="2201" w:type="dxa"/>
            <w:noWrap w:val="0"/>
            <w:tcMar>
              <w:left w:w="0" w:type="dxa"/>
              <w:right w:w="0" w:type="dxa"/>
            </w:tcMar>
            <w:vAlign w:val="center"/>
          </w:tcPr>
          <w:p>
            <w:pPr>
              <w:pStyle w:val="50"/>
              <w:spacing w:before="0" w:beforeLines="0" w:after="0" w:afterLines="0"/>
              <w:rPr>
                <w:rFonts w:hint="default" w:ascii="Times New Roman" w:hAnsi="Times New Roman" w:eastAsia="宋体" w:cs="Times New Roman"/>
                <w:b w:val="0"/>
                <w:bCs w:val="0"/>
                <w:color w:val="auto"/>
                <w:kern w:val="2"/>
                <w:sz w:val="21"/>
                <w:szCs w:val="21"/>
                <w:u w:val="single"/>
                <w:lang w:val="en-US" w:eastAsia="zh-CN"/>
              </w:rPr>
            </w:pPr>
            <w:r>
              <w:rPr>
                <w:rFonts w:hint="default" w:ascii="Times New Roman" w:hAnsi="Times New Roman" w:cs="Times New Roman"/>
                <w:b w:val="0"/>
                <w:bCs w:val="0"/>
                <w:color w:val="auto"/>
                <w:kern w:val="2"/>
                <w:sz w:val="21"/>
                <w:szCs w:val="21"/>
                <w:lang w:val="en-US" w:eastAsia="zh-CN"/>
              </w:rPr>
              <w:t>施工期对其</w:t>
            </w:r>
            <w:r>
              <w:rPr>
                <w:rFonts w:hint="eastAsia" w:ascii="Times New Roman" w:hAnsi="Times New Roman" w:cs="Times New Roman"/>
                <w:b w:val="0"/>
                <w:bCs w:val="0"/>
                <w:color w:val="auto"/>
                <w:kern w:val="2"/>
                <w:sz w:val="21"/>
                <w:szCs w:val="21"/>
                <w:lang w:val="en-US" w:eastAsia="zh-CN"/>
              </w:rPr>
              <w:t>自然环境的破坏</w:t>
            </w:r>
          </w:p>
        </w:tc>
        <w:tc>
          <w:tcPr>
            <w:tcW w:w="2580" w:type="dxa"/>
            <w:noWrap w:val="0"/>
            <w:vAlign w:val="center"/>
          </w:tcPr>
          <w:p>
            <w:pPr>
              <w:pStyle w:val="50"/>
              <w:spacing w:before="0" w:beforeLines="0" w:after="0" w:afterLines="0"/>
              <w:rPr>
                <w:rFonts w:hint="default" w:ascii="Times New Roman" w:hAnsi="Times New Roman" w:cs="Times New Roman"/>
                <w:b w:val="0"/>
                <w:bCs w:val="0"/>
                <w:color w:val="auto"/>
                <w:kern w:val="2"/>
                <w:sz w:val="21"/>
                <w:szCs w:val="21"/>
                <w:u w:val="single"/>
                <w:lang w:val="en-US" w:eastAsia="zh-CN"/>
              </w:rPr>
            </w:pPr>
            <w:r>
              <w:rPr>
                <w:rFonts w:hint="default"/>
                <w:b w:val="0"/>
                <w:bCs/>
                <w:color w:val="auto"/>
                <w:sz w:val="21"/>
                <w:szCs w:val="21"/>
                <w:lang w:val="en-US" w:eastAsia="zh-CN"/>
              </w:rPr>
              <w:t>有效保护</w:t>
            </w:r>
            <w:r>
              <w:rPr>
                <w:rFonts w:hint="eastAsia"/>
                <w:b w:val="0"/>
                <w:bCs/>
                <w:color w:val="auto"/>
                <w:sz w:val="21"/>
                <w:szCs w:val="21"/>
                <w:lang w:val="en-US" w:eastAsia="zh-CN"/>
              </w:rPr>
              <w:t>周边</w:t>
            </w:r>
            <w:r>
              <w:rPr>
                <w:rFonts w:hint="default"/>
                <w:b w:val="0"/>
                <w:bCs/>
                <w:color w:val="auto"/>
                <w:sz w:val="21"/>
                <w:szCs w:val="21"/>
                <w:lang w:val="en-US" w:eastAsia="zh-CN"/>
              </w:rPr>
              <w:t>生态环境</w:t>
            </w:r>
            <w:r>
              <w:rPr>
                <w:rFonts w:hint="eastAsia"/>
                <w:b w:val="0"/>
                <w:bCs/>
                <w:color w:val="auto"/>
                <w:sz w:val="21"/>
                <w:szCs w:val="21"/>
                <w:lang w:val="en-US" w:eastAsia="zh-CN"/>
              </w:rPr>
              <w:t>不受本项目影响</w:t>
            </w:r>
          </w:p>
        </w:tc>
      </w:tr>
    </w:tbl>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sectPr>
          <w:footerReference r:id="rId12"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211" w:name="_Toc12867"/>
      <w:bookmarkStart w:id="212" w:name="_Toc24344"/>
      <w:bookmarkStart w:id="213" w:name="_Toc30542"/>
      <w:r>
        <w:rPr>
          <w:rFonts w:ascii="Times New Roman" w:hAnsi="Times New Roman" w:eastAsia="宋体" w:cs="Times New Roman"/>
          <w:b/>
          <w:snapToGrid w:val="0"/>
          <w:color w:val="auto"/>
          <w:kern w:val="0"/>
          <w:sz w:val="30"/>
          <w:szCs w:val="30"/>
          <w:lang w:val="en-US" w:eastAsia="zh-CN" w:bidi="ar-SA"/>
        </w:rPr>
        <w:t>2项目工程分析</w:t>
      </w:r>
      <w:bookmarkEnd w:id="206"/>
      <w:bookmarkEnd w:id="207"/>
      <w:bookmarkEnd w:id="208"/>
      <w:bookmarkEnd w:id="211"/>
      <w:bookmarkEnd w:id="212"/>
      <w:bookmarkEnd w:id="213"/>
    </w:p>
    <w:p>
      <w:pPr>
        <w:keepNext/>
        <w:widowControl w:val="0"/>
        <w:adjustRightInd w:val="0"/>
        <w:snapToGrid w:val="0"/>
        <w:spacing w:line="360" w:lineRule="auto"/>
        <w:ind w:firstLine="0" w:firstLineChars="0"/>
        <w:jc w:val="both"/>
        <w:outlineLvl w:val="1"/>
        <w:rPr>
          <w:rFonts w:hint="eastAsia" w:ascii="Times New Roman" w:hAnsi="Times New Roman" w:eastAsia="宋体" w:cs="Times New Roman"/>
          <w:b/>
          <w:bCs/>
          <w:color w:val="auto"/>
          <w:kern w:val="2"/>
          <w:sz w:val="28"/>
          <w:szCs w:val="28"/>
          <w:lang w:val="en-US" w:eastAsia="zh-CN" w:bidi="ar-SA"/>
        </w:rPr>
      </w:pPr>
      <w:bookmarkStart w:id="214" w:name="_Toc19403"/>
      <w:bookmarkStart w:id="215" w:name="_Toc27036"/>
      <w:bookmarkStart w:id="216" w:name="_Toc11291"/>
      <w:bookmarkStart w:id="217" w:name="_Toc6415"/>
      <w:bookmarkStart w:id="218" w:name="_Toc20161"/>
      <w:bookmarkStart w:id="219" w:name="_Toc1117"/>
      <w:bookmarkStart w:id="220" w:name="_Toc18260"/>
      <w:bookmarkStart w:id="221" w:name="_Toc15832"/>
      <w:r>
        <w:rPr>
          <w:rFonts w:ascii="Times New Roman" w:hAnsi="Times New Roman" w:eastAsia="宋体" w:cs="Times New Roman"/>
          <w:b/>
          <w:bCs/>
          <w:color w:val="auto"/>
          <w:kern w:val="2"/>
          <w:sz w:val="28"/>
          <w:szCs w:val="28"/>
          <w:lang w:val="en-US" w:eastAsia="zh-CN" w:bidi="ar-SA"/>
        </w:rPr>
        <w:t>2.1</w:t>
      </w:r>
      <w:r>
        <w:rPr>
          <w:rFonts w:hint="eastAsia" w:ascii="Times New Roman" w:hAnsi="Times New Roman" w:eastAsia="宋体" w:cs="Times New Roman"/>
          <w:b/>
          <w:bCs/>
          <w:color w:val="auto"/>
          <w:kern w:val="2"/>
          <w:sz w:val="28"/>
          <w:szCs w:val="28"/>
          <w:lang w:val="en-US" w:eastAsia="zh-CN" w:bidi="ar-SA"/>
        </w:rPr>
        <w:t>项目概况</w:t>
      </w:r>
      <w:bookmarkEnd w:id="214"/>
      <w:bookmarkEnd w:id="215"/>
      <w:bookmarkEnd w:id="216"/>
    </w:p>
    <w:p>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仿宋" w:hAnsi="仿宋" w:eastAsia="仿宋" w:cs="仿宋"/>
          <w:b w:val="0"/>
          <w:bCs w:val="0"/>
          <w:color w:val="auto"/>
          <w:spacing w:val="0"/>
          <w:kern w:val="0"/>
          <w:sz w:val="28"/>
          <w:szCs w:val="28"/>
          <w:lang w:val="en-US" w:eastAsia="zh-CN" w:bidi="ar"/>
        </w:rPr>
      </w:pPr>
      <w:r>
        <w:rPr>
          <w:rFonts w:hint="eastAsia" w:cs="宋体"/>
          <w:bCs/>
          <w:color w:val="auto"/>
          <w:sz w:val="24"/>
          <w:szCs w:val="21"/>
        </w:rPr>
        <w:t>项目名称：</w:t>
      </w:r>
      <w:r>
        <w:rPr>
          <w:rFonts w:hint="eastAsia" w:ascii="Times New Roman" w:hAnsi="Times New Roman" w:eastAsia="宋体" w:cs="宋体"/>
          <w:bCs/>
          <w:color w:val="auto"/>
          <w:sz w:val="24"/>
          <w:szCs w:val="21"/>
          <w:lang w:val="en-US" w:eastAsia="zh-CN"/>
        </w:rPr>
        <w:t>华容县团洲垸灾后重建安置房建设项目</w:t>
      </w:r>
      <w:r>
        <w:rPr>
          <w:rFonts w:hint="eastAsia" w:cs="宋体"/>
          <w:bCs/>
          <w:color w:val="auto"/>
          <w:sz w:val="24"/>
          <w:szCs w:val="21"/>
          <w:lang w:val="en-US" w:eastAsia="zh-CN"/>
        </w:rPr>
        <w:t>（二期）</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建设性质：新建</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s="宋体"/>
          <w:bCs/>
          <w:color w:val="auto"/>
          <w:sz w:val="24"/>
          <w:szCs w:val="21"/>
          <w:lang w:val="en-US" w:eastAsia="zh-CN"/>
        </w:rPr>
      </w:pPr>
      <w:r>
        <w:rPr>
          <w:rFonts w:hint="eastAsia" w:cs="宋体"/>
          <w:bCs/>
          <w:color w:val="auto"/>
          <w:sz w:val="24"/>
          <w:szCs w:val="21"/>
        </w:rPr>
        <w:t>建设</w:t>
      </w:r>
      <w:r>
        <w:rPr>
          <w:rFonts w:hint="eastAsia" w:ascii="Times New Roman" w:hAnsi="Times New Roman" w:eastAsia="宋体" w:cs="宋体"/>
          <w:bCs/>
          <w:color w:val="auto"/>
          <w:sz w:val="24"/>
          <w:szCs w:val="21"/>
        </w:rPr>
        <w:t>单位：</w:t>
      </w:r>
      <w:r>
        <w:rPr>
          <w:rFonts w:hint="eastAsia" w:cs="宋体"/>
          <w:bCs/>
          <w:color w:val="auto"/>
          <w:sz w:val="24"/>
          <w:szCs w:val="21"/>
          <w:lang w:val="en-US" w:eastAsia="zh-CN"/>
        </w:rPr>
        <w:t>华容县城乡建设事务中心</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rPr>
        <w:t>建设地点：</w:t>
      </w:r>
      <w:r>
        <w:rPr>
          <w:rFonts w:hint="eastAsia" w:ascii="Times New Roman" w:hAnsi="Times New Roman" w:eastAsia="宋体" w:cs="宋体"/>
          <w:bCs/>
          <w:color w:val="auto"/>
          <w:sz w:val="24"/>
          <w:szCs w:val="21"/>
          <w:lang w:val="en-US" w:eastAsia="zh-CN"/>
        </w:rPr>
        <w:t>项目建设地点位于华容县团洲安全垸内团洲花园小区</w:t>
      </w:r>
      <w:r>
        <w:rPr>
          <w:rFonts w:hint="eastAsia" w:cs="宋体"/>
          <w:bCs/>
          <w:color w:val="auto"/>
          <w:sz w:val="24"/>
          <w:szCs w:val="21"/>
          <w:lang w:val="en-US" w:eastAsia="zh-CN"/>
        </w:rPr>
        <w:t>东</w:t>
      </w:r>
      <w:r>
        <w:rPr>
          <w:rFonts w:hint="eastAsia" w:ascii="Times New Roman" w:hAnsi="Times New Roman" w:eastAsia="宋体" w:cs="宋体"/>
          <w:bCs/>
          <w:color w:val="auto"/>
          <w:sz w:val="24"/>
          <w:szCs w:val="21"/>
          <w:lang w:val="en-US" w:eastAsia="zh-CN"/>
        </w:rPr>
        <w:t>侧</w:t>
      </w:r>
      <w:r>
        <w:rPr>
          <w:rFonts w:hint="eastAsia" w:cs="宋体"/>
          <w:bCs/>
          <w:color w:val="auto"/>
          <w:sz w:val="24"/>
          <w:szCs w:val="21"/>
          <w:lang w:val="en-US" w:eastAsia="zh-CN"/>
        </w:rPr>
        <w:t>，南电排渠西侧</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s="宋体"/>
          <w:bCs/>
          <w:color w:val="auto"/>
          <w:sz w:val="24"/>
          <w:szCs w:val="21"/>
          <w:lang w:eastAsia="zh-CN"/>
        </w:rPr>
      </w:pPr>
      <w:r>
        <w:rPr>
          <w:rFonts w:hint="eastAsia" w:ascii="Times New Roman" w:hAnsi="Times New Roman" w:eastAsia="宋体" w:cs="宋体"/>
          <w:bCs/>
          <w:color w:val="auto"/>
          <w:sz w:val="24"/>
          <w:szCs w:val="21"/>
          <w:lang w:val="en-US" w:eastAsia="zh-CN"/>
        </w:rPr>
        <w:t>中心坐标：</w:t>
      </w:r>
      <w:r>
        <w:rPr>
          <w:rFonts w:hint="eastAsia" w:ascii="Times New Roman" w:hAnsi="Times New Roman" w:cs="宋体"/>
          <w:color w:val="auto"/>
          <w:sz w:val="24"/>
          <w:szCs w:val="21"/>
          <w:highlight w:val="none"/>
          <w:lang w:val="en-US" w:eastAsia="zh-CN"/>
        </w:rPr>
        <w:t>东经 112.</w:t>
      </w:r>
      <w:r>
        <w:rPr>
          <w:rFonts w:hint="eastAsia" w:cs="宋体"/>
          <w:color w:val="auto"/>
          <w:sz w:val="24"/>
          <w:szCs w:val="21"/>
          <w:highlight w:val="none"/>
          <w:lang w:val="en-US" w:eastAsia="zh-CN"/>
        </w:rPr>
        <w:t>798150E</w:t>
      </w:r>
      <w:r>
        <w:rPr>
          <w:rFonts w:hint="eastAsia" w:ascii="Times New Roman" w:hAnsi="Times New Roman" w:cs="宋体"/>
          <w:color w:val="auto"/>
          <w:sz w:val="24"/>
          <w:szCs w:val="21"/>
          <w:highlight w:val="none"/>
          <w:lang w:val="en-US" w:eastAsia="zh-CN"/>
        </w:rPr>
        <w:t>；北纬2</w:t>
      </w:r>
      <w:r>
        <w:rPr>
          <w:rFonts w:hint="eastAsia" w:cs="宋体"/>
          <w:color w:val="auto"/>
          <w:sz w:val="24"/>
          <w:szCs w:val="21"/>
          <w:highlight w:val="none"/>
          <w:lang w:val="en-US" w:eastAsia="zh-CN"/>
        </w:rPr>
        <w:t>9.336444N</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bCs/>
          <w:color w:val="auto"/>
          <w:sz w:val="24"/>
          <w:szCs w:val="21"/>
        </w:rPr>
      </w:pPr>
      <w:r>
        <w:rPr>
          <w:rFonts w:hint="eastAsia" w:cs="宋体"/>
          <w:bCs/>
          <w:color w:val="auto"/>
          <w:sz w:val="24"/>
          <w:szCs w:val="21"/>
        </w:rPr>
        <w:t>项目投资：总投</w:t>
      </w:r>
      <w:r>
        <w:rPr>
          <w:rFonts w:hint="eastAsia" w:cs="宋体"/>
          <w:bCs/>
          <w:color w:val="auto"/>
          <w:sz w:val="24"/>
          <w:szCs w:val="21"/>
          <w:lang w:val="en-US" w:eastAsia="zh-CN"/>
        </w:rPr>
        <w:t>资19995万元，其中环保投资</w:t>
      </w:r>
      <w:r>
        <w:rPr>
          <w:rFonts w:hint="eastAsia" w:cs="宋体"/>
          <w:bCs/>
          <w:color w:val="auto"/>
          <w:sz w:val="24"/>
          <w:szCs w:val="21"/>
          <w:highlight w:val="none"/>
          <w:lang w:val="en-US" w:eastAsia="zh-CN"/>
        </w:rPr>
        <w:t>158万元，占</w:t>
      </w:r>
      <w:r>
        <w:rPr>
          <w:rFonts w:hint="eastAsia" w:cs="宋体"/>
          <w:bCs/>
          <w:color w:val="auto"/>
          <w:sz w:val="24"/>
          <w:szCs w:val="21"/>
          <w:lang w:val="en-US" w:eastAsia="zh-CN"/>
        </w:rPr>
        <w:t>总投资的0.79%，本项目的资金来源由县财政整合相关救灾补助资金、危房改造项目资金、社会捐赠资金和受灾群众部分自筹组成</w:t>
      </w:r>
      <w:r>
        <w:rPr>
          <w:rFonts w:hint="eastAsia" w:cs="宋体"/>
          <w:bCs/>
          <w:color w:val="auto"/>
          <w:sz w:val="24"/>
          <w:szCs w:val="28"/>
          <w:vertAlign w:val="baseli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cs="宋体"/>
          <w:bCs/>
          <w:color w:val="auto"/>
          <w:sz w:val="24"/>
          <w:szCs w:val="21"/>
        </w:rPr>
      </w:pPr>
      <w:r>
        <w:rPr>
          <w:rFonts w:hint="eastAsia" w:cs="宋体"/>
          <w:bCs/>
          <w:color w:val="auto"/>
          <w:sz w:val="24"/>
          <w:szCs w:val="21"/>
        </w:rPr>
        <w:t>占地面积：约</w:t>
      </w:r>
      <w:r>
        <w:rPr>
          <w:rFonts w:hint="eastAsia" w:cs="宋体"/>
          <w:bCs/>
          <w:color w:val="auto"/>
          <w:sz w:val="24"/>
          <w:szCs w:val="21"/>
          <w:lang w:val="en-US" w:eastAsia="zh-CN"/>
        </w:rPr>
        <w:t>57672</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1"/>
        </w:rPr>
        <w:t>，总建筑面积约</w:t>
      </w:r>
      <w:r>
        <w:rPr>
          <w:rFonts w:hint="eastAsia" w:cs="宋体"/>
          <w:bCs/>
          <w:color w:val="auto"/>
          <w:sz w:val="24"/>
          <w:szCs w:val="21"/>
          <w:lang w:val="en-US" w:eastAsia="zh-CN"/>
        </w:rPr>
        <w:t>79862.49</w:t>
      </w:r>
      <w:r>
        <w:rPr>
          <w:rFonts w:hint="eastAsia" w:cs="宋体"/>
          <w:bCs/>
          <w:color w:val="auto"/>
          <w:sz w:val="24"/>
          <w:szCs w:val="21"/>
        </w:rPr>
        <w:t>m</w:t>
      </w:r>
      <w:r>
        <w:rPr>
          <w:rFonts w:hint="eastAsia" w:cs="宋体"/>
          <w:bCs/>
          <w:color w:val="auto"/>
          <w:sz w:val="24"/>
          <w:szCs w:val="28"/>
          <w:vertAlign w:val="superscript"/>
        </w:rPr>
        <w:t>2</w:t>
      </w:r>
      <w:r>
        <w:rPr>
          <w:rFonts w:hint="eastAsia" w:cs="宋体"/>
          <w:bCs/>
          <w:color w:val="auto"/>
          <w:sz w:val="24"/>
          <w:szCs w:val="28"/>
          <w:vertAlign w:val="baseline"/>
          <w:lang w:eastAsia="zh-CN"/>
        </w:rPr>
        <w:t>。</w:t>
      </w:r>
    </w:p>
    <w:p>
      <w:pPr>
        <w:widowControl w:val="0"/>
        <w:adjustRightInd w:val="0"/>
        <w:snapToGrid w:val="0"/>
        <w:spacing w:line="360" w:lineRule="auto"/>
        <w:ind w:firstLine="480" w:firstLineChars="200"/>
        <w:jc w:val="both"/>
        <w:rPr>
          <w:rFonts w:hint="eastAsia"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宋体"/>
          <w:bCs/>
          <w:color w:val="auto"/>
          <w:sz w:val="24"/>
          <w:szCs w:val="21"/>
          <w:lang w:val="en-US" w:eastAsia="zh-CN"/>
        </w:rPr>
        <w:t>建设进度：</w:t>
      </w:r>
      <w:r>
        <w:rPr>
          <w:rFonts w:hint="eastAsia" w:ascii="Times New Roman" w:hAnsi="Times New Roman" w:eastAsia="宋体" w:cs="宋体"/>
          <w:bCs/>
          <w:color w:val="auto"/>
          <w:sz w:val="24"/>
          <w:szCs w:val="21"/>
          <w:lang w:val="en-US" w:eastAsia="zh-CN"/>
        </w:rPr>
        <w:t>项目为灾后重建应急工程，为尽快使受灾人民恢复正常生产生活秩序，项目已提前施工，目前项目已建成，目前暂没有住户入住</w:t>
      </w:r>
      <w:r>
        <w:rPr>
          <w:rFonts w:hint="default" w:ascii="Times New Roman" w:hAnsi="Times New Roman" w:eastAsia="宋体" w:cs="Times New Roman"/>
          <w:color w:val="auto"/>
          <w:kern w:val="2"/>
          <w:sz w:val="24"/>
          <w:szCs w:val="24"/>
          <w:u w:val="none"/>
          <w:lang w:val="en-US" w:eastAsia="zh-CN" w:bidi="ar-SA"/>
        </w:rPr>
        <w:t>。</w:t>
      </w:r>
    </w:p>
    <w:p>
      <w:pPr>
        <w:keepNext/>
        <w:widowControl w:val="0"/>
        <w:adjustRightInd w:val="0"/>
        <w:snapToGrid w:val="0"/>
        <w:spacing w:line="360" w:lineRule="auto"/>
        <w:ind w:firstLine="0" w:firstLineChars="0"/>
        <w:jc w:val="both"/>
        <w:outlineLvl w:val="1"/>
        <w:rPr>
          <w:rFonts w:ascii="Times New Roman" w:hAnsi="Times New Roman" w:eastAsia="宋体" w:cs="Times New Roman"/>
          <w:b/>
          <w:bCs/>
          <w:color w:val="auto"/>
          <w:kern w:val="2"/>
          <w:sz w:val="28"/>
          <w:szCs w:val="28"/>
          <w:lang w:val="en-US" w:eastAsia="zh-CN" w:bidi="ar-SA"/>
        </w:rPr>
      </w:pPr>
      <w:bookmarkStart w:id="222" w:name="_Toc1717"/>
      <w:bookmarkStart w:id="223" w:name="_Toc25875"/>
      <w:bookmarkStart w:id="224" w:name="_Toc1418"/>
      <w:r>
        <w:rPr>
          <w:rFonts w:hint="eastAsia" w:ascii="Times New Roman" w:hAnsi="Times New Roman" w:eastAsia="宋体" w:cs="Times New Roman"/>
          <w:b/>
          <w:bCs/>
          <w:color w:val="auto"/>
          <w:kern w:val="2"/>
          <w:sz w:val="28"/>
          <w:szCs w:val="28"/>
          <w:lang w:val="en-US" w:eastAsia="zh-CN" w:bidi="ar-SA"/>
        </w:rPr>
        <w:t>2.2</w:t>
      </w:r>
      <w:r>
        <w:rPr>
          <w:rFonts w:ascii="Times New Roman" w:hAnsi="Times New Roman" w:eastAsia="宋体" w:cs="Times New Roman"/>
          <w:b/>
          <w:bCs/>
          <w:color w:val="auto"/>
          <w:kern w:val="2"/>
          <w:sz w:val="28"/>
          <w:szCs w:val="28"/>
          <w:lang w:val="en-US" w:eastAsia="zh-CN" w:bidi="ar-SA"/>
        </w:rPr>
        <w:t>工程建设内容</w:t>
      </w:r>
      <w:bookmarkEnd w:id="217"/>
      <w:bookmarkEnd w:id="218"/>
      <w:bookmarkEnd w:id="219"/>
      <w:bookmarkEnd w:id="220"/>
      <w:bookmarkEnd w:id="221"/>
      <w:bookmarkEnd w:id="222"/>
      <w:bookmarkEnd w:id="223"/>
      <w:bookmarkEnd w:id="224"/>
    </w:p>
    <w:p>
      <w:pPr>
        <w:adjustRightInd w:val="0"/>
        <w:snapToGrid w:val="0"/>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项目工程建设内容</w:t>
      </w:r>
      <w:r>
        <w:rPr>
          <w:rFonts w:ascii="Times New Roman" w:hAnsi="Times New Roman" w:eastAsia="宋体" w:cs="Times New Roman"/>
          <w:color w:val="auto"/>
          <w:sz w:val="24"/>
        </w:rPr>
        <w:t>详见</w:t>
      </w: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报告表中第二章节。</w:t>
      </w:r>
    </w:p>
    <w:p>
      <w:pPr>
        <w:keepNext/>
        <w:widowControl w:val="0"/>
        <w:overflowPunct w:val="0"/>
        <w:adjustRightInd w:val="0"/>
        <w:snapToGrid w:val="0"/>
        <w:spacing w:before="0" w:after="0" w:line="360" w:lineRule="auto"/>
        <w:ind w:left="0" w:firstLine="0"/>
        <w:jc w:val="both"/>
        <w:outlineLvl w:val="0"/>
        <w:rPr>
          <w:rFonts w:ascii="Times New Roman" w:hAnsi="Times New Roman" w:eastAsia="黑体" w:cs="Times New Roman"/>
          <w:b/>
          <w:bCs/>
          <w:color w:val="auto"/>
          <w:kern w:val="44"/>
          <w:sz w:val="30"/>
          <w:szCs w:val="30"/>
          <w:u w:val="single"/>
          <w:lang w:val="en-US" w:eastAsia="zh-CN" w:bidi="ar-SA"/>
        </w:rPr>
      </w:pPr>
      <w:r>
        <w:rPr>
          <w:rFonts w:ascii="Times New Roman" w:hAnsi="Times New Roman" w:eastAsia="黑体" w:cs="Times New Roman"/>
          <w:b/>
          <w:bCs/>
          <w:color w:val="auto"/>
          <w:kern w:val="44"/>
          <w:sz w:val="30"/>
          <w:szCs w:val="30"/>
          <w:lang w:val="en-US" w:eastAsia="zh-CN" w:bidi="ar-SA"/>
        </w:rPr>
        <w:br w:type="page"/>
      </w:r>
      <w:bookmarkStart w:id="225" w:name="_Toc1655"/>
      <w:bookmarkStart w:id="226" w:name="_Toc17428"/>
      <w:bookmarkStart w:id="227" w:name="_Toc2504"/>
      <w:bookmarkStart w:id="228" w:name="_Toc26877"/>
      <w:bookmarkStart w:id="229" w:name="_Toc11734"/>
      <w:bookmarkStart w:id="230" w:name="_Toc28057"/>
      <w:r>
        <w:rPr>
          <w:rFonts w:ascii="Times New Roman" w:hAnsi="Times New Roman" w:eastAsia="宋体" w:cs="Times New Roman"/>
          <w:b/>
          <w:bCs w:val="0"/>
          <w:snapToGrid w:val="0"/>
          <w:color w:val="auto"/>
          <w:kern w:val="0"/>
          <w:sz w:val="30"/>
          <w:szCs w:val="30"/>
          <w:lang w:val="en-US" w:eastAsia="zh-CN" w:bidi="ar-SA"/>
        </w:rPr>
        <w:t>3生态环境现状调查与评价</w:t>
      </w:r>
      <w:bookmarkEnd w:id="209"/>
      <w:bookmarkEnd w:id="210"/>
      <w:bookmarkEnd w:id="225"/>
      <w:bookmarkEnd w:id="226"/>
      <w:bookmarkEnd w:id="227"/>
      <w:bookmarkEnd w:id="228"/>
      <w:bookmarkEnd w:id="229"/>
      <w:bookmarkEnd w:id="230"/>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bookmarkStart w:id="231" w:name="_Toc28113"/>
      <w:bookmarkStart w:id="232" w:name="_Toc24962"/>
      <w:bookmarkStart w:id="233" w:name="_Toc1083"/>
      <w:bookmarkStart w:id="234" w:name="_Toc3320"/>
      <w:bookmarkStart w:id="235" w:name="_Toc32502"/>
      <w:bookmarkStart w:id="236" w:name="_Toc21211"/>
      <w:bookmarkStart w:id="237" w:name="_Toc19759"/>
      <w:bookmarkStart w:id="238" w:name="_Toc25187"/>
      <w:bookmarkStart w:id="239" w:name="_Toc2011"/>
      <w:r>
        <w:rPr>
          <w:rFonts w:hint="eastAsia" w:ascii="Times New Roman" w:hAnsi="Times New Roman" w:eastAsia="宋体" w:cs="宋体"/>
          <w:bCs/>
          <w:color w:val="auto"/>
          <w:sz w:val="24"/>
          <w:szCs w:val="21"/>
          <w:lang w:val="en-US" w:eastAsia="zh-CN"/>
        </w:rPr>
        <w:t>本项目与2025年3月委托湖南</w:t>
      </w:r>
      <w:r>
        <w:rPr>
          <w:rFonts w:hint="default" w:ascii="Times New Roman" w:hAnsi="Times New Roman" w:eastAsia="宋体" w:cs="宋体"/>
          <w:bCs/>
          <w:color w:val="auto"/>
          <w:sz w:val="24"/>
          <w:szCs w:val="21"/>
          <w:lang w:val="en-US" w:eastAsia="zh-CN"/>
        </w:rPr>
        <w:t>绿湘生态科技有限公司</w:t>
      </w:r>
      <w:r>
        <w:rPr>
          <w:rFonts w:hint="eastAsia" w:ascii="Times New Roman" w:hAnsi="Times New Roman" w:eastAsia="宋体" w:cs="宋体"/>
          <w:bCs/>
          <w:color w:val="auto"/>
          <w:sz w:val="24"/>
          <w:szCs w:val="21"/>
          <w:lang w:val="en-US" w:eastAsia="zh-CN"/>
        </w:rPr>
        <w:t>进行了《</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对湖南东洞庭湖国家级自然保护区生物多样性影响评价报告》并已通过湖南省林业局审查（详见附件</w:t>
      </w:r>
      <w:r>
        <w:rPr>
          <w:rFonts w:hint="eastAsia" w:cs="宋体"/>
          <w:bCs/>
          <w:color w:val="auto"/>
          <w:sz w:val="24"/>
          <w:szCs w:val="21"/>
          <w:lang w:val="en-US" w:eastAsia="zh-CN"/>
        </w:rPr>
        <w:t>中</w:t>
      </w:r>
      <w:r>
        <w:rPr>
          <w:rFonts w:hint="eastAsia" w:ascii="Times New Roman" w:hAnsi="Times New Roman" w:eastAsia="宋体" w:cs="宋体"/>
          <w:bCs/>
          <w:color w:val="auto"/>
          <w:sz w:val="24"/>
          <w:szCs w:val="21"/>
          <w:lang w:val="en-US" w:eastAsia="zh-CN"/>
        </w:rPr>
        <w:t xml:space="preserve"> </w:t>
      </w:r>
      <w:r>
        <w:rPr>
          <w:rFonts w:hint="default" w:ascii="Times New Roman" w:hAnsi="Times New Roman" w:eastAsia="宋体" w:cs="宋体"/>
          <w:bCs/>
          <w:color w:val="auto"/>
          <w:sz w:val="24"/>
          <w:szCs w:val="21"/>
          <w:lang w:val="en-US" w:eastAsia="zh-CN"/>
        </w:rPr>
        <w:t>湘林保函〔2025〕13号</w:t>
      </w:r>
      <w:r>
        <w:rPr>
          <w:rFonts w:hint="eastAsia" w:cs="宋体"/>
          <w:bCs/>
          <w:color w:val="auto"/>
          <w:sz w:val="24"/>
          <w:szCs w:val="21"/>
          <w:lang w:val="en-US" w:eastAsia="zh-CN"/>
        </w:rPr>
        <w:t>文件</w:t>
      </w:r>
      <w:r>
        <w:rPr>
          <w:rFonts w:hint="eastAsia" w:ascii="Times New Roman" w:hAnsi="Times New Roman" w:eastAsia="宋体" w:cs="宋体"/>
          <w:bCs/>
          <w:color w:val="auto"/>
          <w:sz w:val="24"/>
          <w:szCs w:val="21"/>
          <w:lang w:val="en-US" w:eastAsia="zh-CN"/>
        </w:rPr>
        <w:t>），本次</w:t>
      </w:r>
      <w:r>
        <w:rPr>
          <w:rFonts w:hint="eastAsia" w:cs="宋体"/>
          <w:bCs/>
          <w:color w:val="auto"/>
          <w:sz w:val="24"/>
          <w:szCs w:val="21"/>
          <w:lang w:val="en-US" w:eastAsia="zh-CN"/>
        </w:rPr>
        <w:t>生态环境现状</w:t>
      </w:r>
      <w:r>
        <w:rPr>
          <w:rFonts w:hint="eastAsia" w:ascii="Times New Roman" w:hAnsi="Times New Roman" w:eastAsia="宋体" w:cs="宋体"/>
          <w:bCs/>
          <w:color w:val="auto"/>
          <w:sz w:val="24"/>
          <w:szCs w:val="21"/>
          <w:lang w:val="en-US" w:eastAsia="zh-CN"/>
        </w:rPr>
        <w:t>评价部分引用</w:t>
      </w:r>
      <w:r>
        <w:rPr>
          <w:rFonts w:hint="eastAsia" w:cs="宋体"/>
          <w:bCs/>
          <w:color w:val="auto"/>
          <w:sz w:val="24"/>
          <w:szCs w:val="21"/>
          <w:lang w:val="en-US" w:eastAsia="zh-CN"/>
        </w:rPr>
        <w:t>该</w:t>
      </w:r>
      <w:r>
        <w:rPr>
          <w:rFonts w:hint="eastAsia" w:ascii="Times New Roman" w:hAnsi="Times New Roman" w:eastAsia="宋体" w:cs="宋体"/>
          <w:bCs/>
          <w:color w:val="auto"/>
          <w:sz w:val="24"/>
          <w:szCs w:val="21"/>
          <w:lang w:val="en-US" w:eastAsia="zh-CN"/>
        </w:rPr>
        <w:t>评价报告中相关内容</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40" w:name="_Toc16249"/>
      <w:r>
        <w:rPr>
          <w:rFonts w:ascii="Times New Roman" w:hAnsi="Times New Roman" w:eastAsia="宋体" w:cs="Times New Roman"/>
          <w:b/>
          <w:bCs/>
          <w:color w:val="auto"/>
          <w:kern w:val="2"/>
          <w:sz w:val="28"/>
          <w:szCs w:val="28"/>
          <w:lang w:val="en-US" w:eastAsia="zh-CN" w:bidi="ar-SA"/>
        </w:rPr>
        <w:t>3.1</w:t>
      </w:r>
      <w:r>
        <w:rPr>
          <w:rFonts w:hint="eastAsia" w:ascii="Times New Roman" w:hAnsi="Times New Roman" w:eastAsia="宋体" w:cs="Times New Roman"/>
          <w:b/>
          <w:bCs/>
          <w:color w:val="auto"/>
          <w:kern w:val="2"/>
          <w:sz w:val="28"/>
          <w:szCs w:val="28"/>
          <w:lang w:val="en-US" w:eastAsia="zh-CN" w:bidi="ar-SA"/>
        </w:rPr>
        <w:t>土地利用现状</w:t>
      </w:r>
      <w:bookmarkEnd w:id="231"/>
      <w:bookmarkEnd w:id="232"/>
      <w:bookmarkEnd w:id="240"/>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highlight w:val="none"/>
          <w:lang w:val="en-US" w:eastAsia="zh-CN"/>
        </w:rPr>
      </w:pPr>
      <w:bookmarkStart w:id="241" w:name="_Toc16185"/>
      <w:bookmarkStart w:id="242" w:name="_Toc20615"/>
      <w:r>
        <w:rPr>
          <w:rFonts w:hint="default" w:ascii="Times New Roman" w:hAnsi="Times New Roman" w:eastAsia="宋体" w:cs="宋体"/>
          <w:bCs/>
          <w:color w:val="auto"/>
          <w:sz w:val="24"/>
          <w:szCs w:val="21"/>
          <w:highlight w:val="none"/>
          <w:lang w:val="en-US" w:eastAsia="zh-CN"/>
        </w:rPr>
        <w:t>根据规划，本工程项目永久占地</w:t>
      </w:r>
      <w:r>
        <w:rPr>
          <w:rFonts w:hint="eastAsia" w:cs="宋体"/>
          <w:bCs/>
          <w:color w:val="auto"/>
          <w:sz w:val="24"/>
          <w:szCs w:val="21"/>
          <w:highlight w:val="none"/>
          <w:lang w:val="en-US" w:eastAsia="zh-CN"/>
        </w:rPr>
        <w:t>57672</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default" w:ascii="Times New Roman" w:hAnsi="Times New Roman" w:eastAsia="宋体" w:cs="宋体"/>
          <w:bCs/>
          <w:color w:val="auto"/>
          <w:sz w:val="24"/>
          <w:szCs w:val="21"/>
          <w:highlight w:val="none"/>
          <w:lang w:val="en-US" w:eastAsia="zh-CN"/>
        </w:rPr>
        <w:t>，占地类型主要为</w:t>
      </w:r>
      <w:r>
        <w:rPr>
          <w:rFonts w:hint="eastAsia" w:cs="宋体"/>
          <w:bCs/>
          <w:color w:val="auto"/>
          <w:sz w:val="24"/>
          <w:szCs w:val="21"/>
          <w:highlight w:val="none"/>
          <w:lang w:val="en-US" w:eastAsia="zh-CN"/>
        </w:rPr>
        <w:t>耕地</w:t>
      </w:r>
      <w:r>
        <w:rPr>
          <w:rFonts w:hint="default" w:ascii="Times New Roman" w:hAnsi="Times New Roman" w:eastAsia="宋体" w:cs="宋体"/>
          <w:bCs/>
          <w:color w:val="auto"/>
          <w:sz w:val="24"/>
          <w:szCs w:val="21"/>
          <w:highlight w:val="none"/>
          <w:lang w:val="en-US" w:eastAsia="zh-CN"/>
        </w:rPr>
        <w:t>，</w:t>
      </w:r>
      <w:r>
        <w:rPr>
          <w:rFonts w:hint="eastAsia" w:cs="宋体"/>
          <w:bCs/>
          <w:color w:val="auto"/>
          <w:sz w:val="24"/>
          <w:szCs w:val="21"/>
          <w:highlight w:val="none"/>
          <w:lang w:val="en-US" w:eastAsia="zh-CN"/>
        </w:rPr>
        <w:t>占用面积约47898</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，其次为林地8577</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，农业设施用地1035</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、居住用地867</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以及少量的公共管理与公共服务用地、绿地与开敞空间用地，占用面积不到15</w:t>
      </w:r>
      <w:r>
        <w:rPr>
          <w:rFonts w:hint="default" w:ascii="Times New Roman" w:hAnsi="Times New Roman" w:eastAsia="宋体" w:cs="宋体"/>
          <w:bCs/>
          <w:color w:val="auto"/>
          <w:sz w:val="24"/>
          <w:szCs w:val="21"/>
          <w:highlight w:val="none"/>
          <w:lang w:val="en-US" w:eastAsia="zh-CN"/>
        </w:rPr>
        <w:t>m</w:t>
      </w:r>
      <w:r>
        <w:rPr>
          <w:rFonts w:hint="default" w:ascii="Times New Roman" w:hAnsi="Times New Roman" w:eastAsia="宋体" w:cs="宋体"/>
          <w:bCs/>
          <w:color w:val="auto"/>
          <w:sz w:val="24"/>
          <w:szCs w:val="21"/>
          <w:highlight w:val="none"/>
          <w:vertAlign w:val="superscript"/>
          <w:lang w:val="en-US" w:eastAsia="zh-CN"/>
        </w:rPr>
        <w:t>2</w:t>
      </w:r>
      <w:r>
        <w:rPr>
          <w:rFonts w:hint="eastAsia" w:cs="宋体"/>
          <w:bCs/>
          <w:color w:val="auto"/>
          <w:sz w:val="24"/>
          <w:szCs w:val="21"/>
          <w:highlight w:val="none"/>
          <w:vertAlign w:val="baseline"/>
          <w:lang w:val="en-US" w:eastAsia="zh-CN"/>
        </w:rPr>
        <w:t>。</w:t>
      </w:r>
      <w:r>
        <w:rPr>
          <w:rFonts w:hint="default" w:ascii="Times New Roman" w:hAnsi="Times New Roman" w:eastAsia="宋体" w:cs="宋体"/>
          <w:bCs/>
          <w:color w:val="auto"/>
          <w:sz w:val="24"/>
          <w:szCs w:val="21"/>
          <w:highlight w:val="none"/>
          <w:lang w:val="en-US" w:eastAsia="zh-CN"/>
        </w:rPr>
        <w:t>项目施工场地、施工便道及弃渣场等临时工程</w:t>
      </w:r>
      <w:r>
        <w:rPr>
          <w:rFonts w:hint="eastAsia" w:ascii="Times New Roman" w:hAnsi="Times New Roman" w:eastAsia="宋体" w:cs="宋体"/>
          <w:bCs/>
          <w:color w:val="auto"/>
          <w:sz w:val="24"/>
          <w:szCs w:val="21"/>
          <w:highlight w:val="none"/>
          <w:lang w:val="en-US" w:eastAsia="zh-CN"/>
        </w:rPr>
        <w:t>均设置本项目用地红线范围内（现已恢复为安置区内绿化用地）</w:t>
      </w:r>
      <w:r>
        <w:rPr>
          <w:rFonts w:hint="default" w:ascii="Times New Roman" w:hAnsi="Times New Roman" w:eastAsia="宋体" w:cs="宋体"/>
          <w:bCs/>
          <w:color w:val="auto"/>
          <w:sz w:val="24"/>
          <w:szCs w:val="21"/>
          <w:highlight w:val="none"/>
          <w:lang w:val="en-US" w:eastAsia="zh-CN"/>
        </w:rPr>
        <w:t>，</w:t>
      </w:r>
      <w:r>
        <w:rPr>
          <w:rFonts w:hint="eastAsia" w:ascii="Times New Roman" w:hAnsi="Times New Roman" w:eastAsia="宋体" w:cs="宋体"/>
          <w:bCs/>
          <w:color w:val="auto"/>
          <w:sz w:val="24"/>
          <w:szCs w:val="21"/>
          <w:highlight w:val="none"/>
          <w:lang w:val="en-US" w:eastAsia="zh-CN"/>
        </w:rPr>
        <w:t>未额外占用土地等</w:t>
      </w:r>
      <w:r>
        <w:rPr>
          <w:rFonts w:hint="default" w:ascii="Times New Roman" w:hAnsi="Times New Roman" w:eastAsia="宋体" w:cs="宋体"/>
          <w:bCs/>
          <w:color w:val="auto"/>
          <w:sz w:val="24"/>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w:t>
      </w:r>
      <w:r>
        <w:rPr>
          <w:rFonts w:hint="default" w:ascii="Times New Roman" w:hAnsi="Times New Roman" w:eastAsia="宋体" w:cs="宋体"/>
          <w:bCs/>
          <w:color w:val="auto"/>
          <w:sz w:val="24"/>
          <w:szCs w:val="21"/>
          <w:lang w:val="en-US" w:eastAsia="zh-CN"/>
        </w:rPr>
        <w:t>不涉及国家公园、风景名胜区、饮用水水源保护区、</w:t>
      </w:r>
      <w:r>
        <w:rPr>
          <w:rFonts w:hint="eastAsia" w:ascii="Times New Roman" w:hAnsi="Times New Roman" w:eastAsia="宋体" w:cs="宋体"/>
          <w:bCs/>
          <w:color w:val="auto"/>
          <w:sz w:val="24"/>
          <w:szCs w:val="21"/>
          <w:lang w:val="en-US" w:eastAsia="zh-CN"/>
        </w:rPr>
        <w:t>永久</w:t>
      </w:r>
      <w:r>
        <w:rPr>
          <w:rFonts w:hint="default" w:ascii="Times New Roman" w:hAnsi="Times New Roman" w:eastAsia="宋体" w:cs="宋体"/>
          <w:bCs/>
          <w:color w:val="auto"/>
          <w:sz w:val="24"/>
          <w:szCs w:val="21"/>
          <w:lang w:val="en-US" w:eastAsia="zh-CN"/>
        </w:rPr>
        <w:t>基本农田</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基本草原、自然公园（森林公园、地质公园</w:t>
      </w:r>
      <w:r>
        <w:rPr>
          <w:rFonts w:hint="eastAsia" w:cs="宋体"/>
          <w:bCs/>
          <w:color w:val="auto"/>
          <w:sz w:val="24"/>
          <w:szCs w:val="21"/>
          <w:lang w:val="en-US" w:eastAsia="zh-CN"/>
        </w:rPr>
        <w:t>、海洋公园等</w:t>
      </w:r>
      <w:r>
        <w:rPr>
          <w:rFonts w:hint="default" w:ascii="Times New Roman" w:hAnsi="Times New Roman" w:eastAsia="宋体" w:cs="宋体"/>
          <w:bCs/>
          <w:color w:val="auto"/>
          <w:sz w:val="24"/>
          <w:szCs w:val="21"/>
          <w:lang w:val="en-US" w:eastAsia="zh-CN"/>
        </w:rPr>
        <w:t>）、重要湿地、天然林、重点保护野生动物栖息地、重点保护野生植物生长繁殖地等，</w:t>
      </w:r>
      <w:r>
        <w:rPr>
          <w:rFonts w:hint="eastAsia" w:ascii="Times New Roman" w:hAnsi="Times New Roman" w:eastAsia="宋体" w:cs="宋体"/>
          <w:bCs/>
          <w:color w:val="auto"/>
          <w:sz w:val="24"/>
          <w:szCs w:val="21"/>
          <w:lang w:val="en-US" w:eastAsia="zh-CN"/>
        </w:rPr>
        <w:t>不占用国家一级生态公益林。主要涉及生态敏感目标为湖南东洞庭湖国家级自然保护区实验区。</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43" w:name="_Toc13037"/>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.2生态环境</w:t>
      </w:r>
      <w:r>
        <w:rPr>
          <w:rFonts w:hint="eastAsia" w:ascii="Times New Roman" w:hAnsi="Times New Roman" w:eastAsia="宋体" w:cs="Times New Roman"/>
          <w:b/>
          <w:bCs/>
          <w:color w:val="auto"/>
          <w:kern w:val="2"/>
          <w:sz w:val="28"/>
          <w:szCs w:val="28"/>
          <w:lang w:val="en-US" w:eastAsia="zh-CN" w:bidi="ar-SA"/>
        </w:rPr>
        <w:t>调查与评价</w:t>
      </w:r>
      <w:bookmarkEnd w:id="241"/>
      <w:bookmarkEnd w:id="242"/>
      <w:bookmarkEnd w:id="243"/>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本项目位于</w:t>
      </w:r>
      <w:r>
        <w:rPr>
          <w:rFonts w:hint="eastAsia" w:ascii="Times New Roman" w:hAnsi="Times New Roman" w:eastAsia="宋体" w:cs="宋体"/>
          <w:bCs/>
          <w:color w:val="auto"/>
          <w:sz w:val="24"/>
          <w:szCs w:val="21"/>
          <w:lang w:val="en-US" w:eastAsia="zh-CN"/>
        </w:rPr>
        <w:t>华容县团洲乡</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用地范围</w:t>
      </w:r>
      <w:r>
        <w:rPr>
          <w:rFonts w:hint="default" w:ascii="Times New Roman" w:hAnsi="Times New Roman" w:eastAsia="宋体" w:cs="宋体"/>
          <w:bCs/>
          <w:color w:val="auto"/>
          <w:sz w:val="24"/>
          <w:szCs w:val="21"/>
          <w:lang w:val="en-US" w:eastAsia="zh-CN"/>
        </w:rPr>
        <w:t>位于低山地带，项目区域所在区域以农村生态系统为主，受人类活动影响相对较大，评价范围内主要为农作物和村落</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区域无珍稀野生动植物分布。整体上，项目区域生态环境现状呈现农业生态特征，生态环境敏感度一般。</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3.2.1生态现状评价方法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总体评价采用实地野外考察与室内资料分析相结合、全线普查与重点取样相结合，并走访</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村民和</w:t>
      </w:r>
      <w:r>
        <w:rPr>
          <w:rFonts w:hint="eastAsia" w:ascii="Times New Roman" w:hAnsi="Times New Roman" w:eastAsia="宋体" w:cs="宋体"/>
          <w:bCs/>
          <w:color w:val="auto"/>
          <w:sz w:val="24"/>
          <w:szCs w:val="21"/>
          <w:lang w:val="en-US" w:eastAsia="zh-CN"/>
        </w:rPr>
        <w:t>政府单位</w:t>
      </w:r>
      <w:r>
        <w:rPr>
          <w:rFonts w:hint="default" w:ascii="Times New Roman" w:hAnsi="Times New Roman" w:eastAsia="宋体" w:cs="宋体"/>
          <w:bCs/>
          <w:color w:val="auto"/>
          <w:sz w:val="24"/>
          <w:szCs w:val="21"/>
          <w:lang w:val="en-US" w:eastAsia="zh-CN"/>
        </w:rPr>
        <w:t>工作者，利用已有的各类资料和野外考察的资料分区分段对评价区生态环境现状和工程建设施工及运营过程中将对</w:t>
      </w:r>
      <w:r>
        <w:rPr>
          <w:rFonts w:hint="eastAsia" w:ascii="Times New Roman" w:hAnsi="Times New Roman" w:eastAsia="宋体" w:cs="宋体"/>
          <w:bCs/>
          <w:color w:val="auto"/>
          <w:sz w:val="24"/>
          <w:szCs w:val="21"/>
          <w:lang w:val="en-US" w:eastAsia="zh-CN"/>
        </w:rPr>
        <w:t>周边</w:t>
      </w:r>
      <w:r>
        <w:rPr>
          <w:rFonts w:hint="default" w:ascii="Times New Roman" w:hAnsi="Times New Roman" w:eastAsia="宋体" w:cs="宋体"/>
          <w:bCs/>
          <w:color w:val="auto"/>
          <w:sz w:val="24"/>
          <w:szCs w:val="21"/>
          <w:lang w:val="en-US" w:eastAsia="zh-CN"/>
        </w:rPr>
        <w:t>植被、植物资源、珍稀植物资源、动物资源、珍稀保护动物资源等生态环境因素的影响进行评价。</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r>
        <w:rPr>
          <w:rFonts w:hint="eastAsia" w:ascii="Times New Roman" w:hAnsi="Times New Roman" w:eastAsia="宋体" w:cs="宋体"/>
          <w:b/>
          <w:bCs w:val="0"/>
          <w:color w:val="auto"/>
          <w:sz w:val="24"/>
          <w:szCs w:val="21"/>
          <w:lang w:val="en-US" w:eastAsia="zh-CN"/>
        </w:rPr>
        <w:t>1、资料收集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收集整理评价区及邻近地区的现有生物多样性资料，在综合分析现有资料的基础上，确定实地考察的重点区域及考察路线。</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宋体"/>
          <w:b/>
          <w:bCs w:val="0"/>
          <w:color w:val="auto"/>
          <w:sz w:val="24"/>
          <w:szCs w:val="21"/>
          <w:lang w:val="en-US" w:eastAsia="zh-CN"/>
        </w:rPr>
      </w:pPr>
      <w:bookmarkStart w:id="244" w:name="_Toc17066"/>
      <w:bookmarkStart w:id="245" w:name="_Toc30250"/>
      <w:r>
        <w:rPr>
          <w:rFonts w:hint="eastAsia" w:ascii="Times New Roman" w:hAnsi="Times New Roman" w:eastAsia="宋体" w:cs="宋体"/>
          <w:b/>
          <w:bCs w:val="0"/>
          <w:color w:val="auto"/>
          <w:sz w:val="24"/>
          <w:szCs w:val="21"/>
          <w:lang w:val="en-US" w:eastAsia="zh-CN"/>
        </w:rPr>
        <w:t>2、</w:t>
      </w:r>
      <w:r>
        <w:rPr>
          <w:rFonts w:hint="default" w:ascii="Times New Roman" w:hAnsi="Times New Roman" w:eastAsia="宋体" w:cs="宋体"/>
          <w:b/>
          <w:bCs w:val="0"/>
          <w:color w:val="auto"/>
          <w:sz w:val="24"/>
          <w:szCs w:val="21"/>
          <w:lang w:val="en-US" w:eastAsia="zh-CN"/>
        </w:rPr>
        <w:t>现场调查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cs="宋体"/>
          <w:bCs/>
          <w:color w:val="auto"/>
          <w:sz w:val="24"/>
          <w:szCs w:val="21"/>
          <w:lang w:val="en-US" w:eastAsia="zh-CN"/>
        </w:rPr>
        <w:t>现场调查方法及相关内容主要引用于</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（1）植物群落调查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由于</w:t>
      </w:r>
      <w:r>
        <w:rPr>
          <w:rFonts w:hint="eastAsia" w:cs="宋体"/>
          <w:bCs/>
          <w:color w:val="auto"/>
          <w:sz w:val="24"/>
          <w:szCs w:val="21"/>
          <w:lang w:val="en-US" w:eastAsia="zh-CN"/>
        </w:rPr>
        <w:t>项目占用区</w:t>
      </w:r>
      <w:r>
        <w:rPr>
          <w:rFonts w:hint="default" w:ascii="Times New Roman" w:hAnsi="Times New Roman" w:eastAsia="宋体" w:cs="宋体"/>
          <w:bCs/>
          <w:color w:val="auto"/>
          <w:sz w:val="24"/>
          <w:szCs w:val="21"/>
          <w:lang w:val="en-US" w:eastAsia="zh-CN"/>
        </w:rPr>
        <w:t>植被多为次生植被，主要为农作物和村落</w:t>
      </w:r>
      <w:r>
        <w:rPr>
          <w:rFonts w:hint="eastAsia" w:ascii="Times New Roman" w:hAnsi="Times New Roman" w:eastAsia="宋体" w:cs="宋体"/>
          <w:bCs/>
          <w:color w:val="auto"/>
          <w:sz w:val="24"/>
          <w:szCs w:val="21"/>
          <w:lang w:val="en-US" w:eastAsia="zh-CN"/>
        </w:rPr>
        <w:t>，均为常见人工植物群落，无自然植物群落存在，本次未</w:t>
      </w:r>
      <w:r>
        <w:rPr>
          <w:rFonts w:hint="eastAsia" w:cs="宋体"/>
          <w:bCs/>
          <w:color w:val="auto"/>
          <w:sz w:val="24"/>
          <w:szCs w:val="21"/>
          <w:lang w:val="en-US" w:eastAsia="zh-CN"/>
        </w:rPr>
        <w:t>对项目占用区内</w:t>
      </w:r>
      <w:r>
        <w:rPr>
          <w:rFonts w:hint="eastAsia" w:ascii="Times New Roman" w:hAnsi="Times New Roman" w:eastAsia="宋体" w:cs="宋体"/>
          <w:bCs/>
          <w:color w:val="auto"/>
          <w:sz w:val="24"/>
          <w:szCs w:val="21"/>
          <w:lang w:val="en-US" w:eastAsia="zh-CN"/>
        </w:rPr>
        <w:t>进行群落调查</w:t>
      </w:r>
      <w:r>
        <w:rPr>
          <w:rFonts w:hint="default"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cs="宋体"/>
          <w:bCs/>
          <w:color w:val="auto"/>
          <w:sz w:val="24"/>
          <w:szCs w:val="21"/>
          <w:lang w:val="en-US" w:eastAsia="zh-CN"/>
        </w:rPr>
        <w:t>项目占用区外评价范围内</w:t>
      </w:r>
      <w:r>
        <w:rPr>
          <w:rFonts w:hint="eastAsia" w:ascii="Times New Roman" w:hAnsi="Times New Roman" w:eastAsia="宋体" w:cs="宋体"/>
          <w:bCs/>
          <w:color w:val="auto"/>
          <w:sz w:val="24"/>
          <w:szCs w:val="21"/>
          <w:lang w:val="en-US" w:eastAsia="zh-CN"/>
        </w:rPr>
        <w:t xml:space="preserve">植被调查采用样方和样线相结合的调查方法。首先在评价区 </w:t>
      </w:r>
      <w:r>
        <w:rPr>
          <w:rFonts w:hint="default" w:ascii="Times New Roman" w:hAnsi="Times New Roman" w:eastAsia="宋体" w:cs="宋体"/>
          <w:bCs/>
          <w:color w:val="auto"/>
          <w:sz w:val="24"/>
          <w:szCs w:val="21"/>
          <w:lang w:val="en-US" w:eastAsia="zh-CN"/>
        </w:rPr>
        <w:t xml:space="preserve">1:1 </w:t>
      </w:r>
      <w:r>
        <w:rPr>
          <w:rFonts w:hint="eastAsia" w:ascii="Times New Roman" w:hAnsi="Times New Roman" w:eastAsia="宋体" w:cs="宋体"/>
          <w:bCs/>
          <w:color w:val="auto"/>
          <w:sz w:val="24"/>
          <w:szCs w:val="21"/>
          <w:lang w:val="en-US" w:eastAsia="zh-CN"/>
        </w:rPr>
        <w:t>万的地形图结合无人机航片初步确定野外调查样线及样方，然后实地调查。每种植被类型均采用法瑞学派样方调查法，乔木取</w:t>
      </w:r>
      <w:r>
        <w:rPr>
          <w:rFonts w:hint="default" w:ascii="Times New Roman" w:hAnsi="Times New Roman" w:eastAsia="宋体" w:cs="宋体"/>
          <w:bCs/>
          <w:color w:val="auto"/>
          <w:sz w:val="24"/>
          <w:szCs w:val="21"/>
          <w:lang w:val="en-US" w:eastAsia="zh-CN"/>
        </w:rPr>
        <w:t>200</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的样方调查，灌丛取</w:t>
      </w:r>
      <w:r>
        <w:rPr>
          <w:rFonts w:hint="default" w:ascii="Times New Roman" w:hAnsi="Times New Roman" w:eastAsia="宋体" w:cs="宋体"/>
          <w:bCs/>
          <w:color w:val="auto"/>
          <w:sz w:val="24"/>
          <w:szCs w:val="21"/>
          <w:lang w:val="en-US" w:eastAsia="zh-CN"/>
        </w:rPr>
        <w:t>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100 m</w:t>
      </w:r>
      <w:r>
        <w:rPr>
          <w:rFonts w:hint="default" w:ascii="Times New Roman" w:hAnsi="Times New Roman" w:eastAsia="宋体" w:cs="宋体"/>
          <w:bCs/>
          <w:color w:val="auto"/>
          <w:sz w:val="24"/>
          <w:szCs w:val="21"/>
          <w:vertAlign w:val="superscript"/>
          <w:lang w:val="en-US" w:eastAsia="zh-CN"/>
        </w:rPr>
        <w:t>2</w:t>
      </w:r>
      <w:r>
        <w:rPr>
          <w:rFonts w:hint="eastAsia" w:ascii="Times New Roman" w:hAnsi="Times New Roman" w:eastAsia="宋体" w:cs="宋体"/>
          <w:bCs/>
          <w:color w:val="auto"/>
          <w:sz w:val="24"/>
          <w:szCs w:val="21"/>
          <w:lang w:val="en-US" w:eastAsia="zh-CN"/>
        </w:rPr>
        <w:t>的样方调查，草丛取</w:t>
      </w: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4 m</w:t>
      </w:r>
      <w:r>
        <w:rPr>
          <w:rFonts w:hint="eastAsia" w:ascii="Times New Roman" w:hAnsi="Times New Roman" w:eastAsia="宋体" w:cs="宋体"/>
          <w:bCs/>
          <w:color w:val="auto"/>
          <w:sz w:val="24"/>
          <w:szCs w:val="21"/>
          <w:lang w:val="en-US" w:eastAsia="zh-CN"/>
        </w:rPr>
        <w:t xml:space="preserve">的样方调查，记录样方内的所有植物种类、物种优势度、群落平均高度、群落郁闭度或盖度 等，并用 </w:t>
      </w:r>
      <w:r>
        <w:rPr>
          <w:rFonts w:hint="default" w:ascii="Times New Roman" w:hAnsi="Times New Roman" w:eastAsia="宋体" w:cs="宋体"/>
          <w:bCs/>
          <w:color w:val="auto"/>
          <w:sz w:val="24"/>
          <w:szCs w:val="21"/>
          <w:lang w:val="en-US" w:eastAsia="zh-CN"/>
        </w:rPr>
        <w:t>GPS</w:t>
      </w:r>
      <w:r>
        <w:rPr>
          <w:rFonts w:hint="eastAsia" w:ascii="Times New Roman" w:hAnsi="Times New Roman" w:eastAsia="宋体" w:cs="宋体"/>
          <w:bCs/>
          <w:color w:val="auto"/>
          <w:sz w:val="24"/>
          <w:szCs w:val="21"/>
          <w:lang w:val="en-US" w:eastAsia="zh-CN"/>
        </w:rPr>
        <w:t xml:space="preserve">确定样方地理坐标。通过分析统计样方调查数据，划分评价区内的植被类型，找出评价区内分布最典型的植被类型，并对其植物群落结构组成进行描述分析。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）植物多样性调查方法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植物多样性调查采用基础资料收集与野外调查相结合的调查方法，野外实地调查时采用样线法和样方法，记录植物的种类、多度、生境特点等信息。重点调查划定工程区的植物多样性，一般调查划定工程区之外的评价区的植物多样性。主要调查内容包括维管植物、珍稀保护植物和古树名木等。发现国家和省级重点保护野生植物、</w:t>
      </w:r>
      <w:r>
        <w:rPr>
          <w:rFonts w:hint="default" w:ascii="Times New Roman" w:hAnsi="Times New Roman" w:eastAsia="宋体" w:cs="宋体"/>
          <w:bCs/>
          <w:color w:val="auto"/>
          <w:sz w:val="24"/>
          <w:szCs w:val="21"/>
          <w:lang w:val="en-US" w:eastAsia="zh-CN"/>
        </w:rPr>
        <w:t xml:space="preserve">IUCN </w:t>
      </w:r>
      <w:r>
        <w:rPr>
          <w:rFonts w:hint="eastAsia" w:ascii="Times New Roman" w:hAnsi="Times New Roman" w:eastAsia="宋体" w:cs="宋体"/>
          <w:bCs/>
          <w:color w:val="auto"/>
          <w:sz w:val="24"/>
          <w:szCs w:val="21"/>
          <w:lang w:val="en-US" w:eastAsia="zh-CN"/>
        </w:rPr>
        <w:t>红皮书附录植物以及省级特有植物，准确记录地理坐标，并对其进行数量统计和生境描述。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（3）陆生</w:t>
      </w:r>
      <w:r>
        <w:rPr>
          <w:rFonts w:hint="eastAsia" w:ascii="Times New Roman" w:hAnsi="Times New Roman" w:eastAsia="宋体" w:cs="宋体"/>
          <w:bCs/>
          <w:color w:val="auto"/>
          <w:sz w:val="24"/>
          <w:szCs w:val="21"/>
          <w:lang w:val="en-US" w:eastAsia="zh-CN"/>
        </w:rPr>
        <w:t>野生</w:t>
      </w:r>
      <w:r>
        <w:rPr>
          <w:rFonts w:hint="default" w:ascii="Times New Roman" w:hAnsi="Times New Roman" w:eastAsia="宋体" w:cs="宋体"/>
          <w:bCs/>
          <w:color w:val="auto"/>
          <w:sz w:val="24"/>
          <w:szCs w:val="21"/>
          <w:lang w:val="en-US" w:eastAsia="zh-CN"/>
        </w:rPr>
        <w:t>动物调查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1</w:t>
      </w:r>
      <w:r>
        <w:rPr>
          <w:rFonts w:hint="eastAsia" w:ascii="Times New Roman" w:hAnsi="Times New Roman" w:eastAsia="宋体" w:cs="宋体"/>
          <w:bCs/>
          <w:color w:val="auto"/>
          <w:sz w:val="24"/>
          <w:szCs w:val="21"/>
          <w:lang w:val="en-US" w:eastAsia="zh-CN"/>
        </w:rPr>
        <w:t xml:space="preserve">）文献资料查阅法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查阅当地的有关科学研究和野外调查资料。比照相应的地理纬度和海拔高度，对照相关的研究资料，核查和收集当地及相邻地区的相关资料。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并且结合国家林业和草原局中南调查规划设计院编写的《湖南东洞庭湖国 家级自然保护区总体规划（</w:t>
      </w:r>
      <w:r>
        <w:rPr>
          <w:rFonts w:hint="default" w:ascii="Times New Roman" w:hAnsi="Times New Roman" w:eastAsia="宋体" w:cs="宋体"/>
          <w:bCs/>
          <w:color w:val="auto"/>
          <w:sz w:val="24"/>
          <w:szCs w:val="21"/>
          <w:lang w:val="en-US" w:eastAsia="zh-CN"/>
        </w:rPr>
        <w:t>2016</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2025</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参考《湖南省两栖动物区系与地理区划》、《湖南省爬行动物区系与地理区划》、《湖南鸟类名录》、《湖南省重点保护兽类种类及分布》等系列论文及当地的区、县市志和林业志等书籍，再结合本次进行的野外考察以及对当地村民和林业工作者的访问，确认评价范围内的野生动物种类及资源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拟定评价区野生动物名录。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w:t>
      </w:r>
      <w:r>
        <w:rPr>
          <w:rFonts w:hint="eastAsia" w:ascii="Times New Roman" w:hAnsi="Times New Roman" w:eastAsia="宋体" w:cs="宋体"/>
          <w:bCs/>
          <w:color w:val="auto"/>
          <w:sz w:val="24"/>
          <w:szCs w:val="21"/>
          <w:lang w:val="en-US" w:eastAsia="zh-CN"/>
        </w:rPr>
        <w:t xml:space="preserve">）访问调查法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访问调查对象主要是对脊椎动物识别有一定经验当地居民和保护区工作人员，通过询问他们近 </w:t>
      </w:r>
      <w:r>
        <w:rPr>
          <w:rFonts w:hint="default" w:ascii="Times New Roman" w:hAnsi="Times New Roman" w:eastAsia="宋体" w:cs="宋体"/>
          <w:bCs/>
          <w:color w:val="auto"/>
          <w:sz w:val="24"/>
          <w:szCs w:val="21"/>
          <w:lang w:val="en-US" w:eastAsia="zh-CN"/>
        </w:rPr>
        <w:t xml:space="preserve">5 </w:t>
      </w:r>
      <w:r>
        <w:rPr>
          <w:rFonts w:hint="eastAsia" w:ascii="Times New Roman" w:hAnsi="Times New Roman" w:eastAsia="宋体" w:cs="宋体"/>
          <w:bCs/>
          <w:color w:val="auto"/>
          <w:sz w:val="24"/>
          <w:szCs w:val="21"/>
          <w:lang w:val="en-US" w:eastAsia="zh-CN"/>
        </w:rPr>
        <w:t xml:space="preserve">年在项目评价区观察到的动物实体和活动痕迹，采用对照野生动物图谱、生物学特征等相关识别手段进行判定。调查农贸市场、餐馆、了解物种种类后，再根据特征进行物种判定或查阅资料确定访问到的物种。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3</w:t>
      </w:r>
      <w:r>
        <w:rPr>
          <w:rFonts w:hint="eastAsia" w:ascii="Times New Roman" w:hAnsi="Times New Roman" w:eastAsia="宋体" w:cs="宋体"/>
          <w:bCs/>
          <w:color w:val="auto"/>
          <w:sz w:val="24"/>
          <w:szCs w:val="21"/>
          <w:lang w:val="en-US" w:eastAsia="zh-CN"/>
        </w:rPr>
        <w:t xml:space="preserve">）样带调查法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①两栖爬行动物调查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两栖、爬行动物调查主要采用常规路线调查，同时辅以样带法、访问法等。在不同生境设置长度不等的样带，晚上用手电、头灯等照明工具沿固定样线进行调查。记录发现点生境特征及样带长度，并用专业数码相机对物种及生境进行拍照，供物种鉴定和内业整理时参考。根据《中国两栖动物及其分布彩色图鉴》</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费梁，</w:t>
      </w:r>
      <w:r>
        <w:rPr>
          <w:rFonts w:hint="default" w:ascii="Times New Roman" w:hAnsi="Times New Roman" w:eastAsia="宋体" w:cs="宋体"/>
          <w:bCs/>
          <w:color w:val="auto"/>
          <w:sz w:val="24"/>
          <w:szCs w:val="21"/>
          <w:lang w:val="en-US" w:eastAsia="zh-CN"/>
        </w:rPr>
        <w:t>2012)</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两栖纲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沈猷慧等</w:t>
      </w:r>
      <w:r>
        <w:rPr>
          <w:rFonts w:hint="default" w:ascii="Times New Roman" w:hAnsi="Times New Roman" w:eastAsia="宋体" w:cs="宋体"/>
          <w:bCs/>
          <w:color w:val="auto"/>
          <w:sz w:val="24"/>
          <w:szCs w:val="21"/>
          <w:lang w:val="en-US" w:eastAsia="zh-CN"/>
        </w:rPr>
        <w:t>, 2014)</w:t>
      </w:r>
      <w:r>
        <w:rPr>
          <w:rFonts w:hint="eastAsia" w:ascii="Times New Roman" w:hAnsi="Times New Roman" w:eastAsia="宋体" w:cs="宋体"/>
          <w:bCs/>
          <w:color w:val="auto"/>
          <w:sz w:val="24"/>
          <w:szCs w:val="21"/>
          <w:lang w:val="en-US" w:eastAsia="zh-CN"/>
        </w:rPr>
        <w:t>，《中国蛇类》</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上、下册</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、湖南动物志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爬行纲</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、《中国爬行动物图鉴》，《湖南省两栖、爬行动物物种多样性及其受危等级评估》（高志10伟，</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）等参考书对物种进行鉴定分类，地理区划参考《湖南省两栖动物调查及区系分析》</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沈猷慧，</w:t>
      </w:r>
      <w:r>
        <w:rPr>
          <w:rFonts w:hint="default" w:ascii="Times New Roman" w:hAnsi="Times New Roman" w:eastAsia="宋体" w:cs="宋体"/>
          <w:bCs/>
          <w:color w:val="auto"/>
          <w:sz w:val="24"/>
          <w:szCs w:val="21"/>
          <w:lang w:val="en-US" w:eastAsia="zh-CN"/>
        </w:rPr>
        <w:t>1983)</w:t>
      </w:r>
      <w:r>
        <w:rPr>
          <w:rFonts w:hint="eastAsia" w:ascii="Times New Roman" w:hAnsi="Times New Roman" w:eastAsia="宋体" w:cs="宋体"/>
          <w:bCs/>
          <w:color w:val="auto"/>
          <w:sz w:val="24"/>
          <w:szCs w:val="21"/>
          <w:lang w:val="en-US" w:eastAsia="zh-CN"/>
        </w:rPr>
        <w:t>和《中国动物地理》</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张荣祖，</w:t>
      </w:r>
      <w:r>
        <w:rPr>
          <w:rFonts w:hint="default" w:ascii="Times New Roman" w:hAnsi="Times New Roman" w:eastAsia="宋体" w:cs="宋体"/>
          <w:bCs/>
          <w:color w:val="auto"/>
          <w:sz w:val="24"/>
          <w:szCs w:val="21"/>
          <w:lang w:val="en-US" w:eastAsia="zh-CN"/>
        </w:rPr>
        <w:t>2011)</w:t>
      </w:r>
      <w:r>
        <w:rPr>
          <w:rFonts w:hint="eastAsia" w:ascii="Times New Roman" w:hAnsi="Times New Roman" w:eastAsia="宋体" w:cs="宋体"/>
          <w:bCs/>
          <w:color w:val="auto"/>
          <w:sz w:val="24"/>
          <w:szCs w:val="21"/>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②鸟类调查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鸟类调查主要采用样带法，结合样点法和访问调查法。样线法主要采用可变距离样带法，根据调查区域的地形地貌和鸟类栖息地类型，设置不同长度的样带沿布设的固定样线徒步行走，对观察到的鸟类使用专业数码相机对其生境及物种进行拍照，并用平板电脑中的奥维软件记录样线起点、终点坐标和样线长度等信息。同时访问当地有经验的老猎人和村民，详细了解该地区鸟类资源状况。根据《中国鸟类图鉴》、《湖南省动物志</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鸟纲雀形目》、《中国鸟类分类与分布名录》</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第四版</w:t>
      </w:r>
      <w:r>
        <w:rPr>
          <w:rFonts w:hint="default" w:ascii="Times New Roman" w:hAnsi="Times New Roman" w:eastAsia="宋体" w:cs="宋体"/>
          <w:bCs/>
          <w:color w:val="auto"/>
          <w:sz w:val="24"/>
          <w:szCs w:val="21"/>
          <w:lang w:val="en-US" w:eastAsia="zh-CN"/>
        </w:rPr>
        <w:t>)</w:t>
      </w:r>
      <w:r>
        <w:rPr>
          <w:rFonts w:hint="eastAsia" w:ascii="Times New Roman" w:hAnsi="Times New Roman" w:eastAsia="宋体" w:cs="宋体"/>
          <w:bCs/>
          <w:color w:val="auto"/>
          <w:sz w:val="24"/>
          <w:szCs w:val="21"/>
          <w:lang w:val="en-US" w:eastAsia="zh-CN"/>
        </w:rPr>
        <w:t xml:space="preserve">等参考书对物种进行鉴定。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③兽类调查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兽类调查主要采用样带法、访问调查法和文献查阅法。依据不同的海拔、不同生境选取观察路线，统计路线两边兽类的足迹、粪便、叫声、活动迹象以及活体的活动情况等。同时走访当地有经验的居民和保护区工作人员，根据访问调查结果再结合相关文献来确定兽类物种名录。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 xml:space="preserve">④鱼类调查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首先查阅相关文献，了解项目评价区内的水文等自然条件，同时走访当地村民和农贸市场，确定鱼类名录。</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（4）景观调查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利用地形图、近期卫星影像图、无人机航片与</w:t>
      </w:r>
      <w:r>
        <w:rPr>
          <w:rFonts w:hint="default" w:ascii="Times New Roman" w:hAnsi="Times New Roman" w:eastAsia="宋体" w:cs="宋体"/>
          <w:bCs/>
          <w:color w:val="auto"/>
          <w:sz w:val="24"/>
          <w:szCs w:val="21"/>
          <w:lang w:val="en-US" w:eastAsia="zh-CN"/>
        </w:rPr>
        <w:t>2022</w:t>
      </w:r>
      <w:r>
        <w:rPr>
          <w:rFonts w:hint="eastAsia" w:ascii="Times New Roman" w:hAnsi="Times New Roman" w:eastAsia="宋体" w:cs="宋体"/>
          <w:bCs/>
          <w:color w:val="auto"/>
          <w:sz w:val="24"/>
          <w:szCs w:val="21"/>
          <w:lang w:val="en-US" w:eastAsia="zh-CN"/>
        </w:rPr>
        <w:t>年林草湿“一张图”，对项目区与影响评价区的景观类型进行区划，并记录。</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3.2.2 项目区域生态环境现状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（1）</w:t>
      </w:r>
      <w:r>
        <w:rPr>
          <w:rFonts w:hint="default" w:ascii="Times New Roman" w:hAnsi="Times New Roman" w:eastAsia="宋体" w:cs="宋体"/>
          <w:bCs/>
          <w:color w:val="auto"/>
          <w:sz w:val="24"/>
          <w:szCs w:val="21"/>
          <w:lang w:val="en-US" w:eastAsia="zh-CN"/>
        </w:rPr>
        <w:t>主体功能区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根据《湖南省主体功能区规划》，本工程位于国家级重点开发区，项目占地涉及建设项目环境影响评价分类管理名录（2021 年版）中提及的生态环境敏感区</w:t>
      </w:r>
      <w:r>
        <w:rPr>
          <w:rFonts w:hint="eastAsia" w:ascii="Times New Roman" w:hAnsi="Times New Roman" w:eastAsia="宋体" w:cs="宋体"/>
          <w:bCs/>
          <w:color w:val="auto"/>
          <w:sz w:val="24"/>
          <w:szCs w:val="21"/>
          <w:lang w:val="en-US" w:eastAsia="zh-CN"/>
        </w:rPr>
        <w:t>：第三条（一）中的全部区域：湖南东洞庭湖国家级自然保护区。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（2）生态功能区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根据《全国生态功能区划》（修编版），全国生态功能区划体系分为3个大类、9个小类、242个生态功能区，项目所在区域位于II-01-22湖南中部丘陵农产品提供功能区，属于产品提供大类，农产品提供小类。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（3）地形</w:t>
      </w:r>
      <w:r>
        <w:rPr>
          <w:rFonts w:hint="eastAsia" w:ascii="Times New Roman" w:hAnsi="Times New Roman" w:eastAsia="宋体" w:cs="宋体"/>
          <w:bCs/>
          <w:color w:val="auto"/>
          <w:sz w:val="24"/>
          <w:szCs w:val="21"/>
          <w:lang w:val="en-US" w:eastAsia="zh-CN"/>
        </w:rPr>
        <w:t>地质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岳阳市华容县团洲乡位于中国湖南省的东部，是一个典型的南方丘陵地区。团洲乡位于长江中游的洞庭湖区南缘，属于扬子地台的南缘部分。该地区地质构造复杂，多种地质构造单元交错分布。该地区经历了多次构造运动，主要受印支运动和燕山运动的影响，形成了多样的地层和地质构造。前寒武纪地层主要由变质岩组成，如片麻岩、片岩和石英岩等。这些地层具有较高的强度和稳定性。古生代地层包括奥陶纪、志留纪和泥盆纪的沉积岩，如灰岩、页岩和砂岩等。这些地层在地质构造活动中形成了复杂的褶皱和断裂。中生代地层主要是三叠纪和侏罗纪的沉积岩，如红色砂岩、泥岩等。这些地层多为河湖相沉积，厚度变化较大。新生代地层包括第三纪和第四纪的沉积物，如粘土、砂砾石和黄土等。这些地层主要分布在低洼地区和河谷地带，厚度较小但广泛分布。褶皱构造团洲乡的地层受多次构造运动影响，形成了明显的褶皱构造。主要表现为轴向东西走向的紧闭褶皱，这些褶皱在地表常形成丘陵和山脉。该地区存在多条断裂带，主要为北东向和北西向断裂。断裂活动频繁，导致地层错动和破碎，对地质稳定性产生一定影响。团洲乡的地质构造还包括多个沉积盆地和河流沉积体系，这些构造在地表形成了平原和洼地，为农业和城市建设提供了良好的地质条件。因为地形多丘陵和山区，降雨量丰富，加上地质构造复杂，容易发生滑坡和崩塌等地质灾害。</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（4）动物分布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陆生脊椎动物以禽类和鼠类为主；华容县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内有众多数量的沟、港、湖泊，浮游生物丰富，为鱼类的栖居、索饵、产卵和洄游提供了良好场所，淡水鱼产地。目前现有鱼类11目22科114种。未发现珍稀、濒危物种和国家、地方保护物种。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（5）植被分布</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华容县</w:t>
      </w:r>
      <w:r>
        <w:rPr>
          <w:rFonts w:hint="eastAsia" w:ascii="Times New Roman" w:hAnsi="Times New Roman" w:eastAsia="宋体" w:cs="宋体"/>
          <w:bCs/>
          <w:color w:val="auto"/>
          <w:sz w:val="24"/>
          <w:szCs w:val="21"/>
          <w:lang w:val="en-US" w:eastAsia="zh-CN"/>
        </w:rPr>
        <w:t>团洲乡</w:t>
      </w:r>
      <w:r>
        <w:rPr>
          <w:rFonts w:hint="default" w:ascii="Times New Roman" w:hAnsi="Times New Roman" w:eastAsia="宋体" w:cs="宋体"/>
          <w:bCs/>
          <w:color w:val="auto"/>
          <w:sz w:val="24"/>
          <w:szCs w:val="21"/>
          <w:lang w:val="en-US" w:eastAsia="zh-CN"/>
        </w:rPr>
        <w:t>为主要农业产区，水田多种水稻，旱地多种油菜、棉花，其他有各类零星瓜果蔬菜等</w:t>
      </w:r>
      <w:r>
        <w:rPr>
          <w:rFonts w:hint="eastAsia" w:ascii="Times New Roman" w:hAnsi="Times New Roman" w:eastAsia="宋体" w:cs="宋体"/>
          <w:bCs/>
          <w:color w:val="auto"/>
          <w:sz w:val="24"/>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eastAsia" w:ascii="Times New Roman" w:hAnsi="Times New Roman" w:eastAsia="宋体" w:cs="宋体"/>
          <w:bCs/>
          <w:color w:val="auto"/>
          <w:sz w:val="24"/>
          <w:szCs w:val="21"/>
          <w:lang w:val="en-US" w:eastAsia="zh-CN"/>
        </w:rPr>
        <w:t>项目区域及周边</w:t>
      </w:r>
      <w:r>
        <w:rPr>
          <w:rFonts w:hint="default" w:ascii="Times New Roman" w:hAnsi="Times New Roman" w:eastAsia="宋体" w:cs="宋体"/>
          <w:bCs/>
          <w:color w:val="auto"/>
          <w:sz w:val="24"/>
          <w:szCs w:val="21"/>
          <w:lang w:val="en-US" w:eastAsia="zh-CN"/>
        </w:rPr>
        <w:t>未见古树名木及其他珍稀、濒危物种和国家、地方保护物种。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宋体"/>
          <w:bCs/>
          <w:color w:val="auto"/>
          <w:sz w:val="24"/>
          <w:szCs w:val="21"/>
          <w:lang w:val="en-US" w:eastAsia="zh-CN"/>
        </w:rPr>
      </w:pPr>
      <w:r>
        <w:rPr>
          <w:rFonts w:hint="default" w:ascii="Times New Roman" w:hAnsi="Times New Roman" w:eastAsia="宋体" w:cs="宋体"/>
          <w:bCs/>
          <w:color w:val="auto"/>
          <w:sz w:val="24"/>
          <w:szCs w:val="21"/>
          <w:lang w:val="en-US" w:eastAsia="zh-CN"/>
        </w:rPr>
        <w:t>（6）水土流失现状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eastAsia="宋体" w:cs="宋体"/>
          <w:bCs/>
          <w:color w:val="auto"/>
          <w:sz w:val="24"/>
          <w:szCs w:val="21"/>
          <w:lang w:val="en-US" w:eastAsia="zh-CN"/>
        </w:rPr>
        <w:t>根据《土壤侵蚀分类分级标准》（SL190-2007），在全国土壤侵蚀类型区划中，项目区属于以水力侵蚀为主的类型区中的南方红壤丘陵区，其土壤容许流失量为500t/k㎡.a；项目区水土流失侵蚀形态以轻度水力侵蚀为主，水蚀又以面蚀为主，沟蚀次之。</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1）华容县水土流失现状</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根据2022年湖南省水土保持公报中（2022年湖南省水土保持率及水土流失面积表）华容县数据，水土保持率为99.26%，项目区所在的华容县水土流失面积为11.72km²，按水土流失强度分级为：轻度侵蚀面积10.34km²，占水土流失总面积的88.23%；中度侵蚀面积1.36km²，占水土流失总面积的11.60%；强烈侵蚀面积0.01km2，占水土流失总面积的0.09%；极强烈侵蚀面积0.01km²，占水土流失总面积的0.09%；剧烈侵蚀面积0.00km²，占水土流失总面积的0.00%；华容县水土流失面积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华容县水土流失现状</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920"/>
        <w:gridCol w:w="1404"/>
        <w:gridCol w:w="3957"/>
        <w:gridCol w:w="20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3767" w:type="pct"/>
            <w:gridSpan w:val="3"/>
            <w:tcBorders>
              <w:tl2br w:val="nil"/>
              <w:tr2bl w:val="nil"/>
            </w:tcBorders>
            <w:shd w:val="clear" w:color="auto" w:fill="auto"/>
            <w:noWrap w:val="0"/>
            <w:vAlign w:val="center"/>
          </w:tcPr>
          <w:p>
            <w:pPr>
              <w:pStyle w:val="67"/>
              <w:jc w:val="center"/>
              <w:rPr>
                <w:rFonts w:hint="default" w:ascii="Times New Roman" w:hAnsi="Times New Roman" w:cs="Times New Roman"/>
                <w:b/>
                <w:bCs/>
                <w:color w:val="auto"/>
              </w:rPr>
            </w:pPr>
            <w:r>
              <w:rPr>
                <w:rFonts w:hint="default" w:ascii="Times New Roman" w:hAnsi="Times New Roman" w:cs="Times New Roman"/>
                <w:b/>
                <w:bCs/>
                <w:color w:val="auto"/>
              </w:rPr>
              <w:t>水土流失面积（km</w:t>
            </w:r>
            <w:r>
              <w:rPr>
                <w:rFonts w:hint="default" w:ascii="Times New Roman" w:hAnsi="Times New Roman" w:cs="Times New Roman"/>
                <w:b/>
                <w:bCs/>
                <w:color w:val="auto"/>
                <w:vertAlign w:val="superscript"/>
              </w:rPr>
              <w:t>2</w:t>
            </w:r>
            <w:r>
              <w:rPr>
                <w:rFonts w:hint="default" w:ascii="Times New Roman" w:hAnsi="Times New Roman" w:cs="Times New Roman"/>
                <w:b/>
                <w:bCs/>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b/>
                <w:bCs/>
                <w:color w:val="auto"/>
              </w:rPr>
            </w:pPr>
            <w:r>
              <w:rPr>
                <w:rFonts w:hint="default" w:ascii="Times New Roman" w:hAnsi="Times New Roman" w:cs="Times New Roman"/>
                <w:b/>
                <w:bCs/>
                <w:color w:val="auto"/>
              </w:rPr>
              <w:t>11.72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水土流失强度</w:t>
            </w:r>
          </w:p>
        </w:tc>
        <w:tc>
          <w:tcPr>
            <w:tcW w:w="3214" w:type="pct"/>
            <w:gridSpan w:val="2"/>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微度侵蚀面积（km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轻度</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10.34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88.23%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中度</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11.60%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强烈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restar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极强烈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 w:type="dxa"/>
            <w:bottom w:w="0" w:type="dxa"/>
            <w:right w:w="10" w:type="dxa"/>
          </w:tblCellMar>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占水土流失面积比重</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trHeight w:val="363" w:hRule="atLeast"/>
          <w:jc w:val="center"/>
        </w:trPr>
        <w:tc>
          <w:tcPr>
            <w:tcW w:w="552" w:type="pct"/>
            <w:vMerge w:val="continue"/>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p>
        </w:tc>
        <w:tc>
          <w:tcPr>
            <w:tcW w:w="84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剧烈</w:t>
            </w:r>
          </w:p>
        </w:tc>
        <w:tc>
          <w:tcPr>
            <w:tcW w:w="2372"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面积（km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1233" w:type="pct"/>
            <w:tcBorders>
              <w:tl2br w:val="nil"/>
              <w:tr2bl w:val="nil"/>
            </w:tcBorders>
            <w:shd w:val="clear" w:color="auto" w:fill="auto"/>
            <w:noWrap w:val="0"/>
            <w:vAlign w:val="center"/>
          </w:tcPr>
          <w:p>
            <w:pPr>
              <w:pStyle w:val="67"/>
              <w:jc w:val="center"/>
              <w:rPr>
                <w:rFonts w:hint="default" w:ascii="Times New Roman" w:hAnsi="Times New Roman" w:cs="Times New Roman"/>
                <w:color w:val="auto"/>
              </w:rPr>
            </w:pPr>
            <w:r>
              <w:rPr>
                <w:rFonts w:hint="default" w:ascii="Times New Roman" w:hAnsi="Times New Roman" w:cs="Times New Roman"/>
                <w:color w:val="auto"/>
              </w:rPr>
              <w:t>0</w:t>
            </w:r>
          </w:p>
        </w:tc>
      </w:tr>
    </w:tbl>
    <w:p>
      <w:pPr>
        <w:pStyle w:val="65"/>
        <w:ind w:firstLine="480"/>
        <w:rPr>
          <w:rFonts w:hint="default" w:ascii="Times New Roman" w:hAnsi="Times New Roman" w:cs="Times New Roman"/>
          <w:color w:val="auto"/>
        </w:rPr>
      </w:pPr>
      <w:r>
        <w:rPr>
          <w:rFonts w:hint="default" w:ascii="Times New Roman" w:hAnsi="Times New Roman" w:cs="Times New Roman"/>
          <w:color w:val="auto"/>
        </w:rPr>
        <w:t>2）项目区水土流失现状</w:t>
      </w:r>
    </w:p>
    <w:p>
      <w:pPr>
        <w:pStyle w:val="65"/>
        <w:ind w:firstLine="480"/>
        <w:rPr>
          <w:rFonts w:hint="default" w:ascii="Times New Roman" w:hAnsi="Times New Roman" w:eastAsia="宋体" w:cs="Times New Roman"/>
          <w:color w:val="auto"/>
        </w:rPr>
      </w:pPr>
      <w:r>
        <w:rPr>
          <w:rFonts w:hint="default" w:ascii="Times New Roman" w:hAnsi="Times New Roman" w:cs="Times New Roman"/>
          <w:color w:val="auto"/>
        </w:rPr>
        <w:t>项目区侵蚀强度背景值：根据现场调查，植被主要作为水域及水利设施用地草地和其他草地，原生土壤侵蚀模数取500t/（km²·a）以下，属轻度流失。已造成水土流失的危害性调查：项目</w:t>
      </w:r>
      <w:r>
        <w:rPr>
          <w:rFonts w:hint="eastAsia" w:ascii="Times New Roman" w:hAnsi="Times New Roman" w:cs="Times New Roman"/>
          <w:color w:val="auto"/>
          <w:lang w:val="en-US" w:eastAsia="zh-CN"/>
        </w:rPr>
        <w:t>已完成工程建设</w:t>
      </w:r>
      <w:r>
        <w:rPr>
          <w:rFonts w:hint="default" w:ascii="Times New Roman" w:hAnsi="Times New Roman" w:cs="Times New Roman"/>
          <w:color w:val="auto"/>
        </w:rPr>
        <w:t>，未发生重大水土流失危害事件。依</w:t>
      </w:r>
      <w:r>
        <w:rPr>
          <w:rFonts w:hint="default" w:ascii="Times New Roman" w:hAnsi="Times New Roman" w:eastAsia="宋体" w:cs="Times New Roman"/>
          <w:color w:val="auto"/>
        </w:rPr>
        <w:t>据《土壤侵蚀分类分级标准》（SL190-2007），项目区属于以水力侵蚀为主的南方红壤平原区，容许土壤侵蚀模数为500t/（km²·a）。</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湖南东洞庭湖国家级自然保护区</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5"/>
        <w:ind w:firstLine="480"/>
        <w:rPr>
          <w:rFonts w:hint="eastAsia" w:ascii="Times New Roman" w:hAnsi="Times New Roman" w:cs="Times New Roman"/>
          <w:color w:val="auto"/>
          <w:lang w:eastAsia="zh-CN"/>
        </w:rPr>
      </w:pPr>
      <w:r>
        <w:rPr>
          <w:rFonts w:hint="default" w:ascii="Times New Roman" w:hAnsi="Times New Roman" w:eastAsia="宋体"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w:t>
      </w:r>
      <w:r>
        <w:rPr>
          <w:rFonts w:hint="default" w:ascii="Times New Roman" w:hAnsi="Times New Roman" w:cs="Times New Roman"/>
          <w:color w:val="auto"/>
        </w:rPr>
        <w:t>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pStyle w:val="65"/>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5"/>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5"/>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5"/>
        <w:ind w:firstLine="480"/>
        <w:rPr>
          <w:rFonts w:hint="eastAsia" w:ascii="Times New Roman" w:hAnsi="Times New Roman" w:cs="Times New Roman"/>
          <w:color w:val="auto"/>
        </w:rPr>
      </w:pPr>
      <w:r>
        <w:rPr>
          <w:rFonts w:hint="eastAsia" w:ascii="Times New Roman" w:hAnsi="Times New Roman" w:cs="Times New Roman"/>
          <w:color w:val="auto"/>
        </w:rPr>
        <w:t>壮丽的湿地景观：洞庭湖纳湘江、资江、澧水、沅江四水，吞吐长江，浩浩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5"/>
        <w:ind w:firstLine="480"/>
        <w:rPr>
          <w:rFonts w:hint="eastAsia" w:ascii="Times New Roman" w:hAnsi="Times New Roman" w:eastAsia="宋体" w:cs="Times New Roman"/>
          <w:color w:val="auto"/>
          <w:szCs w:val="22"/>
          <w:lang w:val="en-US" w:eastAsia="zh-CN"/>
        </w:rPr>
      </w:pPr>
      <w:r>
        <w:rPr>
          <w:rFonts w:hint="default" w:ascii="Times New Roman" w:hAnsi="Times New Roman"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其</w:t>
      </w:r>
      <w:r>
        <w:rPr>
          <w:rFonts w:hint="default" w:ascii="Times New Roman" w:hAnsi="Times New Roman" w:eastAsia="宋体" w:cs="Times New Roman"/>
          <w:color w:val="auto"/>
          <w:szCs w:val="22"/>
        </w:rPr>
        <w:t>数量之多，场面之壮观，品种之珍稀实属国内少有，为世人所瞩目。</w:t>
      </w:r>
    </w:p>
    <w:p>
      <w:pPr>
        <w:pStyle w:val="65"/>
        <w:ind w:firstLine="480"/>
        <w:rPr>
          <w:rFonts w:hint="default" w:ascii="Times New Roman" w:hAnsi="Times New Roman" w:eastAsia="宋体" w:cs="Times New Roman"/>
          <w:color w:val="auto"/>
          <w:szCs w:val="22"/>
        </w:rPr>
      </w:pPr>
      <w:r>
        <w:rPr>
          <w:rFonts w:hint="eastAsia" w:ascii="Times New Roman" w:hAnsi="Times New Roman" w:eastAsia="宋体" w:cs="Times New Roman"/>
          <w:color w:val="auto"/>
          <w:szCs w:val="22"/>
          <w:lang w:eastAsia="zh-CN"/>
        </w:rPr>
        <w:t>（</w:t>
      </w:r>
      <w:r>
        <w:rPr>
          <w:rFonts w:hint="eastAsia" w:ascii="Times New Roman" w:hAnsi="Times New Roman" w:eastAsia="宋体" w:cs="Times New Roman"/>
          <w:color w:val="auto"/>
          <w:szCs w:val="22"/>
          <w:lang w:val="en-US" w:eastAsia="zh-CN"/>
        </w:rPr>
        <w:t>7</w:t>
      </w:r>
      <w:r>
        <w:rPr>
          <w:rFonts w:hint="eastAsia" w:ascii="Times New Roman" w:hAnsi="Times New Roman" w:eastAsia="宋体" w:cs="Times New Roman"/>
          <w:color w:val="auto"/>
          <w:szCs w:val="22"/>
          <w:lang w:eastAsia="zh-CN"/>
        </w:rPr>
        <w:t>）</w:t>
      </w:r>
      <w:r>
        <w:rPr>
          <w:rFonts w:hint="default" w:ascii="Times New Roman" w:hAnsi="Times New Roman" w:eastAsia="宋体" w:cs="Times New Roman"/>
          <w:color w:val="auto"/>
          <w:szCs w:val="22"/>
          <w:lang w:val="en-US" w:eastAsia="zh-CN"/>
        </w:rPr>
        <w:t>区域生态环境</w:t>
      </w:r>
      <w:r>
        <w:rPr>
          <w:rFonts w:hint="default" w:ascii="Times New Roman" w:hAnsi="Times New Roman" w:eastAsia="宋体" w:cs="Times New Roman"/>
          <w:color w:val="auto"/>
          <w:szCs w:val="22"/>
        </w:rPr>
        <w:t>现状</w:t>
      </w:r>
    </w:p>
    <w:p>
      <w:pPr>
        <w:pStyle w:val="65"/>
        <w:ind w:firstLine="480"/>
        <w:rPr>
          <w:rFonts w:hint="default" w:ascii="Times New Roman" w:hAnsi="Times New Roman" w:eastAsia="宋体" w:cs="Times New Roman"/>
          <w:color w:val="auto"/>
          <w:szCs w:val="22"/>
          <w:lang w:eastAsia="zh-CN"/>
        </w:rPr>
      </w:pPr>
      <w:r>
        <w:rPr>
          <w:rFonts w:hint="default" w:ascii="Times New Roman" w:hAnsi="Times New Roman" w:eastAsia="宋体" w:cs="Times New Roman"/>
          <w:color w:val="auto"/>
          <w:szCs w:val="22"/>
        </w:rPr>
        <w:t>项目影响区域</w:t>
      </w:r>
      <w:r>
        <w:rPr>
          <w:rFonts w:hint="default" w:ascii="Times New Roman" w:hAnsi="Times New Roman" w:eastAsia="宋体" w:cs="Times New Roman"/>
          <w:color w:val="auto"/>
          <w:szCs w:val="22"/>
          <w:lang w:val="en-US" w:eastAsia="zh-CN"/>
        </w:rPr>
        <w:t>内生态系统为</w:t>
      </w:r>
      <w:r>
        <w:rPr>
          <w:rFonts w:hint="default" w:ascii="Times New Roman" w:hAnsi="Times New Roman" w:eastAsia="宋体" w:cs="Times New Roman"/>
          <w:color w:val="auto"/>
          <w:szCs w:val="22"/>
        </w:rPr>
        <w:t>以人工植被为主的农业生态系统</w:t>
      </w:r>
      <w:r>
        <w:rPr>
          <w:rFonts w:hint="default" w:ascii="Times New Roman" w:hAnsi="Times New Roman" w:eastAsia="宋体" w:cs="Times New Roman"/>
          <w:color w:val="auto"/>
          <w:szCs w:val="22"/>
          <w:lang w:val="en-US" w:eastAsia="zh-CN"/>
        </w:rPr>
        <w:t>以及</w:t>
      </w:r>
      <w:r>
        <w:rPr>
          <w:rFonts w:hint="default" w:ascii="Times New Roman" w:hAnsi="Times New Roman" w:eastAsia="宋体" w:cs="Times New Roman"/>
          <w:color w:val="auto"/>
          <w:szCs w:val="22"/>
        </w:rPr>
        <w:t>镇区等人工生态系统，主要种植农作物和经济作物。</w:t>
      </w:r>
      <w:r>
        <w:rPr>
          <w:rFonts w:hint="default" w:ascii="Times New Roman" w:hAnsi="Times New Roman" w:eastAsia="宋体" w:cs="Times New Roman"/>
          <w:color w:val="auto"/>
          <w:szCs w:val="22"/>
          <w:lang w:val="en-US" w:eastAsia="zh-CN"/>
        </w:rPr>
        <w:t>区域内用地主要为</w:t>
      </w:r>
      <w:r>
        <w:rPr>
          <w:rFonts w:hint="default" w:ascii="Times New Roman" w:hAnsi="Times New Roman" w:eastAsia="宋体" w:cs="Times New Roman"/>
          <w:color w:val="auto"/>
          <w:szCs w:val="22"/>
        </w:rPr>
        <w:t>荒地和农田，农田种植一季或两季成熟的农作物，</w:t>
      </w:r>
      <w:r>
        <w:rPr>
          <w:rFonts w:hint="default" w:ascii="Times New Roman" w:hAnsi="Times New Roman" w:eastAsia="宋体" w:cs="Times New Roman"/>
          <w:color w:val="auto"/>
          <w:szCs w:val="22"/>
          <w:lang w:val="en-US" w:eastAsia="zh-CN"/>
        </w:rPr>
        <w:t>主要为水稻、油菜</w:t>
      </w:r>
      <w:r>
        <w:rPr>
          <w:rFonts w:hint="eastAsia" w:ascii="Times New Roman" w:hAnsi="Times New Roman" w:cs="Times New Roman"/>
          <w:color w:val="auto"/>
          <w:szCs w:val="22"/>
          <w:lang w:val="en-US" w:eastAsia="zh-CN"/>
        </w:rPr>
        <w:t>、玉米</w:t>
      </w:r>
      <w:r>
        <w:rPr>
          <w:rFonts w:hint="default" w:ascii="Times New Roman" w:hAnsi="Times New Roman" w:eastAsia="宋体" w:cs="Times New Roman"/>
          <w:color w:val="auto"/>
          <w:szCs w:val="22"/>
          <w:lang w:val="en-US" w:eastAsia="zh-CN"/>
        </w:rPr>
        <w:t>等，</w:t>
      </w:r>
      <w:r>
        <w:rPr>
          <w:rFonts w:hint="default" w:ascii="Times New Roman" w:hAnsi="Times New Roman" w:eastAsia="宋体" w:cs="Times New Roman"/>
          <w:color w:val="auto"/>
          <w:szCs w:val="22"/>
        </w:rPr>
        <w:t>受人为干扰作用很大。调查范围内植被类型和植被群落结构都比较单一，以</w:t>
      </w:r>
      <w:r>
        <w:rPr>
          <w:rFonts w:hint="default" w:ascii="Times New Roman" w:hAnsi="Times New Roman" w:eastAsia="宋体" w:cs="Times New Roman"/>
          <w:color w:val="auto"/>
          <w:szCs w:val="22"/>
          <w:lang w:val="en-US" w:eastAsia="zh-CN"/>
        </w:rPr>
        <w:t>农业系统</w:t>
      </w:r>
      <w:r>
        <w:rPr>
          <w:rFonts w:hint="default" w:ascii="Times New Roman" w:hAnsi="Times New Roman" w:eastAsia="宋体" w:cs="Times New Roman"/>
          <w:color w:val="auto"/>
          <w:szCs w:val="22"/>
        </w:rPr>
        <w:t>为主，</w:t>
      </w:r>
      <w:r>
        <w:rPr>
          <w:rFonts w:hint="default" w:ascii="Times New Roman" w:hAnsi="Times New Roman" w:eastAsia="宋体" w:cs="Times New Roman"/>
          <w:color w:val="auto"/>
          <w:szCs w:val="22"/>
          <w:lang w:val="en-US" w:eastAsia="zh-CN"/>
        </w:rPr>
        <w:t>周边</w:t>
      </w:r>
      <w:r>
        <w:rPr>
          <w:rFonts w:hint="default" w:ascii="Times New Roman" w:hAnsi="Times New Roman" w:eastAsia="宋体" w:cs="Times New Roman"/>
          <w:color w:val="auto"/>
          <w:szCs w:val="22"/>
        </w:rPr>
        <w:t>林地也受到一定的人为干扰</w:t>
      </w:r>
      <w:r>
        <w:rPr>
          <w:rFonts w:hint="default" w:ascii="Times New Roman" w:hAnsi="Times New Roman" w:cs="Times New Roman"/>
          <w:color w:val="auto"/>
          <w:szCs w:val="22"/>
        </w:rPr>
        <w:t>。</w:t>
      </w:r>
      <w:r>
        <w:rPr>
          <w:rFonts w:hint="default" w:ascii="Times New Roman" w:hAnsi="Times New Roman" w:eastAsia="宋体" w:cs="Times New Roman"/>
          <w:color w:val="auto"/>
          <w:szCs w:val="22"/>
        </w:rPr>
        <w:t>动物均为常见的鸟类、昆虫、啮齿类以及爬行类动物。区域内无特殊生态保护系统和珍稀濒危保护动植物分布</w:t>
      </w:r>
      <w:r>
        <w:rPr>
          <w:rFonts w:hint="default" w:ascii="Times New Roman" w:hAnsi="Times New Roman" w:eastAsia="宋体" w:cs="Times New Roman"/>
          <w:color w:val="auto"/>
          <w:szCs w:val="22"/>
          <w:lang w:eastAsia="zh-CN"/>
        </w:rPr>
        <w:t>。</w:t>
      </w:r>
    </w:p>
    <w:p>
      <w:pPr>
        <w:pStyle w:val="65"/>
        <w:ind w:firstLine="480"/>
        <w:rPr>
          <w:rFonts w:hint="eastAsia" w:cs="Times New Roman"/>
          <w:color w:val="auto"/>
          <w:szCs w:val="22"/>
          <w:lang w:eastAsia="zh-CN"/>
        </w:rPr>
      </w:pPr>
      <w:r>
        <w:rPr>
          <w:rFonts w:hint="default" w:ascii="Times New Roman" w:hAnsi="Times New Roman" w:eastAsia="宋体" w:cs="Times New Roman"/>
          <w:color w:val="auto"/>
          <w:szCs w:val="22"/>
          <w:lang w:eastAsia="zh-CN"/>
        </w:rPr>
        <w:t>本项目位于涉及湖南东洞庭湖国家级自然保护区实验区，属于生态敏感区。评价区属于</w:t>
      </w:r>
      <w:r>
        <w:rPr>
          <w:rFonts w:hint="eastAsia" w:cs="Times New Roman"/>
          <w:color w:val="auto"/>
          <w:szCs w:val="22"/>
          <w:lang w:val="en-US" w:eastAsia="zh-CN"/>
        </w:rPr>
        <w:t>城镇</w:t>
      </w:r>
      <w:r>
        <w:rPr>
          <w:rFonts w:hint="default" w:ascii="Times New Roman" w:hAnsi="Times New Roman" w:eastAsia="宋体" w:cs="Times New Roman"/>
          <w:color w:val="auto"/>
          <w:szCs w:val="22"/>
          <w:lang w:eastAsia="zh-CN"/>
        </w:rPr>
        <w:t>生态系统</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评价区为亚热带常绿阔叶林区，陆生自然植被以樟科、壳斗科、山茶科、山矾科、冬青科和禾本科刚竹属植物为主，湖盆植被以禾本科、菊科、莎草科、蓼科、睡莲科、香蒲科、杨柳科植物为主</w:t>
      </w:r>
      <w:r>
        <w:rPr>
          <w:rFonts w:hint="eastAsia" w:cs="Times New Roman"/>
          <w:color w:val="auto"/>
          <w:szCs w:val="22"/>
          <w:lang w:eastAsia="zh-CN"/>
        </w:rPr>
        <w:t>；</w:t>
      </w:r>
      <w:r>
        <w:rPr>
          <w:rFonts w:hint="default" w:ascii="Times New Roman" w:hAnsi="Times New Roman" w:eastAsia="宋体" w:cs="Times New Roman"/>
          <w:color w:val="auto"/>
          <w:szCs w:val="22"/>
          <w:lang w:eastAsia="zh-CN"/>
        </w:rPr>
        <w:t>评价区周边</w:t>
      </w:r>
      <w:r>
        <w:rPr>
          <w:rFonts w:hint="eastAsia" w:cs="Times New Roman"/>
          <w:color w:val="auto"/>
          <w:szCs w:val="22"/>
          <w:lang w:val="en-US" w:eastAsia="zh-CN"/>
        </w:rPr>
        <w:t>主要为城镇建设</w:t>
      </w:r>
      <w:r>
        <w:rPr>
          <w:rFonts w:hint="default" w:ascii="Times New Roman" w:hAnsi="Times New Roman" w:eastAsia="宋体" w:cs="Times New Roman"/>
          <w:color w:val="auto"/>
          <w:szCs w:val="22"/>
          <w:lang w:eastAsia="zh-CN"/>
        </w:rPr>
        <w:t>用地，受人类活动的影响，大型陆生野生动物少;评价区范围内无需要保护的自然遗迹分布</w:t>
      </w:r>
      <w:r>
        <w:rPr>
          <w:rFonts w:hint="eastAsia" w:cs="Times New Roman"/>
          <w:color w:val="auto"/>
          <w:szCs w:val="22"/>
          <w:lang w:eastAsia="zh-CN"/>
        </w:rPr>
        <w:t>。</w:t>
      </w:r>
    </w:p>
    <w:p>
      <w:pPr>
        <w:pStyle w:val="65"/>
        <w:ind w:left="0" w:leftChars="0" w:firstLine="0" w:firstLineChars="0"/>
        <w:jc w:val="center"/>
        <w:rPr>
          <w:rFonts w:hint="eastAsia" w:ascii="Times New Roman" w:hAnsi="Times New Roman" w:eastAsia="宋体" w:cs="Times New Roman"/>
          <w:color w:val="auto"/>
          <w:lang w:eastAsia="zh-CN"/>
        </w:rPr>
      </w:pPr>
      <w:r>
        <w:rPr>
          <w:color w:val="auto"/>
        </w:rPr>
        <w:drawing>
          <wp:inline distT="0" distB="0" distL="114300" distR="114300">
            <wp:extent cx="5060315" cy="1789430"/>
            <wp:effectExtent l="0" t="0" r="6985"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6"/>
                    <a:stretch>
                      <a:fillRect/>
                    </a:stretch>
                  </pic:blipFill>
                  <pic:spPr>
                    <a:xfrm>
                      <a:off x="0" y="0"/>
                      <a:ext cx="5060315" cy="1789430"/>
                    </a:xfrm>
                    <a:prstGeom prst="rect">
                      <a:avLst/>
                    </a:prstGeom>
                    <a:noFill/>
                    <a:ln>
                      <a:noFill/>
                    </a:ln>
                  </pic:spPr>
                </pic:pic>
              </a:graphicData>
            </a:graphic>
          </wp:inline>
        </w:drawing>
      </w:r>
    </w:p>
    <w:p>
      <w:pPr>
        <w:pStyle w:val="66"/>
        <w:keepNext w:val="0"/>
        <w:keepLines w:val="0"/>
        <w:pageBreakBefore w:val="0"/>
        <w:widowControl w:val="0"/>
        <w:kinsoku/>
        <w:wordWrap/>
        <w:overflowPunct/>
        <w:topLinePunct w:val="0"/>
        <w:autoSpaceDE/>
        <w:autoSpaceDN/>
        <w:bidi w:val="0"/>
        <w:adjustRightInd/>
        <w:snapToGrid/>
        <w:spacing w:beforeLines="0"/>
        <w:jc w:val="center"/>
        <w:textAlignment w:val="auto"/>
        <w:rPr>
          <w:color w:val="auto"/>
        </w:rPr>
      </w:pPr>
      <w:r>
        <w:rPr>
          <w:color w:val="auto"/>
        </w:rPr>
        <w:drawing>
          <wp:inline distT="0" distB="0" distL="114300" distR="114300">
            <wp:extent cx="5063490" cy="1818005"/>
            <wp:effectExtent l="0" t="0" r="3810" b="1079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7"/>
                    <a:stretch>
                      <a:fillRect/>
                    </a:stretch>
                  </pic:blipFill>
                  <pic:spPr>
                    <a:xfrm>
                      <a:off x="0" y="0"/>
                      <a:ext cx="5063490" cy="1818005"/>
                    </a:xfrm>
                    <a:prstGeom prst="rect">
                      <a:avLst/>
                    </a:prstGeom>
                    <a:noFill/>
                    <a:ln>
                      <a:noFill/>
                    </a:ln>
                  </pic:spPr>
                </pic:pic>
              </a:graphicData>
            </a:graphic>
          </wp:inline>
        </w:drawing>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图3.1   区域内</w:t>
      </w:r>
      <w:r>
        <w:rPr>
          <w:rFonts w:hint="eastAsia" w:ascii="Times New Roman" w:hAnsi="Times New Roman" w:cs="Times New Roman"/>
          <w:color w:val="auto"/>
          <w:highlight w:val="none"/>
          <w:lang w:val="en-US" w:eastAsia="zh-CN"/>
        </w:rPr>
        <w:t>原有</w:t>
      </w:r>
      <w:r>
        <w:rPr>
          <w:rFonts w:hint="default" w:ascii="Times New Roman" w:hAnsi="Times New Roman" w:cs="Times New Roman"/>
          <w:color w:val="auto"/>
          <w:highlight w:val="none"/>
          <w:lang w:val="en-US" w:eastAsia="zh-CN"/>
        </w:rPr>
        <w:t>生态环境</w:t>
      </w:r>
      <w:r>
        <w:rPr>
          <w:rFonts w:hint="eastAsia" w:ascii="Times New Roman" w:hAnsi="Times New Roman" w:cs="Times New Roman"/>
          <w:color w:val="auto"/>
          <w:highlight w:val="none"/>
          <w:lang w:val="en-US" w:eastAsia="zh-CN"/>
        </w:rPr>
        <w:t>图</w:t>
      </w:r>
    </w:p>
    <w:p>
      <w:pPr>
        <w:pStyle w:val="61"/>
        <w:ind w:left="0" w:leftChars="0" w:firstLine="0" w:firstLineChars="0"/>
        <w:jc w:val="center"/>
        <w:rPr>
          <w:rFonts w:hint="default" w:ascii="Times New Roman" w:hAnsi="Times New Roman" w:eastAsia="宋体" w:cs="Times New Roman"/>
          <w:color w:val="auto"/>
          <w:lang w:val="en-US" w:eastAsia="zh-CN"/>
        </w:rPr>
      </w:pPr>
      <w:r>
        <w:rPr>
          <w:color w:val="auto"/>
        </w:rPr>
        <w:drawing>
          <wp:inline distT="0" distB="0" distL="114300" distR="114300">
            <wp:extent cx="2395855" cy="1826895"/>
            <wp:effectExtent l="0" t="0" r="4445" b="190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58"/>
                    <a:srcRect t="4893" r="3897"/>
                    <a:stretch>
                      <a:fillRect/>
                    </a:stretch>
                  </pic:blipFill>
                  <pic:spPr>
                    <a:xfrm>
                      <a:off x="0" y="0"/>
                      <a:ext cx="2395855" cy="1826895"/>
                    </a:xfrm>
                    <a:prstGeom prst="rect">
                      <a:avLst/>
                    </a:prstGeom>
                    <a:noFill/>
                    <a:ln>
                      <a:noFill/>
                    </a:ln>
                  </pic:spPr>
                </pic:pic>
              </a:graphicData>
            </a:graphic>
          </wp:inline>
        </w:drawing>
      </w:r>
      <w:r>
        <w:rPr>
          <w:rFonts w:hint="eastAsia"/>
          <w:color w:val="auto"/>
          <w:lang w:val="en-US" w:eastAsia="zh-CN"/>
        </w:rPr>
        <w:t xml:space="preserve"> </w:t>
      </w:r>
      <w:r>
        <w:rPr>
          <w:color w:val="auto"/>
        </w:rPr>
        <w:drawing>
          <wp:inline distT="0" distB="0" distL="114300" distR="114300">
            <wp:extent cx="2513330" cy="1815465"/>
            <wp:effectExtent l="0" t="0" r="1270" b="1333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59"/>
                    <a:srcRect t="1448" r="3372"/>
                    <a:stretch>
                      <a:fillRect/>
                    </a:stretch>
                  </pic:blipFill>
                  <pic:spPr>
                    <a:xfrm>
                      <a:off x="0" y="0"/>
                      <a:ext cx="2513330" cy="1815465"/>
                    </a:xfrm>
                    <a:prstGeom prst="rect">
                      <a:avLst/>
                    </a:prstGeom>
                    <a:noFill/>
                    <a:ln>
                      <a:noFill/>
                    </a:ln>
                  </pic:spPr>
                </pic:pic>
              </a:graphicData>
            </a:graphic>
          </wp:inline>
        </w:drawing>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图3.</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eastAsia="zh-CN"/>
        </w:rPr>
        <w:t xml:space="preserve">   区域内生态环境</w:t>
      </w:r>
      <w:r>
        <w:rPr>
          <w:rFonts w:hint="eastAsia" w:ascii="Times New Roman" w:hAnsi="Times New Roman" w:cs="Times New Roman"/>
          <w:color w:val="auto"/>
          <w:highlight w:val="none"/>
          <w:lang w:val="en-US" w:eastAsia="zh-CN"/>
        </w:rPr>
        <w:t>现状图</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highlight w:val="none"/>
        </w:rPr>
      </w:pPr>
      <w:r>
        <w:rPr>
          <w:rFonts w:hint="eastAsia"/>
          <w:color w:val="auto"/>
          <w:lang w:val="en-US" w:eastAsia="zh-CN"/>
        </w:rPr>
        <w:t xml:space="preserve"> </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1）区域生态系统现状调查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本项目生态评价区范围内分布的生态系统类型主要为农村生态系统。</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农村生态系统是城市居民与其环境相互作用而形成的统一整体，也是人类对自然环境的适应、加工、改造而建设起来的特殊的人工生态系统。农村生态系统不仅有生物组成要素(植物、动物和细菌、真菌、病毒)和非生物组成要素(光、热、水、大气等)，还包括人类和社会经济要素，是一种非常脆弱的生态系统，对其他生态系统有很大的依赖性。</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2）植物及植物多样性调查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植物分布现状：根据《中国植被》类型和区划解读《中华人民共和国植被图(1:1000000)》(中国科学院中国植被图编辑委员会，地址出版社，2007年):评价区范围属于亚热带常绿阔叶林区，陆生自然植被以樟科、壳斗科、山茶科、山矾科、冬青科和禾本科刚竹属植物为主，湖盆植被以禾本科、菊科、莎草科、蓼科、睡莲科、香蒲科、杨柳科植物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由于项目所在区域土地开发利用程度较高，区内基本不存在原生植被，地表覆盖物以景观植被为主，兼有草丛和少量林木。项目评价区属于城市生态系统，受人为因素影响非常大。</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植物多样性调查：东洞庭湖国家级自然保护区自然植被主要由湿生植物组成，植被类型依立地水分梯度变化呈圈带状成层分布格局。从陆地至水底依次出现的植被类型是:常绿阔叶林、落叶阔叶林、柳芦荻沼泽植被、苔草草甸、挺水植物、浮叶植物、沉水植物。同层植被组分比较一致，层间植物组分有较大差异。</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w:t>
      </w:r>
      <w:r>
        <w:rPr>
          <w:rFonts w:hint="eastAsia" w:cs="Times New Roman"/>
          <w:bCs/>
          <w:color w:val="auto"/>
          <w:sz w:val="24"/>
          <w:szCs w:val="21"/>
          <w:highlight w:val="none"/>
          <w:u w:val="none"/>
          <w:lang w:val="en-US" w:eastAsia="zh-CN"/>
        </w:rPr>
        <w:t>目前</w:t>
      </w:r>
      <w:r>
        <w:rPr>
          <w:rFonts w:hint="eastAsia" w:ascii="Times New Roman" w:hAnsi="Times New Roman" w:eastAsia="宋体" w:cs="Times New Roman"/>
          <w:bCs/>
          <w:color w:val="auto"/>
          <w:sz w:val="24"/>
          <w:szCs w:val="21"/>
          <w:highlight w:val="none"/>
          <w:u w:val="none"/>
          <w:lang w:val="en-US" w:eastAsia="zh-CN"/>
        </w:rPr>
        <w:t>位于湖南东洞庭湖国家级自然保护区</w:t>
      </w:r>
      <w:r>
        <w:rPr>
          <w:rFonts w:hint="eastAsia" w:cs="Times New Roman"/>
          <w:bCs/>
          <w:color w:val="auto"/>
          <w:sz w:val="24"/>
          <w:szCs w:val="21"/>
          <w:highlight w:val="none"/>
          <w:u w:val="none"/>
          <w:lang w:val="en-US" w:eastAsia="zh-CN"/>
        </w:rPr>
        <w:t>实验区范围内</w:t>
      </w:r>
      <w:r>
        <w:rPr>
          <w:rFonts w:hint="eastAsia" w:ascii="Times New Roman" w:hAnsi="Times New Roman" w:eastAsia="宋体" w:cs="Times New Roman"/>
          <w:bCs/>
          <w:color w:val="auto"/>
          <w:sz w:val="24"/>
          <w:szCs w:val="21"/>
          <w:highlight w:val="none"/>
          <w:u w:val="none"/>
          <w:lang w:val="en-US" w:eastAsia="zh-CN"/>
        </w:rPr>
        <w:t>，生态评价范围内涉及该自然保护区。洞庭湖湿地植物随湖水深度变化形成不同的植物群落，从空间格局上呈现明显的带状分布特点,由水及陆的总趋势为:沉水植物群落→荫草群落→辣蓼+苔草群落→苔草群落→荻或芦苇群落→美洲黑杨或柳群落。根据《湖南东洞庭湖国家级自然保护区一植被分布图》(2013年12月)可知项目所在的保护区实验区范围内主要分布的植被为芦苇群落。</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评价区为岳阳市华容县较为典型的农村生态系统。植物现状以人工栽植的树木为主，主要乔木种类有:香樟Cinnamomum spp、广玉兰Magnolia grandiflora Linn、桂花Osmanthus fragrans(Thunb.) Lour、枫香iquidambarformosanaHance、水杉</w:t>
      </w:r>
      <w:r>
        <w:rPr>
          <w:rFonts w:hint="default" w:ascii="Times New Roman" w:hAnsi="Times New Roman" w:eastAsia="宋体" w:cs="Times New Roman"/>
          <w:bCs/>
          <w:color w:val="auto"/>
          <w:sz w:val="24"/>
          <w:szCs w:val="21"/>
          <w:highlight w:val="none"/>
          <w:u w:val="none"/>
          <w:lang w:val="en-US" w:eastAsia="zh-CN"/>
        </w:rPr>
        <w:t>Metasequoia glyptostroboides Hu &amp; W. C. Cheng</w:t>
      </w:r>
      <w:r>
        <w:rPr>
          <w:rFonts w:hint="eastAsia" w:ascii="Times New Roman" w:hAnsi="Times New Roman" w:eastAsia="宋体" w:cs="Times New Roman"/>
          <w:bCs/>
          <w:color w:val="auto"/>
          <w:sz w:val="24"/>
          <w:szCs w:val="21"/>
          <w:highlight w:val="none"/>
          <w:u w:val="none"/>
          <w:lang w:val="en-US" w:eastAsia="zh-CN"/>
        </w:rPr>
        <w:t>、加杨</w:t>
      </w:r>
      <w:r>
        <w:rPr>
          <w:rFonts w:hint="default" w:ascii="Times New Roman" w:hAnsi="Times New Roman" w:eastAsia="宋体" w:cs="Times New Roman"/>
          <w:bCs/>
          <w:color w:val="auto"/>
          <w:sz w:val="24"/>
          <w:szCs w:val="21"/>
          <w:highlight w:val="none"/>
          <w:u w:val="none"/>
          <w:lang w:val="en-US" w:eastAsia="zh-CN"/>
        </w:rPr>
        <w:t xml:space="preserve">Populus X canadensis Moench </w:t>
      </w:r>
      <w:r>
        <w:rPr>
          <w:rFonts w:hint="eastAsia" w:ascii="Times New Roman" w:hAnsi="Times New Roman" w:eastAsia="宋体" w:cs="Times New Roman"/>
          <w:bCs/>
          <w:color w:val="auto"/>
          <w:sz w:val="24"/>
          <w:szCs w:val="21"/>
          <w:highlight w:val="none"/>
          <w:u w:val="none"/>
          <w:lang w:val="en-US" w:eastAsia="zh-CN"/>
        </w:rPr>
        <w:t>、栾树Koelreuteria paniculata Laxm。</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主要灌木种类有:小叶女贞Ligustrumquihoui Carr、山茶Camellia japonica L、红继木 Loropetalum chinensis、栀子花Gardenia Ellis、杜鹃Rhododendron simsii Planch。</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根据《湖南植被》的分类原则和分类单位，采用“群落学—生态学”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原则，依据对评价区内植被的群落种类组成、外貌结构、生活型、建群种类、生态地理特征和动态特征调查统计分析，评价区主要植被分为天然植物群落和栽培植物群落两大类，其中自然植被可划分为 </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个植被型组、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个植被型、</w:t>
      </w:r>
      <w:r>
        <w:rPr>
          <w:rFonts w:hint="default" w:ascii="Times New Roman" w:hAnsi="Times New Roman" w:eastAsia="宋体" w:cs="Times New Roman"/>
          <w:bCs/>
          <w:color w:val="auto"/>
          <w:sz w:val="24"/>
          <w:szCs w:val="21"/>
          <w:highlight w:val="none"/>
          <w:u w:val="none"/>
          <w:lang w:val="en-US" w:eastAsia="zh-CN"/>
        </w:rPr>
        <w:t xml:space="preserve">13 </w:t>
      </w:r>
      <w:r>
        <w:rPr>
          <w:rFonts w:hint="eastAsia" w:ascii="Times New Roman" w:hAnsi="Times New Roman" w:eastAsia="宋体" w:cs="Times New Roman"/>
          <w:bCs/>
          <w:color w:val="auto"/>
          <w:sz w:val="24"/>
          <w:szCs w:val="21"/>
          <w:highlight w:val="none"/>
          <w:u w:val="none"/>
          <w:lang w:val="en-US" w:eastAsia="zh-CN"/>
        </w:rPr>
        <w:t xml:space="preserve">个群系；栽培植被可划分为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类、</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型、</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 xml:space="preserve">林（园）。自然植被较为简单以草甸和沼泽植被为主，有白茅草甸、狗牙根草甸、芦苇群落等；栽培植被仅有用材林型 </w:t>
      </w:r>
      <w:r>
        <w:rPr>
          <w:rFonts w:hint="default" w:ascii="Times New Roman" w:hAnsi="Times New Roman" w:eastAsia="宋体" w:cs="Times New Roman"/>
          <w:bCs/>
          <w:color w:val="auto"/>
          <w:sz w:val="24"/>
          <w:szCs w:val="21"/>
          <w:highlight w:val="none"/>
          <w:u w:val="none"/>
          <w:lang w:val="en-US" w:eastAsia="zh-CN"/>
        </w:rPr>
        <w:t xml:space="preserve">1 </w:t>
      </w:r>
      <w:r>
        <w:rPr>
          <w:rFonts w:hint="eastAsia" w:ascii="Times New Roman" w:hAnsi="Times New Roman" w:eastAsia="宋体" w:cs="Times New Roman"/>
          <w:bCs/>
          <w:color w:val="auto"/>
          <w:sz w:val="24"/>
          <w:szCs w:val="21"/>
          <w:highlight w:val="none"/>
          <w:u w:val="none"/>
          <w:lang w:val="en-US" w:eastAsia="zh-CN"/>
        </w:rPr>
        <w:t>种，包括水杉林和加杨林两种。具体植被类型分类见下表。</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rPr>
      </w:pPr>
      <w:r>
        <w:rPr>
          <w:rFonts w:hint="eastAsia" w:cs="Times New Roman"/>
          <w:color w:val="auto"/>
          <w:lang w:val="en-US" w:eastAsia="zh-CN"/>
        </w:rPr>
        <w:t xml:space="preserve">表3-2  </w:t>
      </w:r>
      <w:r>
        <w:rPr>
          <w:rFonts w:hint="eastAsia" w:ascii="Times New Roman" w:hAnsi="Times New Roman" w:cs="Times New Roman"/>
          <w:color w:val="auto"/>
        </w:rPr>
        <w:t>评价区主要植被类型表</w:t>
      </w:r>
    </w:p>
    <w:p>
      <w:pPr>
        <w:wordWrap w:val="0"/>
        <w:spacing w:before="0" w:after="0" w:line="97" w:lineRule="auto"/>
        <w:ind w:firstLine="0"/>
        <w:jc w:val="both"/>
        <w:rPr>
          <w:rFonts w:hint="eastAsia" w:ascii="宋体" w:hAnsi="宋体" w:eastAsia="宋体"/>
          <w:color w:val="auto"/>
          <w:sz w:val="12"/>
        </w:rPr>
      </w:pPr>
    </w:p>
    <w:tbl>
      <w:tblPr>
        <w:tblStyle w:val="22"/>
        <w:tblW w:w="0" w:type="auto"/>
        <w:tblInd w:w="8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1" w:type="dxa"/>
          <w:bottom w:w="0" w:type="dxa"/>
          <w:right w:w="11" w:type="dxa"/>
        </w:tblCellMar>
      </w:tblPr>
      <w:tblGrid>
        <w:gridCol w:w="496"/>
        <w:gridCol w:w="1062"/>
        <w:gridCol w:w="968"/>
        <w:gridCol w:w="1413"/>
        <w:gridCol w:w="769"/>
        <w:gridCol w:w="456"/>
        <w:gridCol w:w="668"/>
        <w:gridCol w:w="809"/>
        <w:gridCol w:w="1048"/>
        <w:gridCol w:w="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708" w:type="dxa"/>
            <w:gridSpan w:val="5"/>
            <w:tcBorders>
              <w:tl2br w:val="nil"/>
              <w:tr2bl w:val="nil"/>
            </w:tcBorders>
            <w:vAlign w:val="center"/>
          </w:tcPr>
          <w:p>
            <w:pPr>
              <w:pStyle w:val="67"/>
              <w:jc w:val="center"/>
              <w:rPr>
                <w:rFonts w:hint="eastAsia" w:ascii="Times New Roman" w:hAnsi="Times New Roman" w:cs="Times New Roman"/>
                <w:b/>
                <w:bCs/>
                <w:color w:val="auto"/>
              </w:rPr>
            </w:pPr>
            <w:r>
              <w:rPr>
                <w:rFonts w:hint="eastAsia" w:ascii="Times New Roman" w:hAnsi="Times New Roman" w:cs="Times New Roman"/>
                <w:b/>
                <w:bCs/>
                <w:color w:val="auto"/>
              </w:rPr>
              <w:t>自然植被</w:t>
            </w:r>
          </w:p>
        </w:tc>
        <w:tc>
          <w:tcPr>
            <w:tcW w:w="3538" w:type="dxa"/>
            <w:gridSpan w:val="5"/>
            <w:tcBorders>
              <w:tl2br w:val="nil"/>
              <w:tr2bl w:val="nil"/>
            </w:tcBorders>
            <w:vAlign w:val="center"/>
          </w:tcPr>
          <w:p>
            <w:pPr>
              <w:pStyle w:val="67"/>
              <w:jc w:val="center"/>
              <w:rPr>
                <w:rFonts w:hint="eastAsia" w:ascii="Times New Roman" w:hAnsi="Times New Roman" w:cs="Times New Roman"/>
                <w:b/>
                <w:bCs/>
                <w:color w:val="auto"/>
              </w:rPr>
            </w:pPr>
            <w:r>
              <w:rPr>
                <w:rFonts w:hint="eastAsia" w:ascii="Times New Roman" w:hAnsi="Times New Roman" w:cs="Times New Roman"/>
                <w:b/>
                <w:bCs/>
                <w:color w:val="auto"/>
              </w:rPr>
              <w:t>栽培植被</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1062"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植被型组</w:t>
            </w:r>
          </w:p>
        </w:tc>
        <w:tc>
          <w:tcPr>
            <w:tcW w:w="96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植被型</w:t>
            </w:r>
          </w:p>
        </w:tc>
        <w:tc>
          <w:tcPr>
            <w:tcW w:w="1413"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群系</w:t>
            </w:r>
          </w:p>
        </w:tc>
        <w:tc>
          <w:tcPr>
            <w:tcW w:w="769"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c>
          <w:tcPr>
            <w:tcW w:w="456"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序号</w:t>
            </w:r>
          </w:p>
        </w:tc>
        <w:tc>
          <w:tcPr>
            <w:tcW w:w="66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类</w:t>
            </w:r>
          </w:p>
        </w:tc>
        <w:tc>
          <w:tcPr>
            <w:tcW w:w="809"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型</w:t>
            </w:r>
          </w:p>
        </w:tc>
        <w:tc>
          <w:tcPr>
            <w:tcW w:w="1048"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林</w:t>
            </w:r>
          </w:p>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（园）</w:t>
            </w:r>
          </w:p>
        </w:tc>
        <w:tc>
          <w:tcPr>
            <w:tcW w:w="557" w:type="dxa"/>
            <w:tcBorders>
              <w:tl2br w:val="nil"/>
              <w:tr2bl w:val="nil"/>
            </w:tcBorders>
            <w:vAlign w:val="center"/>
          </w:tcPr>
          <w:p>
            <w:pPr>
              <w:pStyle w:val="67"/>
              <w:jc w:val="center"/>
              <w:rPr>
                <w:rFonts w:hint="default" w:ascii="Times New Roman" w:hAnsi="Times New Roman" w:cs="Times New Roman"/>
                <w:b/>
                <w:bCs/>
                <w:color w:val="auto"/>
              </w:rPr>
            </w:pPr>
            <w:r>
              <w:rPr>
                <w:rFonts w:hint="eastAsia" w:ascii="Times New Roman" w:hAnsi="Times New Roman" w:cs="Times New Roman"/>
                <w:b/>
                <w:bCs/>
                <w:color w:val="auto"/>
              </w:rPr>
              <w:t>起源</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w:t>
            </w:r>
          </w:p>
        </w:tc>
        <w:tc>
          <w:tcPr>
            <w:tcW w:w="1062"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草甸</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白茅草甸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w:t>
            </w:r>
          </w:p>
        </w:tc>
        <w:tc>
          <w:tcPr>
            <w:tcW w:w="6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木本</w:t>
            </w:r>
          </w:p>
          <w:p>
            <w:pPr>
              <w:pStyle w:val="67"/>
              <w:jc w:val="center"/>
              <w:rPr>
                <w:rFonts w:hint="default" w:ascii="Times New Roman" w:hAnsi="Times New Roman" w:cs="Times New Roman"/>
                <w:color w:val="auto"/>
              </w:rPr>
            </w:pPr>
            <w:r>
              <w:rPr>
                <w:rFonts w:hint="eastAsia" w:ascii="Times New Roman" w:hAnsi="Times New Roman" w:cs="Times New Roman"/>
                <w:color w:val="auto"/>
              </w:rPr>
              <w:t>类</w:t>
            </w:r>
          </w:p>
        </w:tc>
        <w:tc>
          <w:tcPr>
            <w:tcW w:w="809"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用材林</w:t>
            </w:r>
          </w:p>
          <w:p>
            <w:pPr>
              <w:pStyle w:val="67"/>
              <w:jc w:val="center"/>
              <w:rPr>
                <w:rFonts w:hint="default" w:ascii="Times New Roman" w:hAnsi="Times New Roman" w:cs="Times New Roman"/>
                <w:color w:val="auto"/>
              </w:rPr>
            </w:pPr>
            <w:r>
              <w:rPr>
                <w:rFonts w:hint="eastAsia" w:ascii="Times New Roman" w:hAnsi="Times New Roman" w:cs="Times New Roman"/>
                <w:color w:val="auto"/>
              </w:rPr>
              <w:t>型</w:t>
            </w:r>
          </w:p>
        </w:tc>
        <w:tc>
          <w:tcPr>
            <w:tcW w:w="1048"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水杉林</w:t>
            </w:r>
          </w:p>
        </w:tc>
        <w:tc>
          <w:tcPr>
            <w:tcW w:w="557"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2</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芒草甸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2</w:t>
            </w:r>
          </w:p>
        </w:tc>
        <w:tc>
          <w:tcPr>
            <w:tcW w:w="6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809"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048"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加杨林</w:t>
            </w:r>
          </w:p>
        </w:tc>
        <w:tc>
          <w:tcPr>
            <w:tcW w:w="557"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人工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3</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狗牙根草甸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4</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灰化薹草草甸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5</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牛毛毡草甸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6</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紫云英草甸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7</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北美苍耳草甸</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67"/>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8</w:t>
            </w:r>
          </w:p>
        </w:tc>
        <w:tc>
          <w:tcPr>
            <w:tcW w:w="1062"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沼泽和水生植被</w:t>
            </w: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沼泽</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旱柳群落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9</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芦苇群落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10</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南荻群落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11</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restart"/>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水生植</w:t>
            </w:r>
          </w:p>
          <w:p>
            <w:pPr>
              <w:pStyle w:val="67"/>
              <w:jc w:val="center"/>
              <w:rPr>
                <w:rFonts w:hint="default" w:ascii="Times New Roman" w:hAnsi="Times New Roman" w:cs="Times New Roman"/>
                <w:color w:val="auto"/>
              </w:rPr>
            </w:pPr>
            <w:r>
              <w:rPr>
                <w:rFonts w:hint="eastAsia" w:ascii="Times New Roman" w:hAnsi="Times New Roman" w:cs="Times New Roman"/>
                <w:color w:val="auto"/>
              </w:rPr>
              <w:t>被</w:t>
            </w: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黑藻群落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97"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12</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1413"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菹草群落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天然</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784" w:hRule="atLeast"/>
        </w:trPr>
        <w:tc>
          <w:tcPr>
            <w:tcW w:w="496"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13</w:t>
            </w:r>
          </w:p>
        </w:tc>
        <w:tc>
          <w:tcPr>
            <w:tcW w:w="1062" w:type="dxa"/>
            <w:vMerge w:val="continue"/>
            <w:tcBorders>
              <w:tl2br w:val="nil"/>
              <w:tr2bl w:val="nil"/>
            </w:tcBorders>
            <w:vAlign w:val="center"/>
          </w:tcPr>
          <w:p>
            <w:pPr>
              <w:pStyle w:val="67"/>
              <w:jc w:val="center"/>
              <w:rPr>
                <w:rFonts w:hint="default" w:ascii="Times New Roman" w:hAnsi="Times New Roman" w:cs="Times New Roman"/>
                <w:color w:val="auto"/>
              </w:rPr>
            </w:pPr>
          </w:p>
        </w:tc>
        <w:tc>
          <w:tcPr>
            <w:tcW w:w="968" w:type="dxa"/>
            <w:vMerge w:val="continue"/>
            <w:tcBorders>
              <w:tl2br w:val="nil"/>
              <w:tr2bl w:val="nil"/>
            </w:tcBorders>
            <w:vAlign w:val="center"/>
          </w:tcPr>
          <w:p>
            <w:pPr>
              <w:pStyle w:val="67"/>
              <w:jc w:val="center"/>
              <w:rPr>
                <w:rFonts w:hint="eastAsia" w:ascii="Times New Roman" w:hAnsi="Times New Roman" w:cs="Times New Roman"/>
                <w:color w:val="auto"/>
              </w:rPr>
            </w:pPr>
          </w:p>
        </w:tc>
        <w:tc>
          <w:tcPr>
            <w:tcW w:w="1413"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空心莲子草群</w:t>
            </w:r>
          </w:p>
          <w:p>
            <w:pPr>
              <w:pStyle w:val="67"/>
              <w:jc w:val="center"/>
              <w:rPr>
                <w:rFonts w:hint="default" w:ascii="Times New Roman" w:hAnsi="Times New Roman" w:cs="Times New Roman"/>
                <w:color w:val="auto"/>
              </w:rPr>
            </w:pPr>
            <w:r>
              <w:rPr>
                <w:rFonts w:hint="eastAsia" w:ascii="Times New Roman" w:hAnsi="Times New Roman" w:cs="Times New Roman"/>
                <w:color w:val="auto"/>
              </w:rPr>
              <w:t>落</w:t>
            </w:r>
          </w:p>
        </w:tc>
        <w:tc>
          <w:tcPr>
            <w:tcW w:w="769" w:type="dxa"/>
            <w:tcBorders>
              <w:tl2br w:val="nil"/>
              <w:tr2bl w:val="nil"/>
            </w:tcBorders>
            <w:vAlign w:val="center"/>
          </w:tcPr>
          <w:p>
            <w:pPr>
              <w:pStyle w:val="67"/>
              <w:jc w:val="center"/>
              <w:rPr>
                <w:rFonts w:hint="default" w:ascii="Times New Roman" w:hAnsi="Times New Roman" w:cs="Times New Roman"/>
                <w:color w:val="auto"/>
              </w:rPr>
            </w:pPr>
            <w:r>
              <w:rPr>
                <w:rFonts w:hint="eastAsia" w:ascii="Times New Roman" w:hAnsi="Times New Roman" w:cs="Times New Roman"/>
                <w:color w:val="auto"/>
              </w:rPr>
              <w:t>外来</w:t>
            </w:r>
          </w:p>
          <w:p>
            <w:pPr>
              <w:pStyle w:val="67"/>
              <w:jc w:val="center"/>
              <w:rPr>
                <w:rFonts w:hint="default" w:ascii="Times New Roman" w:hAnsi="Times New Roman" w:cs="Times New Roman"/>
                <w:color w:val="auto"/>
              </w:rPr>
            </w:pPr>
            <w:r>
              <w:rPr>
                <w:rFonts w:hint="eastAsia" w:ascii="Times New Roman" w:hAnsi="Times New Roman" w:cs="Times New Roman"/>
                <w:color w:val="auto"/>
              </w:rPr>
              <w:t>逸生</w:t>
            </w:r>
          </w:p>
        </w:tc>
        <w:tc>
          <w:tcPr>
            <w:tcW w:w="456" w:type="dxa"/>
            <w:tcBorders>
              <w:tl2br w:val="nil"/>
              <w:tr2bl w:val="nil"/>
            </w:tcBorders>
            <w:vAlign w:val="center"/>
          </w:tcPr>
          <w:p>
            <w:pPr>
              <w:pStyle w:val="67"/>
              <w:jc w:val="center"/>
              <w:rPr>
                <w:rFonts w:hint="eastAsia" w:ascii="Times New Roman" w:hAnsi="Times New Roman" w:cs="Times New Roman"/>
                <w:color w:val="auto"/>
              </w:rPr>
            </w:pPr>
          </w:p>
        </w:tc>
        <w:tc>
          <w:tcPr>
            <w:tcW w:w="668" w:type="dxa"/>
            <w:tcBorders>
              <w:tl2br w:val="nil"/>
              <w:tr2bl w:val="nil"/>
            </w:tcBorders>
            <w:vAlign w:val="center"/>
          </w:tcPr>
          <w:p>
            <w:pPr>
              <w:pStyle w:val="67"/>
              <w:jc w:val="center"/>
              <w:rPr>
                <w:rFonts w:hint="eastAsia" w:ascii="Times New Roman" w:hAnsi="Times New Roman" w:cs="Times New Roman"/>
                <w:color w:val="auto"/>
              </w:rPr>
            </w:pPr>
          </w:p>
        </w:tc>
        <w:tc>
          <w:tcPr>
            <w:tcW w:w="809" w:type="dxa"/>
            <w:tcBorders>
              <w:tl2br w:val="nil"/>
              <w:tr2bl w:val="nil"/>
            </w:tcBorders>
            <w:vAlign w:val="center"/>
          </w:tcPr>
          <w:p>
            <w:pPr>
              <w:pStyle w:val="67"/>
              <w:jc w:val="center"/>
              <w:rPr>
                <w:rFonts w:hint="eastAsia" w:ascii="Times New Roman" w:hAnsi="Times New Roman" w:cs="Times New Roman"/>
                <w:color w:val="auto"/>
              </w:rPr>
            </w:pPr>
          </w:p>
        </w:tc>
        <w:tc>
          <w:tcPr>
            <w:tcW w:w="1048" w:type="dxa"/>
            <w:tcBorders>
              <w:tl2br w:val="nil"/>
              <w:tr2bl w:val="nil"/>
            </w:tcBorders>
            <w:vAlign w:val="center"/>
          </w:tcPr>
          <w:p>
            <w:pPr>
              <w:pStyle w:val="67"/>
              <w:jc w:val="center"/>
              <w:rPr>
                <w:rFonts w:hint="eastAsia" w:ascii="Times New Roman" w:hAnsi="Times New Roman" w:cs="Times New Roman"/>
                <w:color w:val="auto"/>
              </w:rPr>
            </w:pPr>
          </w:p>
        </w:tc>
        <w:tc>
          <w:tcPr>
            <w:tcW w:w="557" w:type="dxa"/>
            <w:tcBorders>
              <w:tl2br w:val="nil"/>
              <w:tr2bl w:val="nil"/>
            </w:tcBorders>
            <w:vAlign w:val="center"/>
          </w:tcPr>
          <w:p>
            <w:pPr>
              <w:pStyle w:val="67"/>
              <w:jc w:val="center"/>
              <w:rPr>
                <w:rFonts w:hint="eastAsia" w:ascii="Times New Roman" w:hAnsi="Times New Roman" w:cs="Times New Roman"/>
                <w:color w:val="auto"/>
              </w:rPr>
            </w:pPr>
          </w:p>
        </w:tc>
      </w:tr>
    </w:tbl>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 </w:t>
      </w:r>
      <w:r>
        <w:rPr>
          <w:rFonts w:hint="eastAsia" w:ascii="Times New Roman" w:hAnsi="Times New Roman" w:eastAsia="宋体" w:cs="Times New Roman"/>
          <w:bCs/>
          <w:color w:val="auto"/>
          <w:sz w:val="24"/>
          <w:szCs w:val="21"/>
          <w:highlight w:val="none"/>
          <w:u w:val="none"/>
          <w:lang w:val="en-US" w:eastAsia="zh-CN"/>
        </w:rPr>
        <w:t>植物群落特征分析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）草甸型组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①白茅草甸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白茅广泛分布于低山带平原河岸草地、沙质草甸、荒漠与海滨；中国各地均有分布。白茅是湖区内的常见草本，常分布在地势较高、排水较好的洲滩高地和边缘，面积可达几公顷。常与南荻群落和芒群落镶嵌分布</w:t>
      </w:r>
      <w:r>
        <w:rPr>
          <w:rFonts w:hint="eastAsia"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或成片分布在疏林下。群落外貌淡绿色，秋冬季地上部常为枯黄色，生长紧密，高可达 </w:t>
      </w:r>
      <w:r>
        <w:rPr>
          <w:rFonts w:hint="default" w:ascii="Times New Roman" w:hAnsi="Times New Roman" w:eastAsia="宋体" w:cs="Times New Roman"/>
          <w:bCs/>
          <w:color w:val="auto"/>
          <w:sz w:val="24"/>
          <w:szCs w:val="21"/>
          <w:highlight w:val="none"/>
          <w:u w:val="none"/>
          <w:lang w:val="en-US" w:eastAsia="zh-CN"/>
        </w:rPr>
        <w:t>1 m</w:t>
      </w:r>
      <w:r>
        <w:rPr>
          <w:rFonts w:hint="eastAsia" w:ascii="Times New Roman" w:hAnsi="Times New Roman" w:eastAsia="宋体" w:cs="Times New Roman"/>
          <w:bCs/>
          <w:color w:val="auto"/>
          <w:sz w:val="24"/>
          <w:szCs w:val="21"/>
          <w:highlight w:val="none"/>
          <w:u w:val="none"/>
          <w:lang w:val="en-US" w:eastAsia="zh-CN"/>
        </w:rPr>
        <w:t>。</w:t>
      </w:r>
    </w:p>
    <w:p>
      <w:pPr>
        <w:keepNext w:val="0"/>
        <w:keepLines w:val="0"/>
        <w:widowControl/>
        <w:suppressLineNumbers w:val="0"/>
        <w:jc w:val="left"/>
        <w:rPr>
          <w:color w:val="auto"/>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742440"/>
            <wp:effectExtent l="0" t="0" r="2540" b="1016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60"/>
                    <a:stretch>
                      <a:fillRect/>
                    </a:stretch>
                  </pic:blipFill>
                  <pic:spPr>
                    <a:xfrm>
                      <a:off x="0" y="0"/>
                      <a:ext cx="5274310" cy="1742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2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芒草甸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芒是禾本科芒属多年生苇状草本。叶片线形，下面疏生柔毛及被白粉，边缘粗糙，圆锥花序直立，小穗披针形，黄色有光泽，遍布于海拔</w:t>
      </w:r>
      <w:r>
        <w:rPr>
          <w:rFonts w:hint="default" w:ascii="Times New Roman" w:hAnsi="Times New Roman" w:eastAsia="宋体" w:cs="Times New Roman"/>
          <w:bCs/>
          <w:color w:val="auto"/>
          <w:sz w:val="24"/>
          <w:szCs w:val="21"/>
          <w:highlight w:val="none"/>
          <w:u w:val="none"/>
          <w:lang w:val="en-US" w:eastAsia="zh-CN"/>
        </w:rPr>
        <w:t>1800</w:t>
      </w:r>
      <w:r>
        <w:rPr>
          <w:rFonts w:hint="eastAsia" w:ascii="Times New Roman" w:hAnsi="Times New Roman" w:eastAsia="宋体" w:cs="Times New Roman"/>
          <w:bCs/>
          <w:color w:val="auto"/>
          <w:sz w:val="24"/>
          <w:szCs w:val="21"/>
          <w:highlight w:val="none"/>
          <w:u w:val="none"/>
          <w:lang w:val="en-US" w:eastAsia="zh-CN"/>
        </w:rPr>
        <w:t>米以下的山地、丘陵和荒坡原野，常组成优势群落。广泛分布于评价区堤坝两侧。芒草对重金属污染土壤有修复作用；芒草对土地沙化环境具有改善作用。</w:t>
      </w:r>
    </w:p>
    <w:p>
      <w:pPr>
        <w:keepNext w:val="0"/>
        <w:keepLines w:val="0"/>
        <w:widowControl/>
        <w:suppressLineNumbers w:val="0"/>
        <w:jc w:val="left"/>
        <w:rPr>
          <w:rFonts w:ascii="仿宋" w:hAnsi="仿宋" w:eastAsia="仿宋" w:cs="仿宋"/>
          <w:color w:val="auto"/>
          <w:kern w:val="0"/>
          <w:sz w:val="27"/>
          <w:szCs w:val="27"/>
          <w:lang w:val="en-US" w:eastAsia="zh-CN" w:bidi="ar"/>
        </w:rPr>
      </w:pPr>
      <w:r>
        <w:rPr>
          <w:color w:val="auto"/>
        </w:rPr>
        <w:drawing>
          <wp:inline distT="0" distB="0" distL="114300" distR="114300">
            <wp:extent cx="5271770" cy="1861820"/>
            <wp:effectExtent l="0" t="0" r="5080" b="508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61"/>
                    <a:stretch>
                      <a:fillRect/>
                    </a:stretch>
                  </pic:blipFill>
                  <pic:spPr>
                    <a:xfrm>
                      <a:off x="0" y="0"/>
                      <a:ext cx="5271770" cy="186182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③狗牙根草甸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狗牙根是禾本科狗牙根属多年生草本植物，广泛分布于热带、亚热带和温带地区，中国黄河流域以南各地均有狗牙根，北至新疆亦有野生狗牙根。狗牙根适合在温暖潮湿和温暖半干早地区生长，极耐热耐旱，耐践踏，但抗寒性差，也不耐阴，根系浅，喜在排水良好的肥沃土壤中生长，在轻度盐碱地上也生长较快，且侵占力强，如果疏于管理，两三年内就会完全侵占草坪。狗牙根多生长于村庄附近、道旁河岸、荒地山坡。以根茎、匍匐茎繁殖为主，也可种子繁殖。根茎蔓延力很强，广铺地面，是良好的固堤保土植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于评价区荒地、护堤、河滩广泛分布</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8595" cy="1841500"/>
            <wp:effectExtent l="0" t="0" r="8255" b="635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62"/>
                    <a:stretch>
                      <a:fillRect/>
                    </a:stretch>
                  </pic:blipFill>
                  <pic:spPr>
                    <a:xfrm>
                      <a:off x="0" y="0"/>
                      <a:ext cx="5268595" cy="18415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④灰化薹草草甸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灰化薹草是莎草科、薹草属多年生草本植物。根状茎短，具长的匍匐茎。生长在湖边、沼泽或湿地。灰化薹草薹草主要进行无性繁殖，依靠根状茎上的腋芽萌发成新株。灰化薹草具有发达的须根，其盘根错节，与土粒相互吸附，构成厚达 </w:t>
      </w:r>
      <w:r>
        <w:rPr>
          <w:rFonts w:hint="default" w:ascii="Times New Roman" w:hAnsi="Times New Roman" w:eastAsia="宋体" w:cs="Times New Roman"/>
          <w:bCs/>
          <w:color w:val="auto"/>
          <w:sz w:val="24"/>
          <w:szCs w:val="21"/>
          <w:highlight w:val="none"/>
          <w:u w:val="none"/>
          <w:lang w:val="en-US" w:eastAsia="zh-CN"/>
        </w:rPr>
        <w:t xml:space="preserve">15-20 </w:t>
      </w:r>
      <w:r>
        <w:rPr>
          <w:rFonts w:hint="eastAsia" w:ascii="Times New Roman" w:hAnsi="Times New Roman" w:eastAsia="宋体" w:cs="Times New Roman"/>
          <w:bCs/>
          <w:color w:val="auto"/>
          <w:sz w:val="24"/>
          <w:szCs w:val="21"/>
          <w:highlight w:val="none"/>
          <w:u w:val="none"/>
          <w:lang w:val="en-US" w:eastAsia="zh-CN"/>
        </w:rPr>
        <w:t xml:space="preserve">厘米的生草根层，坚实不易耕耙，正是由于这一庞大的须根，吸附着沼泽草甸土有限的速效养分，繁殖生长。灰化薹草是洞庭湖滨地区良等野生牧草，幼嫩时，牛、羊、鹅均喜食，除放牧外，因其粗蛋白质含量较高。可刈割、晒制于草、粉碎作为配合饲料的填充剂，也可青贮和作发酵饲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该草甸在湖区广泛分布，评价区藕池河河滩广泛分布。</w:t>
      </w:r>
    </w:p>
    <w:p>
      <w:pPr>
        <w:keepNext w:val="0"/>
        <w:keepLines w:val="0"/>
        <w:widowControl/>
        <w:suppressLineNumbers w:val="0"/>
        <w:jc w:val="left"/>
        <w:rPr>
          <w:color w:val="auto"/>
        </w:rPr>
      </w:pPr>
      <w:r>
        <w:rPr>
          <w:color w:val="auto"/>
        </w:rPr>
        <w:drawing>
          <wp:inline distT="0" distB="0" distL="114300" distR="114300">
            <wp:extent cx="5268595" cy="1825625"/>
            <wp:effectExtent l="0" t="0" r="8255" b="3175"/>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63"/>
                    <a:stretch>
                      <a:fillRect/>
                    </a:stretch>
                  </pic:blipFill>
                  <pic:spPr>
                    <a:xfrm>
                      <a:off x="0" y="0"/>
                      <a:ext cx="5268595" cy="1825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⑤牛毛毡草甸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牛毛毡为多年生莎草科湿生性草本，喜酸性黏土、潮湿环境。一般生于海拔 </w:t>
      </w:r>
      <w:r>
        <w:rPr>
          <w:rFonts w:hint="default" w:ascii="Times New Roman" w:hAnsi="Times New Roman" w:eastAsia="宋体" w:cs="Times New Roman"/>
          <w:bCs/>
          <w:color w:val="auto"/>
          <w:sz w:val="24"/>
          <w:szCs w:val="21"/>
          <w:highlight w:val="none"/>
          <w:u w:val="none"/>
          <w:lang w:val="en-US" w:eastAsia="zh-CN"/>
        </w:rPr>
        <w:t xml:space="preserve">0-3000 m </w:t>
      </w:r>
      <w:r>
        <w:rPr>
          <w:rFonts w:hint="eastAsia" w:ascii="Times New Roman" w:hAnsi="Times New Roman" w:eastAsia="宋体" w:cs="Times New Roman"/>
          <w:bCs/>
          <w:color w:val="auto"/>
          <w:sz w:val="24"/>
          <w:szCs w:val="21"/>
          <w:highlight w:val="none"/>
          <w:u w:val="none"/>
          <w:lang w:val="en-US" w:eastAsia="zh-CN"/>
        </w:rPr>
        <w:t>的稻田、池塘边、河滩地及渠边等湿地。生长的适温为</w:t>
      </w:r>
      <w:r>
        <w:rPr>
          <w:rFonts w:hint="default" w:ascii="Times New Roman" w:hAnsi="Times New Roman" w:eastAsia="宋体" w:cs="Times New Roman"/>
          <w:bCs/>
          <w:color w:val="auto"/>
          <w:sz w:val="24"/>
          <w:szCs w:val="21"/>
          <w:highlight w:val="none"/>
          <w:u w:val="none"/>
          <w:lang w:val="en-US" w:eastAsia="zh-CN"/>
        </w:rPr>
        <w:t>22-26 ℃</w:t>
      </w:r>
      <w:r>
        <w:rPr>
          <w:rFonts w:hint="eastAsia" w:ascii="Times New Roman" w:hAnsi="Times New Roman" w:eastAsia="宋体" w:cs="Times New Roman"/>
          <w:bCs/>
          <w:color w:val="auto"/>
          <w:sz w:val="24"/>
          <w:szCs w:val="21"/>
          <w:highlight w:val="none"/>
          <w:u w:val="none"/>
          <w:lang w:val="en-US" w:eastAsia="zh-CN"/>
        </w:rPr>
        <w:t>。牛毛毡喜欢浅水和潮湿的环境，当有充足的光照时也能生长在</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100 cm </w:t>
      </w:r>
      <w:r>
        <w:rPr>
          <w:rFonts w:hint="eastAsia" w:ascii="Times New Roman" w:hAnsi="Times New Roman" w:eastAsia="宋体" w:cs="Times New Roman"/>
          <w:bCs/>
          <w:color w:val="auto"/>
          <w:sz w:val="24"/>
          <w:szCs w:val="21"/>
          <w:highlight w:val="none"/>
          <w:u w:val="none"/>
          <w:lang w:val="en-US" w:eastAsia="zh-CN"/>
        </w:rPr>
        <w:t xml:space="preserve">的深水中。牛毛毡高发于 </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 xml:space="preserve">月，对水稻危害非常严重，在早晚稻田中甚至可以单独造成严重危害，与其它杂草形成坚不可摧的杂草群落，是稻田的噩梦。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该草甸于评价区农田和河岸区域内广泛分布，于农田中影响作物产量，但在河岸堤坝及河滩范围则有保持水土的作用。</w:t>
      </w:r>
    </w:p>
    <w:p>
      <w:pPr>
        <w:adjustRightInd w:val="0"/>
        <w:snapToGrid w:val="0"/>
        <w:spacing w:line="360" w:lineRule="auto"/>
        <w:jc w:val="left"/>
        <w:rPr>
          <w:color w:val="auto"/>
        </w:rPr>
      </w:pPr>
      <w:r>
        <w:rPr>
          <w:color w:val="auto"/>
        </w:rPr>
        <w:drawing>
          <wp:inline distT="0" distB="0" distL="114300" distR="114300">
            <wp:extent cx="5268595" cy="1727200"/>
            <wp:effectExtent l="0" t="0" r="8255" b="6350"/>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pic:cNvPicPr>
                  </pic:nvPicPr>
                  <pic:blipFill>
                    <a:blip r:embed="rId64"/>
                    <a:stretch>
                      <a:fillRect/>
                    </a:stretch>
                  </pic:blipFill>
                  <pic:spPr>
                    <a:xfrm>
                      <a:off x="0" y="0"/>
                      <a:ext cx="5268595" cy="172720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⑥紫云英草甸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紫云英别名翘摇、红花草等，是豆科黄芪属的二年生草本植物。紫云英富硒，含有丰富的蛋白质，可用做牲畜饲料，其嫩梢可供蔬食；泌蜜量大且蜂蜜品质好，是重要的蜜源植物；也是优良的观花植物，可应用于公园、花坛、花镜中；具有固氮能力，可固定空气中氮，植株腐解时，产生大量的氮素，维持农田生态系统中的氮循环；紫云英以全草、根及种子入药，具有一定的药用价值。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本种于评价区荒地及河滩广泛分布。</w:t>
      </w:r>
    </w:p>
    <w:p>
      <w:pPr>
        <w:adjustRightInd w:val="0"/>
        <w:snapToGrid w:val="0"/>
        <w:spacing w:line="360" w:lineRule="auto"/>
        <w:jc w:val="left"/>
        <w:rPr>
          <w:color w:val="auto"/>
        </w:rPr>
      </w:pPr>
      <w:r>
        <w:rPr>
          <w:color w:val="auto"/>
        </w:rPr>
        <w:drawing>
          <wp:inline distT="0" distB="0" distL="114300" distR="114300">
            <wp:extent cx="5273040" cy="1730375"/>
            <wp:effectExtent l="0" t="0" r="3810" b="3175"/>
            <wp:docPr id="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
                    <pic:cNvPicPr>
                      <a:picLocks noChangeAspect="1"/>
                    </pic:cNvPicPr>
                  </pic:nvPicPr>
                  <pic:blipFill>
                    <a:blip r:embed="rId65"/>
                    <a:stretch>
                      <a:fillRect/>
                    </a:stretch>
                  </pic:blipFill>
                  <pic:spPr>
                    <a:xfrm>
                      <a:off x="0" y="0"/>
                      <a:ext cx="5273040" cy="173037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7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⑦</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北美苍耳草甸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北美苍耳是菊科苍耳属一年生草本植物，具有适应性强、繁殖能力强、生命力顽强等特点，因此是重要危险性外来杂草。北美苍耳成熟时种子外形成木质化总苞，总苞具有喙状针刺，以此粘附在人及动物身上进行远距离传播，本种一旦入侵成功会迅速占据大量生态位，对本土物种产生极其严重的排挤性危害。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该草甸类型为外来逸生，现已广泛分布于评价区草地。</w:t>
      </w: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896745"/>
            <wp:effectExtent l="0" t="0" r="3810" b="8255"/>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66"/>
                    <a:stretch>
                      <a:fillRect/>
                    </a:stretch>
                  </pic:blipFill>
                  <pic:spPr>
                    <a:xfrm>
                      <a:off x="0" y="0"/>
                      <a:ext cx="5273040" cy="18967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 xml:space="preserve">）沼泽和水生植物型组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1）沼泽</w:t>
      </w:r>
      <w:r>
        <w:rPr>
          <w:rFonts w:hint="eastAsia" w:ascii="Times New Roman" w:hAnsi="Times New Roman" w:eastAsia="宋体" w:cs="Times New Roman"/>
          <w:bCs/>
          <w:color w:val="auto"/>
          <w:sz w:val="24"/>
          <w:szCs w:val="21"/>
          <w:highlight w:val="none"/>
          <w:u w:val="none"/>
          <w:lang w:val="en-US" w:eastAsia="zh-CN"/>
        </w:rPr>
        <w:t>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①旱柳群落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旱柳是杨柳科柳属的乔木植物，产于中国的东北、华北平原、西北黄土高原，西至甘肃、青海，南至淮河流域以及浙江、江苏。喜光，耐寒，湿地，旱地皆能生长，适宜在湿润而排水良好的土壤生长。旱柳为耐湿植物，能够一定程度上作为防风固沙的生态屏障，对于保护琥珀周边地区的生态环境具有重要意义；此外，旱柳发达的根系能够有效地固定土壤，减少水土流失。尤其是在湖岸带，旱柳能稳固岸边土壤，防止因波浪侵蚀导致的岸线后退，根系还能够吸收并分解水中的一些有害物质，如重金属离子和过量的营养盐（氮、磷等），从而有助于减轻湖泊的富营养化问题。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该群落主要分布于评价区南侧藕池河河岸，为人工栽培，作防护林。林地潮湿，涨水时节林下常被水淹没。群落外貌较整齐，季相明显。群落郁闭度约</w:t>
      </w:r>
      <w:r>
        <w:rPr>
          <w:rFonts w:hint="default" w:ascii="Times New Roman" w:hAnsi="Times New Roman" w:eastAsia="宋体" w:cs="Times New Roman"/>
          <w:bCs/>
          <w:color w:val="auto"/>
          <w:sz w:val="24"/>
          <w:szCs w:val="21"/>
          <w:highlight w:val="none"/>
          <w:u w:val="none"/>
          <w:lang w:val="en-US" w:eastAsia="zh-CN"/>
        </w:rPr>
        <w:t>0.8</w:t>
      </w:r>
      <w:r>
        <w:rPr>
          <w:rFonts w:hint="eastAsia" w:ascii="Times New Roman" w:hAnsi="Times New Roman" w:eastAsia="宋体" w:cs="Times New Roman"/>
          <w:bCs/>
          <w:color w:val="auto"/>
          <w:sz w:val="24"/>
          <w:szCs w:val="21"/>
          <w:highlight w:val="none"/>
          <w:u w:val="none"/>
          <w:lang w:val="en-US" w:eastAsia="zh-CN"/>
        </w:rPr>
        <w:t xml:space="preserve">，乔木层以旱柳为单优种，林下灌木偶见粉团蔷薇，林下草本层主要有南荻、益母草、百球藨草、蛇床等。 </w:t>
      </w:r>
    </w:p>
    <w:p>
      <w:pPr>
        <w:adjustRightInd w:val="0"/>
        <w:snapToGrid w:val="0"/>
        <w:spacing w:line="360" w:lineRule="auto"/>
        <w:jc w:val="left"/>
        <w:rPr>
          <w:color w:val="auto"/>
        </w:rPr>
      </w:pPr>
      <w:r>
        <w:rPr>
          <w:color w:val="auto"/>
        </w:rPr>
        <w:drawing>
          <wp:inline distT="0" distB="0" distL="114300" distR="114300">
            <wp:extent cx="5199380" cy="1809115"/>
            <wp:effectExtent l="0" t="0" r="1270" b="635"/>
            <wp:docPr id="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pic:cNvPicPr>
                      <a:picLocks noChangeAspect="1"/>
                    </pic:cNvPicPr>
                  </pic:nvPicPr>
                  <pic:blipFill>
                    <a:blip r:embed="rId67"/>
                    <a:stretch>
                      <a:fillRect/>
                    </a:stretch>
                  </pic:blipFill>
                  <pic:spPr>
                    <a:xfrm>
                      <a:off x="0" y="0"/>
                      <a:ext cx="5199380" cy="180911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②芦苇群落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芦苇是禾本科芦苇属的多年生草本植物，分布在中国各地，常见于江河湖泽、池塘沟渠沿岸和低湿地。芦苇的繁殖能力强，在适宜条件下，无论是种子、根状茎和地上茎都可栽种。芦苇花序雄伟美观，常用作湖边、河岸低湿处的观赏植物，有固堤、护坡、控制杂草的作用，杆为造纸原料或作编席织帘及建棚材料，根状茎供药用。芦苇还是湿地沼泽环境中重要的组成部分，且芦苇湿地的生态价值具有</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第二森林</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 xml:space="preserve">之美誉，在净化水源、调节气候和保护生物多样性等方面具有其他植物不可替代的作用。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该群落广泛分布于评价区荒地、农田田埂、藕池河河岸、堤坝。群落总盖度约</w:t>
      </w:r>
      <w:r>
        <w:rPr>
          <w:rFonts w:hint="default" w:ascii="Times New Roman" w:hAnsi="Times New Roman" w:eastAsia="宋体" w:cs="Times New Roman"/>
          <w:bCs/>
          <w:color w:val="auto"/>
          <w:sz w:val="24"/>
          <w:szCs w:val="21"/>
          <w:highlight w:val="none"/>
          <w:u w:val="none"/>
          <w:lang w:val="en-US" w:eastAsia="zh-CN"/>
        </w:rPr>
        <w:t>90%</w:t>
      </w:r>
      <w:r>
        <w:rPr>
          <w:rFonts w:hint="eastAsia" w:ascii="Times New Roman" w:hAnsi="Times New Roman" w:eastAsia="宋体" w:cs="Times New Roman"/>
          <w:bCs/>
          <w:color w:val="auto"/>
          <w:sz w:val="24"/>
          <w:szCs w:val="21"/>
          <w:highlight w:val="none"/>
          <w:u w:val="none"/>
          <w:lang w:val="en-US" w:eastAsia="zh-CN"/>
        </w:rPr>
        <w:t>，平均高度约</w:t>
      </w:r>
      <w:r>
        <w:rPr>
          <w:rFonts w:hint="default" w:ascii="Times New Roman" w:hAnsi="Times New Roman" w:eastAsia="宋体" w:cs="Times New Roman"/>
          <w:bCs/>
          <w:color w:val="auto"/>
          <w:sz w:val="24"/>
          <w:szCs w:val="21"/>
          <w:highlight w:val="none"/>
          <w:u w:val="none"/>
          <w:lang w:val="en-US" w:eastAsia="zh-CN"/>
        </w:rPr>
        <w:t>2m</w:t>
      </w:r>
      <w:r>
        <w:rPr>
          <w:rFonts w:hint="eastAsia" w:ascii="Times New Roman" w:hAnsi="Times New Roman" w:eastAsia="宋体" w:cs="Times New Roman"/>
          <w:bCs/>
          <w:color w:val="auto"/>
          <w:sz w:val="24"/>
          <w:szCs w:val="21"/>
          <w:highlight w:val="none"/>
          <w:u w:val="none"/>
          <w:lang w:val="en-US" w:eastAsia="zh-CN"/>
        </w:rPr>
        <w:t xml:space="preserve">。群落可分三层，第一层主要为芦苇，第二层主要有蛇床、益母草等，第三层主要有野老鹳、南苜蓿、救荒野豌豆、旋花等。 </w:t>
      </w:r>
    </w:p>
    <w:p>
      <w:pPr>
        <w:pStyle w:val="2"/>
        <w:ind w:left="0" w:leftChars="0" w:firstLine="0" w:firstLineChars="0"/>
        <w:rPr>
          <w:rFonts w:hint="eastAsia"/>
          <w:color w:val="auto"/>
          <w:lang w:val="en-US" w:eastAsia="zh-CN"/>
        </w:rPr>
      </w:pPr>
      <w:r>
        <w:rPr>
          <w:color w:val="auto"/>
        </w:rPr>
        <w:drawing>
          <wp:inline distT="0" distB="0" distL="114300" distR="114300">
            <wp:extent cx="5269865" cy="1863090"/>
            <wp:effectExtent l="0" t="0" r="6985" b="3810"/>
            <wp:docPr id="5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pic:cNvPicPr>
                      <a:picLocks noChangeAspect="1"/>
                    </pic:cNvPicPr>
                  </pic:nvPicPr>
                  <pic:blipFill>
                    <a:blip r:embed="rId68"/>
                    <a:stretch>
                      <a:fillRect/>
                    </a:stretch>
                  </pic:blipFill>
                  <pic:spPr>
                    <a:xfrm>
                      <a:off x="0" y="0"/>
                      <a:ext cx="5269865" cy="18630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③南荻群系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南荻是禾本科、芒属多年生高大竹状草本植物。南荻产于中国长江中下游以南各省；生于江洲湖滩上，海拔</w:t>
      </w:r>
      <w:r>
        <w:rPr>
          <w:rFonts w:hint="default" w:ascii="Times New Roman" w:hAnsi="Times New Roman" w:eastAsia="宋体" w:cs="Times New Roman"/>
          <w:bCs/>
          <w:color w:val="auto"/>
          <w:sz w:val="24"/>
          <w:szCs w:val="21"/>
          <w:highlight w:val="none"/>
          <w:u w:val="none"/>
          <w:lang w:val="en-US" w:eastAsia="zh-CN"/>
        </w:rPr>
        <w:t>30-40 m</w:t>
      </w:r>
      <w:r>
        <w:rPr>
          <w:rFonts w:hint="eastAsia" w:ascii="Times New Roman" w:hAnsi="Times New Roman" w:eastAsia="宋体" w:cs="Times New Roman"/>
          <w:bCs/>
          <w:color w:val="auto"/>
          <w:sz w:val="24"/>
          <w:szCs w:val="21"/>
          <w:highlight w:val="none"/>
          <w:u w:val="none"/>
          <w:lang w:val="en-US" w:eastAsia="zh-CN"/>
        </w:rPr>
        <w:t>。南获的根状茎强壮，容易扩散繁殖，植株散生，分藥也多，而且生长迅速，植物纤维长且品质良好。大面积的南获可以调节气候，涵养水源，形成良好的湿地生态环境，为鸟类提供栖息、觅食、繁殖的家园。</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评价区内南荻群落主要生长于藕池河两岸河滩，面积较大，为天然群落。该群落以南荻为单一优势种，群落总盖度约为</w:t>
      </w:r>
      <w:r>
        <w:rPr>
          <w:rFonts w:hint="default" w:ascii="Times New Roman" w:hAnsi="Times New Roman" w:eastAsia="宋体" w:cs="Times New Roman"/>
          <w:bCs/>
          <w:color w:val="auto"/>
          <w:sz w:val="24"/>
          <w:szCs w:val="21"/>
          <w:highlight w:val="none"/>
          <w:u w:val="none"/>
          <w:lang w:val="en-US" w:eastAsia="zh-CN"/>
        </w:rPr>
        <w:t>85%</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1.5m</w:t>
      </w:r>
      <w:r>
        <w:rPr>
          <w:rFonts w:hint="eastAsia" w:ascii="Times New Roman" w:hAnsi="Times New Roman" w:eastAsia="宋体" w:cs="Times New Roman"/>
          <w:bCs/>
          <w:color w:val="auto"/>
          <w:sz w:val="24"/>
          <w:szCs w:val="21"/>
          <w:highlight w:val="none"/>
          <w:u w:val="none"/>
          <w:lang w:val="en-US" w:eastAsia="zh-CN"/>
        </w:rPr>
        <w:t xml:space="preserve">，伴生草本主要有牛筋草、益母草、双穗雀稗等。 </w:t>
      </w:r>
    </w:p>
    <w:p>
      <w:pPr>
        <w:pStyle w:val="2"/>
        <w:ind w:left="0" w:leftChars="0" w:firstLine="0" w:firstLineChars="0"/>
        <w:rPr>
          <w:rFonts w:hint="eastAsia"/>
          <w:color w:val="auto"/>
          <w:lang w:val="en-US" w:eastAsia="zh-CN"/>
        </w:rPr>
      </w:pPr>
      <w:r>
        <w:rPr>
          <w:color w:val="auto"/>
        </w:rPr>
        <w:drawing>
          <wp:inline distT="0" distB="0" distL="114300" distR="114300">
            <wp:extent cx="5267325" cy="1799590"/>
            <wp:effectExtent l="0" t="0" r="9525" b="10160"/>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69"/>
                    <a:stretch>
                      <a:fillRect/>
                    </a:stretch>
                  </pic:blipFill>
                  <pic:spPr>
                    <a:xfrm>
                      <a:off x="0" y="0"/>
                      <a:ext cx="5267325" cy="179959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水生植被</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① 黑藻群落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黑藻是水鳖科黑藻属多年生沉水草本。喜光照充足的环境，喜温暖，耐寒冷，在 </w:t>
      </w:r>
      <w:r>
        <w:rPr>
          <w:rFonts w:hint="default" w:ascii="Times New Roman" w:hAnsi="Times New Roman" w:eastAsia="宋体" w:cs="Times New Roman"/>
          <w:bCs/>
          <w:color w:val="auto"/>
          <w:sz w:val="24"/>
          <w:szCs w:val="21"/>
          <w:highlight w:val="none"/>
          <w:u w:val="none"/>
          <w:lang w:val="en-US" w:eastAsia="zh-CN"/>
        </w:rPr>
        <w:t>15-30℃</w:t>
      </w:r>
      <w:r>
        <w:rPr>
          <w:rFonts w:hint="eastAsia" w:ascii="Times New Roman" w:hAnsi="Times New Roman" w:eastAsia="宋体" w:cs="Times New Roman"/>
          <w:bCs/>
          <w:color w:val="auto"/>
          <w:sz w:val="24"/>
          <w:szCs w:val="21"/>
          <w:highlight w:val="none"/>
          <w:u w:val="none"/>
          <w:lang w:val="en-US" w:eastAsia="zh-CN"/>
        </w:rPr>
        <w:t xml:space="preserve">的温度范围内生长良好，越冬温度不宜低于 </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 xml:space="preserve">。该种植物适合室内水体绿化，是装饰水族箱的良好材料，常作为中景、背景草使用。全草可做猪饲料，亦可作为绿肥使用；亦能入药，具利尿祛湿之功效。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现场调查结果显示，黑藻群落广泛分布于评价区北侧农田、原养虾池的静态水域中。群落以黑藻本种为单一优势种，伴生物种主要有水马齿、菹草等。 </w:t>
      </w:r>
    </w:p>
    <w:p>
      <w:pPr>
        <w:adjustRightInd w:val="0"/>
        <w:snapToGrid w:val="0"/>
        <w:spacing w:line="360" w:lineRule="auto"/>
        <w:jc w:val="left"/>
        <w:rPr>
          <w:rFonts w:hint="default"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4310" cy="1909445"/>
            <wp:effectExtent l="0" t="0" r="2540" b="14605"/>
            <wp:docPr id="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1"/>
                    <pic:cNvPicPr>
                      <a:picLocks noChangeAspect="1"/>
                    </pic:cNvPicPr>
                  </pic:nvPicPr>
                  <pic:blipFill>
                    <a:blip r:embed="rId70"/>
                    <a:stretch>
                      <a:fillRect/>
                    </a:stretch>
                  </pic:blipFill>
                  <pic:spPr>
                    <a:xfrm>
                      <a:off x="0" y="0"/>
                      <a:ext cx="5274310" cy="190944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② </w:t>
      </w:r>
      <w:r>
        <w:rPr>
          <w:rFonts w:hint="eastAsia" w:ascii="Times New Roman" w:hAnsi="Times New Roman" w:eastAsia="宋体" w:cs="Times New Roman"/>
          <w:bCs/>
          <w:color w:val="auto"/>
          <w:sz w:val="24"/>
          <w:szCs w:val="21"/>
          <w:highlight w:val="none"/>
          <w:u w:val="none"/>
          <w:lang w:val="en-US" w:eastAsia="zh-CN"/>
        </w:rPr>
        <w:t xml:space="preserve">菹草群落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菹草眼为子菜科眼子菜属的多年生沉水草本植物。常生于池塘、湖泊、溪流中，水体多呈微酸至中性。广泛生长在湖沼、池塘、河沟和稻田。菹草的生长时期与大多数水生植物有所不同，冬、春生长良好，对水域的富营养化有较强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根据现场调查结果显示，该群落主要分布于评价区北侧农田沟渠的流动水域中，群落物种多样性较为单一，以菹草为主。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p>
    <w:p>
      <w:pPr>
        <w:adjustRightInd w:val="0"/>
        <w:snapToGrid w:val="0"/>
        <w:spacing w:line="360" w:lineRule="auto"/>
        <w:jc w:val="left"/>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67325" cy="1724025"/>
            <wp:effectExtent l="0" t="0" r="9525" b="9525"/>
            <wp:docPr id="6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2"/>
                    <pic:cNvPicPr>
                      <a:picLocks noChangeAspect="1"/>
                    </pic:cNvPicPr>
                  </pic:nvPicPr>
                  <pic:blipFill>
                    <a:blip r:embed="rId71"/>
                    <a:stretch>
                      <a:fillRect/>
                    </a:stretch>
                  </pic:blipFill>
                  <pic:spPr>
                    <a:xfrm>
                      <a:off x="0" y="0"/>
                      <a:ext cx="5267325" cy="17240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黑藻、菹草等原生水生植物在东洞庭湖国家级自然保护区湿地生态系统扮演至关重要的角色。在水质净化方面，黑藻能够吸收水体中的营养物质，如氮、磷等，有助于减少水体富营养化现象，其根系和茎叶可以减缓水流速度，帮助稳定底泥，防止沉积物再悬浮，从而保持水质清晰；在环境适应性方面，耐寒性强，能够在冬季存活，保证了湿地植被的连续性和稳定性；在生态保护方面促进了湿地生物多样性的提高，它不仅是许多水生动物的食物来源，还为微生物和其他小型生物提供了生存空间。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 xml:space="preserve">③ </w:t>
      </w:r>
      <w:r>
        <w:rPr>
          <w:rFonts w:hint="eastAsia" w:ascii="Times New Roman" w:hAnsi="Times New Roman" w:eastAsia="宋体" w:cs="Times New Roman"/>
          <w:bCs/>
          <w:color w:val="auto"/>
          <w:sz w:val="24"/>
          <w:szCs w:val="21"/>
          <w:highlight w:val="none"/>
          <w:u w:val="none"/>
          <w:lang w:val="en-US" w:eastAsia="zh-CN"/>
        </w:rPr>
        <w:t xml:space="preserve">空心莲子草群落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空心莲子草为苋科莲子草属多年生草本植物，喜旱莲子草原产巴西，引种我国后，逸为野生，现已成为恶性入侵杂草。该群落于评价区内广泛分布。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空心莲子草在湿地生态系统中的影响是双重的，既有正面作用也存在极其显著的负面影响。正面影响主要体现在水质净化、土壤保持和碳汇功能上；负面影响主要有，生态入侵、农业与水资源管理问题以及给当地的生态环境管理和经济发展带来负担。</w:t>
      </w:r>
    </w:p>
    <w:p>
      <w:pPr>
        <w:pStyle w:val="2"/>
        <w:ind w:left="0" w:leftChars="0" w:firstLine="0" w:firstLineChars="0"/>
        <w:rPr>
          <w:rFonts w:hint="eastAsia" w:ascii="Times New Roman" w:hAnsi="Times New Roman" w:eastAsia="宋体" w:cs="Times New Roman"/>
          <w:bCs/>
          <w:color w:val="auto"/>
          <w:sz w:val="24"/>
          <w:szCs w:val="21"/>
          <w:highlight w:val="none"/>
          <w:u w:val="none"/>
          <w:lang w:val="en-US" w:eastAsia="zh-CN"/>
        </w:rPr>
      </w:pPr>
      <w:r>
        <w:rPr>
          <w:color w:val="auto"/>
        </w:rPr>
        <w:drawing>
          <wp:inline distT="0" distB="0" distL="114300" distR="114300">
            <wp:extent cx="5273040" cy="1798955"/>
            <wp:effectExtent l="0" t="0" r="3810" b="10795"/>
            <wp:docPr id="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
                    <pic:cNvPicPr>
                      <a:picLocks noChangeAspect="1"/>
                    </pic:cNvPicPr>
                  </pic:nvPicPr>
                  <pic:blipFill>
                    <a:blip r:embed="rId72"/>
                    <a:stretch>
                      <a:fillRect/>
                    </a:stretch>
                  </pic:blipFill>
                  <pic:spPr>
                    <a:xfrm>
                      <a:off x="0" y="0"/>
                      <a:ext cx="5273040" cy="179895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w:t>
      </w:r>
      <w:r>
        <w:rPr>
          <w:rFonts w:hint="eastAsia"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）木本类（栽培植被）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加杨林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加杨是杨柳科、杨属的大乔木，高可达</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 xml:space="preserve">多米。加杨原产于加拿大，现于中国各省广泛分布。喜温暖湿润气候，喜光，耐寒，喜湿润而排水良好的冲积土，对水涝、盐碱和薄土地均有一定的适应能力。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现场调查结果显示，该群落主要分布于藕池河两岸，在农田水渠也有少量分布，乔木层以加杨为主，伴生有旱柳，群落盖度约为</w:t>
      </w:r>
      <w:r>
        <w:rPr>
          <w:rFonts w:hint="default" w:ascii="Times New Roman" w:hAnsi="Times New Roman" w:eastAsia="宋体" w:cs="Times New Roman"/>
          <w:bCs/>
          <w:color w:val="auto"/>
          <w:sz w:val="24"/>
          <w:szCs w:val="21"/>
          <w:highlight w:val="none"/>
          <w:u w:val="none"/>
          <w:lang w:val="en-US" w:eastAsia="zh-CN"/>
        </w:rPr>
        <w:t>80%</w:t>
      </w:r>
      <w:r>
        <w:rPr>
          <w:rFonts w:hint="eastAsia" w:ascii="Times New Roman" w:hAnsi="Times New Roman" w:eastAsia="宋体" w:cs="Times New Roman"/>
          <w:bCs/>
          <w:color w:val="auto"/>
          <w:sz w:val="24"/>
          <w:szCs w:val="21"/>
          <w:highlight w:val="none"/>
          <w:u w:val="none"/>
          <w:lang w:val="en-US" w:eastAsia="zh-CN"/>
        </w:rPr>
        <w:t>，平均高度</w:t>
      </w:r>
      <w:r>
        <w:rPr>
          <w:rFonts w:hint="default" w:ascii="Times New Roman" w:hAnsi="Times New Roman" w:eastAsia="宋体" w:cs="Times New Roman"/>
          <w:bCs/>
          <w:color w:val="auto"/>
          <w:sz w:val="24"/>
          <w:szCs w:val="21"/>
          <w:highlight w:val="none"/>
          <w:u w:val="none"/>
          <w:lang w:val="en-US" w:eastAsia="zh-CN"/>
        </w:rPr>
        <w:t>10 m</w:t>
      </w:r>
      <w:r>
        <w:rPr>
          <w:rFonts w:hint="eastAsia" w:ascii="Times New Roman" w:hAnsi="Times New Roman" w:eastAsia="宋体" w:cs="Times New Roman"/>
          <w:bCs/>
          <w:color w:val="auto"/>
          <w:sz w:val="24"/>
          <w:szCs w:val="21"/>
          <w:highlight w:val="none"/>
          <w:u w:val="none"/>
          <w:lang w:val="en-US" w:eastAsia="zh-CN"/>
        </w:rPr>
        <w:t xml:space="preserve">；草本层主要有益母草、荔枝草、蓼子草和风花菜等。 </w:t>
      </w:r>
    </w:p>
    <w:p>
      <w:pPr>
        <w:adjustRightInd w:val="0"/>
        <w:snapToGrid w:val="0"/>
        <w:spacing w:line="360" w:lineRule="auto"/>
        <w:ind w:firstLine="420" w:firstLineChars="200"/>
        <w:jc w:val="left"/>
        <w:rPr>
          <w:color w:val="auto"/>
        </w:rPr>
      </w:pPr>
      <w:r>
        <w:rPr>
          <w:color w:val="auto"/>
        </w:rPr>
        <w:drawing>
          <wp:inline distT="0" distB="0" distL="114300" distR="114300">
            <wp:extent cx="4905375" cy="3476625"/>
            <wp:effectExtent l="0" t="0" r="9525" b="9525"/>
            <wp:docPr id="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4"/>
                    <pic:cNvPicPr>
                      <a:picLocks noChangeAspect="1"/>
                    </pic:cNvPicPr>
                  </pic:nvPicPr>
                  <pic:blipFill>
                    <a:blip r:embed="rId73"/>
                    <a:stretch>
                      <a:fillRect/>
                    </a:stretch>
                  </pic:blipFill>
                  <pic:spPr>
                    <a:xfrm>
                      <a:off x="0" y="0"/>
                      <a:ext cx="4905375" cy="3476625"/>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 xml:space="preserve">水杉林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水杉树原产地是在中国湖北省，分布的地区环境都是比较湿润多雨的，之后在中国各地广泛移栽种植。水杉喜温暖湿润气候；喜深厚肥沃的酸性土；不耐旱，对土壤干旱较敏感，对二氧化硫等有害气体的抗性较弱。水杉木材质轻软，生长较快，纹理直，结构比较粗壮，早晚材硬度区别大，不耐水湿，是很好的工业原料，可供房屋及安置、板料、电杆、家具及木纤维工业原料使用。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现场调查结果表明，水杉林在评价区内分布面积较小，主要作为评价区居民区的四旁树。 </w:t>
      </w:r>
      <w:r>
        <w:rPr>
          <w:color w:val="auto"/>
        </w:rPr>
        <w:drawing>
          <wp:inline distT="0" distB="0" distL="114300" distR="114300">
            <wp:extent cx="5273040" cy="1869440"/>
            <wp:effectExtent l="0" t="0" r="3810" b="16510"/>
            <wp:docPr id="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pic:cNvPicPr>
                      <a:picLocks noChangeAspect="1"/>
                    </pic:cNvPicPr>
                  </pic:nvPicPr>
                  <pic:blipFill>
                    <a:blip r:embed="rId74"/>
                    <a:stretch>
                      <a:fillRect/>
                    </a:stretch>
                  </pic:blipFill>
                  <pic:spPr>
                    <a:xfrm>
                      <a:off x="0" y="0"/>
                      <a:ext cx="5273040" cy="1869440"/>
                    </a:xfrm>
                    <a:prstGeom prst="rect">
                      <a:avLst/>
                    </a:prstGeom>
                    <a:noFill/>
                    <a:ln>
                      <a:noFill/>
                    </a:ln>
                  </pic:spPr>
                </pic:pic>
              </a:graphicData>
            </a:graphic>
          </wp:inline>
        </w:drawing>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在</w:t>
      </w:r>
      <w:r>
        <w:rPr>
          <w:rFonts w:hint="default" w:ascii="Times New Roman" w:hAnsi="Times New Roman" w:eastAsia="宋体" w:cs="Times New Roman"/>
          <w:bCs/>
          <w:color w:val="auto"/>
          <w:sz w:val="24"/>
          <w:szCs w:val="21"/>
          <w:highlight w:val="none"/>
          <w:u w:val="none"/>
          <w:lang w:val="en-US" w:eastAsia="zh-CN"/>
        </w:rPr>
        <w:t>20</w:t>
      </w:r>
      <w:r>
        <w:rPr>
          <w:rFonts w:hint="eastAsia" w:ascii="Times New Roman" w:hAnsi="Times New Roman" w:eastAsia="宋体" w:cs="Times New Roman"/>
          <w:bCs/>
          <w:color w:val="auto"/>
          <w:sz w:val="24"/>
          <w:szCs w:val="21"/>
          <w:highlight w:val="none"/>
          <w:u w:val="none"/>
          <w:lang w:val="en-US" w:eastAsia="zh-CN"/>
        </w:rPr>
        <w:t xml:space="preserve">世纪中后期，随着对湖区生态保护重视程度的增加，加杨、水杉开始在洞庭湖周边广泛种植。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加杨和水杉的结合种植，充分利用了各自的优势。加杨的快速生长特性有助于短期内建立植被覆盖，而水杉则能在长期内提供更加稳定的生态环境。两者共同种植不仅能增强湖泊周边的生态稳定性，还能提高整个区域的生物多样性和美观度，促进生态系统的健康与可持续发展。</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通过厂址现场实地调查和有关资料的记载，评价区内无珍稀古树名木和保护植物，项目位于城镇建成区腹地，远离野生植物生长范围，不会对项目范围内野生植物造成直接或间接的影响。</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3）动物多样性调查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自然保护区实验区毗邻的岳阳楼区地块土地开发利用程度较高，周边为受人类活动的影响非常大，评价区内无大型陆生野生动物。评价范围内野生动物主要分布在东洞庭湖自然保护区内部核心区和缓冲区，本次位于东洞庭湖自然保护区实验区范围内（</w:t>
      </w:r>
      <w:r>
        <w:rPr>
          <w:rFonts w:hint="eastAsia" w:cs="Times New Roman"/>
          <w:bCs/>
          <w:color w:val="auto"/>
          <w:sz w:val="24"/>
          <w:szCs w:val="21"/>
          <w:highlight w:val="none"/>
          <w:u w:val="none"/>
          <w:lang w:val="en-US" w:eastAsia="zh-CN"/>
        </w:rPr>
        <w:t>自然保护区整合优化后</w:t>
      </w:r>
      <w:r>
        <w:rPr>
          <w:rFonts w:hint="eastAsia" w:ascii="Times New Roman" w:hAnsi="Times New Roman" w:eastAsia="宋体" w:cs="Times New Roman"/>
          <w:bCs/>
          <w:color w:val="auto"/>
          <w:sz w:val="24"/>
          <w:szCs w:val="21"/>
          <w:highlight w:val="none"/>
          <w:u w:val="none"/>
          <w:lang w:val="en-US" w:eastAsia="zh-CN"/>
        </w:rPr>
        <w:t>的自然保护区</w:t>
      </w:r>
      <w:r>
        <w:rPr>
          <w:rFonts w:hint="eastAsia" w:cs="Times New Roman"/>
          <w:bCs/>
          <w:color w:val="auto"/>
          <w:sz w:val="24"/>
          <w:szCs w:val="21"/>
          <w:highlight w:val="none"/>
          <w:u w:val="none"/>
          <w:lang w:val="en-US" w:eastAsia="zh-CN"/>
        </w:rPr>
        <w:t>边界</w:t>
      </w:r>
      <w:r>
        <w:rPr>
          <w:rFonts w:hint="eastAsia" w:ascii="Times New Roman" w:hAnsi="Times New Roman" w:eastAsia="宋体" w:cs="Times New Roman"/>
          <w:bCs/>
          <w:color w:val="auto"/>
          <w:sz w:val="24"/>
          <w:szCs w:val="21"/>
          <w:highlight w:val="none"/>
          <w:u w:val="none"/>
          <w:lang w:val="en-US" w:eastAsia="zh-CN"/>
        </w:rPr>
        <w:t>外）。</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w:t>
      </w:r>
      <w:r>
        <w:rPr>
          <w:rFonts w:hint="eastAsia" w:ascii="Times New Roman" w:hAnsi="Times New Roman" w:eastAsia="宋体" w:cs="Times New Roman"/>
          <w:bCs/>
          <w:color w:val="auto"/>
          <w:sz w:val="24"/>
          <w:szCs w:val="21"/>
          <w:highlight w:val="none"/>
          <w:u w:val="none"/>
          <w:lang w:val="en-US" w:eastAsia="zh-CN"/>
        </w:rPr>
        <w:t xml:space="preserve">兽类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通过实地调查和参考相关资料</w:t>
      </w:r>
      <w:r>
        <w:rPr>
          <w:rFonts w:hint="eastAsia" w:cs="Times New Roman"/>
          <w:bCs/>
          <w:color w:val="auto"/>
          <w:sz w:val="24"/>
          <w:szCs w:val="21"/>
          <w:highlight w:val="none"/>
          <w:u w:val="none"/>
          <w:lang w:val="en-US" w:eastAsia="zh-CN"/>
        </w:rPr>
        <w:t>——</w:t>
      </w:r>
      <w:r>
        <w:rPr>
          <w:rFonts w:hint="eastAsia" w:ascii="Times New Roman" w:hAnsi="Times New Roman" w:eastAsia="宋体" w:cs="宋体"/>
          <w:bCs/>
          <w:color w:val="auto"/>
          <w:sz w:val="24"/>
          <w:szCs w:val="21"/>
          <w:lang w:val="en-US" w:eastAsia="zh-CN"/>
        </w:rPr>
        <w:t>《</w:t>
      </w:r>
      <w:r>
        <w:rPr>
          <w:rFonts w:hint="default" w:ascii="Times New Roman" w:hAnsi="Times New Roman" w:eastAsia="宋体" w:cs="宋体"/>
          <w:bCs/>
          <w:color w:val="auto"/>
          <w:sz w:val="24"/>
          <w:szCs w:val="21"/>
          <w:lang w:val="en-US" w:eastAsia="zh-CN"/>
        </w:rPr>
        <w:t>华容县团洲垸决口灾后农村居民集中安置房项目</w:t>
      </w:r>
      <w:r>
        <w:rPr>
          <w:rFonts w:hint="eastAsia" w:ascii="Times New Roman" w:hAnsi="Times New Roman" w:eastAsia="宋体" w:cs="宋体"/>
          <w:bCs/>
          <w:color w:val="auto"/>
          <w:sz w:val="24"/>
          <w:szCs w:val="21"/>
          <w:lang w:val="en-US" w:eastAsia="zh-CN"/>
        </w:rPr>
        <w:t>对湖南东洞庭湖国家级自然保护区生物多样性影响评价报告》</w:t>
      </w:r>
      <w:r>
        <w:rPr>
          <w:rFonts w:hint="eastAsia" w:ascii="Times New Roman" w:hAnsi="Times New Roman" w:eastAsia="宋体" w:cs="Times New Roman"/>
          <w:bCs/>
          <w:color w:val="auto"/>
          <w:sz w:val="24"/>
          <w:szCs w:val="21"/>
          <w:highlight w:val="none"/>
          <w:u w:val="none"/>
          <w:lang w:val="en-US" w:eastAsia="zh-CN"/>
        </w:rPr>
        <w:t>，评价区</w:t>
      </w:r>
      <w:r>
        <w:rPr>
          <w:rFonts w:hint="eastAsia" w:cs="Times New Roman"/>
          <w:bCs/>
          <w:color w:val="auto"/>
          <w:sz w:val="24"/>
          <w:szCs w:val="21"/>
          <w:highlight w:val="none"/>
          <w:u w:val="none"/>
          <w:lang w:val="en-US" w:eastAsia="zh-CN"/>
        </w:rPr>
        <w:t>范围内</w:t>
      </w:r>
      <w:r>
        <w:rPr>
          <w:rFonts w:hint="eastAsia" w:ascii="Times New Roman" w:hAnsi="Times New Roman" w:eastAsia="宋体" w:cs="Times New Roman"/>
          <w:bCs/>
          <w:color w:val="auto"/>
          <w:sz w:val="24"/>
          <w:szCs w:val="21"/>
          <w:highlight w:val="none"/>
          <w:u w:val="none"/>
          <w:lang w:val="en-US" w:eastAsia="zh-CN"/>
        </w:rPr>
        <w:t>共记录哺乳动物</w:t>
      </w:r>
      <w:r>
        <w:rPr>
          <w:rFonts w:hint="default" w:ascii="Times New Roman" w:hAnsi="Times New Roman" w:eastAsia="宋体" w:cs="Times New Roman"/>
          <w:bCs/>
          <w:color w:val="auto"/>
          <w:sz w:val="24"/>
          <w:szCs w:val="21"/>
          <w:highlight w:val="none"/>
          <w:u w:val="none"/>
          <w:lang w:val="en-US" w:eastAsia="zh-CN"/>
        </w:rPr>
        <w:t>7</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5</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科。其中劳亚食虫目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种，兔形目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种，啮齿目</w:t>
      </w:r>
      <w:r>
        <w:rPr>
          <w:rFonts w:hint="default" w:ascii="Times New Roman" w:hAnsi="Times New Roman" w:eastAsia="宋体" w:cs="Times New Roman"/>
          <w:bCs/>
          <w:color w:val="auto"/>
          <w:sz w:val="24"/>
          <w:szCs w:val="21"/>
          <w:highlight w:val="none"/>
          <w:u w:val="none"/>
          <w:lang w:val="en-US" w:eastAsia="zh-CN"/>
        </w:rPr>
        <w:t xml:space="preserve">2 </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种，食肉目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种，翼手目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种。统计得出，有 </w:t>
      </w:r>
      <w:r>
        <w:rPr>
          <w:rFonts w:hint="default" w:ascii="Times New Roman" w:hAnsi="Times New Roman" w:eastAsia="宋体" w:cs="Times New Roman"/>
          <w:bCs/>
          <w:color w:val="auto"/>
          <w:sz w:val="24"/>
          <w:szCs w:val="21"/>
          <w:highlight w:val="none"/>
          <w:u w:val="none"/>
          <w:lang w:val="en-US" w:eastAsia="zh-CN"/>
        </w:rPr>
        <w:t xml:space="preserve">3 </w:t>
      </w:r>
      <w:r>
        <w:rPr>
          <w:rFonts w:hint="eastAsia" w:ascii="Times New Roman" w:hAnsi="Times New Roman" w:eastAsia="宋体" w:cs="Times New Roman"/>
          <w:bCs/>
          <w:color w:val="auto"/>
          <w:sz w:val="24"/>
          <w:szCs w:val="21"/>
          <w:highlight w:val="none"/>
          <w:u w:val="none"/>
          <w:lang w:val="en-US" w:eastAsia="zh-CN"/>
        </w:rPr>
        <w:t xml:space="preserve">种哺乳动物被列入《湖南省地方种重点保护野生动物名录》，即隐纹花鼠、东北刺猬、黄鼬。所有物种受威胁等级均为无危。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w:t>
      </w:r>
      <w:r>
        <w:rPr>
          <w:rFonts w:hint="eastAsia" w:ascii="Times New Roman" w:hAnsi="Times New Roman" w:eastAsia="宋体" w:cs="Times New Roman"/>
          <w:bCs/>
          <w:color w:val="auto"/>
          <w:sz w:val="24"/>
          <w:szCs w:val="21"/>
          <w:highlight w:val="none"/>
          <w:u w:val="none"/>
          <w:lang w:val="en-US" w:eastAsia="zh-CN"/>
        </w:rPr>
        <w:t>鸟类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根据实地调查、访问调查和查阅有关文献，评价区共记录鸟类</w:t>
      </w:r>
      <w:r>
        <w:rPr>
          <w:rFonts w:hint="default" w:ascii="Times New Roman" w:hAnsi="Times New Roman" w:eastAsia="宋体" w:cs="Times New Roman"/>
          <w:bCs/>
          <w:color w:val="auto"/>
          <w:sz w:val="24"/>
          <w:szCs w:val="21"/>
          <w:highlight w:val="none"/>
          <w:u w:val="none"/>
          <w:lang w:val="en-US" w:eastAsia="zh-CN"/>
        </w:rPr>
        <w:t>56</w:t>
      </w:r>
      <w:r>
        <w:rPr>
          <w:rFonts w:hint="eastAsia" w:ascii="Times New Roman" w:hAnsi="Times New Roman" w:eastAsia="宋体" w:cs="Times New Roman"/>
          <w:bCs/>
          <w:color w:val="auto"/>
          <w:sz w:val="24"/>
          <w:szCs w:val="21"/>
          <w:highlight w:val="none"/>
          <w:u w:val="none"/>
          <w:lang w:val="en-US" w:eastAsia="zh-CN"/>
        </w:rPr>
        <w:t>种，隶属</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30</w:t>
      </w:r>
      <w:r>
        <w:rPr>
          <w:rFonts w:hint="eastAsia" w:ascii="Times New Roman" w:hAnsi="Times New Roman" w:eastAsia="宋体" w:cs="Times New Roman"/>
          <w:bCs/>
          <w:color w:val="auto"/>
          <w:sz w:val="24"/>
          <w:szCs w:val="21"/>
          <w:highlight w:val="none"/>
          <w:u w:val="none"/>
          <w:lang w:val="en-US" w:eastAsia="zh-CN"/>
        </w:rPr>
        <w:t>科，其中雁形目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种、鹈形目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种、䴙䴘目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种、鹤形目 </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种、鸻形目</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种、鸡形目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种、鹃形目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种、佛法僧目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 xml:space="preserve">科 </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种、鸽形目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种、犀鸟目</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种、雀形目</w:t>
      </w:r>
      <w:r>
        <w:rPr>
          <w:rFonts w:hint="default" w:ascii="Times New Roman" w:hAnsi="Times New Roman" w:eastAsia="宋体" w:cs="Times New Roman"/>
          <w:bCs/>
          <w:color w:val="auto"/>
          <w:sz w:val="24"/>
          <w:szCs w:val="21"/>
          <w:highlight w:val="none"/>
          <w:u w:val="none"/>
          <w:lang w:val="en-US" w:eastAsia="zh-CN"/>
        </w:rPr>
        <w:t>19</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34</w:t>
      </w:r>
      <w:r>
        <w:rPr>
          <w:rFonts w:hint="eastAsia" w:ascii="Times New Roman" w:hAnsi="Times New Roman" w:eastAsia="宋体" w:cs="Times New Roman"/>
          <w:bCs/>
          <w:color w:val="auto"/>
          <w:sz w:val="24"/>
          <w:szCs w:val="21"/>
          <w:highlight w:val="none"/>
          <w:u w:val="none"/>
          <w:lang w:val="en-US" w:eastAsia="zh-CN"/>
        </w:rPr>
        <w:t>种。有小䴙䴘、白鹭、苍鹭等</w:t>
      </w:r>
      <w:r>
        <w:rPr>
          <w:rFonts w:hint="default" w:ascii="Times New Roman" w:hAnsi="Times New Roman" w:eastAsia="宋体" w:cs="Times New Roman"/>
          <w:bCs/>
          <w:color w:val="auto"/>
          <w:sz w:val="24"/>
          <w:szCs w:val="21"/>
          <w:highlight w:val="none"/>
          <w:u w:val="none"/>
          <w:lang w:val="en-US" w:eastAsia="zh-CN"/>
        </w:rPr>
        <w:t>27</w:t>
      </w:r>
      <w:r>
        <w:rPr>
          <w:rFonts w:hint="eastAsia" w:ascii="Times New Roman" w:hAnsi="Times New Roman" w:eastAsia="宋体" w:cs="Times New Roman"/>
          <w:bCs/>
          <w:color w:val="auto"/>
          <w:sz w:val="24"/>
          <w:szCs w:val="21"/>
          <w:highlight w:val="none"/>
          <w:u w:val="none"/>
          <w:lang w:val="en-US" w:eastAsia="zh-CN"/>
        </w:rPr>
        <w:t xml:space="preserve">种鸟类被列入《湖南省地方重点保护野生动物名录》。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 xml:space="preserve">爬行类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根据实地调查、访问调查及查阅文献得知，评价区共记录爬行动物</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科。其中，壁虎科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种、蜥蜴科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种、石龙子科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种、游蛇科</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种、水蛇科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种和蝰科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种，以游蛇科种类占优势。在评价区记录的</w:t>
      </w:r>
      <w:r>
        <w:rPr>
          <w:rFonts w:hint="default" w:ascii="Times New Roman" w:hAnsi="Times New Roman" w:eastAsia="宋体" w:cs="Times New Roman"/>
          <w:bCs/>
          <w:color w:val="auto"/>
          <w:sz w:val="24"/>
          <w:szCs w:val="21"/>
          <w:highlight w:val="none"/>
          <w:u w:val="none"/>
          <w:lang w:val="en-US" w:eastAsia="zh-CN"/>
        </w:rPr>
        <w:t>10</w:t>
      </w:r>
      <w:r>
        <w:rPr>
          <w:rFonts w:hint="eastAsia" w:ascii="Times New Roman" w:hAnsi="Times New Roman" w:eastAsia="宋体" w:cs="Times New Roman"/>
          <w:bCs/>
          <w:color w:val="auto"/>
          <w:sz w:val="24"/>
          <w:szCs w:val="21"/>
          <w:highlight w:val="none"/>
          <w:u w:val="none"/>
          <w:lang w:val="en-US" w:eastAsia="zh-CN"/>
        </w:rPr>
        <w:t xml:space="preserve">种爬行动物均属于湖南省地方重点保护陆生野生动物。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 xml:space="preserve">④两栖类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根据实地调查、访问调查及查阅相关文献得知，评价区内共记录两栖动物</w:t>
      </w:r>
      <w:r>
        <w:rPr>
          <w:rFonts w:hint="default" w:ascii="Times New Roman" w:hAnsi="Times New Roman" w:eastAsia="宋体" w:cs="Times New Roman"/>
          <w:bCs/>
          <w:color w:val="auto"/>
          <w:sz w:val="24"/>
          <w:szCs w:val="21"/>
          <w:highlight w:val="none"/>
          <w:u w:val="none"/>
          <w:lang w:val="en-US" w:eastAsia="zh-CN"/>
        </w:rPr>
        <w:t xml:space="preserve">7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科。其中，蟾蜍科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种、蛙科</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种、姬蛙科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种和叉舌蛙科</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种。记录的</w:t>
      </w:r>
      <w:r>
        <w:rPr>
          <w:rFonts w:hint="default" w:ascii="Times New Roman" w:hAnsi="Times New Roman" w:eastAsia="宋体"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种两栖动物，均属于湖南省地方重点保护野生动物，即黑斑侧褶蛙、小弧斑姬蛙、饰纹姬蛙。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fldChar w:fldCharType="begin"/>
      </w:r>
      <w:r>
        <w:rPr>
          <w:rFonts w:hint="eastAsia" w:ascii="Times New Roman" w:hAnsi="Times New Roman" w:eastAsia="宋体" w:cs="Times New Roman"/>
          <w:bCs/>
          <w:color w:val="auto"/>
          <w:sz w:val="24"/>
          <w:szCs w:val="21"/>
          <w:highlight w:val="none"/>
          <w:u w:val="none"/>
          <w:lang w:val="en-US" w:eastAsia="zh-CN"/>
        </w:rPr>
        <w:instrText xml:space="preserve"> = 5 \* GB3 \* MERGEFORMAT </w:instrText>
      </w:r>
      <w:r>
        <w:rPr>
          <w:rFonts w:hint="eastAsia" w:ascii="Times New Roman" w:hAnsi="Times New Roman" w:eastAsia="宋体" w:cs="Times New Roman"/>
          <w:bCs/>
          <w:color w:val="auto"/>
          <w:sz w:val="24"/>
          <w:szCs w:val="21"/>
          <w:highlight w:val="none"/>
          <w:u w:val="none"/>
          <w:lang w:val="en-US" w:eastAsia="zh-CN"/>
        </w:rPr>
        <w:fldChar w:fldCharType="separate"/>
      </w:r>
      <w:r>
        <w:rPr>
          <w:rFonts w:hint="eastAsia" w:ascii="Times New Roman" w:hAnsi="Times New Roman" w:eastAsia="宋体" w:cs="Times New Roman"/>
          <w:bCs/>
          <w:color w:val="auto"/>
          <w:sz w:val="24"/>
          <w:szCs w:val="21"/>
          <w:highlight w:val="none"/>
          <w:u w:val="none"/>
          <w:lang w:val="en-US" w:eastAsia="zh-CN"/>
        </w:rPr>
        <w:t>⑤</w:t>
      </w:r>
      <w:r>
        <w:rPr>
          <w:rFonts w:hint="eastAsia" w:ascii="Times New Roman" w:hAnsi="Times New Roman" w:eastAsia="宋体" w:cs="Times New Roman"/>
          <w:bCs/>
          <w:color w:val="auto"/>
          <w:sz w:val="24"/>
          <w:szCs w:val="21"/>
          <w:highlight w:val="none"/>
          <w:u w:val="none"/>
          <w:lang w:val="en-US" w:eastAsia="zh-CN"/>
        </w:rPr>
        <w:fldChar w:fldCharType="end"/>
      </w:r>
      <w:r>
        <w:rPr>
          <w:rFonts w:hint="eastAsia" w:ascii="Times New Roman" w:hAnsi="Times New Roman" w:eastAsia="宋体" w:cs="Times New Roman"/>
          <w:bCs/>
          <w:color w:val="auto"/>
          <w:sz w:val="24"/>
          <w:szCs w:val="21"/>
          <w:highlight w:val="none"/>
          <w:u w:val="none"/>
          <w:lang w:val="en-US" w:eastAsia="zh-CN"/>
        </w:rPr>
        <w:t xml:space="preserve">鱼类 </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根据实地调查、访问调查及查阅相关文献得知，工程评价区共记录鱼类</w:t>
      </w:r>
      <w:r>
        <w:rPr>
          <w:rFonts w:hint="default" w:ascii="Times New Roman" w:hAnsi="Times New Roman" w:eastAsia="宋体" w:cs="Times New Roman"/>
          <w:bCs/>
          <w:color w:val="auto"/>
          <w:sz w:val="24"/>
          <w:szCs w:val="21"/>
          <w:highlight w:val="none"/>
          <w:u w:val="none"/>
          <w:lang w:val="en-US" w:eastAsia="zh-CN"/>
        </w:rPr>
        <w:t xml:space="preserve">15 </w:t>
      </w:r>
      <w:r>
        <w:rPr>
          <w:rFonts w:hint="eastAsia" w:ascii="Times New Roman" w:hAnsi="Times New Roman" w:eastAsia="宋体" w:cs="Times New Roman"/>
          <w:bCs/>
          <w:color w:val="auto"/>
          <w:sz w:val="24"/>
          <w:szCs w:val="21"/>
          <w:highlight w:val="none"/>
          <w:u w:val="none"/>
          <w:lang w:val="en-US" w:eastAsia="zh-CN"/>
        </w:rPr>
        <w:t>种，隶属于</w:t>
      </w:r>
      <w:r>
        <w:rPr>
          <w:rFonts w:hint="default" w:ascii="Times New Roman" w:hAnsi="Times New Roman" w:eastAsia="宋体" w:cs="Times New Roman"/>
          <w:bCs/>
          <w:color w:val="auto"/>
          <w:sz w:val="24"/>
          <w:szCs w:val="21"/>
          <w:highlight w:val="none"/>
          <w:u w:val="none"/>
          <w:lang w:val="en-US" w:eastAsia="zh-CN"/>
        </w:rPr>
        <w:t>4</w:t>
      </w:r>
      <w:r>
        <w:rPr>
          <w:rFonts w:hint="eastAsia" w:ascii="Times New Roman" w:hAnsi="Times New Roman" w:eastAsia="宋体" w:cs="Times New Roman"/>
          <w:bCs/>
          <w:color w:val="auto"/>
          <w:sz w:val="24"/>
          <w:szCs w:val="21"/>
          <w:highlight w:val="none"/>
          <w:u w:val="none"/>
          <w:lang w:val="en-US" w:eastAsia="zh-CN"/>
        </w:rPr>
        <w:t>目</w:t>
      </w:r>
      <w:r>
        <w:rPr>
          <w:rFonts w:hint="default" w:ascii="Times New Roman" w:hAnsi="Times New Roman" w:eastAsia="宋体"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lang w:val="en-US" w:eastAsia="zh-CN"/>
        </w:rPr>
        <w:t>科，其中鲤形目鱼类最多，共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11</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73.33%</w:t>
      </w:r>
      <w:r>
        <w:rPr>
          <w:rFonts w:hint="eastAsia" w:ascii="Times New Roman" w:hAnsi="Times New Roman" w:eastAsia="宋体" w:cs="Times New Roman"/>
          <w:bCs/>
          <w:color w:val="auto"/>
          <w:sz w:val="24"/>
          <w:szCs w:val="21"/>
          <w:highlight w:val="none"/>
          <w:u w:val="none"/>
          <w:lang w:val="en-US" w:eastAsia="zh-CN"/>
        </w:rPr>
        <w:t>；鲈形目次之，共</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科</w:t>
      </w:r>
      <w:r>
        <w:rPr>
          <w:rFonts w:hint="default" w:ascii="Times New Roman" w:hAnsi="Times New Roman" w:eastAsia="宋体" w:cs="Times New Roman"/>
          <w:bCs/>
          <w:color w:val="auto"/>
          <w:sz w:val="24"/>
          <w:szCs w:val="21"/>
          <w:highlight w:val="none"/>
          <w:u w:val="none"/>
          <w:lang w:val="en-US" w:eastAsia="zh-CN"/>
        </w:rPr>
        <w:t>2</w:t>
      </w:r>
      <w:r>
        <w:rPr>
          <w:rFonts w:hint="eastAsia" w:ascii="Times New Roman" w:hAnsi="Times New Roman" w:eastAsia="宋体" w:cs="Times New Roman"/>
          <w:bCs/>
          <w:color w:val="auto"/>
          <w:sz w:val="24"/>
          <w:szCs w:val="21"/>
          <w:highlight w:val="none"/>
          <w:u w:val="none"/>
          <w:lang w:val="en-US" w:eastAsia="zh-CN"/>
        </w:rPr>
        <w:t>种，占评价区鱼类总数的</w:t>
      </w:r>
      <w:r>
        <w:rPr>
          <w:rFonts w:hint="default" w:ascii="Times New Roman" w:hAnsi="Times New Roman" w:eastAsia="宋体" w:cs="Times New Roman"/>
          <w:bCs/>
          <w:color w:val="auto"/>
          <w:sz w:val="24"/>
          <w:szCs w:val="21"/>
          <w:highlight w:val="none"/>
          <w:u w:val="none"/>
          <w:lang w:val="en-US" w:eastAsia="zh-CN"/>
        </w:rPr>
        <w:t>13.33%</w:t>
      </w:r>
      <w:r>
        <w:rPr>
          <w:rFonts w:hint="eastAsia" w:ascii="Times New Roman" w:hAnsi="Times New Roman" w:eastAsia="宋体" w:cs="Times New Roman"/>
          <w:bCs/>
          <w:color w:val="auto"/>
          <w:sz w:val="24"/>
          <w:szCs w:val="21"/>
          <w:highlight w:val="none"/>
          <w:u w:val="none"/>
          <w:lang w:val="en-US" w:eastAsia="zh-CN"/>
        </w:rPr>
        <w:t>；合鳃鱼目和鲇形目各</w:t>
      </w:r>
      <w:r>
        <w:rPr>
          <w:rFonts w:hint="default" w:ascii="Times New Roman" w:hAnsi="Times New Roman" w:eastAsia="宋体" w:cs="Times New Roman"/>
          <w:bCs/>
          <w:color w:val="auto"/>
          <w:sz w:val="24"/>
          <w:szCs w:val="21"/>
          <w:highlight w:val="none"/>
          <w:u w:val="none"/>
          <w:lang w:val="en-US" w:eastAsia="zh-CN"/>
        </w:rPr>
        <w:t>1</w:t>
      </w:r>
      <w:r>
        <w:rPr>
          <w:rFonts w:hint="eastAsia" w:ascii="Times New Roman" w:hAnsi="Times New Roman" w:eastAsia="宋体" w:cs="Times New Roman"/>
          <w:bCs/>
          <w:color w:val="auto"/>
          <w:sz w:val="24"/>
          <w:szCs w:val="21"/>
          <w:highlight w:val="none"/>
          <w:u w:val="none"/>
          <w:lang w:val="en-US" w:eastAsia="zh-CN"/>
        </w:rPr>
        <w:t>种，各占评价区鱼类总数的</w:t>
      </w:r>
      <w:r>
        <w:rPr>
          <w:rFonts w:hint="default" w:ascii="Times New Roman" w:hAnsi="Times New Roman" w:eastAsia="宋体" w:cs="Times New Roman"/>
          <w:bCs/>
          <w:color w:val="auto"/>
          <w:sz w:val="24"/>
          <w:szCs w:val="21"/>
          <w:highlight w:val="none"/>
          <w:u w:val="none"/>
          <w:lang w:val="en-US" w:eastAsia="zh-CN"/>
        </w:rPr>
        <w:t>6.67%</w:t>
      </w:r>
      <w:r>
        <w:rPr>
          <w:rFonts w:hint="eastAsia" w:ascii="Times New Roman" w:hAnsi="Times New Roman" w:eastAsia="宋体"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东洞庭湖实验区内的野生动物主要由常见的小型和庭院动物构成，常见的物种有白头鹎、八哥、小云雀、戴胜、普通翠鸟、普通秧鸡、白鹃鸰、红嘴蓝鹊、普通秧鸡、中华大蟾蜍等。本项目评价区内无珍稀濒危陆生野生动物，且不涉及上述野生脊椎动物分布。</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4）自然遗迹调查</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本项目评价区内无需要保护的自然遗迹分布。</w:t>
      </w:r>
    </w:p>
    <w:bookmarkEnd w:id="233"/>
    <w:bookmarkEnd w:id="234"/>
    <w:bookmarkEnd w:id="235"/>
    <w:bookmarkEnd w:id="236"/>
    <w:bookmarkEnd w:id="237"/>
    <w:bookmarkEnd w:id="238"/>
    <w:bookmarkEnd w:id="239"/>
    <w:bookmarkEnd w:id="244"/>
    <w:bookmarkEnd w:id="245"/>
    <w:p>
      <w:pPr>
        <w:keepNext/>
        <w:keepLines/>
        <w:widowControl w:val="0"/>
        <w:adjustRightInd w:val="0"/>
        <w:snapToGrid w:val="0"/>
        <w:spacing w:before="0" w:after="0" w:line="360" w:lineRule="auto"/>
        <w:jc w:val="both"/>
        <w:outlineLvl w:val="1"/>
        <w:rPr>
          <w:rFonts w:hint="eastAsia" w:ascii="Times New Roman" w:hAnsi="Times New Roman" w:eastAsia="宋体" w:cs="Times New Roman"/>
          <w:b/>
          <w:bCs/>
          <w:color w:val="auto"/>
          <w:kern w:val="2"/>
          <w:sz w:val="28"/>
          <w:szCs w:val="28"/>
          <w:lang w:val="en-US" w:eastAsia="zh-CN" w:bidi="ar-SA"/>
        </w:rPr>
      </w:pPr>
      <w:bookmarkStart w:id="246" w:name="_Toc23303"/>
      <w:bookmarkStart w:id="247" w:name="_Toc13004"/>
      <w:bookmarkStart w:id="248" w:name="_Toc3826"/>
      <w:bookmarkStart w:id="249" w:name="_Toc31479"/>
      <w:bookmarkStart w:id="250" w:name="_Toc6054"/>
      <w:r>
        <w:rPr>
          <w:rFonts w:hint="eastAsia" w:ascii="Times New Roman" w:hAnsi="Times New Roman" w:eastAsia="宋体" w:cs="Times New Roman"/>
          <w:b/>
          <w:bCs/>
          <w:color w:val="auto"/>
          <w:kern w:val="2"/>
          <w:sz w:val="28"/>
          <w:szCs w:val="28"/>
          <w:lang w:val="en-US" w:eastAsia="zh-CN" w:bidi="ar-SA"/>
        </w:rPr>
        <w:t>3</w:t>
      </w:r>
      <w:r>
        <w:rPr>
          <w:rFonts w:hint="default" w:ascii="Times New Roman" w:hAnsi="Times New Roman" w:eastAsia="宋体" w:cs="Times New Roman"/>
          <w:b/>
          <w:bCs/>
          <w:color w:val="auto"/>
          <w:kern w:val="2"/>
          <w:sz w:val="28"/>
          <w:szCs w:val="28"/>
          <w:lang w:val="en-US" w:eastAsia="zh-CN" w:bidi="ar-SA"/>
        </w:rPr>
        <w:t>.</w:t>
      </w:r>
      <w:r>
        <w:rPr>
          <w:rFonts w:hint="eastAsia" w:ascii="Times New Roman" w:hAnsi="Times New Roman" w:eastAsia="宋体" w:cs="Times New Roman"/>
          <w:b/>
          <w:bCs/>
          <w:color w:val="auto"/>
          <w:kern w:val="2"/>
          <w:sz w:val="28"/>
          <w:szCs w:val="28"/>
          <w:lang w:val="en-US" w:eastAsia="zh-CN" w:bidi="ar-SA"/>
        </w:rPr>
        <w:t>3湖南东洞庭湖国家级自然保护区</w:t>
      </w:r>
      <w:bookmarkEnd w:id="246"/>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3.3.1本项目与保护区位置关系</w:t>
      </w:r>
    </w:p>
    <w:p>
      <w:pPr>
        <w:adjustRightInd w:val="0"/>
        <w:snapToGrid w:val="0"/>
        <w:spacing w:line="360" w:lineRule="auto"/>
        <w:ind w:firstLine="480" w:firstLineChars="200"/>
        <w:jc w:val="left"/>
        <w:rPr>
          <w:rFonts w:hint="eastAsia" w:ascii="Times New Roman" w:hAnsi="Times New Roman" w:eastAsia="宋体" w:cs="Times New Roman"/>
          <w:bCs/>
          <w:color w:val="auto"/>
          <w:sz w:val="24"/>
          <w:szCs w:val="21"/>
          <w:highlight w:val="none"/>
          <w:u w:val="none"/>
        </w:rPr>
      </w:pPr>
      <w:r>
        <w:rPr>
          <w:rFonts w:hint="eastAsia" w:ascii="Times New Roman" w:hAnsi="Times New Roman" w:eastAsia="宋体" w:cs="Times New Roman"/>
          <w:bCs/>
          <w:color w:val="auto"/>
          <w:sz w:val="24"/>
          <w:szCs w:val="21"/>
          <w:highlight w:val="none"/>
          <w:u w:val="none"/>
        </w:rPr>
        <w:t>位于东洞庭湖国家级自然保护区内，项目建设</w:t>
      </w:r>
      <w:r>
        <w:rPr>
          <w:rFonts w:hint="eastAsia" w:ascii="Times New Roman" w:hAnsi="Times New Roman" w:eastAsia="宋体" w:cs="Times New Roman"/>
          <w:bCs/>
          <w:color w:val="auto"/>
          <w:sz w:val="24"/>
          <w:szCs w:val="21"/>
          <w:highlight w:val="none"/>
          <w:u w:val="none"/>
          <w:lang w:val="en-US" w:eastAsia="zh-CN"/>
        </w:rPr>
        <w:t>位于保护区的实验区范围内，</w:t>
      </w:r>
      <w:r>
        <w:rPr>
          <w:rFonts w:hint="eastAsia" w:ascii="Times New Roman" w:hAnsi="Times New Roman" w:eastAsia="宋体" w:cs="Times New Roman"/>
          <w:bCs/>
          <w:color w:val="auto"/>
          <w:sz w:val="24"/>
          <w:szCs w:val="21"/>
          <w:highlight w:val="none"/>
          <w:u w:val="none"/>
        </w:rPr>
        <w:t>不涉及保护区的核心区和缓冲区，离核心区最近距离约</w:t>
      </w:r>
      <w:r>
        <w:rPr>
          <w:rFonts w:hint="eastAsia" w:ascii="Times New Roman" w:hAnsi="Times New Roman" w:eastAsia="宋体" w:cs="Times New Roman"/>
          <w:bCs/>
          <w:color w:val="auto"/>
          <w:sz w:val="24"/>
          <w:szCs w:val="21"/>
          <w:highlight w:val="none"/>
          <w:u w:val="none"/>
          <w:lang w:val="en-US" w:eastAsia="zh-CN"/>
        </w:rPr>
        <w:t>8.</w:t>
      </w:r>
      <w:r>
        <w:rPr>
          <w:rFonts w:hint="eastAsia" w:cs="Times New Roman"/>
          <w:bCs/>
          <w:color w:val="auto"/>
          <w:sz w:val="24"/>
          <w:szCs w:val="21"/>
          <w:highlight w:val="none"/>
          <w:u w:val="none"/>
          <w:lang w:val="en-US" w:eastAsia="zh-CN"/>
        </w:rPr>
        <w:t>3</w:t>
      </w:r>
      <w:r>
        <w:rPr>
          <w:rFonts w:hint="eastAsia" w:ascii="Times New Roman" w:hAnsi="Times New Roman" w:eastAsia="宋体" w:cs="Times New Roman"/>
          <w:bCs/>
          <w:color w:val="auto"/>
          <w:sz w:val="24"/>
          <w:szCs w:val="21"/>
          <w:highlight w:val="none"/>
          <w:u w:val="none"/>
          <w:lang w:val="en-US" w:eastAsia="zh-CN"/>
        </w:rPr>
        <w:t xml:space="preserve"> </w:t>
      </w:r>
      <w:r>
        <w:rPr>
          <w:rFonts w:hint="eastAsia" w:ascii="Times New Roman" w:hAnsi="Times New Roman" w:eastAsia="宋体" w:cs="Times New Roman"/>
          <w:bCs/>
          <w:color w:val="auto"/>
          <w:sz w:val="24"/>
          <w:szCs w:val="21"/>
          <w:highlight w:val="none"/>
          <w:u w:val="none"/>
        </w:rPr>
        <w:t>km，离缓冲区最近距离约</w:t>
      </w:r>
      <w:r>
        <w:rPr>
          <w:rFonts w:hint="eastAsia" w:ascii="Times New Roman" w:hAnsi="Times New Roman" w:eastAsia="宋体" w:cs="Times New Roman"/>
          <w:bCs/>
          <w:color w:val="auto"/>
          <w:sz w:val="24"/>
          <w:szCs w:val="21"/>
          <w:highlight w:val="none"/>
          <w:u w:val="none"/>
          <w:lang w:val="en-US" w:eastAsia="zh-CN"/>
        </w:rPr>
        <w:t>7.</w:t>
      </w:r>
      <w:r>
        <w:rPr>
          <w:rFonts w:hint="eastAsia" w:cs="Times New Roman"/>
          <w:bCs/>
          <w:color w:val="auto"/>
          <w:sz w:val="24"/>
          <w:szCs w:val="21"/>
          <w:highlight w:val="none"/>
          <w:u w:val="none"/>
          <w:lang w:val="en-US" w:eastAsia="zh-CN"/>
        </w:rPr>
        <w:t>6</w:t>
      </w:r>
      <w:r>
        <w:rPr>
          <w:rFonts w:hint="eastAsia" w:ascii="Times New Roman" w:hAnsi="Times New Roman" w:eastAsia="宋体" w:cs="Times New Roman"/>
          <w:bCs/>
          <w:color w:val="auto"/>
          <w:sz w:val="24"/>
          <w:szCs w:val="21"/>
          <w:highlight w:val="none"/>
          <w:u w:val="none"/>
        </w:rPr>
        <w:t>km。</w:t>
      </w:r>
      <w:r>
        <w:rPr>
          <w:rFonts w:hint="eastAsia" w:ascii="Times New Roman" w:hAnsi="Times New Roman" w:eastAsia="宋体" w:cs="Times New Roman"/>
          <w:bCs/>
          <w:color w:val="auto"/>
          <w:sz w:val="24"/>
          <w:szCs w:val="21"/>
          <w:highlight w:val="none"/>
          <w:u w:val="none"/>
          <w:lang w:val="en-US" w:eastAsia="zh-CN"/>
        </w:rPr>
        <w:t>东</w:t>
      </w:r>
      <w:r>
        <w:rPr>
          <w:rFonts w:hint="eastAsia" w:ascii="Times New Roman" w:hAnsi="Times New Roman" w:cs="Times New Roman"/>
          <w:bCs/>
          <w:color w:val="auto"/>
          <w:sz w:val="24"/>
          <w:szCs w:val="21"/>
          <w:highlight w:val="none"/>
          <w:u w:val="none"/>
          <w:lang w:val="en-US" w:eastAsia="zh-CN"/>
        </w:rPr>
        <w:t>洞庭湖自然保护区方案调整后，本项目处于保护区实验区边界之外（距离</w:t>
      </w:r>
      <w:r>
        <w:rPr>
          <w:rFonts w:hint="eastAsia" w:cs="Times New Roman"/>
          <w:bCs/>
          <w:color w:val="auto"/>
          <w:sz w:val="24"/>
          <w:szCs w:val="21"/>
          <w:highlight w:val="none"/>
          <w:u w:val="none"/>
          <w:lang w:val="en-US" w:eastAsia="zh-CN"/>
        </w:rPr>
        <w:t>整合优化</w:t>
      </w:r>
      <w:r>
        <w:rPr>
          <w:rFonts w:hint="eastAsia" w:ascii="Times New Roman" w:hAnsi="Times New Roman" w:cs="Times New Roman"/>
          <w:bCs/>
          <w:color w:val="auto"/>
          <w:sz w:val="24"/>
          <w:szCs w:val="21"/>
          <w:highlight w:val="none"/>
          <w:u w:val="none"/>
          <w:lang w:val="en-US" w:eastAsia="zh-CN"/>
        </w:rPr>
        <w:t>后</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w:t>
      </w:r>
      <w:r>
        <w:rPr>
          <w:rFonts w:hint="eastAsia" w:cs="Times New Roman"/>
          <w:bCs/>
          <w:color w:val="auto"/>
          <w:sz w:val="24"/>
          <w:szCs w:val="21"/>
          <w:highlight w:val="none"/>
          <w:u w:val="none"/>
          <w:lang w:val="en-US" w:eastAsia="zh-CN"/>
        </w:rPr>
        <w:t>5</w:t>
      </w:r>
      <w:r>
        <w:rPr>
          <w:rFonts w:hint="eastAsia" w:ascii="Times New Roman" w:hAnsi="Times New Roman" w:cs="Times New Roman"/>
          <w:bCs/>
          <w:color w:val="auto"/>
          <w:sz w:val="24"/>
          <w:szCs w:val="21"/>
          <w:highlight w:val="none"/>
          <w:u w:val="none"/>
          <w:lang w:val="en-US" w:eastAsia="zh-CN"/>
        </w:rPr>
        <w:t>km）。</w:t>
      </w:r>
    </w:p>
    <w:p>
      <w:pPr>
        <w:pStyle w:val="53"/>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3.3.2保护区功能区划</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rPr>
      </w:pPr>
      <w:r>
        <w:rPr>
          <w:rFonts w:hint="eastAsia" w:ascii="Times New Roman" w:hAnsi="Times New Roman" w:cs="Times New Roman"/>
          <w:bCs/>
          <w:color w:val="auto"/>
          <w:sz w:val="24"/>
          <w:szCs w:val="21"/>
          <w:highlight w:val="none"/>
          <w:u w:val="none"/>
        </w:rPr>
        <w:t>东洞庭湖是洞庭湖湖系中最大的湖泊，年平均过湖水量达3126亿立方米。常年湖容量178亿立方米，水深4-22m，最大水位落差为17.76m，ph6.8-8.6。它的地貌呈沟港纵横的湿地景观。土壤为湖沼土和河沼土。年平均气温为17℃，湖水年平均温度17.5℃，总降水量1200-1330mm，无霜期258-275天</w:t>
      </w: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rPr>
        <w:t>东洞庭湖既是我国湿地水禽的重要越冬地，也是重要繁殖地、停歇地。栖息的雁鸭类、鸻鹬类等水鸟达数十万羽。</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1</w:t>
      </w:r>
      <w:r>
        <w:rPr>
          <w:rFonts w:hint="eastAsia" w:ascii="Times New Roman" w:hAnsi="Times New Roman" w:cs="Times New Roman"/>
          <w:bCs/>
          <w:color w:val="auto"/>
          <w:sz w:val="24"/>
          <w:szCs w:val="21"/>
          <w:highlight w:val="none"/>
          <w:u w:val="none"/>
          <w:lang w:eastAsia="zh-CN"/>
        </w:rPr>
        <w:t>）功能区划概况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东洞庭湖国家级自然保护区功能区划分情况为:</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①核心区。湿地生态系统完整，生物资源丰富，白鹤、黑鹤、东方白鹤、小天鹅、鸿雁等珍稀濒危鸟类集中栖息的地段，</w:t>
      </w:r>
      <w:r>
        <w:rPr>
          <w:rFonts w:hint="eastAsia" w:cs="Times New Roman"/>
          <w:bCs/>
          <w:color w:val="auto"/>
          <w:sz w:val="24"/>
          <w:szCs w:val="21"/>
          <w:highlight w:val="none"/>
          <w:u w:val="none"/>
          <w:lang w:val="en-US" w:eastAsia="zh-CN"/>
        </w:rPr>
        <w:t>3.3286</w:t>
      </w:r>
      <w:r>
        <w:rPr>
          <w:rFonts w:hint="eastAsia" w:ascii="Times New Roman" w:hAnsi="Times New Roman" w:cs="Times New Roman"/>
          <w:bCs/>
          <w:color w:val="auto"/>
          <w:sz w:val="24"/>
          <w:szCs w:val="21"/>
          <w:highlight w:val="none"/>
          <w:u w:val="none"/>
          <w:lang w:val="en-US" w:eastAsia="zh-CN"/>
        </w:rPr>
        <w:t>x10</w:t>
      </w:r>
      <w:r>
        <w:rPr>
          <w:rFonts w:hint="eastAsia" w:ascii="Times New Roman" w:hAnsi="Times New Roman" w:cs="Times New Roman"/>
          <w:bCs/>
          <w:color w:val="auto"/>
          <w:sz w:val="24"/>
          <w:szCs w:val="21"/>
          <w:highlight w:val="none"/>
          <w:u w:val="none"/>
          <w:vertAlign w:val="superscript"/>
          <w:lang w:val="en-US" w:eastAsia="zh-CN"/>
        </w:rPr>
        <w:t>4</w:t>
      </w:r>
      <w:r>
        <w:rPr>
          <w:rFonts w:hint="eastAsia" w:ascii="Times New Roman" w:hAnsi="Times New Roman" w:cs="Times New Roman"/>
          <w:bCs/>
          <w:color w:val="auto"/>
          <w:sz w:val="24"/>
          <w:szCs w:val="21"/>
          <w:highlight w:val="none"/>
          <w:u w:val="none"/>
          <w:lang w:val="en-US" w:eastAsia="zh-CN"/>
        </w:rPr>
        <w:t>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将湿地生态系统完整、生物资源丰富、白鹤、黑鹳、东方白鹳、小天鹅、鸿雁等珍稀濒危鸟类集中栖息的地段作为核心区，总面积2.90万hm2。依据功能区划原则，又将保护区核心区分为3大块。即大小西湖-君山后湖核心区:从大小西湖、三坝、四坝至君山后湖包括黑嘴在内的定权发证区域，面积1.60万hm2;红旗湖核心区:上、下红旗湖、天鹅段定权发证区域，面积0.80万hm2:春风湖核心区:包括春风湖及其大片洲滩在内的0.50万hm2定权发证区域。核心区内，实行封闭式管理，严格控制外界人员随意进入或从事捕鱼、放牧等生产经营活动，并对湖水水位进行严格的管理和调控。</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2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②</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缓冲区。核心区外围所有东洞庭湖区域，面积3.</w:t>
      </w:r>
      <w:r>
        <w:rPr>
          <w:rFonts w:hint="eastAsia" w:cs="Times New Roman"/>
          <w:bCs/>
          <w:color w:val="auto"/>
          <w:sz w:val="24"/>
          <w:szCs w:val="21"/>
          <w:highlight w:val="none"/>
          <w:u w:val="none"/>
          <w:lang w:val="en-US" w:eastAsia="zh-CN"/>
        </w:rPr>
        <w:t>2369</w:t>
      </w:r>
      <w:r>
        <w:rPr>
          <w:rFonts w:hint="eastAsia" w:ascii="Times New Roman" w:hAnsi="Times New Roman" w:cs="Times New Roman"/>
          <w:bCs/>
          <w:color w:val="auto"/>
          <w:sz w:val="24"/>
          <w:szCs w:val="21"/>
          <w:highlight w:val="none"/>
          <w:u w:val="none"/>
          <w:lang w:val="en-US" w:eastAsia="zh-CN"/>
        </w:rPr>
        <w:t>x10</w:t>
      </w:r>
      <w:r>
        <w:rPr>
          <w:rFonts w:hint="eastAsia" w:ascii="Times New Roman" w:hAnsi="Times New Roman" w:cs="Times New Roman"/>
          <w:bCs/>
          <w:color w:val="auto"/>
          <w:sz w:val="24"/>
          <w:szCs w:val="21"/>
          <w:highlight w:val="none"/>
          <w:u w:val="none"/>
          <w:vertAlign w:val="superscript"/>
          <w:lang w:val="en-US" w:eastAsia="zh-CN"/>
        </w:rPr>
        <w:t>4</w:t>
      </w:r>
      <w:r>
        <w:rPr>
          <w:rFonts w:hint="eastAsia" w:ascii="Times New Roman" w:hAnsi="Times New Roman" w:cs="Times New Roman"/>
          <w:bCs/>
          <w:color w:val="auto"/>
          <w:sz w:val="24"/>
          <w:szCs w:val="21"/>
          <w:highlight w:val="none"/>
          <w:u w:val="none"/>
          <w:lang w:val="en-US" w:eastAsia="zh-CN"/>
        </w:rPr>
        <w:t>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fldChar w:fldCharType="begin"/>
      </w:r>
      <w:r>
        <w:rPr>
          <w:rFonts w:hint="eastAsia" w:ascii="Times New Roman" w:hAnsi="Times New Roman" w:cs="Times New Roman"/>
          <w:bCs/>
          <w:color w:val="auto"/>
          <w:sz w:val="24"/>
          <w:szCs w:val="21"/>
          <w:highlight w:val="none"/>
          <w:u w:val="none"/>
          <w:lang w:val="en-US" w:eastAsia="zh-CN"/>
        </w:rPr>
        <w:instrText xml:space="preserve"> = 3 \* GB3 \* MERGEFORMAT </w:instrText>
      </w:r>
      <w:r>
        <w:rPr>
          <w:rFonts w:hint="eastAsia" w:ascii="Times New Roman" w:hAnsi="Times New Roman" w:cs="Times New Roman"/>
          <w:bCs/>
          <w:color w:val="auto"/>
          <w:sz w:val="24"/>
          <w:szCs w:val="21"/>
          <w:highlight w:val="none"/>
          <w:u w:val="none"/>
          <w:lang w:val="en-US" w:eastAsia="zh-CN"/>
        </w:rPr>
        <w:fldChar w:fldCharType="separate"/>
      </w:r>
      <w:r>
        <w:rPr>
          <w:rFonts w:hint="eastAsia" w:ascii="Times New Roman" w:hAnsi="Times New Roman" w:cs="Times New Roman"/>
          <w:bCs/>
          <w:color w:val="auto"/>
          <w:sz w:val="24"/>
          <w:szCs w:val="21"/>
          <w:highlight w:val="none"/>
          <w:u w:val="none"/>
          <w:lang w:val="en-US" w:eastAsia="zh-CN"/>
        </w:rPr>
        <w:t>③</w:t>
      </w:r>
      <w:r>
        <w:rPr>
          <w:rFonts w:hint="eastAsia" w:ascii="Times New Roman" w:hAnsi="Times New Roman" w:cs="Times New Roman"/>
          <w:bCs/>
          <w:color w:val="auto"/>
          <w:sz w:val="24"/>
          <w:szCs w:val="21"/>
          <w:highlight w:val="none"/>
          <w:u w:val="none"/>
          <w:lang w:val="en-US" w:eastAsia="zh-CN"/>
        </w:rPr>
        <w:fldChar w:fldCharType="end"/>
      </w:r>
      <w:r>
        <w:rPr>
          <w:rFonts w:hint="eastAsia" w:ascii="Times New Roman" w:hAnsi="Times New Roman" w:cs="Times New Roman"/>
          <w:bCs/>
          <w:color w:val="auto"/>
          <w:sz w:val="24"/>
          <w:szCs w:val="21"/>
          <w:highlight w:val="none"/>
          <w:u w:val="none"/>
          <w:lang w:val="en-US" w:eastAsia="zh-CN"/>
        </w:rPr>
        <w:t>实验区。保护区区界以内缓冲区以外的广大区域，包括采桑湖、团湖、方台湖、南湖、芭蕉湖等在内的烷内湖泊和农业用地，面积</w:t>
      </w:r>
      <w:r>
        <w:rPr>
          <w:rFonts w:hint="eastAsia" w:cs="Times New Roman"/>
          <w:bCs/>
          <w:color w:val="auto"/>
          <w:sz w:val="24"/>
          <w:szCs w:val="21"/>
          <w:highlight w:val="none"/>
          <w:u w:val="none"/>
          <w:lang w:val="en-US" w:eastAsia="zh-CN"/>
        </w:rPr>
        <w:t>9.1972</w:t>
      </w:r>
      <w:r>
        <w:rPr>
          <w:rFonts w:hint="eastAsia" w:ascii="Times New Roman" w:hAnsi="Times New Roman" w:cs="Times New Roman"/>
          <w:bCs/>
          <w:color w:val="auto"/>
          <w:sz w:val="24"/>
          <w:szCs w:val="21"/>
          <w:highlight w:val="none"/>
          <w:u w:val="none"/>
          <w:lang w:val="en-US" w:eastAsia="zh-CN"/>
        </w:rPr>
        <w:t>x104hm²。</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在缓冲区和实验区内，保护区将依法取缔各种非法渔具，全面禁止偷猎或毒杀珍禽的违法活动。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保护区的核心区和缓冲区，是珍稀濒危野生动物的主要栖息地，又是湿地生态系统的典型区域。在该范围内以保护为主，除开展科研、调查活动外，尽量减少人为影响和干扰，绝对禁止在该区域开展经营活动和一切生产活动。</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实验区实际上应该为可持续发展示范区，且实验区内在有利于保护的基础上，该区域内可以开展自然资源的合理利用，特别是应开展非消耗性资源利用，如开展生态旅游业(观鸟、观荷花等)，以减少人们对自然资源的直接消耗和过分依赖。</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eastAsia="zh-CN"/>
        </w:rPr>
      </w:pPr>
      <w:r>
        <w:rPr>
          <w:rFonts w:hint="eastAsia" w:ascii="Times New Roman" w:hAnsi="Times New Roman" w:cs="Times New Roman"/>
          <w:bCs/>
          <w:color w:val="auto"/>
          <w:sz w:val="24"/>
          <w:szCs w:val="21"/>
          <w:highlight w:val="none"/>
          <w:u w:val="none"/>
          <w:lang w:eastAsia="zh-CN"/>
        </w:rPr>
        <w:t>（</w:t>
      </w:r>
      <w:r>
        <w:rPr>
          <w:rFonts w:hint="eastAsia" w:ascii="Times New Roman" w:hAnsi="Times New Roman" w:cs="Times New Roman"/>
          <w:bCs/>
          <w:color w:val="auto"/>
          <w:sz w:val="24"/>
          <w:szCs w:val="21"/>
          <w:highlight w:val="none"/>
          <w:u w:val="none"/>
          <w:lang w:val="en-US" w:eastAsia="zh-CN"/>
        </w:rPr>
        <w:t>2</w:t>
      </w:r>
      <w:r>
        <w:rPr>
          <w:rFonts w:hint="eastAsia" w:ascii="Times New Roman" w:hAnsi="Times New Roman" w:cs="Times New Roman"/>
          <w:bCs/>
          <w:color w:val="auto"/>
          <w:sz w:val="24"/>
          <w:szCs w:val="21"/>
          <w:highlight w:val="none"/>
          <w:u w:val="none"/>
          <w:lang w:eastAsia="zh-CN"/>
        </w:rPr>
        <w:t>）功能区划</w:t>
      </w:r>
      <w:r>
        <w:rPr>
          <w:rFonts w:hint="eastAsia" w:cs="Times New Roman"/>
          <w:bCs/>
          <w:color w:val="auto"/>
          <w:sz w:val="24"/>
          <w:szCs w:val="21"/>
          <w:highlight w:val="none"/>
          <w:u w:val="none"/>
          <w:lang w:val="en-US" w:eastAsia="zh-CN"/>
        </w:rPr>
        <w:t>拟</w:t>
      </w:r>
      <w:r>
        <w:rPr>
          <w:rFonts w:hint="eastAsia" w:ascii="Times New Roman" w:hAnsi="Times New Roman" w:cs="Times New Roman"/>
          <w:bCs/>
          <w:color w:val="auto"/>
          <w:sz w:val="24"/>
          <w:szCs w:val="21"/>
          <w:highlight w:val="none"/>
          <w:u w:val="none"/>
          <w:lang w:val="en-US" w:eastAsia="zh-CN"/>
        </w:rPr>
        <w:t>调整</w:t>
      </w:r>
      <w:r>
        <w:rPr>
          <w:rFonts w:hint="eastAsia" w:ascii="Times New Roman" w:hAnsi="Times New Roman" w:cs="Times New Roman"/>
          <w:bCs/>
          <w:color w:val="auto"/>
          <w:sz w:val="24"/>
          <w:szCs w:val="21"/>
          <w:highlight w:val="none"/>
          <w:u w:val="none"/>
          <w:lang w:eastAsia="zh-CN"/>
        </w:rPr>
        <w:t>概况</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东洞庭湖国家级自然保护区位于长江中下游荆江江段南侧，地处湖南省东北部岳阳市境内，地理坐标为29°0′0″～29°37′45.7″N，112°43′59.5″～113°13′13.4″E之间。自然保护区北起长江湘鄂两省主航道分界线，南至磊石山，东至京广铁路，西至与南县交界。管理范围包括整个东洞庭湖水域及其近周平原岗地。</w:t>
      </w:r>
    </w:p>
    <w:p>
      <w:pPr>
        <w:pStyle w:val="65"/>
        <w:ind w:firstLine="480"/>
        <w:rPr>
          <w:rFonts w:hint="eastAsia" w:ascii="Times New Roman" w:hAnsi="Times New Roman" w:cs="Times New Roman"/>
          <w:color w:val="auto"/>
          <w:lang w:eastAsia="zh-CN"/>
        </w:rPr>
      </w:pPr>
      <w:r>
        <w:rPr>
          <w:rFonts w:hint="default" w:ascii="Times New Roman" w:hAnsi="Times New Roman" w:cs="Times New Roman"/>
          <w:color w:val="auto"/>
        </w:rPr>
        <w:t>东洞庭湖国家级自然保护区成立于1982年，1992年成为我国首批加入《国际湿地公约》的六块国际重要湿地之一，1994年经国务院批准升格为国家级自然保护区，2018年经国务院（国办函[2018]19号）批准，调整了保护区范围与功能区划。保护区划分为核心区、缓冲区和实验区，保护区面积157627公顷，其中核心区面积33286公顷，缓冲区面积32369公顷，实验区面积91972公顷。东洞庭湖是世界自然基金会（WWF）确定的全球200个生物多样性热点地区之一，湿地生物资源丰富，是东北亚迁徙候鸟重要的越冬地和栖息地。保护区有鸟类356种，其中国家一级保护的有东方白鹳、黑鹳、白鹤等18种，二级保护的64种；有维管束植物486种；鱼类117种，其中国家一级保护的有白鲟、中华鲟2种；两栖类12种，爬行类11种，哺乳类31种，其中国家一级保护2种，即江豚和目前中国最大的自然野化种群麋鹿。2021年，洞庭湖越冬水鸟创历史新高达到28.8万只，麋鹿达到200余头，已成为最大的自然野化种群和稳定的东洞庭湖亚群。长江江豚持续增加，达到120多头。候鸟的欢歌、麋鹿的倩影、江豚的微笑已成为湖南生态文明建设的新名片</w:t>
      </w:r>
      <w:r>
        <w:rPr>
          <w:rFonts w:hint="eastAsia" w:ascii="Times New Roman" w:hAnsi="Times New Roman" w:cs="Times New Roman"/>
          <w:color w:val="auto"/>
          <w:lang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1）规划拟调整概况</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东洞庭湖自然保护区现正在整合优化，关于湖南东洞庭湖国家级自然保护区整合优化方案情况已</w:t>
      </w:r>
      <w:r>
        <w:rPr>
          <w:rFonts w:hint="eastAsia" w:cs="Times New Roman"/>
          <w:bCs/>
          <w:color w:val="auto"/>
          <w:sz w:val="24"/>
          <w:szCs w:val="21"/>
          <w:highlight w:val="none"/>
          <w:u w:val="none"/>
          <w:lang w:val="en-US" w:eastAsia="zh-CN"/>
        </w:rPr>
        <w:t>于2023年3月</w:t>
      </w:r>
      <w:r>
        <w:rPr>
          <w:rFonts w:hint="eastAsia" w:ascii="Times New Roman" w:hAnsi="Times New Roman" w:cs="Times New Roman"/>
          <w:bCs/>
          <w:color w:val="auto"/>
          <w:sz w:val="24"/>
          <w:szCs w:val="21"/>
          <w:highlight w:val="none"/>
          <w:u w:val="none"/>
          <w:lang w:val="en-US" w:eastAsia="zh-CN"/>
        </w:rPr>
        <w:t>在岳阳市林业局网站进行公示，目前</w:t>
      </w:r>
      <w:r>
        <w:rPr>
          <w:rFonts w:hint="eastAsia" w:cs="Times New Roman"/>
          <w:bCs/>
          <w:color w:val="auto"/>
          <w:sz w:val="24"/>
          <w:szCs w:val="21"/>
          <w:highlight w:val="none"/>
          <w:u w:val="none"/>
          <w:lang w:val="en-US" w:eastAsia="zh-CN"/>
        </w:rPr>
        <w:t>整合优化方案及新的自然保护区规划正在积极编制中</w:t>
      </w:r>
      <w:r>
        <w:rPr>
          <w:rFonts w:hint="eastAsia" w:ascii="Times New Roman" w:hAnsi="Times New Roman" w:cs="Times New Roman"/>
          <w:bCs/>
          <w:color w:val="auto"/>
          <w:sz w:val="24"/>
          <w:szCs w:val="21"/>
          <w:highlight w:val="none"/>
          <w:u w:val="none"/>
          <w:lang w:val="en-US" w:eastAsia="zh-CN"/>
        </w:rPr>
        <w:t>，未正式发布。此次范围调整只涉及将部分实验区部分区域调出保护区</w:t>
      </w:r>
      <w:r>
        <w:rPr>
          <w:rFonts w:hint="eastAsia" w:cs="Times New Roman"/>
          <w:bCs/>
          <w:color w:val="auto"/>
          <w:sz w:val="24"/>
          <w:szCs w:val="21"/>
          <w:highlight w:val="none"/>
          <w:u w:val="none"/>
          <w:lang w:val="en-US" w:eastAsia="zh-CN"/>
        </w:rPr>
        <w:t>；</w:t>
      </w:r>
      <w:r>
        <w:rPr>
          <w:rFonts w:hint="eastAsia" w:ascii="Times New Roman" w:hAnsi="Times New Roman" w:cs="Times New Roman"/>
          <w:bCs/>
          <w:color w:val="auto"/>
          <w:sz w:val="24"/>
          <w:szCs w:val="21"/>
          <w:highlight w:val="none"/>
          <w:u w:val="none"/>
          <w:lang w:val="en-US" w:eastAsia="zh-CN"/>
        </w:rPr>
        <w:t>功能区调整拟将部分实验区调整为</w:t>
      </w:r>
      <w:r>
        <w:rPr>
          <w:rFonts w:hint="eastAsia" w:cs="Times New Roman"/>
          <w:bCs/>
          <w:color w:val="auto"/>
          <w:sz w:val="24"/>
          <w:szCs w:val="21"/>
          <w:highlight w:val="none"/>
          <w:u w:val="none"/>
          <w:lang w:val="en-US" w:eastAsia="zh-CN"/>
        </w:rPr>
        <w:t>一般狗控制区</w:t>
      </w:r>
      <w:r>
        <w:rPr>
          <w:rFonts w:hint="eastAsia" w:ascii="Times New Roman" w:hAnsi="Times New Roman" w:cs="Times New Roman"/>
          <w:bCs/>
          <w:color w:val="auto"/>
          <w:sz w:val="24"/>
          <w:szCs w:val="21"/>
          <w:highlight w:val="none"/>
          <w:u w:val="none"/>
          <w:lang w:val="en-US" w:eastAsia="zh-CN"/>
        </w:rPr>
        <w:t>，并将</w:t>
      </w:r>
      <w:r>
        <w:rPr>
          <w:rFonts w:hint="eastAsia" w:cs="Times New Roman"/>
          <w:bCs/>
          <w:color w:val="auto"/>
          <w:sz w:val="24"/>
          <w:szCs w:val="21"/>
          <w:highlight w:val="none"/>
          <w:u w:val="none"/>
          <w:lang w:val="en-US" w:eastAsia="zh-CN"/>
        </w:rPr>
        <w:t>原有核心区以及</w:t>
      </w:r>
      <w:r>
        <w:rPr>
          <w:rFonts w:hint="eastAsia" w:ascii="Times New Roman" w:hAnsi="Times New Roman" w:cs="Times New Roman"/>
          <w:bCs/>
          <w:color w:val="auto"/>
          <w:sz w:val="24"/>
          <w:szCs w:val="21"/>
          <w:highlight w:val="none"/>
          <w:u w:val="none"/>
          <w:lang w:val="en-US" w:eastAsia="zh-CN"/>
        </w:rPr>
        <w:t>部分缓冲区调整为</w:t>
      </w:r>
      <w:r>
        <w:rPr>
          <w:rFonts w:hint="eastAsia" w:cs="Times New Roman"/>
          <w:bCs/>
          <w:color w:val="auto"/>
          <w:sz w:val="24"/>
          <w:szCs w:val="21"/>
          <w:highlight w:val="none"/>
          <w:u w:val="none"/>
          <w:lang w:val="en-US" w:eastAsia="zh-CN"/>
        </w:rPr>
        <w:t>核心保护区</w:t>
      </w:r>
      <w:r>
        <w:rPr>
          <w:rFonts w:hint="eastAsia"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2）调整范围</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拟将</w:t>
      </w:r>
      <w:r>
        <w:rPr>
          <w:rFonts w:hint="eastAsia" w:cs="Times New Roman"/>
          <w:bCs/>
          <w:color w:val="auto"/>
          <w:sz w:val="24"/>
          <w:szCs w:val="21"/>
          <w:highlight w:val="none"/>
          <w:u w:val="none"/>
          <w:lang w:val="en-US" w:eastAsia="zh-CN"/>
        </w:rPr>
        <w:t>部分</w:t>
      </w:r>
      <w:r>
        <w:rPr>
          <w:rFonts w:hint="eastAsia" w:ascii="Times New Roman" w:hAnsi="Times New Roman" w:cs="Times New Roman"/>
          <w:bCs/>
          <w:color w:val="auto"/>
          <w:sz w:val="24"/>
          <w:szCs w:val="21"/>
          <w:highlight w:val="none"/>
          <w:u w:val="none"/>
          <w:lang w:val="en-US" w:eastAsia="zh-CN"/>
        </w:rPr>
        <w:t>实验区地块调出自然保护区范围。由于历史原因，这些区域（详见附图）早在80年代被划入了自然保护区，被划为自然保护区的实验区进行保护管理。由于人口密集，工农业聚集，管理难度极大，基本不具各自然保护区实验区的保护意义。通过组织专家进行实地调查发现，该区域近洞庭湖大堤区域大部分为城市集镇，城区周边区域则多为平原、农田村庄。</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湖南东洞庭湖国家级自然保护区调整后范围为地理坐标在N29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0'0"-29</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37'45.7"，E112</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43'59.5"-113</w:t>
      </w:r>
      <w:r>
        <w:rPr>
          <w:rFonts w:hint="eastAsia" w:ascii="微软雅黑" w:hAnsi="微软雅黑" w:eastAsia="微软雅黑" w:cs="微软雅黑"/>
          <w:bCs/>
          <w:color w:val="auto"/>
          <w:sz w:val="24"/>
          <w:szCs w:val="21"/>
          <w:highlight w:val="none"/>
          <w:u w:val="none"/>
          <w:lang w:val="en-US" w:eastAsia="zh-CN"/>
        </w:rPr>
        <w:t>⁰</w:t>
      </w:r>
      <w:r>
        <w:rPr>
          <w:rFonts w:hint="eastAsia" w:ascii="Times New Roman" w:hAnsi="Times New Roman" w:cs="Times New Roman"/>
          <w:bCs/>
          <w:color w:val="auto"/>
          <w:sz w:val="24"/>
          <w:szCs w:val="21"/>
          <w:highlight w:val="none"/>
          <w:u w:val="none"/>
          <w:lang w:val="en-US" w:eastAsia="zh-CN"/>
        </w:rPr>
        <w:t>13'13.4"之间，自然保护区北起长江湘鄂两省主航道分界线，南至汨罗磊石山，东至京广铁路，西与南县交界。东西宽约50公里，南北长70公里，总面积</w:t>
      </w:r>
      <w:r>
        <w:rPr>
          <w:rFonts w:hint="eastAsia" w:cs="Times New Roman"/>
          <w:bCs/>
          <w:color w:val="auto"/>
          <w:sz w:val="24"/>
          <w:szCs w:val="21"/>
          <w:highlight w:val="none"/>
          <w:u w:val="none"/>
          <w:lang w:val="en-US" w:eastAsia="zh-CN"/>
        </w:rPr>
        <w:t>101152.28</w:t>
      </w:r>
      <w:r>
        <w:rPr>
          <w:rFonts w:hint="eastAsia" w:ascii="Times New Roman" w:hAnsi="Times New Roman" w:cs="Times New Roman"/>
          <w:bCs/>
          <w:color w:val="auto"/>
          <w:sz w:val="24"/>
          <w:szCs w:val="21"/>
          <w:highlight w:val="none"/>
          <w:u w:val="none"/>
          <w:lang w:val="en-US" w:eastAsia="zh-CN"/>
        </w:rPr>
        <w:t>公顷，东洞庭湖自然保护区方案调整后，本项目正好处于</w:t>
      </w:r>
      <w:r>
        <w:rPr>
          <w:rFonts w:hint="eastAsia" w:cs="Times New Roman"/>
          <w:bCs/>
          <w:color w:val="auto"/>
          <w:sz w:val="24"/>
          <w:szCs w:val="21"/>
          <w:highlight w:val="none"/>
          <w:u w:val="none"/>
          <w:lang w:val="en-US" w:eastAsia="zh-CN"/>
        </w:rPr>
        <w:t>湖南东洞庭湖自然保护区一般控制区</w:t>
      </w:r>
      <w:r>
        <w:rPr>
          <w:rFonts w:hint="eastAsia" w:ascii="Times New Roman" w:hAnsi="Times New Roman" w:cs="Times New Roman"/>
          <w:bCs/>
          <w:color w:val="auto"/>
          <w:sz w:val="24"/>
          <w:szCs w:val="21"/>
          <w:highlight w:val="none"/>
          <w:u w:val="none"/>
          <w:lang w:val="en-US" w:eastAsia="zh-CN"/>
        </w:rPr>
        <w:t>边界之外（距离</w:t>
      </w:r>
      <w:r>
        <w:rPr>
          <w:rFonts w:hint="eastAsia" w:cs="Times New Roman"/>
          <w:bCs/>
          <w:color w:val="auto"/>
          <w:sz w:val="24"/>
          <w:szCs w:val="21"/>
          <w:highlight w:val="none"/>
          <w:u w:val="none"/>
          <w:lang w:val="en-US" w:eastAsia="zh-CN"/>
        </w:rPr>
        <w:t>湖南东洞庭湖国家级自然保护区</w:t>
      </w:r>
      <w:r>
        <w:rPr>
          <w:rFonts w:hint="eastAsia" w:ascii="Times New Roman" w:hAnsi="Times New Roman" w:cs="Times New Roman"/>
          <w:bCs/>
          <w:color w:val="auto"/>
          <w:sz w:val="24"/>
          <w:szCs w:val="21"/>
          <w:highlight w:val="none"/>
          <w:u w:val="none"/>
          <w:lang w:val="en-US" w:eastAsia="zh-CN"/>
        </w:rPr>
        <w:t>约1.</w:t>
      </w:r>
      <w:r>
        <w:rPr>
          <w:rFonts w:hint="eastAsia" w:cs="Times New Roman"/>
          <w:bCs/>
          <w:color w:val="auto"/>
          <w:sz w:val="24"/>
          <w:szCs w:val="21"/>
          <w:highlight w:val="none"/>
          <w:u w:val="none"/>
          <w:lang w:val="en-US" w:eastAsia="zh-CN"/>
        </w:rPr>
        <w:t>5</w:t>
      </w:r>
      <w:r>
        <w:rPr>
          <w:rFonts w:hint="eastAsia" w:ascii="Times New Roman" w:hAnsi="Times New Roman" w:cs="Times New Roman"/>
          <w:bCs/>
          <w:color w:val="auto"/>
          <w:sz w:val="24"/>
          <w:szCs w:val="21"/>
          <w:highlight w:val="none"/>
          <w:u w:val="none"/>
          <w:lang w:val="en-US" w:eastAsia="zh-CN"/>
        </w:rPr>
        <w:t>km），由于调整规划目前仍</w:t>
      </w:r>
      <w:r>
        <w:rPr>
          <w:rFonts w:hint="eastAsia" w:cs="Times New Roman"/>
          <w:bCs/>
          <w:color w:val="auto"/>
          <w:sz w:val="24"/>
          <w:szCs w:val="21"/>
          <w:highlight w:val="none"/>
          <w:u w:val="none"/>
          <w:lang w:val="en-US" w:eastAsia="zh-CN"/>
        </w:rPr>
        <w:t>未正式发布</w:t>
      </w:r>
      <w:r>
        <w:rPr>
          <w:rFonts w:hint="eastAsia" w:ascii="Times New Roman" w:hAnsi="Times New Roman" w:cs="Times New Roman"/>
          <w:bCs/>
          <w:color w:val="auto"/>
          <w:sz w:val="24"/>
          <w:szCs w:val="21"/>
          <w:highlight w:val="none"/>
          <w:u w:val="none"/>
          <w:lang w:val="en-US" w:eastAsia="zh-CN"/>
        </w:rPr>
        <w:t>，故本报告仍以原有功能区划为准。</w:t>
      </w:r>
    </w:p>
    <w:p>
      <w:pPr>
        <w:pStyle w:val="66"/>
        <w:keepNext w:val="0"/>
        <w:keepLines w:val="0"/>
        <w:pageBreakBefore w:val="0"/>
        <w:widowControl w:val="0"/>
        <w:kinsoku/>
        <w:wordWrap/>
        <w:overflowPunct/>
        <w:topLinePunct w:val="0"/>
        <w:autoSpaceDE/>
        <w:autoSpaceDN/>
        <w:bidi w:val="0"/>
        <w:adjustRightInd/>
        <w:snapToGrid/>
        <w:spacing w:beforeLines="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表3-3 湖南东洞庭湖国家级自然保护区整合优化方案拟调整基本情况</w:t>
      </w:r>
    </w:p>
    <w:tbl>
      <w:tblPr>
        <w:tblStyle w:val="22"/>
        <w:tblW w:w="0" w:type="auto"/>
        <w:tblInd w:w="4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 w:type="dxa"/>
          <w:bottom w:w="0" w:type="dxa"/>
          <w:right w:w="10" w:type="dxa"/>
        </w:tblCellMar>
      </w:tblPr>
      <w:tblGrid>
        <w:gridCol w:w="616"/>
        <w:gridCol w:w="1233"/>
        <w:gridCol w:w="797"/>
        <w:gridCol w:w="461"/>
        <w:gridCol w:w="2899"/>
        <w:gridCol w:w="1300"/>
        <w:gridCol w:w="9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1040" w:hRule="atLeast"/>
        </w:trPr>
        <w:tc>
          <w:tcPr>
            <w:tcW w:w="616"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保护区名称</w:t>
            </w:r>
          </w:p>
        </w:tc>
        <w:tc>
          <w:tcPr>
            <w:tcW w:w="1233"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所在行政区域及地理坐标</w:t>
            </w:r>
          </w:p>
        </w:tc>
        <w:tc>
          <w:tcPr>
            <w:tcW w:w="797"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主要保护对象</w:t>
            </w:r>
          </w:p>
        </w:tc>
        <w:tc>
          <w:tcPr>
            <w:tcW w:w="461"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调整类型</w:t>
            </w:r>
          </w:p>
        </w:tc>
        <w:tc>
          <w:tcPr>
            <w:tcW w:w="2899"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调整理由</w:t>
            </w:r>
          </w:p>
        </w:tc>
        <w:tc>
          <w:tcPr>
            <w:tcW w:w="130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调整前面积</w:t>
            </w:r>
          </w:p>
        </w:tc>
        <w:tc>
          <w:tcPr>
            <w:tcW w:w="98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调整后面积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800" w:hRule="atLeast"/>
        </w:trPr>
        <w:tc>
          <w:tcPr>
            <w:tcW w:w="616"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w:t>
            </w:r>
          </w:p>
        </w:tc>
        <w:tc>
          <w:tcPr>
            <w:tcW w:w="1233"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default" w:ascii="Times New Roman" w:hAnsi="Times New Roman" w:cs="Times New Roman"/>
                <w:color w:val="auto"/>
              </w:rPr>
            </w:pPr>
            <w:r>
              <w:rPr>
                <w:rFonts w:hint="eastAsia" w:ascii="Times New Roman" w:hAnsi="Times New Roman" w:cs="Times New Roman"/>
                <w:color w:val="auto"/>
              </w:rPr>
              <w:t>岳阳市岳阳楼区、君山区、云溪区、华容县、岳阳县、汨罗市。112</w:t>
            </w:r>
            <w:r>
              <w:rPr>
                <w:rFonts w:hint="default" w:ascii="Times New Roman" w:hAnsi="Times New Roman" w:cs="Times New Roman"/>
                <w:color w:val="auto"/>
              </w:rPr>
              <w:t>° 42'55”</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rPr>
              <w:t>~113°13' 6"E.28° 59' 58"~29° 37'40"</w:t>
            </w:r>
          </w:p>
          <w:p>
            <w:pPr>
              <w:pStyle w:val="67"/>
              <w:jc w:val="center"/>
              <w:rPr>
                <w:rFonts w:hint="eastAsia" w:ascii="Times New Roman" w:hAnsi="Times New Roman" w:cs="Times New Roman"/>
                <w:color w:val="auto"/>
              </w:rPr>
            </w:pPr>
            <w:r>
              <w:rPr>
                <w:rFonts w:hint="default" w:ascii="Times New Roman" w:hAnsi="Times New Roman" w:cs="Times New Roman"/>
                <w:color w:val="auto"/>
              </w:rPr>
              <w:t>N.</w:t>
            </w:r>
          </w:p>
        </w:tc>
        <w:tc>
          <w:tcPr>
            <w:tcW w:w="797"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湖南东洞庭湖国家级自然保护区主要保护对象为白鹤、白头鹤、东方白鹤、黑鹤等越冬候乌和麋鹿、江豚、中华秋沙鸭等珍稀濒危野生动</w:t>
            </w:r>
          </w:p>
          <w:p>
            <w:pPr>
              <w:pStyle w:val="67"/>
              <w:jc w:val="center"/>
              <w:rPr>
                <w:rFonts w:hint="eastAsia" w:ascii="Times New Roman" w:hAnsi="Times New Roman" w:cs="Times New Roman"/>
                <w:color w:val="auto"/>
              </w:rPr>
            </w:pPr>
            <w:r>
              <w:rPr>
                <w:rFonts w:hint="eastAsia" w:ascii="Times New Roman" w:hAnsi="Times New Roman" w:cs="Times New Roman"/>
                <w:color w:val="auto"/>
              </w:rPr>
              <w:t>物及洞庭湖湿地生态系统和生物多样性</w:t>
            </w:r>
          </w:p>
        </w:tc>
        <w:tc>
          <w:tcPr>
            <w:tcW w:w="461" w:type="dxa"/>
            <w:tcBorders>
              <w:tl2br w:val="nil"/>
              <w:tr2bl w:val="nil"/>
            </w:tcBorders>
            <w:vAlign w:val="center"/>
          </w:tcPr>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p>
          <w:p>
            <w:pPr>
              <w:pStyle w:val="67"/>
              <w:jc w:val="center"/>
              <w:rPr>
                <w:rFonts w:hint="eastAsia" w:ascii="Times New Roman" w:hAnsi="Times New Roman" w:cs="Times New Roman"/>
                <w:color w:val="auto"/>
              </w:rPr>
            </w:pPr>
            <w:r>
              <w:rPr>
                <w:rFonts w:hint="eastAsia" w:ascii="Times New Roman" w:hAnsi="Times New Roman" w:cs="Times New Roman"/>
                <w:color w:val="auto"/>
              </w:rPr>
              <w:t>范围和功能区</w:t>
            </w:r>
          </w:p>
          <w:p>
            <w:pPr>
              <w:pStyle w:val="67"/>
              <w:jc w:val="center"/>
              <w:rPr>
                <w:rFonts w:hint="eastAsia" w:ascii="Times New Roman" w:hAnsi="Times New Roman" w:cs="Times New Roman"/>
                <w:color w:val="auto"/>
              </w:rPr>
            </w:pPr>
            <w:r>
              <w:rPr>
                <w:rFonts w:hint="eastAsia" w:ascii="Times New Roman" w:hAnsi="Times New Roman" w:cs="Times New Roman"/>
                <w:color w:val="auto"/>
              </w:rPr>
              <w:t>调整</w:t>
            </w:r>
          </w:p>
        </w:tc>
        <w:tc>
          <w:tcPr>
            <w:tcW w:w="2899"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根据“中办发〔2019〕42号”“自然资函〔2020〕71号”“湘林保〔2020〕16号”等相关政策文件，要求开展自然保护地整合优化工作，合理确定自然保护地类型和功能定位，优化边界范围和功能分区，重点解决自然保护地空间重叠、边界不清、权责不明、保护与发展矛盾突出等问题。</w:t>
            </w:r>
          </w:p>
          <w:p>
            <w:pPr>
              <w:pStyle w:val="67"/>
              <w:jc w:val="center"/>
              <w:rPr>
                <w:rFonts w:hint="eastAsia" w:ascii="Times New Roman" w:hAnsi="Times New Roman" w:cs="Times New Roman"/>
                <w:color w:val="auto"/>
              </w:rPr>
            </w:pPr>
            <w:r>
              <w:rPr>
                <w:rFonts w:hint="eastAsia" w:ascii="Times New Roman" w:hAnsi="Times New Roman" w:cs="Times New Roman"/>
                <w:color w:val="auto"/>
              </w:rPr>
              <w:t>一是因湖南东洞庭湖国家级自然保护区与岳阳楼-东洞庭湖风景名胜区存在大量交叉重叠部分，为加强人文景观资源的保护，将其保留为风景风景名胜区，二是在设立之初，自然保护区划入了大量城镇建成区、村庄及永久基本农田，为有效解决历史遗留问题，促进自然保护区与社区和谐发展，将其调出自然保护区范围.</w:t>
            </w:r>
          </w:p>
        </w:tc>
        <w:tc>
          <w:tcPr>
            <w:tcW w:w="130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批复总面积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157627.00公顷，落图总面积157534.30公顷.其中核心区批复面积33286.20公顷，落图面积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33247.96公顷：缓冲区批复面积32369.80公顷，落图面积32456.51公顷：</w:t>
            </w:r>
          </w:p>
          <w:p>
            <w:pPr>
              <w:pStyle w:val="67"/>
              <w:jc w:val="center"/>
              <w:rPr>
                <w:rFonts w:hint="eastAsia" w:ascii="Times New Roman" w:hAnsi="Times New Roman" w:cs="Times New Roman"/>
                <w:color w:val="auto"/>
              </w:rPr>
            </w:pPr>
            <w:r>
              <w:rPr>
                <w:rFonts w:hint="eastAsia" w:ascii="Times New Roman" w:hAnsi="Times New Roman" w:cs="Times New Roman"/>
                <w:color w:val="auto"/>
              </w:rPr>
              <w:t>实验区批复面积91972.00公顷，落图面积9182983公顷</w:t>
            </w:r>
          </w:p>
        </w:tc>
        <w:tc>
          <w:tcPr>
            <w:tcW w:w="980" w:type="dxa"/>
            <w:tcBorders>
              <w:tl2br w:val="nil"/>
              <w:tr2bl w:val="nil"/>
            </w:tcBorders>
            <w:vAlign w:val="center"/>
          </w:tcPr>
          <w:p>
            <w:pPr>
              <w:pStyle w:val="67"/>
              <w:jc w:val="center"/>
              <w:rPr>
                <w:rFonts w:hint="eastAsia" w:ascii="Times New Roman" w:hAnsi="Times New Roman" w:cs="Times New Roman"/>
                <w:color w:val="auto"/>
              </w:rPr>
            </w:pPr>
            <w:r>
              <w:rPr>
                <w:rFonts w:hint="eastAsia" w:ascii="Times New Roman" w:hAnsi="Times New Roman" w:cs="Times New Roman"/>
                <w:color w:val="auto"/>
              </w:rPr>
              <w:t>总面积</w:t>
            </w:r>
          </w:p>
          <w:p>
            <w:pPr>
              <w:pStyle w:val="67"/>
              <w:jc w:val="center"/>
              <w:rPr>
                <w:rFonts w:hint="eastAsia" w:ascii="Times New Roman" w:hAnsi="Times New Roman" w:cs="Times New Roman"/>
                <w:color w:val="auto"/>
              </w:rPr>
            </w:pPr>
            <w:r>
              <w:rPr>
                <w:rFonts w:hint="eastAsia" w:ascii="Times New Roman" w:hAnsi="Times New Roman" w:cs="Times New Roman"/>
                <w:color w:val="auto"/>
              </w:rPr>
              <w:t>101152.28公顷其中：核心保护区面积68055.08公</w:t>
            </w:r>
          </w:p>
          <w:p>
            <w:pPr>
              <w:pStyle w:val="67"/>
              <w:jc w:val="center"/>
              <w:rPr>
                <w:rFonts w:hint="eastAsia" w:ascii="Times New Roman" w:hAnsi="Times New Roman" w:cs="Times New Roman"/>
                <w:color w:val="auto"/>
              </w:rPr>
            </w:pPr>
            <w:r>
              <w:rPr>
                <w:rFonts w:hint="eastAsia" w:ascii="Times New Roman" w:hAnsi="Times New Roman" w:cs="Times New Roman"/>
                <w:color w:val="auto"/>
              </w:rPr>
              <w:t>顷，一般控制区面积33097.21公</w:t>
            </w:r>
          </w:p>
          <w:p>
            <w:pPr>
              <w:pStyle w:val="67"/>
              <w:jc w:val="center"/>
              <w:rPr>
                <w:rFonts w:hint="eastAsia" w:ascii="Times New Roman" w:hAnsi="Times New Roman" w:cs="Times New Roman"/>
                <w:color w:val="auto"/>
              </w:rPr>
            </w:pPr>
            <w:r>
              <w:rPr>
                <w:rFonts w:hint="eastAsia" w:ascii="Times New Roman" w:hAnsi="Times New Roman" w:cs="Times New Roman"/>
                <w:color w:val="auto"/>
              </w:rPr>
              <w:t>顷.</w:t>
            </w:r>
          </w:p>
        </w:tc>
      </w:tr>
    </w:tbl>
    <w:p>
      <w:pPr>
        <w:pStyle w:val="53"/>
        <w:adjustRightInd w:val="0"/>
        <w:snapToGrid w:val="0"/>
        <w:spacing w:line="360" w:lineRule="auto"/>
        <w:ind w:left="0" w:leftChars="0" w:firstLine="0" w:firstLineChars="0"/>
        <w:rPr>
          <w:rFonts w:hint="default" w:ascii="Times New Roman" w:hAnsi="Times New Roman" w:cs="Times New Roman"/>
          <w:b/>
          <w:color w:val="auto"/>
          <w:sz w:val="24"/>
          <w:szCs w:val="21"/>
          <w:lang w:val="en-US" w:eastAsia="zh-CN"/>
        </w:rPr>
      </w:pPr>
      <w:r>
        <w:rPr>
          <w:rFonts w:hint="eastAsia" w:ascii="Times New Roman" w:hAnsi="Times New Roman" w:cs="Times New Roman"/>
          <w:b/>
          <w:color w:val="auto"/>
          <w:sz w:val="24"/>
          <w:szCs w:val="21"/>
          <w:lang w:val="en-US" w:eastAsia="zh-CN"/>
        </w:rPr>
        <w:t>3.3.2保护区内生态系统</w:t>
      </w:r>
    </w:p>
    <w:p>
      <w:pPr>
        <w:pStyle w:val="65"/>
        <w:ind w:firstLine="480"/>
        <w:rPr>
          <w:rFonts w:hint="default" w:ascii="Times New Roman" w:hAnsi="Times New Roman" w:cs="Times New Roman"/>
          <w:color w:val="auto"/>
          <w:lang w:val="en-US" w:eastAsia="zh-CN"/>
        </w:rPr>
      </w:pPr>
      <w:r>
        <w:rPr>
          <w:rFonts w:hint="eastAsia" w:cs="Times New Roman"/>
          <w:color w:val="auto"/>
          <w:lang w:val="en-US" w:eastAsia="zh-CN"/>
        </w:rPr>
        <w:t>（1）植被</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植被以湿地植物为主，自然保护区范围因有丘陵岗地，也包括部分丘陵岗地的森林、灌丛类型，划分为7个植被型组（针叶林、针阔混交林、阔叶林、灌草丛、草甸型、沼泽型、水生植物型），63个群系（包括季节性群系）。保护区有维管束植物169科、541属、865种。其中蕨类植物24科、40属、63种，裸子植物7科、17属、22种，被子植物138科、484属、780种。自然保护区865种植物中，分布于湿地区域即水体、洲滩、湖堤等冲积土上的湿地植物共451种。典型的水生植物55种，其中挺水植物28种，浮叶植物7种，漂浮植物6种，沉水植物14种。</w:t>
      </w:r>
    </w:p>
    <w:p>
      <w:pPr>
        <w:pStyle w:val="65"/>
        <w:ind w:firstLine="480"/>
        <w:rPr>
          <w:rFonts w:hint="default" w:ascii="Times New Roman" w:hAnsi="Times New Roman" w:eastAsia="宋体" w:cs="Times New Roman"/>
          <w:color w:val="auto"/>
          <w:lang w:val="en-US" w:eastAsia="zh-CN"/>
        </w:rPr>
      </w:pPr>
      <w:r>
        <w:rPr>
          <w:rFonts w:hint="eastAsia" w:cs="Times New Roman"/>
          <w:color w:val="auto"/>
          <w:lang w:val="en-US" w:eastAsia="zh-CN"/>
        </w:rPr>
        <w:t>（2）动物</w:t>
      </w:r>
    </w:p>
    <w:p>
      <w:pPr>
        <w:pStyle w:val="65"/>
        <w:ind w:firstLine="480"/>
        <w:rPr>
          <w:rFonts w:hint="default" w:ascii="Times New Roman" w:hAnsi="Times New Roman" w:cs="Times New Roman"/>
          <w:color w:val="auto"/>
        </w:rPr>
      </w:pPr>
      <w:r>
        <w:rPr>
          <w:rFonts w:hint="default" w:ascii="Times New Roman" w:hAnsi="Times New Roman" w:cs="Times New Roman"/>
          <w:color w:val="auto"/>
        </w:rPr>
        <w:t>自然保护区有野生脊椎动物共有5纲37目110科534种。其中，鱼类7目19科117种；两栖类2目5科11种；爬行类3目8科25种；鸟类17/18目55/64科348种；哺乳类7目14科33种。保护区独特的水域湿地环境，决定了该区动物类群具有喜湿或半喜湿性特征。构成该区生物地理动物群的主体为水禽和鱼类，而绝大多数为迁徙性鸟类和洄游性鱼类，形成了复杂的区系特征，同时集中了许多珍稀濒危物种，且濒危物种还具有相当的数量，对于保持湿地生物多样性具有重要意义</w:t>
      </w:r>
    </w:p>
    <w:p>
      <w:pPr>
        <w:pStyle w:val="65"/>
        <w:ind w:firstLine="480"/>
        <w:rPr>
          <w:rFonts w:hint="default" w:ascii="Times New Roman" w:hAnsi="Times New Roman" w:cs="Times New Roman"/>
          <w:color w:val="auto"/>
        </w:rPr>
      </w:pPr>
      <w:r>
        <w:rPr>
          <w:rFonts w:hint="eastAsia" w:cs="Times New Roman"/>
          <w:color w:val="auto"/>
          <w:lang w:val="en-US" w:eastAsia="zh-CN"/>
        </w:rPr>
        <w:t>（3）</w:t>
      </w:r>
      <w:r>
        <w:rPr>
          <w:rFonts w:hint="eastAsia" w:ascii="Times New Roman" w:hAnsi="Times New Roman" w:cs="Times New Roman"/>
          <w:color w:val="auto"/>
        </w:rPr>
        <w:t>景观资源</w:t>
      </w:r>
    </w:p>
    <w:p>
      <w:pPr>
        <w:pStyle w:val="65"/>
        <w:ind w:firstLine="480"/>
        <w:rPr>
          <w:rFonts w:hint="eastAsia" w:ascii="Times New Roman" w:hAnsi="Times New Roman" w:eastAsia="宋体" w:cs="Times New Roman"/>
          <w:color w:val="auto"/>
        </w:rPr>
      </w:pPr>
      <w:r>
        <w:rPr>
          <w:rFonts w:hint="eastAsia" w:ascii="Times New Roman" w:hAnsi="Times New Roman" w:cs="Times New Roman"/>
          <w:color w:val="auto"/>
        </w:rPr>
        <w:t>壮丽的湿地景观：洞庭湖纳湘江、资江、澧水、沅江四水，吞吐长江，浩浩</w:t>
      </w:r>
      <w:r>
        <w:rPr>
          <w:rFonts w:hint="eastAsia" w:ascii="Times New Roman" w:hAnsi="Times New Roman" w:eastAsia="宋体" w:cs="Times New Roman"/>
          <w:color w:val="auto"/>
        </w:rPr>
        <w:t>荡荡，横无际涯，天水一色，云蒸霞蔚，气象万千，波澜壮阔的八百里洞庭胜景依稀呈现；秋冬时节，水退滩现，形成独特的湖中湖，各显峥嵘，条条水道将星罗棋布、大小不等、形状各异的湖泊连贯成串，形似一条壮观的超级项链；在一望无垠的水际洲滩上，自由翱翔的鸟群追风逐月，绵延不绝，潇湘八景之一的“平沙落雁”竞现眼前，令人心旷神怡，流连忘返。</w:t>
      </w:r>
    </w:p>
    <w:p>
      <w:pPr>
        <w:pStyle w:val="65"/>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丰富的生物景观：洞庭湖宽广的湖面，在地壳不断沉降与隆起的造地运动作用下，逐渐形成了不同的地形地貌和多样的湿地生态环境，从而孕育了丰富的植被群落和水生生物资源，为食性不同的百余种水禽提供了取之不尽的食物，成为冬侯鸟栖息的乐园。每到秋风劲吹的季节，成千上万的游禽和涉禽，飞越万水千山，从遥远的西北利亚、东北、西北等繁殖地成群结队来到洞庭湖湖区越冬。</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（4）重点保护对象</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重点保护对象：东洞庭湖国家级自然保护区湿地洲滩发育，是我国珍稀候鸟越冬栖息地和繁殖地。鸟类数量、种类，水生生物数量、种类，淡水鱼类数量、种类都十分丰富。鱼类有114种、贝类40余种、鸟类80余种、兽类10余种，野生植物有873种。其中属于国家一类保护的水禽有白鹤、丹顶鹤、白头鹤、白枕鹤、白图、黑鹤、斑嘴鸦鹏等7种，属于国家二类保护的水禽有大鸨、灰鹤、白琵鸳、天鹅等多种:还有属于国家一类保护的中华鲟、白鳍豚，属于国家二类保护的江豚、扬子鳄、麋鹿、具有十分重要的研究和保护价值。</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本项目位于该保护区现状实验区范围内、</w:t>
      </w:r>
      <w:r>
        <w:rPr>
          <w:rFonts w:hint="eastAsia" w:cs="Times New Roman"/>
          <w:color w:val="auto"/>
          <w:lang w:val="en-US" w:eastAsia="zh-CN"/>
        </w:rPr>
        <w:t>整合优化范围后的自然保护区范围</w:t>
      </w:r>
      <w:r>
        <w:rPr>
          <w:rFonts w:hint="eastAsia" w:ascii="Times New Roman" w:hAnsi="Times New Roman" w:eastAsia="宋体" w:cs="Times New Roman"/>
          <w:color w:val="auto"/>
          <w:lang w:val="en-US" w:eastAsia="zh-CN"/>
        </w:rPr>
        <w:t>外，不涉及珍稀保护动物。</w:t>
      </w:r>
    </w:p>
    <w:p>
      <w:pPr>
        <w:pStyle w:val="65"/>
        <w:ind w:firstLine="480"/>
        <w:rPr>
          <w:rFonts w:hint="eastAsia" w:ascii="Times New Roman" w:hAnsi="Times New Roman" w:eastAsia="宋体" w:cs="Times New Roman"/>
          <w:b/>
          <w:bCs w:val="0"/>
          <w:snapToGrid w:val="0"/>
          <w:color w:val="auto"/>
          <w:kern w:val="0"/>
          <w:sz w:val="30"/>
          <w:szCs w:val="30"/>
          <w:lang w:val="en-US" w:eastAsia="zh-CN" w:bidi="ar-SA"/>
        </w:rPr>
      </w:pPr>
      <w:r>
        <w:rPr>
          <w:rFonts w:hint="eastAsia" w:ascii="Times New Roman" w:hAnsi="Times New Roman" w:eastAsia="宋体" w:cs="Times New Roman"/>
          <w:b/>
          <w:bCs w:val="0"/>
          <w:snapToGrid w:val="0"/>
          <w:color w:val="auto"/>
          <w:kern w:val="0"/>
          <w:sz w:val="30"/>
          <w:szCs w:val="30"/>
          <w:lang w:val="en-US" w:eastAsia="zh-CN" w:bidi="ar-SA"/>
        </w:rPr>
        <w:br w:type="page"/>
      </w:r>
    </w:p>
    <w:p>
      <w:pPr>
        <w:keepNext/>
        <w:widowControl w:val="0"/>
        <w:overflowPunct w:val="0"/>
        <w:snapToGrid w:val="0"/>
        <w:spacing w:before="120" w:after="160" w:line="259" w:lineRule="auto"/>
        <w:ind w:left="432" w:hanging="432"/>
        <w:jc w:val="both"/>
        <w:outlineLvl w:val="0"/>
        <w:rPr>
          <w:rFonts w:ascii="Times New Roman" w:hAnsi="Times New Roman" w:eastAsia="黑体" w:cs="Times New Roman"/>
          <w:b w:val="0"/>
          <w:bCs/>
          <w:snapToGrid w:val="0"/>
          <w:color w:val="auto"/>
          <w:kern w:val="44"/>
          <w:sz w:val="30"/>
          <w:szCs w:val="30"/>
          <w:lang w:val="en-US" w:eastAsia="zh-CN" w:bidi="ar-SA"/>
        </w:rPr>
      </w:pPr>
      <w:bookmarkStart w:id="251" w:name="_Toc25163"/>
      <w:r>
        <w:rPr>
          <w:rFonts w:hint="eastAsia" w:ascii="Times New Roman" w:hAnsi="Times New Roman" w:eastAsia="宋体" w:cs="Times New Roman"/>
          <w:b/>
          <w:bCs w:val="0"/>
          <w:snapToGrid w:val="0"/>
          <w:color w:val="auto"/>
          <w:kern w:val="0"/>
          <w:sz w:val="30"/>
          <w:szCs w:val="30"/>
          <w:lang w:val="en-US" w:eastAsia="zh-CN" w:bidi="ar-SA"/>
        </w:rPr>
        <w:t>4</w:t>
      </w:r>
      <w:r>
        <w:rPr>
          <w:rFonts w:ascii="Times New Roman" w:hAnsi="Times New Roman" w:eastAsia="宋体" w:cs="Times New Roman"/>
          <w:b/>
          <w:bCs w:val="0"/>
          <w:snapToGrid w:val="0"/>
          <w:color w:val="auto"/>
          <w:kern w:val="0"/>
          <w:sz w:val="30"/>
          <w:szCs w:val="30"/>
          <w:lang w:val="en-US" w:eastAsia="zh-CN" w:bidi="ar-SA"/>
        </w:rPr>
        <w:t>生态环境</w:t>
      </w:r>
      <w:r>
        <w:rPr>
          <w:rFonts w:hint="eastAsia" w:ascii="Times New Roman" w:hAnsi="Times New Roman" w:eastAsia="宋体" w:cs="Times New Roman"/>
          <w:b/>
          <w:bCs w:val="0"/>
          <w:snapToGrid w:val="0"/>
          <w:color w:val="auto"/>
          <w:kern w:val="0"/>
          <w:sz w:val="30"/>
          <w:szCs w:val="30"/>
          <w:lang w:val="en-US" w:eastAsia="zh-CN" w:bidi="ar-SA"/>
        </w:rPr>
        <w:t>影响</w:t>
      </w:r>
      <w:r>
        <w:rPr>
          <w:rFonts w:ascii="Times New Roman" w:hAnsi="Times New Roman" w:eastAsia="宋体" w:cs="Times New Roman"/>
          <w:b/>
          <w:bCs w:val="0"/>
          <w:snapToGrid w:val="0"/>
          <w:color w:val="auto"/>
          <w:kern w:val="0"/>
          <w:sz w:val="30"/>
          <w:szCs w:val="30"/>
          <w:lang w:val="en-US" w:eastAsia="zh-CN" w:bidi="ar-SA"/>
        </w:rPr>
        <w:t>评价</w:t>
      </w:r>
      <w:bookmarkEnd w:id="247"/>
      <w:bookmarkEnd w:id="248"/>
      <w:bookmarkEnd w:id="249"/>
      <w:bookmarkEnd w:id="250"/>
      <w:bookmarkEnd w:id="251"/>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52" w:name="_Toc21397"/>
      <w:bookmarkStart w:id="253" w:name="_Toc30972"/>
      <w:bookmarkStart w:id="254" w:name="_Toc31053"/>
      <w:bookmarkStart w:id="255" w:name="_Toc23237"/>
      <w:bookmarkStart w:id="256" w:name="_Toc20999"/>
      <w:bookmarkStart w:id="257" w:name="_Toc11496"/>
      <w:bookmarkStart w:id="258" w:name="_Toc280"/>
      <w:bookmarkStart w:id="259" w:name="_Toc1436"/>
      <w:r>
        <w:rPr>
          <w:rFonts w:ascii="Times New Roman" w:hAnsi="Times New Roman" w:eastAsia="宋体" w:cs="Times New Roman"/>
          <w:b/>
          <w:bCs/>
          <w:color w:val="auto"/>
          <w:kern w:val="2"/>
          <w:sz w:val="28"/>
          <w:szCs w:val="28"/>
          <w:lang w:val="en-US" w:eastAsia="zh-CN" w:bidi="ar-SA"/>
        </w:rPr>
        <w:t xml:space="preserve">4.1 </w:t>
      </w:r>
      <w:r>
        <w:rPr>
          <w:rFonts w:hint="eastAsia" w:ascii="Times New Roman" w:hAnsi="Times New Roman" w:eastAsia="宋体" w:cs="Times New Roman"/>
          <w:b/>
          <w:bCs/>
          <w:color w:val="auto"/>
          <w:kern w:val="2"/>
          <w:sz w:val="28"/>
          <w:szCs w:val="28"/>
          <w:lang w:val="en-US" w:eastAsia="zh-CN" w:bidi="ar-SA"/>
        </w:rPr>
        <w:t>施工期生态环境影响分析与评价</w:t>
      </w:r>
      <w:bookmarkEnd w:id="252"/>
      <w:bookmarkEnd w:id="253"/>
      <w:bookmarkEnd w:id="254"/>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w:t>
      </w:r>
      <w:r>
        <w:rPr>
          <w:rFonts w:hint="eastAsia" w:ascii="Times New Roman" w:hAnsi="Times New Roman" w:eastAsia="宋体" w:cs="Times New Roman"/>
          <w:color w:val="auto"/>
          <w:lang w:val="en-US" w:eastAsia="zh-CN"/>
        </w:rPr>
        <w:t>位于华容县团洲乡</w:t>
      </w:r>
      <w:r>
        <w:rPr>
          <w:rFonts w:hint="default" w:ascii="Times New Roman" w:hAnsi="Times New Roman" w:eastAsia="宋体" w:cs="Times New Roman"/>
          <w:color w:val="auto"/>
          <w:lang w:val="en-US" w:eastAsia="zh-CN"/>
        </w:rPr>
        <w:t>，项目占地及评价范围内不涉及自然保护区、风景名胜区等特殊生态敏感区。受开发建设和人类活动的影响，影响范围内植被主要为人工植被及次生植被毛竹、杉木及灌木、杂草</w:t>
      </w:r>
      <w:r>
        <w:rPr>
          <w:rFonts w:hint="eastAsia" w:ascii="Times New Roman" w:hAnsi="Times New Roman" w:eastAsia="宋体" w:cs="Times New Roman"/>
          <w:color w:val="auto"/>
          <w:lang w:val="en-US" w:eastAsia="zh-CN"/>
        </w:rPr>
        <w:t>、农作物</w:t>
      </w:r>
      <w:r>
        <w:rPr>
          <w:rFonts w:hint="default" w:ascii="Times New Roman" w:hAnsi="Times New Roman" w:eastAsia="宋体" w:cs="Times New Roman"/>
          <w:color w:val="auto"/>
          <w:lang w:val="en-US" w:eastAsia="zh-CN"/>
        </w:rPr>
        <w:t>等，主要动物为常见种类，如：鼠、麻雀等，无国家规定保护的珍稀动植物。项目</w:t>
      </w:r>
      <w:r>
        <w:rPr>
          <w:rFonts w:hint="eastAsia" w:ascii="Times New Roman" w:hAnsi="Times New Roman" w:eastAsia="宋体" w:cs="Times New Roman"/>
          <w:color w:val="auto"/>
          <w:lang w:val="en-US" w:eastAsia="zh-CN"/>
        </w:rPr>
        <w:t>施工期对</w:t>
      </w:r>
      <w:r>
        <w:rPr>
          <w:rFonts w:hint="default" w:ascii="Times New Roman" w:hAnsi="Times New Roman" w:eastAsia="宋体" w:cs="Times New Roman"/>
          <w:color w:val="auto"/>
          <w:lang w:val="en-US" w:eastAsia="zh-CN"/>
        </w:rPr>
        <w:t>生态环境</w:t>
      </w:r>
      <w:r>
        <w:rPr>
          <w:rFonts w:hint="eastAsia" w:ascii="Times New Roman" w:hAnsi="Times New Roman" w:eastAsia="宋体" w:cs="Times New Roman"/>
          <w:color w:val="auto"/>
          <w:lang w:val="en-US" w:eastAsia="zh-CN"/>
        </w:rPr>
        <w:t>的</w:t>
      </w:r>
      <w:r>
        <w:rPr>
          <w:rFonts w:hint="default" w:ascii="Times New Roman" w:hAnsi="Times New Roman" w:eastAsia="宋体" w:cs="Times New Roman"/>
          <w:color w:val="auto"/>
          <w:lang w:val="en-US" w:eastAsia="zh-CN"/>
        </w:rPr>
        <w:t>影响主要包括对土地利用、动植物、景观、加剧水土流失产生的影响。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 xml:space="preserve">4.1.1 </w:t>
      </w:r>
      <w:bookmarkEnd w:id="255"/>
      <w:bookmarkEnd w:id="256"/>
      <w:bookmarkEnd w:id="257"/>
      <w:bookmarkEnd w:id="258"/>
      <w:bookmarkEnd w:id="259"/>
      <w:r>
        <w:rPr>
          <w:rFonts w:hint="eastAsia" w:ascii="Times New Roman" w:hAnsi="Times New Roman" w:eastAsia="宋体" w:cs="Times New Roman"/>
          <w:b/>
          <w:color w:val="auto"/>
          <w:kern w:val="2"/>
          <w:sz w:val="24"/>
          <w:szCs w:val="24"/>
          <w:lang w:val="en-US" w:eastAsia="zh-CN" w:bidi="ar-SA"/>
        </w:rPr>
        <w:t>占地产生的影响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工程对土地利用形式变化的影响包括永久占地和临时占地两方面。</w:t>
      </w:r>
      <w:r>
        <w:rPr>
          <w:rFonts w:hint="eastAsia" w:ascii="Times New Roman" w:hAnsi="Times New Roman" w:eastAsia="宋体" w:cs="Times New Roman"/>
          <w:color w:val="auto"/>
          <w:lang w:val="en-US" w:eastAsia="zh-CN"/>
        </w:rPr>
        <w:t>因项目临时占地位于永久占地范围内，本次主要分析永久占地产生的影响。</w:t>
      </w:r>
      <w:r>
        <w:rPr>
          <w:rFonts w:hint="default" w:ascii="Times New Roman" w:hAnsi="Times New Roman" w:eastAsia="宋体" w:cs="Times New Roman"/>
          <w:color w:val="auto"/>
          <w:lang w:val="en-US" w:eastAsia="zh-CN"/>
        </w:rPr>
        <w:t>施工区占地将破坏土壤表层，从而使其变得疏松，受多风天气和降雨的影响，易发生风蚀、水蚀，造成水土流失，使土壤及其养分流失。</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本项目工程永久占地主要是工程占地，永久占地面积为</w:t>
      </w:r>
      <w:r>
        <w:rPr>
          <w:rFonts w:hint="eastAsia" w:ascii="Times New Roman" w:hAnsi="Times New Roman" w:eastAsia="宋体" w:cs="Times New Roman"/>
          <w:color w:val="auto"/>
          <w:lang w:val="en-US" w:eastAsia="zh-CN"/>
        </w:rPr>
        <w:t>57672</w:t>
      </w:r>
      <w:r>
        <w:rPr>
          <w:rFonts w:hint="default" w:ascii="Times New Roman" w:hAnsi="Times New Roman" w:eastAsia="宋体" w:cs="Times New Roman"/>
          <w:color w:val="auto"/>
          <w:lang w:val="en-US" w:eastAsia="zh-CN"/>
        </w:rPr>
        <w:t>m</w:t>
      </w:r>
      <w:r>
        <w:rPr>
          <w:rFonts w:hint="default"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，占地类型主要为旱地</w:t>
      </w:r>
      <w:r>
        <w:rPr>
          <w:rFonts w:hint="eastAsia" w:ascii="Times New Roman" w:hAnsi="Times New Roman" w:eastAsia="宋体" w:cs="Times New Roman"/>
          <w:color w:val="auto"/>
          <w:lang w:val="en-US" w:eastAsia="zh-CN"/>
        </w:rPr>
        <w:t>、水田</w:t>
      </w:r>
      <w:r>
        <w:rPr>
          <w:rFonts w:hint="default" w:ascii="Times New Roman" w:hAnsi="Times New Roman" w:eastAsia="宋体" w:cs="Times New Roman"/>
          <w:color w:val="auto"/>
          <w:lang w:val="en-US" w:eastAsia="zh-CN"/>
        </w:rPr>
        <w:t>。</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工程占地使土地利用价值发生了改变，对耕地来说，原有价值被</w:t>
      </w:r>
      <w:r>
        <w:rPr>
          <w:rFonts w:hint="eastAsia" w:ascii="Times New Roman" w:hAnsi="Times New Roman" w:eastAsia="宋体" w:cs="Times New Roman"/>
          <w:color w:val="auto"/>
          <w:lang w:val="en-US" w:eastAsia="zh-CN"/>
        </w:rPr>
        <w:t>安置区工程</w:t>
      </w:r>
      <w:r>
        <w:rPr>
          <w:rFonts w:hint="default" w:ascii="Times New Roman" w:hAnsi="Times New Roman" w:eastAsia="宋体" w:cs="Times New Roman"/>
          <w:color w:val="auto"/>
          <w:lang w:val="en-US" w:eastAsia="zh-CN"/>
        </w:rPr>
        <w:t>带来的</w:t>
      </w:r>
      <w:r>
        <w:rPr>
          <w:rFonts w:hint="eastAsia" w:ascii="Times New Roman" w:hAnsi="Times New Roman" w:eastAsia="宋体" w:cs="Times New Roman"/>
          <w:color w:val="auto"/>
          <w:lang w:val="en-US" w:eastAsia="zh-CN"/>
        </w:rPr>
        <w:t>社会</w:t>
      </w:r>
      <w:r>
        <w:rPr>
          <w:rFonts w:hint="default" w:ascii="Times New Roman" w:hAnsi="Times New Roman" w:eastAsia="宋体" w:cs="Times New Roman"/>
          <w:color w:val="auto"/>
          <w:lang w:val="en-US" w:eastAsia="zh-CN"/>
        </w:rPr>
        <w:t>价值所代替。工程占地将导致一定时期内耕地面积减少，农作物减产，</w:t>
      </w:r>
      <w:r>
        <w:rPr>
          <w:rFonts w:hint="eastAsia" w:ascii="Times New Roman" w:hAnsi="Times New Roman" w:eastAsia="宋体" w:cs="Times New Roman"/>
          <w:color w:val="auto"/>
          <w:lang w:val="en-US" w:eastAsia="zh-CN"/>
        </w:rPr>
        <w:t>项目所在地</w:t>
      </w:r>
      <w:r>
        <w:rPr>
          <w:rFonts w:hint="default" w:ascii="Times New Roman" w:hAnsi="Times New Roman" w:eastAsia="宋体" w:cs="Times New Roman"/>
          <w:color w:val="auto"/>
          <w:lang w:val="en-US" w:eastAsia="zh-CN"/>
        </w:rPr>
        <w:t>地区人多地少的矛盾，加剧对剩余耕地的压力，使农业生产受到影响。工程占地内的植被主要为杉木林、灌丛和草丛等，农作物主要有水稻、玉米等，可见，受工程建设影响的植被以人工植被和次生植被为主。</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因此，尽管项目建设对当地耕地资源及植被资源有一定的影响，但由于</w:t>
      </w:r>
      <w:r>
        <w:rPr>
          <w:rFonts w:hint="eastAsia" w:ascii="Times New Roman" w:hAnsi="Times New Roman" w:eastAsia="宋体" w:cs="Times New Roman"/>
          <w:color w:val="auto"/>
          <w:lang w:val="en-US" w:eastAsia="zh-CN"/>
        </w:rPr>
        <w:t>本项目</w:t>
      </w:r>
      <w:r>
        <w:rPr>
          <w:rFonts w:hint="default" w:ascii="Times New Roman" w:hAnsi="Times New Roman" w:eastAsia="宋体" w:cs="Times New Roman"/>
          <w:color w:val="auto"/>
          <w:lang w:val="en-US" w:eastAsia="zh-CN"/>
        </w:rPr>
        <w:t>占地仅为很少的一部分，对于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县的土地平衡影响很小；通过当地政府进行土地调整和规划，不会对当地土地利用总体格局产生大的影响，也不会对评价区植被稳定性造成较大影响。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4.1.2对自然保护区的影响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本项目评价范围内主要为</w:t>
      </w:r>
      <w:r>
        <w:rPr>
          <w:rFonts w:hint="eastAsia" w:ascii="Times New Roman" w:hAnsi="Times New Roman" w:cs="Times New Roman"/>
          <w:bCs/>
          <w:color w:val="auto"/>
          <w:sz w:val="24"/>
          <w:szCs w:val="21"/>
          <w:highlight w:val="none"/>
          <w:u w:val="none"/>
          <w:lang w:val="en-US" w:eastAsia="zh-CN"/>
        </w:rPr>
        <w:t>农村</w:t>
      </w:r>
      <w:r>
        <w:rPr>
          <w:rFonts w:hint="default" w:ascii="Times New Roman" w:hAnsi="Times New Roman" w:cs="Times New Roman"/>
          <w:bCs/>
          <w:color w:val="auto"/>
          <w:sz w:val="24"/>
          <w:szCs w:val="21"/>
          <w:highlight w:val="none"/>
          <w:u w:val="none"/>
          <w:lang w:val="en-US" w:eastAsia="zh-CN"/>
        </w:rPr>
        <w:t>生态系统。</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国家级自然保护区为湖泊类型湿地，主导功能是调蓄长江洪水径流，维系长江中下游地区的防洪安全，辅助功能主要是沉沙净污、湖泊湿地景观系统多样性以及在维系水陆复合系统中的生态前置库作用和功能，并具有保护渔业自然增值，繁衍生物多样性，特别是珍稀水禽栖息地的生态服务功能。</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本项目建设不涉及东洞庭湖国家级自然保护区的核心区与缓冲区，项目位于</w:t>
      </w:r>
      <w:r>
        <w:rPr>
          <w:rFonts w:hint="eastAsia" w:ascii="Times New Roman" w:hAnsi="Times New Roman" w:cs="Times New Roman"/>
          <w:bCs/>
          <w:color w:val="auto"/>
          <w:sz w:val="24"/>
          <w:szCs w:val="21"/>
          <w:highlight w:val="none"/>
          <w:u w:val="none"/>
          <w:lang w:val="en-US" w:eastAsia="zh-CN"/>
        </w:rPr>
        <w:t>团洲乡中心小学东侧，花园小区西侧</w:t>
      </w:r>
      <w:r>
        <w:rPr>
          <w:rFonts w:hint="default" w:ascii="Times New Roman" w:hAnsi="Times New Roman" w:cs="Times New Roman"/>
          <w:bCs/>
          <w:color w:val="auto"/>
          <w:sz w:val="24"/>
          <w:szCs w:val="21"/>
          <w:highlight w:val="none"/>
          <w:u w:val="none"/>
          <w:lang w:val="en-US" w:eastAsia="zh-CN"/>
        </w:rPr>
        <w:t>，项目所在区为该保护区</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前的实验区范围，实验区主要为分布于缓冲区以外的广大区域。且根据目前正在进行的保护区范围和功能区规划调整</w:t>
      </w:r>
      <w:r>
        <w:rPr>
          <w:rFonts w:hint="eastAsia" w:cs="Times New Roman"/>
          <w:bCs/>
          <w:color w:val="auto"/>
          <w:sz w:val="24"/>
          <w:szCs w:val="21"/>
          <w:highlight w:val="none"/>
          <w:u w:val="none"/>
          <w:lang w:val="en-US" w:eastAsia="zh-CN"/>
        </w:rPr>
        <w:t>的</w:t>
      </w:r>
      <w:r>
        <w:rPr>
          <w:rFonts w:hint="default" w:ascii="Times New Roman" w:hAnsi="Times New Roman" w:cs="Times New Roman"/>
          <w:bCs/>
          <w:color w:val="auto"/>
          <w:sz w:val="24"/>
          <w:szCs w:val="21"/>
          <w:highlight w:val="none"/>
          <w:u w:val="none"/>
          <w:lang w:val="en-US" w:eastAsia="zh-CN"/>
        </w:rPr>
        <w:t>材料来看，本项目</w:t>
      </w:r>
      <w:r>
        <w:rPr>
          <w:rFonts w:hint="eastAsia" w:cs="Times New Roman"/>
          <w:bCs/>
          <w:color w:val="auto"/>
          <w:sz w:val="24"/>
          <w:szCs w:val="21"/>
          <w:highlight w:val="none"/>
          <w:u w:val="none"/>
          <w:lang w:val="en-US" w:eastAsia="zh-CN"/>
        </w:rPr>
        <w:t>湖南东洞庭湖国家级自然保护区</w:t>
      </w:r>
      <w:r>
        <w:rPr>
          <w:rFonts w:hint="default" w:ascii="Times New Roman" w:hAnsi="Times New Roman" w:cs="Times New Roman"/>
          <w:bCs/>
          <w:color w:val="auto"/>
          <w:sz w:val="24"/>
          <w:szCs w:val="21"/>
          <w:highlight w:val="none"/>
          <w:u w:val="none"/>
          <w:lang w:val="en-US" w:eastAsia="zh-CN"/>
        </w:rPr>
        <w:t>在</w:t>
      </w:r>
      <w:r>
        <w:rPr>
          <w:rFonts w:hint="eastAsia" w:cs="Times New Roman"/>
          <w:bCs/>
          <w:color w:val="auto"/>
          <w:sz w:val="24"/>
          <w:szCs w:val="21"/>
          <w:highlight w:val="none"/>
          <w:u w:val="none"/>
          <w:lang w:val="en-US" w:eastAsia="zh-CN"/>
        </w:rPr>
        <w:t>优化整合</w:t>
      </w:r>
      <w:r>
        <w:rPr>
          <w:rFonts w:hint="default" w:ascii="Times New Roman" w:hAnsi="Times New Roman" w:cs="Times New Roman"/>
          <w:bCs/>
          <w:color w:val="auto"/>
          <w:sz w:val="24"/>
          <w:szCs w:val="21"/>
          <w:highlight w:val="none"/>
          <w:u w:val="none"/>
          <w:lang w:val="en-US" w:eastAsia="zh-CN"/>
        </w:rPr>
        <w:t>完成后，便不再属于自然保护区</w:t>
      </w:r>
      <w:r>
        <w:rPr>
          <w:rFonts w:hint="eastAsia" w:cs="Times New Roman"/>
          <w:bCs/>
          <w:color w:val="auto"/>
          <w:sz w:val="24"/>
          <w:szCs w:val="21"/>
          <w:highlight w:val="none"/>
          <w:u w:val="none"/>
          <w:lang w:val="en-US" w:eastAsia="zh-CN"/>
        </w:rPr>
        <w:t>范围</w:t>
      </w:r>
      <w:r>
        <w:rPr>
          <w:rFonts w:hint="default" w:ascii="Times New Roman" w:hAnsi="Times New Roman" w:cs="Times New Roman"/>
          <w:bCs/>
          <w:color w:val="auto"/>
          <w:sz w:val="24"/>
          <w:szCs w:val="21"/>
          <w:highlight w:val="none"/>
          <w:u w:val="none"/>
          <w:lang w:val="en-US" w:eastAsia="zh-CN"/>
        </w:rPr>
        <w:t>。</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eastAsia" w:ascii="Times New Roman" w:hAnsi="Times New Roman" w:cs="Times New Roman"/>
          <w:bCs/>
          <w:color w:val="auto"/>
          <w:sz w:val="24"/>
          <w:szCs w:val="21"/>
          <w:highlight w:val="none"/>
          <w:u w:val="none"/>
          <w:lang w:val="en-US" w:eastAsia="zh-CN"/>
        </w:rPr>
        <w:t>本项目用地不涉及环保拆迁，拆迁由政府负责，建设方拿净地。项目属于房地产建设项目，不涉及具体生产内容。经现场踏勘，项目工程已完成，本次评价为补评。项目施工期没有明显的遗留环境污染问题，无周边单位投诉情况发生。本次拟不对施工期环境影响进行重点评价，仅对其进行简单的回顾性评价。</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60" w:name="_Toc16669"/>
      <w:bookmarkStart w:id="261" w:name="_Toc25718"/>
      <w:bookmarkStart w:id="262" w:name="_Toc28430"/>
      <w:bookmarkStart w:id="263" w:name="_Toc4017"/>
      <w:bookmarkStart w:id="264" w:name="_Toc13318"/>
      <w:r>
        <w:rPr>
          <w:rFonts w:hint="eastAsia" w:ascii="Times New Roman" w:hAnsi="Times New Roman" w:eastAsia="宋体" w:cs="Times New Roman"/>
          <w:b/>
          <w:color w:val="auto"/>
          <w:kern w:val="2"/>
          <w:sz w:val="24"/>
          <w:szCs w:val="24"/>
          <w:lang w:val="en-US" w:eastAsia="zh-CN" w:bidi="ar-SA"/>
        </w:rPr>
        <w:t>4.1.</w:t>
      </w:r>
      <w:bookmarkEnd w:id="260"/>
      <w:bookmarkEnd w:id="261"/>
      <w:bookmarkEnd w:id="262"/>
      <w:bookmarkEnd w:id="263"/>
      <w:bookmarkEnd w:id="264"/>
      <w:r>
        <w:rPr>
          <w:rFonts w:hint="eastAsia" w:ascii="Times New Roman" w:hAnsi="Times New Roman" w:eastAsia="宋体" w:cs="Times New Roman"/>
          <w:b/>
          <w:color w:val="auto"/>
          <w:kern w:val="2"/>
          <w:sz w:val="24"/>
          <w:szCs w:val="24"/>
          <w:lang w:val="en-US" w:eastAsia="zh-CN" w:bidi="ar-SA"/>
        </w:rPr>
        <w:t>3对动植物的影响</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陆生植物影响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本项目施工过程将对现有植被破除或移植，会一定程度上减少区域范围内的植被面积，在短期内生态系统内绿地面积将会减少，植被覆盖率将总体下降，生态系统的调节作用有一定削弱。</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用地及评价范围内没有古树名木，没有国家级和省级重点保护的野生植物及生境，项目区不在生态保护红线、国家公园、自然保护区、森林公园、湿地公园、风景名胜区、其他自然公园等生态敏感区内。因此，项目施工及影响区域范围内植被主要为毛竹林、杉木林、灌丛和草丛等次生植被及人工植被，无珍稀保护植物。施工开挖和占地会造成部分植被的破坏，但由于损失的面积相对于区域来说是少量的，且受影响的植被均属一般常见类型，在区域生长范围广，不存在因项目建设而导致植物种群消失或灭绝。待施工结束后边坡及临时工程采取植被恢复措施，进行一定程度的可还将弥补部分损失的生物量。因而，本项目建设不会影响该区域生态系统的稳定性和完整性。</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陆生</w:t>
      </w:r>
      <w:r>
        <w:rPr>
          <w:rFonts w:hint="eastAsia" w:ascii="Times New Roman" w:hAnsi="Times New Roman" w:eastAsia="宋体" w:cs="Times New Roman"/>
          <w:color w:val="auto"/>
          <w:lang w:val="en-US" w:eastAsia="zh-CN"/>
        </w:rPr>
        <w:t>动</w:t>
      </w:r>
      <w:r>
        <w:rPr>
          <w:rFonts w:hint="default" w:ascii="Times New Roman" w:hAnsi="Times New Roman" w:eastAsia="宋体" w:cs="Times New Roman"/>
          <w:color w:val="auto"/>
          <w:lang w:val="en-US" w:eastAsia="zh-CN"/>
        </w:rPr>
        <w:t>物影响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项目施工对陆生动物的影响主要是植被破坏、施工噪声等。施工期工程占地缩小了陆生动物的栖息空间，</w:t>
      </w:r>
      <w:r>
        <w:rPr>
          <w:rFonts w:hint="eastAsia" w:ascii="Times New Roman" w:hAnsi="Times New Roman" w:eastAsia="宋体" w:cs="Times New Roman"/>
          <w:color w:val="auto"/>
          <w:lang w:val="en-US" w:eastAsia="zh-CN"/>
        </w:rPr>
        <w:t>缩减了</w:t>
      </w:r>
      <w:r>
        <w:rPr>
          <w:rFonts w:hint="default" w:ascii="Times New Roman" w:hAnsi="Times New Roman" w:eastAsia="宋体" w:cs="Times New Roman"/>
          <w:color w:val="auto"/>
          <w:lang w:val="en-US" w:eastAsia="zh-CN"/>
        </w:rPr>
        <w:t>部分动物的活动区域、觅食范围等，施工期作业机械发出的噪声、产生的振动以及施工人员的活动对陆生动物的生存产生了一定的影响。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但由于工程区域主要是常见的鸟类、啮齿类动物，暂未发现珍稀濒危保护野生动物。故工程建设虽然对一定范围内的野生动物产生一定程度的不利影响，但由于其可以迁移到远离施工区域的地方栖息和活动，因此，工程建设不会对其种群数量产生明显影响，更不会改变其种群结构。不过，施工期应加强对施工人员的教育宣传，严禁施工人员有不利于保护各种野生动物的活动。项目施工建设对动物影响时间较短，同时，可随植被的恢复而缓解、消失。</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1)对水生动物的影响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对东洞庭湖自然保护区有一级保护鱼类中华鲟、二级保护鱼类胭脂鱼、以及江豚。按照江豚、中华鲟、胭脂鱼的生活习性，根据本项目施工及运营特征，项目不涉及水域施工，不涉及上述动物的分布区及洄游通道，故对东洞庭湖国家级自然保护区的影响区域很小，项目施工</w:t>
      </w:r>
      <w:r>
        <w:rPr>
          <w:rFonts w:hint="eastAsia" w:ascii="Times New Roman" w:hAnsi="Times New Roman" w:cs="Times New Roman"/>
          <w:bCs/>
          <w:color w:val="auto"/>
          <w:sz w:val="24"/>
          <w:szCs w:val="21"/>
          <w:highlight w:val="none"/>
          <w:u w:val="none"/>
          <w:lang w:val="en-US" w:eastAsia="zh-CN"/>
        </w:rPr>
        <w:t>过程未</w:t>
      </w:r>
      <w:r>
        <w:rPr>
          <w:rFonts w:hint="default" w:ascii="Times New Roman" w:hAnsi="Times New Roman" w:cs="Times New Roman"/>
          <w:bCs/>
          <w:color w:val="auto"/>
          <w:sz w:val="24"/>
          <w:szCs w:val="21"/>
          <w:highlight w:val="none"/>
          <w:u w:val="none"/>
          <w:lang w:val="en-US" w:eastAsia="zh-CN"/>
        </w:rPr>
        <w:t>对东洞庭湖国家级自然保护区的水生动物产生明显负影响。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2)对鸟类的影响</w:t>
      </w:r>
    </w:p>
    <w:p>
      <w:pPr>
        <w:adjustRightInd w:val="0"/>
        <w:snapToGrid w:val="0"/>
        <w:spacing w:line="360" w:lineRule="auto"/>
        <w:ind w:firstLine="480" w:firstLineChars="200"/>
        <w:jc w:val="left"/>
        <w:rPr>
          <w:rFonts w:hint="eastAsia"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东洞庭湖自然保护区的鸟类包括三大类，既冬候鸟、夏候鸟、留鸟。最为重要的是冬水禽。这些水禽中有很多珍贵的、稀有的种类，如:颧类CiconiaSP.、鹤类Grus SP.、雁类AnserSP.、天鹅类GygnusSP.等。项目建设对水禽的影响主要表现在以下两个方面。第一，冬候鸟夏季生活在凉爽的北方，入冬后，北方食物短缺，它们就沿着固定的路线迁移到南方越冬，地面地形、地貌的改变，环境的变化，直接影响它们的迁入，对其生态生境产生一定影响。第二，施工期间，在施工区域的这些优势种鸟类由于环境的变化影响了它们的生活、取食环境将被迫离开它们原来的领域，邻近领域的优势种鸟类也由于受到施工噪声的惊吓，也将远离原来的栖息地，但是这种不利影响有时间限制，当临时征地区域的植被恢复后，它们仍可以回到原来的领域，继续生活，而且这些鸟类在非施工区内可以找到相同或相似生境，可迁移到合适生境中生活，对其</w:t>
      </w:r>
      <w:r>
        <w:rPr>
          <w:rFonts w:hint="eastAsia" w:ascii="Times New Roman" w:hAnsi="Times New Roman" w:cs="Times New Roman"/>
          <w:bCs/>
          <w:color w:val="auto"/>
          <w:sz w:val="24"/>
          <w:szCs w:val="21"/>
          <w:highlight w:val="none"/>
          <w:u w:val="none"/>
          <w:lang w:val="en-US" w:eastAsia="zh-CN"/>
        </w:rPr>
        <w:t>生存不会造成长期的、不可逆的不利影响。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3)对两栖类动物的影响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r>
        <w:rPr>
          <w:rFonts w:hint="default" w:ascii="Times New Roman" w:hAnsi="Times New Roman" w:cs="Times New Roman"/>
          <w:bCs/>
          <w:color w:val="auto"/>
          <w:sz w:val="24"/>
          <w:szCs w:val="21"/>
          <w:highlight w:val="none"/>
          <w:u w:val="none"/>
          <w:lang w:val="en-US" w:eastAsia="zh-CN"/>
        </w:rPr>
        <w:t>两栖类动物最主要的生活习性就是在水域和陆地间交替生活，而且具有准确的迁徙路线。东洞庭湖自然保护区主要两栖类动物有鳖、龟类.、蛙类、蟹类、扬子鳄、麇鹿等。这些动物有国家重点保护的种类，有省级重点保护的种类。麇鹿、扬子鳄为国家一级保护种，科研价值、经济价值都很高。</w:t>
      </w:r>
    </w:p>
    <w:p>
      <w:pPr>
        <w:pStyle w:val="65"/>
        <w:ind w:firstLine="480"/>
        <w:rPr>
          <w:rFonts w:hint="eastAsia" w:ascii="Times New Roman" w:hAnsi="Times New Roman" w:eastAsia="宋体" w:cs="Times New Roman"/>
          <w:color w:val="auto"/>
          <w:lang w:val="en-US" w:eastAsia="zh-CN"/>
        </w:rPr>
      </w:pPr>
      <w:r>
        <w:rPr>
          <w:rFonts w:hint="default" w:ascii="Times New Roman" w:hAnsi="Times New Roman" w:cs="Times New Roman"/>
          <w:bCs/>
          <w:color w:val="auto"/>
          <w:sz w:val="24"/>
          <w:szCs w:val="21"/>
          <w:highlight w:val="none"/>
          <w:u w:val="none"/>
          <w:lang w:val="en-US" w:eastAsia="zh-CN"/>
        </w:rPr>
        <w:t>陆生动物和两栖类动物一样，有各自固定的活动范围和路线。保护区内的白额雁、灰鹤、麇鹿具有迁移特性，本项目距离麋鹿活动的红旗湖甚远(在30km以外)，并且不会对其并往返于长江-洞庭湖之间的通道产生阻拦和任何破坏，因此，项目工程建设不会对其产生影响。</w:t>
      </w:r>
    </w:p>
    <w:p>
      <w:pPr>
        <w:keepNext/>
        <w:widowControl w:val="0"/>
        <w:adjustRightInd w:val="0"/>
        <w:snapToGrid w:val="0"/>
        <w:spacing w:line="360" w:lineRule="auto"/>
        <w:ind w:firstLine="0" w:firstLineChars="0"/>
        <w:jc w:val="both"/>
        <w:outlineLvl w:val="2"/>
        <w:rPr>
          <w:rFonts w:hint="eastAsia" w:ascii="Times New Roman" w:hAnsi="Times New Roman" w:eastAsia="宋体" w:cs="Times New Roman"/>
          <w:b/>
          <w:color w:val="auto"/>
          <w:kern w:val="2"/>
          <w:sz w:val="24"/>
          <w:szCs w:val="24"/>
          <w:lang w:val="en-US" w:eastAsia="zh-CN" w:bidi="ar-SA"/>
        </w:rPr>
      </w:pPr>
      <w:bookmarkStart w:id="265" w:name="_Toc29006"/>
      <w:bookmarkStart w:id="266" w:name="_Toc9701"/>
      <w:bookmarkStart w:id="267" w:name="_Toc16148"/>
      <w:bookmarkStart w:id="268" w:name="_Toc18522"/>
      <w:bookmarkStart w:id="269" w:name="_Toc19684"/>
      <w:r>
        <w:rPr>
          <w:rFonts w:hint="eastAsia" w:ascii="Times New Roman" w:hAnsi="Times New Roman" w:eastAsia="宋体" w:cs="Times New Roman"/>
          <w:b/>
          <w:color w:val="auto"/>
          <w:kern w:val="2"/>
          <w:sz w:val="24"/>
          <w:szCs w:val="24"/>
          <w:lang w:val="en-US" w:eastAsia="zh-CN" w:bidi="ar-SA"/>
        </w:rPr>
        <w:t>4.1.</w:t>
      </w:r>
      <w:bookmarkEnd w:id="265"/>
      <w:bookmarkEnd w:id="266"/>
      <w:bookmarkEnd w:id="267"/>
      <w:bookmarkEnd w:id="268"/>
      <w:bookmarkEnd w:id="269"/>
      <w:r>
        <w:rPr>
          <w:rFonts w:hint="eastAsia" w:ascii="Times New Roman" w:hAnsi="Times New Roman" w:eastAsia="宋体" w:cs="Times New Roman"/>
          <w:b/>
          <w:color w:val="auto"/>
          <w:kern w:val="2"/>
          <w:sz w:val="24"/>
          <w:szCs w:val="24"/>
          <w:lang w:val="en-US" w:eastAsia="zh-CN" w:bidi="ar-SA"/>
        </w:rPr>
        <w:t>4水土流失影响</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在施工过程中由于开挖地面、机械碾压、排放废弃物等原因，施工破坏了原有的地貌，进一步扰动了表土结构，致使土壤抗蚀能力降低。已裸露的土壤极易被降雨径流冲刷而产生水土流失，特别是暴雨时冲刷更为严重。其中地表开挖、填方等不同地貌部位和不同时期可发生不同形式的水土流失。</w:t>
      </w:r>
      <w:r>
        <w:rPr>
          <w:rFonts w:hint="eastAsia" w:ascii="Times New Roman" w:hAnsi="Times New Roman" w:eastAsia="宋体" w:cs="Times New Roman"/>
          <w:color w:val="auto"/>
          <w:lang w:val="en-US" w:eastAsia="zh-CN"/>
        </w:rPr>
        <w:t>项目目前已建成，根据现场走访、询问及勘查，施工期未出现大规模水土流失现象，现状场地已采取了合理的绿化及硬化措施，无裸露土壤存在，不存在水土流失隐患</w:t>
      </w:r>
      <w:r>
        <w:rPr>
          <w:rFonts w:hint="default" w:ascii="Times New Roman" w:hAnsi="Times New Roman" w:eastAsia="宋体" w:cs="Times New Roman"/>
          <w:color w:val="auto"/>
          <w:lang w:val="en-US" w:eastAsia="zh-CN"/>
        </w:rPr>
        <w:t>。</w:t>
      </w:r>
    </w:p>
    <w:p>
      <w:pPr>
        <w:keepNext/>
        <w:keepLines/>
        <w:widowControl w:val="0"/>
        <w:adjustRightInd w:val="0"/>
        <w:snapToGrid w:val="0"/>
        <w:spacing w:before="0" w:after="0" w:line="360" w:lineRule="auto"/>
        <w:jc w:val="both"/>
        <w:outlineLvl w:val="1"/>
        <w:rPr>
          <w:rFonts w:hint="default" w:ascii="Times New Roman" w:hAnsi="Times New Roman" w:eastAsia="宋体" w:cs="Times New Roman"/>
          <w:b/>
          <w:bCs/>
          <w:color w:val="auto"/>
          <w:kern w:val="2"/>
          <w:sz w:val="28"/>
          <w:szCs w:val="28"/>
          <w:lang w:val="en-US" w:eastAsia="zh-CN" w:bidi="ar-SA"/>
        </w:rPr>
      </w:pPr>
      <w:bookmarkStart w:id="270" w:name="_Toc28130"/>
      <w:bookmarkStart w:id="271" w:name="_Toc18090"/>
      <w:bookmarkStart w:id="272" w:name="_Toc6378"/>
      <w:r>
        <w:rPr>
          <w:rFonts w:ascii="Times New Roman" w:hAnsi="Times New Roman" w:eastAsia="宋体" w:cs="Times New Roman"/>
          <w:b/>
          <w:bCs/>
          <w:color w:val="auto"/>
          <w:kern w:val="2"/>
          <w:sz w:val="28"/>
          <w:szCs w:val="28"/>
          <w:lang w:val="en-US" w:eastAsia="zh-CN" w:bidi="ar-SA"/>
        </w:rPr>
        <w:t>4.</w:t>
      </w:r>
      <w:r>
        <w:rPr>
          <w:rFonts w:hint="eastAsia" w:ascii="Times New Roman" w:hAnsi="Times New Roman" w:eastAsia="宋体" w:cs="Times New Roman"/>
          <w:b/>
          <w:bCs/>
          <w:color w:val="auto"/>
          <w:kern w:val="2"/>
          <w:sz w:val="28"/>
          <w:szCs w:val="28"/>
          <w:lang w:val="en-US" w:eastAsia="zh-CN" w:bidi="ar-SA"/>
        </w:rPr>
        <w:t>2</w:t>
      </w:r>
      <w:r>
        <w:rPr>
          <w:rFonts w:ascii="Times New Roman" w:hAnsi="Times New Roman" w:eastAsia="宋体" w:cs="Times New Roman"/>
          <w:b/>
          <w:bCs/>
          <w:color w:val="auto"/>
          <w:kern w:val="2"/>
          <w:sz w:val="28"/>
          <w:szCs w:val="28"/>
          <w:lang w:val="en-US" w:eastAsia="zh-CN" w:bidi="ar-SA"/>
        </w:rPr>
        <w:t xml:space="preserve"> </w:t>
      </w:r>
      <w:r>
        <w:rPr>
          <w:rFonts w:hint="eastAsia" w:ascii="Times New Roman" w:hAnsi="Times New Roman" w:eastAsia="宋体" w:cs="Times New Roman"/>
          <w:b/>
          <w:bCs/>
          <w:color w:val="auto"/>
          <w:kern w:val="2"/>
          <w:sz w:val="28"/>
          <w:szCs w:val="28"/>
          <w:lang w:val="en-US" w:eastAsia="zh-CN" w:bidi="ar-SA"/>
        </w:rPr>
        <w:t>运营期生态环境影响分析与评价</w:t>
      </w:r>
      <w:bookmarkEnd w:id="270"/>
      <w:bookmarkEnd w:id="271"/>
      <w:bookmarkEnd w:id="272"/>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.1占地类型环境影响分析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本工程建设占用的土地为永久占地，具有不可逆性，将对土地资源造成一定程度的影响。但是由于</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占地仅为直接影响区很少的一部分，对于</w:t>
      </w:r>
      <w:r>
        <w:rPr>
          <w:rFonts w:hint="eastAsia" w:ascii="Times New Roman" w:hAnsi="Times New Roman" w:eastAsia="宋体" w:cs="Times New Roman"/>
          <w:color w:val="auto"/>
          <w:lang w:val="en-US" w:eastAsia="zh-CN"/>
        </w:rPr>
        <w:t>华容</w:t>
      </w:r>
      <w:r>
        <w:rPr>
          <w:rFonts w:hint="default" w:ascii="Times New Roman" w:hAnsi="Times New Roman" w:eastAsia="宋体" w:cs="Times New Roman"/>
          <w:color w:val="auto"/>
          <w:lang w:val="en-US" w:eastAsia="zh-CN"/>
        </w:rPr>
        <w:t>县的土地平衡影响很小；通过当地政府进行土地调整和规划，不会对当地土地利用总体格局产生大的影响。工程临时用地主要为旱地及林地，临时用地施工结束后覆土，恢复原有土地利用功能，对占地影响较小。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.2对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植被的影响分析</w:t>
      </w:r>
    </w:p>
    <w:p>
      <w:pPr>
        <w:pStyle w:val="65"/>
        <w:ind w:firstLine="48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项目建成后的永久占地会对区域内主要植被造成一定的破坏，</w:t>
      </w: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植被的影响很小。</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工程竣工后通过对进行景观绿化恢复会带来一定的正面影响。项目建设不会导致植被群落分布和群落结构的明显变化，更不会导致植被物种的消失，因此，项目运营后对植被影响较小。</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.3对</w:t>
      </w:r>
      <w:r>
        <w:rPr>
          <w:rFonts w:hint="eastAsia" w:eastAsia="宋体" w:cs="Times New Roman"/>
          <w:b/>
          <w:color w:val="auto"/>
          <w:kern w:val="2"/>
          <w:sz w:val="24"/>
          <w:szCs w:val="24"/>
          <w:lang w:val="en-US" w:eastAsia="zh-CN" w:bidi="ar-SA"/>
        </w:rPr>
        <w:t>项目周边</w:t>
      </w:r>
      <w:r>
        <w:rPr>
          <w:rFonts w:hint="default" w:ascii="Times New Roman" w:hAnsi="Times New Roman" w:eastAsia="宋体" w:cs="Times New Roman"/>
          <w:b/>
          <w:color w:val="auto"/>
          <w:kern w:val="2"/>
          <w:sz w:val="24"/>
          <w:szCs w:val="24"/>
          <w:lang w:val="en-US" w:eastAsia="zh-CN" w:bidi="ar-SA"/>
        </w:rPr>
        <w:t>动物的影响分析</w:t>
      </w:r>
    </w:p>
    <w:p>
      <w:pPr>
        <w:pStyle w:val="65"/>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项目所在区域动物主要为</w:t>
      </w:r>
      <w:r>
        <w:rPr>
          <w:rFonts w:hint="default" w:ascii="Times New Roman" w:hAnsi="Times New Roman" w:eastAsia="宋体" w:cs="Times New Roman"/>
          <w:color w:val="auto"/>
          <w:lang w:val="en-US" w:eastAsia="zh-CN"/>
        </w:rPr>
        <w:t>常见的鸟类、啮齿类动物，</w:t>
      </w:r>
      <w:r>
        <w:rPr>
          <w:rFonts w:hint="eastAsia" w:ascii="Times New Roman" w:hAnsi="Times New Roman" w:eastAsia="宋体" w:cs="Times New Roman"/>
          <w:color w:val="auto"/>
          <w:lang w:val="en-US" w:eastAsia="zh-CN"/>
        </w:rPr>
        <w:t>已基本适应了人类活动带来的影响。</w:t>
      </w:r>
    </w:p>
    <w:p>
      <w:pPr>
        <w:pStyle w:val="65"/>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为房地产开发建设项目，营运期的主要环境污染源为噪声和油烟、停车场废气以及少量垃圾桶恶臭，生活污水经隔油池和化粪池预处理后经自建管道流入市政污水管网，不直接外排，污染源对植被造成的影响很小，故营运期对</w:t>
      </w:r>
      <w:r>
        <w:rPr>
          <w:rFonts w:hint="default" w:ascii="Times New Roman" w:hAnsi="Times New Roman" w:eastAsia="宋体" w:cs="Times New Roman"/>
          <w:color w:val="auto"/>
          <w:lang w:val="en-US" w:eastAsia="zh-CN"/>
        </w:rPr>
        <w:t>对动物的种群大小和活动范围影响有限。</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w:t>
      </w:r>
      <w:r>
        <w:rPr>
          <w:rFonts w:hint="default" w:ascii="Times New Roman" w:hAnsi="Times New Roman" w:eastAsia="宋体" w:cs="Times New Roman"/>
          <w:b/>
          <w:color w:val="auto"/>
          <w:kern w:val="2"/>
          <w:sz w:val="24"/>
          <w:szCs w:val="24"/>
          <w:lang w:val="en-US" w:eastAsia="zh-CN" w:bidi="ar-SA"/>
        </w:rPr>
        <w:t>.4对区域生态体系完整性及景观的影响分析</w:t>
      </w:r>
    </w:p>
    <w:p>
      <w:pPr>
        <w:pStyle w:val="65"/>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项目区域植被主要以毛竹林、杉木林、灌丛和草丛等此生植被及人工植被为主。区域内植被分布面积较大，且组成较为单一，群落结构简单，</w:t>
      </w:r>
      <w:r>
        <w:rPr>
          <w:rFonts w:hint="eastAsia" w:ascii="Times New Roman" w:hAnsi="Times New Roman" w:eastAsia="宋体" w:cs="Times New Roman"/>
          <w:color w:val="auto"/>
          <w:lang w:val="en-US" w:eastAsia="zh-CN"/>
        </w:rPr>
        <w:t>项目</w:t>
      </w:r>
      <w:r>
        <w:rPr>
          <w:rFonts w:hint="default" w:ascii="Times New Roman" w:hAnsi="Times New Roman" w:eastAsia="宋体" w:cs="Times New Roman"/>
          <w:color w:val="auto"/>
          <w:lang w:val="en-US" w:eastAsia="zh-CN"/>
        </w:rPr>
        <w:t>建设占用面积比例较小，因此，项目运营期对项目评价区自然体系的生态影响也会很小，而且工程完工后通过自然生态系统体系的自我调节和水土保持及迹地恢复等工程措施，区域自然体系的性质和功能将得到恢复。</w:t>
      </w:r>
    </w:p>
    <w:p>
      <w:pPr>
        <w:adjustRightInd w:val="0"/>
        <w:snapToGrid w:val="0"/>
        <w:spacing w:line="360" w:lineRule="auto"/>
        <w:ind w:firstLine="480" w:firstLineChars="200"/>
        <w:jc w:val="left"/>
        <w:rPr>
          <w:rFonts w:hint="default" w:ascii="Times New Roman" w:hAnsi="Times New Roman" w:cs="Times New Roman"/>
          <w:bCs/>
          <w:color w:val="auto"/>
          <w:sz w:val="24"/>
          <w:szCs w:val="21"/>
          <w:highlight w:val="none"/>
          <w:u w:val="none"/>
          <w:lang w:val="en-US" w:eastAsia="zh-CN"/>
        </w:rPr>
      </w:pPr>
      <w:bookmarkStart w:id="273" w:name="_Toc43457067"/>
      <w:r>
        <w:rPr>
          <w:rFonts w:hint="default" w:ascii="Times New Roman" w:hAnsi="Times New Roman" w:cs="Times New Roman"/>
          <w:bCs/>
          <w:color w:val="auto"/>
          <w:sz w:val="24"/>
          <w:szCs w:val="21"/>
          <w:highlight w:val="none"/>
          <w:u w:val="none"/>
          <w:lang w:val="en-US" w:eastAsia="zh-CN"/>
        </w:rPr>
        <w:t>生态景观是社会、经济、自然复合生态系统的多维生态网络，包括自然生态景观和人文生态景观，强调格局、过程和功能的多维耦合，是由物理的、化学的、生物的、区域的、社会的、经济的及文化的组分在时、空、量、构、序范畴上相互作用形成的人与自然的复合生态网络。它不仅包括有形的地理和生物景观，还包括了无形的个体与整体、内部与外部、过去和未来以及主观与客观问的系统生态联系。它强调人类生态系统内部与外部环境之间的和谐，系统结构和功能的耦合，过去、现在和未来发展的关联及融洽性。所以，该项目尽管只占地</w:t>
      </w:r>
      <w:r>
        <w:rPr>
          <w:rFonts w:hint="eastAsia" w:ascii="仿宋" w:hAnsi="仿宋" w:eastAsia="仿宋" w:cs="仿宋"/>
          <w:bCs w:val="0"/>
          <w:snapToGrid w:val="0"/>
          <w:color w:val="auto"/>
          <w:spacing w:val="0"/>
          <w:kern w:val="0"/>
          <w:position w:val="0"/>
          <w:sz w:val="28"/>
          <w:szCs w:val="28"/>
          <w:highlight w:val="none"/>
          <w:u w:val="none"/>
          <w:lang w:val="en-US" w:eastAsia="zh-CN" w:bidi="ar-SA"/>
        </w:rPr>
        <w:t>57672</w:t>
      </w:r>
      <w:r>
        <w:rPr>
          <w:rFonts w:hint="default" w:ascii="Times New Roman" w:hAnsi="Times New Roman" w:cs="Times New Roman"/>
          <w:bCs/>
          <w:color w:val="auto"/>
          <w:sz w:val="24"/>
          <w:szCs w:val="21"/>
          <w:highlight w:val="none"/>
          <w:u w:val="none"/>
          <w:lang w:val="en-US" w:eastAsia="zh-CN"/>
        </w:rPr>
        <w:t>m</w:t>
      </w:r>
      <w:r>
        <w:rPr>
          <w:rFonts w:hint="default" w:ascii="Times New Roman" w:hAnsi="Times New Roman" w:cs="Times New Roman"/>
          <w:bCs/>
          <w:color w:val="auto"/>
          <w:sz w:val="24"/>
          <w:szCs w:val="21"/>
          <w:highlight w:val="none"/>
          <w:u w:val="none"/>
          <w:vertAlign w:val="superscript"/>
          <w:lang w:val="en-US" w:eastAsia="zh-CN"/>
        </w:rPr>
        <w:t>2</w:t>
      </w:r>
      <w:r>
        <w:rPr>
          <w:rFonts w:hint="default" w:ascii="Times New Roman" w:hAnsi="Times New Roman" w:cs="Times New Roman"/>
          <w:bCs/>
          <w:color w:val="auto"/>
          <w:sz w:val="24"/>
          <w:szCs w:val="21"/>
          <w:highlight w:val="none"/>
          <w:u w:val="none"/>
          <w:lang w:val="en-US" w:eastAsia="zh-CN"/>
        </w:rPr>
        <w:t>，该地块景观生态风险体现在两个方面，一是对自然植被的移除，二是潜在的人工建筑的大小、体量、颜色、风格、式样需要进行精心设计及评估。</w:t>
      </w:r>
      <w:r>
        <w:rPr>
          <w:rFonts w:hint="eastAsia" w:ascii="Times New Roman" w:hAnsi="Times New Roman" w:cs="Times New Roman"/>
          <w:bCs/>
          <w:color w:val="auto"/>
          <w:sz w:val="24"/>
          <w:szCs w:val="21"/>
          <w:highlight w:val="none"/>
          <w:u w:val="none"/>
          <w:lang w:val="en-US" w:eastAsia="zh-CN"/>
        </w:rPr>
        <w:t>本项目目前已建成，项目周边为团洲乡城镇建成区，项目的整体建筑风格为徽派建筑，与周边环境较为相融。</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4.2.5</w:t>
      </w:r>
      <w:r>
        <w:rPr>
          <w:rFonts w:hint="default" w:ascii="Times New Roman" w:hAnsi="Times New Roman" w:eastAsia="宋体" w:cs="Times New Roman"/>
          <w:b/>
          <w:color w:val="auto"/>
          <w:kern w:val="2"/>
          <w:sz w:val="24"/>
          <w:szCs w:val="24"/>
          <w:lang w:val="en-US" w:eastAsia="zh-CN" w:bidi="ar-SA"/>
        </w:rPr>
        <w:t>保护区累积生态影响分析析</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评价范围内永久占地面积为</w:t>
      </w:r>
      <w:r>
        <w:rPr>
          <w:rFonts w:hint="eastAsia" w:ascii="Times New Roman" w:hAnsi="Times New Roman" w:eastAsia="宋体" w:cs="Times New Roman"/>
          <w:bCs/>
          <w:color w:val="auto"/>
          <w:sz w:val="24"/>
          <w:szCs w:val="21"/>
          <w:highlight w:val="none"/>
          <w:u w:val="none"/>
          <w:lang w:val="en-US" w:eastAsia="zh-CN"/>
        </w:rPr>
        <w:t>57672</w:t>
      </w:r>
      <w:r>
        <w:rPr>
          <w:rFonts w:hint="default" w:ascii="Times New Roman" w:hAnsi="Times New Roman" w:eastAsia="宋体" w:cs="Times New Roman"/>
          <w:bCs/>
          <w:color w:val="auto"/>
          <w:sz w:val="24"/>
          <w:szCs w:val="21"/>
          <w:highlight w:val="none"/>
          <w:u w:val="none"/>
          <w:lang w:val="en-US" w:eastAsia="zh-CN"/>
        </w:rPr>
        <w:t>m²，均为自然保护区</w:t>
      </w:r>
      <w:r>
        <w:rPr>
          <w:rFonts w:hint="eastAsia" w:cs="Times New Roman"/>
          <w:bCs/>
          <w:color w:val="auto"/>
          <w:sz w:val="24"/>
          <w:szCs w:val="21"/>
          <w:highlight w:val="none"/>
          <w:u w:val="none"/>
          <w:lang w:val="en-US" w:eastAsia="zh-CN"/>
        </w:rPr>
        <w:t>优化整合前的</w:t>
      </w:r>
      <w:r>
        <w:rPr>
          <w:rFonts w:hint="default" w:ascii="Times New Roman" w:hAnsi="Times New Roman" w:eastAsia="宋体" w:cs="Times New Roman"/>
          <w:bCs/>
          <w:color w:val="auto"/>
          <w:sz w:val="24"/>
          <w:szCs w:val="21"/>
          <w:highlight w:val="none"/>
          <w:u w:val="none"/>
          <w:lang w:val="en-US" w:eastAsia="zh-CN"/>
        </w:rPr>
        <w:t>实验区，实验区永久占地面积占自然保护区总面积((</w:t>
      </w:r>
      <w:r>
        <w:rPr>
          <w:rFonts w:hint="eastAsia" w:cs="Times New Roman"/>
          <w:bCs/>
          <w:color w:val="auto"/>
          <w:sz w:val="24"/>
          <w:szCs w:val="21"/>
          <w:highlight w:val="none"/>
          <w:u w:val="none"/>
          <w:lang w:val="en-US" w:eastAsia="zh-CN"/>
        </w:rPr>
        <w:t>15.7627</w:t>
      </w:r>
      <w:r>
        <w:rPr>
          <w:rFonts w:hint="default" w:ascii="Times New Roman" w:hAnsi="Times New Roman" w:eastAsia="宋体" w:cs="Times New Roman"/>
          <w:bCs/>
          <w:color w:val="auto"/>
          <w:sz w:val="24"/>
          <w:szCs w:val="21"/>
          <w:highlight w:val="none"/>
          <w:u w:val="none"/>
          <w:lang w:val="en-US" w:eastAsia="zh-CN"/>
        </w:rPr>
        <w:t>x10</w:t>
      </w:r>
      <w:r>
        <w:rPr>
          <w:rFonts w:hint="eastAsia" w:cs="Times New Roman"/>
          <w:bCs/>
          <w:color w:val="auto"/>
          <w:sz w:val="24"/>
          <w:szCs w:val="21"/>
          <w:highlight w:val="none"/>
          <w:u w:val="none"/>
          <w:vertAlign w:val="superscript"/>
          <w:lang w:val="en-US" w:eastAsia="zh-CN"/>
        </w:rPr>
        <w:t>4</w:t>
      </w:r>
      <w:r>
        <w:rPr>
          <w:rFonts w:hint="default" w:ascii="Times New Roman" w:hAnsi="Times New Roman" w:eastAsia="宋体" w:cs="Times New Roman"/>
          <w:bCs/>
          <w:color w:val="auto"/>
          <w:sz w:val="24"/>
          <w:szCs w:val="21"/>
          <w:highlight w:val="none"/>
          <w:u w:val="none"/>
          <w:lang w:val="en-US" w:eastAsia="zh-CN"/>
        </w:rPr>
        <w:t>hm</w:t>
      </w:r>
      <w:r>
        <w:rPr>
          <w:rFonts w:hint="default" w:ascii="Times New Roman" w:hAnsi="Times New Roman" w:eastAsia="宋体" w:cs="Times New Roman"/>
          <w:bCs/>
          <w:color w:val="auto"/>
          <w:sz w:val="24"/>
          <w:szCs w:val="21"/>
          <w:highlight w:val="none"/>
          <w:u w:val="none"/>
          <w:vertAlign w:val="superscript"/>
          <w:lang w:val="en-US" w:eastAsia="zh-CN"/>
        </w:rPr>
        <w:t>2</w:t>
      </w:r>
      <w:r>
        <w:rPr>
          <w:rFonts w:hint="default" w:ascii="Times New Roman" w:hAnsi="Times New Roman" w:eastAsia="宋体" w:cs="Times New Roman"/>
          <w:bCs/>
          <w:color w:val="auto"/>
          <w:sz w:val="24"/>
          <w:szCs w:val="21"/>
          <w:highlight w:val="none"/>
          <w:u w:val="none"/>
          <w:lang w:val="en-US" w:eastAsia="zh-CN"/>
        </w:rPr>
        <w:t>)的0.00</w:t>
      </w:r>
      <w:r>
        <w:rPr>
          <w:rFonts w:hint="eastAsia" w:cs="Times New Roman"/>
          <w:bCs/>
          <w:color w:val="auto"/>
          <w:sz w:val="24"/>
          <w:szCs w:val="21"/>
          <w:highlight w:val="none"/>
          <w:u w:val="none"/>
          <w:lang w:val="en-US" w:eastAsia="zh-CN"/>
        </w:rPr>
        <w:t>4</w:t>
      </w:r>
      <w:r>
        <w:rPr>
          <w:rFonts w:hint="default" w:ascii="Times New Roman" w:hAnsi="Times New Roman" w:eastAsia="宋体" w:cs="Times New Roman"/>
          <w:bCs/>
          <w:color w:val="auto"/>
          <w:sz w:val="24"/>
          <w:szCs w:val="21"/>
          <w:highlight w:val="none"/>
          <w:u w:val="none"/>
          <w:lang w:val="en-US" w:eastAsia="zh-CN"/>
        </w:rPr>
        <w:t>%，所占比重极小，且区域均为已有城市建成区，不会使保护区生态环境破碎化。</w:t>
      </w:r>
    </w:p>
    <w:p>
      <w:pPr>
        <w:adjustRightInd w:val="0"/>
        <w:snapToGrid w:val="0"/>
        <w:spacing w:line="360" w:lineRule="auto"/>
        <w:ind w:firstLine="480" w:firstLineChars="200"/>
        <w:jc w:val="left"/>
        <w:rPr>
          <w:rFonts w:ascii="Times New Roman" w:hAnsi="Times New Roman"/>
          <w:bCs w:val="0"/>
          <w:snapToGrid w:val="0"/>
          <w:color w:val="auto"/>
          <w:kern w:val="0"/>
          <w:sz w:val="30"/>
          <w:szCs w:val="30"/>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bCs/>
          <w:color w:val="auto"/>
          <w:sz w:val="24"/>
          <w:szCs w:val="21"/>
          <w:highlight w:val="none"/>
          <w:u w:val="none"/>
          <w:lang w:val="en-US" w:eastAsia="zh-CN"/>
        </w:rPr>
        <w:t>项目植被类型涉及的物种均为常见种，易于栽植和恢复;周边无珍稀濒危的野生植物种类:周边没有国家级珍稀野生动物分布，其影响数量有限。项目施工和运营不会使保护区某一生境或物种消失，且影响的种类在保护区范围内分布较多，不会对保护区原有生态系统结构和功能产生较大影响。项目因营运期污染主要为设备噪声、</w:t>
      </w:r>
      <w:r>
        <w:rPr>
          <w:rFonts w:hint="eastAsia" w:ascii="Times New Roman" w:hAnsi="Times New Roman" w:eastAsia="宋体" w:cs="Times New Roman"/>
          <w:bCs/>
          <w:color w:val="auto"/>
          <w:sz w:val="24"/>
          <w:szCs w:val="21"/>
          <w:highlight w:val="none"/>
          <w:u w:val="none"/>
          <w:lang w:val="en-US" w:eastAsia="zh-CN"/>
        </w:rPr>
        <w:t>厨房</w:t>
      </w:r>
      <w:r>
        <w:rPr>
          <w:rFonts w:hint="default" w:ascii="Times New Roman" w:hAnsi="Times New Roman" w:eastAsia="宋体" w:cs="Times New Roman"/>
          <w:bCs/>
          <w:color w:val="auto"/>
          <w:sz w:val="24"/>
          <w:szCs w:val="21"/>
          <w:highlight w:val="none"/>
          <w:u w:val="none"/>
          <w:lang w:val="en-US" w:eastAsia="zh-CN"/>
        </w:rPr>
        <w:t>油烟及住户产生的固废垃圾、生活污水，采取生态专题报告提出措施后，不会对保护区造成明显的不利影响。</w:t>
      </w:r>
      <w:r>
        <w:rPr>
          <w:rFonts w:hint="default" w:ascii="Times New Roman" w:hAnsi="Times New Roman" w:cs="Times New Roman"/>
          <w:b/>
          <w:bCs/>
          <w:color w:val="auto"/>
          <w:spacing w:val="20"/>
          <w:sz w:val="32"/>
          <w:szCs w:val="32"/>
          <w:lang w:val="en-GB"/>
        </w:rPr>
        <w:br w:type="page"/>
      </w:r>
    </w:p>
    <w:p>
      <w:pPr>
        <w:keepNext/>
        <w:widowControl w:val="0"/>
        <w:overflowPunct w:val="0"/>
        <w:snapToGrid w:val="0"/>
        <w:spacing w:before="120" w:after="160" w:line="259" w:lineRule="auto"/>
        <w:ind w:left="432" w:hanging="432"/>
        <w:jc w:val="both"/>
        <w:outlineLvl w:val="0"/>
        <w:rPr>
          <w:rFonts w:ascii="Times New Roman" w:hAnsi="Times New Roman" w:eastAsia="宋体" w:cs="Times New Roman"/>
          <w:b/>
          <w:bCs w:val="0"/>
          <w:snapToGrid w:val="0"/>
          <w:color w:val="auto"/>
          <w:kern w:val="0"/>
          <w:sz w:val="30"/>
          <w:szCs w:val="30"/>
          <w:lang w:val="en-US" w:eastAsia="zh-CN" w:bidi="ar-SA"/>
        </w:rPr>
      </w:pPr>
      <w:bookmarkStart w:id="274" w:name="_Toc26868"/>
      <w:bookmarkStart w:id="275" w:name="_Toc10029"/>
      <w:bookmarkStart w:id="276" w:name="_Toc6600"/>
      <w:bookmarkStart w:id="277" w:name="_Toc17890"/>
      <w:bookmarkStart w:id="278" w:name="_Toc9956"/>
      <w:r>
        <w:rPr>
          <w:rFonts w:ascii="Times New Roman" w:hAnsi="Times New Roman" w:eastAsia="宋体" w:cs="Times New Roman"/>
          <w:b/>
          <w:bCs w:val="0"/>
          <w:snapToGrid w:val="0"/>
          <w:color w:val="auto"/>
          <w:kern w:val="0"/>
          <w:sz w:val="30"/>
          <w:szCs w:val="30"/>
          <w:lang w:val="en-US" w:eastAsia="zh-CN" w:bidi="ar-SA"/>
        </w:rPr>
        <w:t>5生态</w:t>
      </w:r>
      <w:bookmarkEnd w:id="273"/>
      <w:r>
        <w:rPr>
          <w:rFonts w:ascii="Times New Roman" w:hAnsi="Times New Roman" w:eastAsia="宋体" w:cs="Times New Roman"/>
          <w:b/>
          <w:bCs w:val="0"/>
          <w:snapToGrid w:val="0"/>
          <w:color w:val="auto"/>
          <w:kern w:val="0"/>
          <w:sz w:val="30"/>
          <w:szCs w:val="30"/>
          <w:lang w:val="en-US" w:eastAsia="zh-CN" w:bidi="ar-SA"/>
        </w:rPr>
        <w:t>保护对策措施</w:t>
      </w:r>
      <w:bookmarkEnd w:id="274"/>
      <w:bookmarkEnd w:id="275"/>
      <w:bookmarkEnd w:id="276"/>
      <w:bookmarkEnd w:id="277"/>
      <w:bookmarkEnd w:id="278"/>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79" w:name="_Toc28369"/>
      <w:bookmarkStart w:id="280" w:name="_Toc1734"/>
      <w:bookmarkStart w:id="281" w:name="_Toc6967"/>
      <w:bookmarkStart w:id="282" w:name="_Toc15182"/>
      <w:bookmarkStart w:id="283" w:name="_Toc7266"/>
      <w:bookmarkStart w:id="284" w:name="_Toc8205"/>
      <w:bookmarkStart w:id="285" w:name="_Toc3275"/>
      <w:bookmarkStart w:id="286" w:name="_Toc5278"/>
      <w:r>
        <w:rPr>
          <w:rFonts w:ascii="Times New Roman" w:hAnsi="Times New Roman" w:eastAsia="宋体" w:cs="Times New Roman"/>
          <w:b/>
          <w:bCs/>
          <w:color w:val="auto"/>
          <w:kern w:val="2"/>
          <w:sz w:val="28"/>
          <w:szCs w:val="28"/>
          <w:lang w:val="en-US" w:eastAsia="zh-CN" w:bidi="ar-SA"/>
        </w:rPr>
        <w:t>5.1施工期生态保护措施</w:t>
      </w:r>
      <w:bookmarkEnd w:id="279"/>
      <w:bookmarkEnd w:id="280"/>
      <w:bookmarkEnd w:id="281"/>
      <w:bookmarkEnd w:id="282"/>
      <w:bookmarkEnd w:id="283"/>
      <w:bookmarkEnd w:id="284"/>
      <w:bookmarkEnd w:id="285"/>
      <w:bookmarkEnd w:id="286"/>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5.1.1</w:t>
      </w:r>
      <w:r>
        <w:rPr>
          <w:rFonts w:hint="default" w:ascii="Times New Roman" w:hAnsi="Times New Roman" w:cs="Times New Roman"/>
          <w:b/>
          <w:bCs/>
          <w:color w:val="auto"/>
          <w:lang w:val="en-US" w:eastAsia="zh-CN"/>
        </w:rPr>
        <w:t>施工管理</w:t>
      </w:r>
      <w:r>
        <w:rPr>
          <w:rFonts w:hint="eastAsia" w:ascii="Times New Roman" w:hAnsi="Times New Roman" w:cs="Times New Roman"/>
          <w:b/>
          <w:bCs/>
          <w:color w:val="auto"/>
          <w:lang w:val="en-US" w:eastAsia="zh-CN"/>
        </w:rPr>
        <w:t>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项目现状已建成，根据回顾性调查，项目施工期</w:t>
      </w:r>
      <w:r>
        <w:rPr>
          <w:rFonts w:hint="default" w:ascii="Times New Roman" w:hAnsi="Times New Roman" w:eastAsia="宋体" w:cs="Times New Roman"/>
          <w:bCs/>
          <w:color w:val="auto"/>
          <w:sz w:val="24"/>
          <w:szCs w:val="21"/>
          <w:highlight w:val="none"/>
          <w:u w:val="none"/>
          <w:lang w:val="en-US" w:eastAsia="zh-CN"/>
        </w:rPr>
        <w:t>合理组织施工，严格施工作业，在建设过程中，做好防护，加强</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施工区污废水、泥浆的管控</w:t>
      </w:r>
      <w:r>
        <w:rPr>
          <w:rFonts w:hint="eastAsia" w:ascii="Times New Roman" w:hAnsi="Times New Roman" w:eastAsia="宋体" w:cs="Times New Roman"/>
          <w:bCs/>
          <w:color w:val="auto"/>
          <w:sz w:val="24"/>
          <w:szCs w:val="21"/>
          <w:highlight w:val="none"/>
          <w:u w:val="none"/>
          <w:lang w:val="en-US" w:eastAsia="zh-CN"/>
        </w:rPr>
        <w:t>，未出现大量施工废水、泥浆外排现象；</w:t>
      </w:r>
      <w:r>
        <w:rPr>
          <w:rFonts w:hint="default" w:ascii="Times New Roman" w:hAnsi="Times New Roman" w:eastAsia="宋体" w:cs="Times New Roman"/>
          <w:bCs/>
          <w:color w:val="auto"/>
          <w:sz w:val="24"/>
          <w:szCs w:val="21"/>
          <w:highlight w:val="none"/>
          <w:u w:val="none"/>
          <w:lang w:val="en-US" w:eastAsia="zh-CN"/>
        </w:rPr>
        <w:t>加强施工期材料的管理，妥善放置，及时清理，</w:t>
      </w:r>
      <w:r>
        <w:rPr>
          <w:rFonts w:hint="eastAsia" w:ascii="Times New Roman" w:hAnsi="Times New Roman" w:eastAsia="宋体" w:cs="Times New Roman"/>
          <w:bCs/>
          <w:color w:val="auto"/>
          <w:sz w:val="24"/>
          <w:szCs w:val="21"/>
          <w:highlight w:val="none"/>
          <w:u w:val="none"/>
          <w:lang w:val="en-US" w:eastAsia="zh-CN"/>
        </w:rPr>
        <w:t>未对</w:t>
      </w:r>
      <w:r>
        <w:rPr>
          <w:rFonts w:hint="default" w:ascii="Times New Roman" w:hAnsi="Times New Roman" w:eastAsia="宋体" w:cs="Times New Roman"/>
          <w:bCs/>
          <w:color w:val="auto"/>
          <w:sz w:val="24"/>
          <w:szCs w:val="21"/>
          <w:highlight w:val="none"/>
          <w:u w:val="none"/>
          <w:lang w:val="en-US" w:eastAsia="zh-CN"/>
        </w:rPr>
        <w:t>对</w:t>
      </w:r>
      <w:r>
        <w:rPr>
          <w:rFonts w:hint="eastAsia" w:ascii="Times New Roman" w:hAnsi="Times New Roman" w:eastAsia="宋体" w:cs="Times New Roman"/>
          <w:bCs/>
          <w:color w:val="auto"/>
          <w:sz w:val="24"/>
          <w:szCs w:val="21"/>
          <w:highlight w:val="none"/>
          <w:u w:val="none"/>
          <w:lang w:val="en-US" w:eastAsia="zh-CN"/>
        </w:rPr>
        <w:t>周边</w:t>
      </w:r>
      <w:r>
        <w:rPr>
          <w:rFonts w:hint="default" w:ascii="Times New Roman" w:hAnsi="Times New Roman" w:eastAsia="宋体" w:cs="Times New Roman"/>
          <w:bCs/>
          <w:color w:val="auto"/>
          <w:sz w:val="24"/>
          <w:szCs w:val="21"/>
          <w:highlight w:val="none"/>
          <w:u w:val="none"/>
          <w:lang w:val="en-US" w:eastAsia="zh-CN"/>
        </w:rPr>
        <w:t>水质</w:t>
      </w:r>
      <w:r>
        <w:rPr>
          <w:rFonts w:hint="eastAsia" w:ascii="Times New Roman" w:hAnsi="Times New Roman" w:eastAsia="宋体" w:cs="Times New Roman"/>
          <w:bCs/>
          <w:color w:val="auto"/>
          <w:sz w:val="24"/>
          <w:szCs w:val="21"/>
          <w:highlight w:val="none"/>
          <w:u w:val="none"/>
          <w:lang w:val="en-US" w:eastAsia="zh-CN"/>
        </w:rPr>
        <w:t>以及周边大气环境</w:t>
      </w:r>
      <w:r>
        <w:rPr>
          <w:rFonts w:hint="default" w:ascii="Times New Roman" w:hAnsi="Times New Roman" w:eastAsia="宋体" w:cs="Times New Roman"/>
          <w:bCs/>
          <w:color w:val="auto"/>
          <w:sz w:val="24"/>
          <w:szCs w:val="21"/>
          <w:highlight w:val="none"/>
          <w:u w:val="none"/>
          <w:lang w:val="en-US" w:eastAsia="zh-CN"/>
        </w:rPr>
        <w:t>造成污染。</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5.1.2</w:t>
      </w:r>
      <w:r>
        <w:rPr>
          <w:rFonts w:hint="default" w:ascii="Times New Roman" w:hAnsi="Times New Roman" w:cs="Times New Roman"/>
          <w:b/>
          <w:bCs/>
          <w:color w:val="auto"/>
          <w:u w:val="none"/>
          <w:lang w:val="en-US" w:eastAsia="zh-CN"/>
        </w:rPr>
        <w:t>占地</w:t>
      </w:r>
      <w:r>
        <w:rPr>
          <w:rFonts w:hint="eastAsia" w:ascii="Times New Roman" w:hAnsi="Times New Roman" w:cs="Times New Roman"/>
          <w:b/>
          <w:bCs/>
          <w:color w:val="auto"/>
          <w:u w:val="none"/>
          <w:lang w:val="en-US" w:eastAsia="zh-CN"/>
        </w:rPr>
        <w:t>恢复措施</w:t>
      </w:r>
    </w:p>
    <w:p>
      <w:pPr>
        <w:adjustRightInd w:val="0"/>
        <w:snapToGrid w:val="0"/>
        <w:spacing w:line="360" w:lineRule="auto"/>
        <w:ind w:firstLine="480" w:firstLineChars="200"/>
        <w:jc w:val="left"/>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bCs/>
          <w:color w:val="auto"/>
          <w:sz w:val="24"/>
          <w:szCs w:val="21"/>
          <w:highlight w:val="none"/>
          <w:u w:val="none"/>
          <w:lang w:val="en-US" w:eastAsia="zh-CN"/>
        </w:rPr>
        <w:t>本项目占地类型主要为旱地、</w:t>
      </w:r>
      <w:r>
        <w:rPr>
          <w:rFonts w:hint="eastAsia" w:ascii="Times New Roman" w:hAnsi="Times New Roman" w:eastAsia="宋体" w:cs="Times New Roman"/>
          <w:bCs/>
          <w:color w:val="auto"/>
          <w:sz w:val="24"/>
          <w:szCs w:val="21"/>
          <w:highlight w:val="none"/>
          <w:u w:val="none"/>
          <w:lang w:val="en-US" w:eastAsia="zh-CN"/>
        </w:rPr>
        <w:t>水田</w:t>
      </w:r>
      <w:r>
        <w:rPr>
          <w:rFonts w:hint="default" w:ascii="Times New Roman" w:hAnsi="Times New Roman" w:eastAsia="宋体" w:cs="Times New Roman"/>
          <w:bCs/>
          <w:color w:val="auto"/>
          <w:sz w:val="24"/>
          <w:szCs w:val="21"/>
          <w:highlight w:val="none"/>
          <w:u w:val="none"/>
          <w:lang w:val="en-US" w:eastAsia="zh-CN"/>
        </w:rPr>
        <w:t>，占地内现有地表植被将受到破坏，使区域生物量受到损失，对区域生态环境造成一定的影响。施工结束后对</w:t>
      </w:r>
      <w:r>
        <w:rPr>
          <w:rFonts w:hint="eastAsia" w:ascii="Times New Roman" w:hAnsi="Times New Roman" w:eastAsia="宋体" w:cs="Times New Roman"/>
          <w:bCs/>
          <w:color w:val="auto"/>
          <w:sz w:val="24"/>
          <w:szCs w:val="21"/>
          <w:highlight w:val="none"/>
          <w:u w:val="none"/>
          <w:lang w:val="en-US" w:eastAsia="zh-CN"/>
        </w:rPr>
        <w:t>安置区内绿化用地进行</w:t>
      </w:r>
      <w:r>
        <w:rPr>
          <w:rFonts w:hint="default" w:ascii="Times New Roman" w:hAnsi="Times New Roman" w:eastAsia="宋体" w:cs="Times New Roman"/>
          <w:bCs/>
          <w:color w:val="auto"/>
          <w:sz w:val="24"/>
          <w:szCs w:val="21"/>
          <w:highlight w:val="none"/>
          <w:u w:val="none"/>
          <w:lang w:val="en-US" w:eastAsia="zh-CN"/>
        </w:rPr>
        <w:t>回覆表土，</w:t>
      </w:r>
      <w:r>
        <w:rPr>
          <w:rFonts w:hint="eastAsia" w:ascii="Times New Roman" w:hAnsi="Times New Roman" w:eastAsia="宋体" w:cs="Times New Roman"/>
          <w:bCs/>
          <w:color w:val="auto"/>
          <w:sz w:val="24"/>
          <w:szCs w:val="21"/>
          <w:highlight w:val="none"/>
          <w:u w:val="none"/>
          <w:lang w:val="en-US" w:eastAsia="zh-CN"/>
        </w:rPr>
        <w:t>绿化恢复，</w:t>
      </w:r>
      <w:r>
        <w:rPr>
          <w:rFonts w:hint="default" w:ascii="Times New Roman" w:hAnsi="Times New Roman" w:eastAsia="宋体" w:cs="Times New Roman"/>
          <w:bCs/>
          <w:color w:val="auto"/>
          <w:sz w:val="24"/>
          <w:szCs w:val="21"/>
          <w:highlight w:val="none"/>
          <w:u w:val="none"/>
          <w:lang w:val="en-US" w:eastAsia="zh-CN"/>
        </w:rPr>
        <w:t>做好</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绿化补偿工作</w:t>
      </w:r>
      <w:r>
        <w:rPr>
          <w:rFonts w:hint="default" w:ascii="Times New Roman" w:hAnsi="Times New Roman" w:eastAsia="宋体" w:cs="Times New Roman"/>
          <w:color w:val="auto"/>
          <w:u w:val="none"/>
          <w:lang w:val="en-US" w:eastAsia="zh-CN"/>
        </w:rPr>
        <w:t>。</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5.1.3对</w:t>
      </w:r>
      <w:r>
        <w:rPr>
          <w:rFonts w:hint="eastAsia" w:eastAsia="宋体" w:cs="Times New Roman"/>
          <w:b/>
          <w:color w:val="auto"/>
          <w:kern w:val="2"/>
          <w:sz w:val="24"/>
          <w:szCs w:val="24"/>
          <w:lang w:val="en-US" w:eastAsia="zh-CN" w:bidi="ar-SA"/>
        </w:rPr>
        <w:t>项目周边</w:t>
      </w:r>
      <w:r>
        <w:rPr>
          <w:rFonts w:hint="default" w:ascii="Times New Roman" w:hAnsi="Times New Roman" w:cs="Times New Roman"/>
          <w:b/>
          <w:bCs/>
          <w:color w:val="auto"/>
          <w:lang w:val="en-US" w:eastAsia="zh-CN"/>
        </w:rPr>
        <w:t>动植物保护措施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植被的保护措施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①施工期标明</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施工活动区，施工人员和车辆在进行各类活动、运送建筑材料和土方时，按照现有道路进行，避免</w:t>
      </w:r>
      <w:r>
        <w:rPr>
          <w:rFonts w:hint="eastAsia" w:ascii="Times New Roman" w:hAnsi="Times New Roman" w:eastAsia="宋体" w:cs="Times New Roman"/>
          <w:bCs/>
          <w:color w:val="auto"/>
          <w:sz w:val="24"/>
          <w:szCs w:val="21"/>
          <w:highlight w:val="none"/>
          <w:u w:val="none"/>
          <w:lang w:val="en-US" w:eastAsia="zh-CN"/>
        </w:rPr>
        <w:t>了</w:t>
      </w:r>
      <w:r>
        <w:rPr>
          <w:rFonts w:hint="default" w:ascii="Times New Roman" w:hAnsi="Times New Roman" w:eastAsia="宋体" w:cs="Times New Roman"/>
          <w:bCs/>
          <w:color w:val="auto"/>
          <w:sz w:val="24"/>
          <w:szCs w:val="21"/>
          <w:highlight w:val="none"/>
          <w:u w:val="none"/>
          <w:lang w:val="en-US" w:eastAsia="zh-CN"/>
        </w:rPr>
        <w:t>大面积的破坏植被。</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②合理规划设计临时设施，不得随意修建；运输易产生扬尘的沙土时，</w:t>
      </w:r>
      <w:r>
        <w:rPr>
          <w:rFonts w:hint="eastAsia" w:ascii="Times New Roman" w:hAnsi="Times New Roman" w:eastAsia="宋体" w:cs="Times New Roman"/>
          <w:bCs/>
          <w:color w:val="auto"/>
          <w:sz w:val="24"/>
          <w:szCs w:val="21"/>
          <w:highlight w:val="none"/>
          <w:u w:val="none"/>
          <w:lang w:val="en-US" w:eastAsia="zh-CN"/>
        </w:rPr>
        <w:t>采取了</w:t>
      </w:r>
      <w:r>
        <w:rPr>
          <w:rFonts w:hint="default" w:ascii="Times New Roman" w:hAnsi="Times New Roman" w:eastAsia="宋体" w:cs="Times New Roman"/>
          <w:bCs/>
          <w:color w:val="auto"/>
          <w:sz w:val="24"/>
          <w:szCs w:val="21"/>
          <w:highlight w:val="none"/>
          <w:u w:val="none"/>
          <w:lang w:val="en-US" w:eastAsia="zh-CN"/>
        </w:rPr>
        <w:t>洒水或覆盖遮挡物。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w:t>
      </w:r>
      <w:r>
        <w:rPr>
          <w:rFonts w:hint="eastAsia" w:ascii="Times New Roman" w:hAnsi="Times New Roman" w:eastAsia="宋体" w:cs="Times New Roman"/>
          <w:bCs/>
          <w:color w:val="auto"/>
          <w:sz w:val="24"/>
          <w:szCs w:val="21"/>
          <w:highlight w:val="none"/>
          <w:u w:val="none"/>
          <w:lang w:val="en-US" w:eastAsia="zh-CN"/>
        </w:rPr>
        <w:t>在进行场地三通一平</w:t>
      </w:r>
      <w:r>
        <w:rPr>
          <w:rFonts w:hint="default" w:ascii="Times New Roman" w:hAnsi="Times New Roman" w:eastAsia="宋体" w:cs="Times New Roman"/>
          <w:bCs/>
          <w:color w:val="auto"/>
          <w:sz w:val="24"/>
          <w:szCs w:val="21"/>
          <w:highlight w:val="none"/>
          <w:u w:val="none"/>
          <w:lang w:val="en-US" w:eastAsia="zh-CN"/>
        </w:rPr>
        <w:t>及临时工程的设置</w:t>
      </w:r>
      <w:r>
        <w:rPr>
          <w:rFonts w:hint="eastAsia" w:ascii="Times New Roman" w:hAnsi="Times New Roman" w:eastAsia="宋体" w:cs="Times New Roman"/>
          <w:bCs/>
          <w:color w:val="auto"/>
          <w:sz w:val="24"/>
          <w:szCs w:val="21"/>
          <w:highlight w:val="none"/>
          <w:u w:val="none"/>
          <w:lang w:val="en-US" w:eastAsia="zh-CN"/>
        </w:rPr>
        <w:t>时均</w:t>
      </w:r>
      <w:r>
        <w:rPr>
          <w:rFonts w:hint="default" w:ascii="Times New Roman" w:hAnsi="Times New Roman" w:eastAsia="宋体" w:cs="Times New Roman"/>
          <w:bCs/>
          <w:color w:val="auto"/>
          <w:sz w:val="24"/>
          <w:szCs w:val="21"/>
          <w:highlight w:val="none"/>
          <w:u w:val="none"/>
          <w:lang w:val="en-US" w:eastAsia="zh-CN"/>
        </w:rPr>
        <w:t>采取措施加以恢复；施工前应剥离表层土，在</w:t>
      </w:r>
      <w:r>
        <w:rPr>
          <w:rFonts w:hint="eastAsia" w:ascii="Times New Roman" w:hAnsi="Times New Roman" w:eastAsia="宋体" w:cs="Times New Roman"/>
          <w:bCs/>
          <w:color w:val="auto"/>
          <w:sz w:val="24"/>
          <w:szCs w:val="21"/>
          <w:highlight w:val="none"/>
          <w:u w:val="none"/>
          <w:lang w:val="en-US" w:eastAsia="zh-CN"/>
        </w:rPr>
        <w:t>工程永久占地</w:t>
      </w:r>
      <w:r>
        <w:rPr>
          <w:rFonts w:hint="default" w:ascii="Times New Roman" w:hAnsi="Times New Roman" w:eastAsia="宋体" w:cs="Times New Roman"/>
          <w:bCs/>
          <w:color w:val="auto"/>
          <w:sz w:val="24"/>
          <w:szCs w:val="21"/>
          <w:highlight w:val="none"/>
          <w:u w:val="none"/>
          <w:lang w:val="en-US" w:eastAsia="zh-CN"/>
        </w:rPr>
        <w:t>区域作为临时堆土区进行堆放，施工完毕后，在采取水土保持措施的同时将剥离的表土层进行回填覆土，并种植当地乔、灌、草，进行迹地恢复。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④施工结束后，应严格按照水保方案对工程区域进行复耕和植被恢复。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对施工</w:t>
      </w:r>
      <w:r>
        <w:rPr>
          <w:rFonts w:hint="eastAsia" w:ascii="Times New Roman" w:hAnsi="Times New Roman" w:eastAsia="宋体" w:cs="Times New Roman"/>
          <w:bCs/>
          <w:color w:val="auto"/>
          <w:sz w:val="24"/>
          <w:szCs w:val="21"/>
          <w:highlight w:val="none"/>
          <w:u w:val="none"/>
          <w:lang w:val="en-US" w:eastAsia="zh-CN"/>
        </w:rPr>
        <w:t>周边区域</w:t>
      </w:r>
      <w:r>
        <w:rPr>
          <w:rFonts w:hint="default" w:ascii="Times New Roman" w:hAnsi="Times New Roman" w:eastAsia="宋体" w:cs="Times New Roman"/>
          <w:bCs/>
          <w:color w:val="auto"/>
          <w:sz w:val="24"/>
          <w:szCs w:val="21"/>
          <w:highlight w:val="none"/>
          <w:u w:val="none"/>
          <w:lang w:val="en-US" w:eastAsia="zh-CN"/>
        </w:rPr>
        <w:t>动物的保护措施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本工程施工</w:t>
      </w:r>
      <w:r>
        <w:rPr>
          <w:rFonts w:hint="eastAsia" w:ascii="Times New Roman" w:hAnsi="Times New Roman" w:eastAsia="宋体" w:cs="Times New Roman"/>
          <w:bCs/>
          <w:color w:val="auto"/>
          <w:sz w:val="24"/>
          <w:szCs w:val="21"/>
          <w:highlight w:val="none"/>
          <w:u w:val="none"/>
          <w:lang w:val="en-US" w:eastAsia="zh-CN"/>
        </w:rPr>
        <w:t>范围及周边</w:t>
      </w:r>
      <w:r>
        <w:rPr>
          <w:rFonts w:hint="default" w:ascii="Times New Roman" w:hAnsi="Times New Roman" w:eastAsia="宋体" w:cs="Times New Roman"/>
          <w:bCs/>
          <w:color w:val="auto"/>
          <w:sz w:val="24"/>
          <w:szCs w:val="21"/>
          <w:highlight w:val="none"/>
          <w:u w:val="none"/>
          <w:lang w:val="en-US" w:eastAsia="zh-CN"/>
        </w:rPr>
        <w:t>仅有一些常见鸟类、啮齿类动物少量存在，施工过程中由于开挖建设会对</w:t>
      </w:r>
      <w:r>
        <w:rPr>
          <w:rFonts w:hint="eastAsia" w:ascii="Times New Roman" w:hAnsi="Times New Roman" w:eastAsia="宋体" w:cs="Times New Roman"/>
          <w:bCs/>
          <w:color w:val="auto"/>
          <w:sz w:val="24"/>
          <w:szCs w:val="21"/>
          <w:highlight w:val="none"/>
          <w:u w:val="none"/>
          <w:lang w:val="en-US" w:eastAsia="zh-CN"/>
        </w:rPr>
        <w:t>区域及周边</w:t>
      </w:r>
      <w:r>
        <w:rPr>
          <w:rFonts w:hint="default" w:ascii="Times New Roman" w:hAnsi="Times New Roman" w:eastAsia="宋体" w:cs="Times New Roman"/>
          <w:bCs/>
          <w:color w:val="auto"/>
          <w:sz w:val="24"/>
          <w:szCs w:val="21"/>
          <w:highlight w:val="none"/>
          <w:u w:val="none"/>
          <w:lang w:val="en-US" w:eastAsia="zh-CN"/>
        </w:rPr>
        <w:t>的啮齿类动物产生影响。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①提高施工人员的环境保护意识，严禁捕狩野生动物。</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大力宣传两栖、爬行动物对农林卫生的有益作用，如蛙类、蛇类等要摄食大量害虫、害鼠，呼吁当地居民和施工人员自觉保护野生动物。由于鸟类有较强扩散能力，工程施工将使它们迁移到别处，随着施工结束，工程区的鸟类数量将逐渐恢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③严禁随意砍伐森林和破坏植被，避免影响动物的栖息环境。</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④施工后期加强</w:t>
      </w:r>
      <w:r>
        <w:rPr>
          <w:rFonts w:hint="eastAsia" w:ascii="Times New Roman" w:hAnsi="Times New Roman" w:eastAsia="宋体" w:cs="Times New Roman"/>
          <w:bCs/>
          <w:color w:val="auto"/>
          <w:sz w:val="24"/>
          <w:szCs w:val="21"/>
          <w:highlight w:val="none"/>
          <w:u w:val="none"/>
          <w:lang w:val="en-US" w:eastAsia="zh-CN"/>
        </w:rPr>
        <w:t>安置区内</w:t>
      </w:r>
      <w:r>
        <w:rPr>
          <w:rFonts w:hint="default" w:ascii="Times New Roman" w:hAnsi="Times New Roman" w:eastAsia="宋体" w:cs="Times New Roman"/>
          <w:bCs/>
          <w:color w:val="auto"/>
          <w:sz w:val="24"/>
          <w:szCs w:val="21"/>
          <w:highlight w:val="none"/>
          <w:u w:val="none"/>
          <w:lang w:val="en-US" w:eastAsia="zh-CN"/>
        </w:rPr>
        <w:t>的绿化，尽量采用当地植物种类，以乔-灌-草结合、常绿与落叶相结合、针叶与阔叶相结合、观赏与经济植物相结合的方式，多物种、多层次和多样化的进行植物配置。</w:t>
      </w:r>
    </w:p>
    <w:p>
      <w:pPr>
        <w:keepNext/>
        <w:widowControl w:val="0"/>
        <w:adjustRightInd w:val="0"/>
        <w:snapToGrid w:val="0"/>
        <w:spacing w:line="360" w:lineRule="auto"/>
        <w:ind w:firstLine="0" w:firstLineChars="0"/>
        <w:jc w:val="both"/>
        <w:outlineLvl w:val="2"/>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5.1.4</w:t>
      </w:r>
      <w:r>
        <w:rPr>
          <w:rFonts w:hint="default" w:ascii="Times New Roman" w:hAnsi="Times New Roman" w:eastAsia="宋体" w:cs="Times New Roman"/>
          <w:b/>
          <w:bCs/>
          <w:color w:val="auto"/>
          <w:lang w:val="en-US" w:eastAsia="zh-CN"/>
        </w:rPr>
        <w:t>水土保持措施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为防治水土流失，施工中应采取如下措施：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对工程区主要是做好预防保护措施及土石方平衡的合理调运利用，优化施工工艺，尽量减少弃渣量。及时运输挖方，及时填压土方，并做好施工过程中的临时拦挡、截排水、沉沙、覆盖等防护措施，从根本上防止大雨径流对开挖面和填方区的冲刷，减少水土流失量。对建设中永久占地的表层土予以收集保存，施工结束后对边坡进行植被绿化，改善和恢复生态景观。</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(2)弃渣场水土保持主要采取以下措施：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①截排水措施：按照“上截下拦”的原则，需在弃渣边坡两侧、下游及弃渣边坡坡顶设置C20混凝土排水沟，将场内外汇水排出;堆渣顶应根据渣场推进方向、弃渣方向及积水情况开挖临时排水沟，连接周边排水沟;各类截排水沟、临时排水设施须通过沉沙池连接，并通过沉沙池沉降后排入周边排水系统；</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②拦挡措施：严格按照“先拦后弃”的要求，弃渣前在弃渣场下边坡坡脚修建挡渣墙;由于弃渣量较小，从挡渣墙顶至弃渣面按1:2放坡;弃渣场周边弃渣边界、可能出现的低缓弃渣边坡坡脚；</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③整地及迹地恢复措施：弃渣结束后对弃渣面及边坡进行平整，回填种植土，弃渣边坡采用植假俭草草皮护坡。项目区植被覆盖情况较好，对弃渣场采取乔灌草结合的林草措施，其中乔木选择当地树种湿地松，灌木选用小叶女贞、迎春花，攀缘植物有爬山虎，草类选择狗牙根等混合草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④其它措施：弃渣场施工前需将弃渣场内的表土或基层进行清理，避免渣体底部摩擦力不足造成渣体滑动，堆至弃渣场上流空旷处；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fldChar w:fldCharType="begin"/>
      </w:r>
      <w:r>
        <w:rPr>
          <w:rFonts w:hint="default" w:ascii="Times New Roman" w:hAnsi="Times New Roman" w:eastAsia="宋体" w:cs="Times New Roman"/>
          <w:bCs/>
          <w:color w:val="auto"/>
          <w:sz w:val="24"/>
          <w:szCs w:val="21"/>
          <w:highlight w:val="none"/>
          <w:u w:val="none"/>
          <w:lang w:val="en-US" w:eastAsia="zh-CN"/>
        </w:rPr>
        <w:instrText xml:space="preserve"> = 5 \* GB3 \* MERGEFORMAT </w:instrText>
      </w:r>
      <w:r>
        <w:rPr>
          <w:rFonts w:hint="default" w:ascii="Times New Roman" w:hAnsi="Times New Roman" w:eastAsia="宋体" w:cs="Times New Roman"/>
          <w:bCs/>
          <w:color w:val="auto"/>
          <w:sz w:val="24"/>
          <w:szCs w:val="21"/>
          <w:highlight w:val="none"/>
          <w:u w:val="none"/>
          <w:lang w:val="en-US" w:eastAsia="zh-CN"/>
        </w:rPr>
        <w:fldChar w:fldCharType="separate"/>
      </w:r>
      <w:r>
        <w:rPr>
          <w:rFonts w:hint="default" w:ascii="Times New Roman" w:hAnsi="Times New Roman" w:eastAsia="宋体" w:cs="Times New Roman"/>
          <w:bCs/>
          <w:color w:val="auto"/>
          <w:sz w:val="24"/>
          <w:szCs w:val="21"/>
          <w:highlight w:val="none"/>
          <w:u w:val="none"/>
          <w:lang w:val="en-US" w:eastAsia="zh-CN"/>
        </w:rPr>
        <w:t>⑤</w:t>
      </w:r>
      <w:r>
        <w:rPr>
          <w:rFonts w:hint="default" w:ascii="Times New Roman" w:hAnsi="Times New Roman" w:eastAsia="宋体" w:cs="Times New Roman"/>
          <w:bCs/>
          <w:color w:val="auto"/>
          <w:sz w:val="24"/>
          <w:szCs w:val="21"/>
          <w:highlight w:val="none"/>
          <w:u w:val="none"/>
          <w:lang w:val="en-US" w:eastAsia="zh-CN"/>
        </w:rPr>
        <w:fldChar w:fldCharType="end"/>
      </w:r>
      <w:r>
        <w:rPr>
          <w:rFonts w:hint="default" w:ascii="Times New Roman" w:hAnsi="Times New Roman" w:eastAsia="宋体" w:cs="Times New Roman"/>
          <w:bCs/>
          <w:color w:val="auto"/>
          <w:sz w:val="24"/>
          <w:szCs w:val="21"/>
          <w:highlight w:val="none"/>
          <w:u w:val="none"/>
          <w:lang w:val="en-US" w:eastAsia="zh-CN"/>
        </w:rPr>
        <w:t>为保证弃渣边坡的稳定，弃渣过程中应做到分层碾压弃渣，从挡渣墙顶至弃渣面按1:2放坡；</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)对施工临时施工生产生活区和表土临时堆置区主要是采取临时排水、拦挡及覆盖等措施，对场地进行场地清理和平整，将清理的表土覆盖堆存用于后期恢复耕作或种植林草。</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287" w:name="_Toc5060"/>
      <w:bookmarkStart w:id="288" w:name="_Toc30574"/>
      <w:bookmarkStart w:id="289" w:name="_Toc15693"/>
      <w:bookmarkStart w:id="290" w:name="_Toc21379"/>
      <w:bookmarkStart w:id="291" w:name="_Toc13675"/>
      <w:bookmarkStart w:id="292" w:name="_Toc15962"/>
      <w:bookmarkStart w:id="293" w:name="_Toc28772"/>
      <w:bookmarkStart w:id="294" w:name="_Toc23134"/>
      <w:r>
        <w:rPr>
          <w:rFonts w:ascii="Times New Roman" w:hAnsi="Times New Roman" w:eastAsia="宋体" w:cs="Times New Roman"/>
          <w:b/>
          <w:bCs/>
          <w:color w:val="auto"/>
          <w:kern w:val="2"/>
          <w:sz w:val="28"/>
          <w:szCs w:val="28"/>
          <w:lang w:val="en-US" w:eastAsia="zh-CN" w:bidi="ar-SA"/>
        </w:rPr>
        <w:t>5.2营运期生态保护措施</w:t>
      </w:r>
      <w:bookmarkEnd w:id="287"/>
      <w:bookmarkEnd w:id="288"/>
      <w:bookmarkEnd w:id="289"/>
      <w:bookmarkEnd w:id="290"/>
      <w:bookmarkEnd w:id="291"/>
      <w:bookmarkEnd w:id="292"/>
      <w:bookmarkEnd w:id="293"/>
      <w:bookmarkEnd w:id="294"/>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项目运营期主要采取的生态保护措施如下：</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（1）施工后期应加强对绿化植物的管理与养护，以达到恢复植被的目的。</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（2）加强营运期管理，保证各项工程设施完好和确保安全生产是生态保护最基本的措施。</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（3）应加强</w:t>
      </w:r>
      <w:r>
        <w:rPr>
          <w:rFonts w:hint="eastAsia" w:ascii="Times New Roman" w:hAnsi="Times New Roman" w:eastAsia="宋体" w:cs="Times New Roman"/>
          <w:bCs/>
          <w:color w:val="auto"/>
          <w:sz w:val="24"/>
          <w:szCs w:val="21"/>
          <w:highlight w:val="none"/>
          <w:u w:val="none"/>
          <w:lang w:val="en-US" w:eastAsia="zh-CN"/>
        </w:rPr>
        <w:t>对物业及开发商的</w:t>
      </w:r>
      <w:r>
        <w:rPr>
          <w:rFonts w:hint="default" w:ascii="Times New Roman" w:hAnsi="Times New Roman" w:eastAsia="宋体" w:cs="Times New Roman"/>
          <w:bCs/>
          <w:color w:val="auto"/>
          <w:sz w:val="24"/>
          <w:szCs w:val="21"/>
          <w:highlight w:val="none"/>
          <w:u w:val="none"/>
          <w:lang w:val="en-US" w:eastAsia="zh-CN"/>
        </w:rPr>
        <w:t>管理和宣传教育，确保</w:t>
      </w:r>
      <w:r>
        <w:rPr>
          <w:rFonts w:hint="eastAsia" w:ascii="Times New Roman" w:hAnsi="Times New Roman" w:eastAsia="宋体" w:cs="Times New Roman"/>
          <w:bCs/>
          <w:color w:val="auto"/>
          <w:sz w:val="24"/>
          <w:szCs w:val="21"/>
          <w:highlight w:val="none"/>
          <w:u w:val="none"/>
          <w:lang w:val="en-US" w:eastAsia="zh-CN"/>
        </w:rPr>
        <w:t>本项目安置区内</w:t>
      </w:r>
      <w:r>
        <w:rPr>
          <w:rFonts w:hint="default" w:ascii="Times New Roman" w:hAnsi="Times New Roman" w:eastAsia="宋体" w:cs="Times New Roman"/>
          <w:bCs/>
          <w:color w:val="auto"/>
          <w:sz w:val="24"/>
          <w:szCs w:val="21"/>
          <w:highlight w:val="none"/>
          <w:u w:val="none"/>
          <w:lang w:val="en-US" w:eastAsia="zh-CN"/>
        </w:rPr>
        <w:t>绿化林带不受破坏。主体工程完后，应对工程裸地进行植被恢复，优先采用乡土植物品种</w:t>
      </w:r>
      <w:r>
        <w:rPr>
          <w:rFonts w:hint="eastAsia" w:ascii="Times New Roman" w:hAnsi="Times New Roman" w:eastAsia="宋体" w:cs="Times New Roman"/>
          <w:bCs/>
          <w:color w:val="auto"/>
          <w:sz w:val="24"/>
          <w:szCs w:val="21"/>
          <w:highlight w:val="none"/>
          <w:u w:val="none"/>
          <w:lang w:val="en-US" w:eastAsia="zh-CN"/>
        </w:rPr>
        <w:t>。</w:t>
      </w:r>
      <w:r>
        <w:rPr>
          <w:rFonts w:hint="default" w:ascii="Times New Roman" w:hAnsi="Times New Roman" w:eastAsia="宋体" w:cs="Times New Roman"/>
          <w:bCs/>
          <w:color w:val="auto"/>
          <w:sz w:val="24"/>
          <w:szCs w:val="21"/>
          <w:highlight w:val="none"/>
          <w:u w:val="none"/>
          <w:lang w:val="en-US" w:eastAsia="zh-CN"/>
        </w:rPr>
        <w:t>在植被恢复中，植物选择应考虑抗逆性、速生性、景观价值及经济成本等因素，以乔木、灌木为主，草本为辅进行植被配置或自然更新。植物物种的选择应考虑当地生态适应强的植物，如马尾松、毛竹、盐肤木、芒、丝茅等，应注意在施工时予以移栽保护，便于在植被恢复时利用。</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widowControl/>
        <w:adjustRightInd w:val="0"/>
        <w:snapToGrid w:val="0"/>
        <w:spacing w:before="0" w:beforeAutospacing="0" w:after="0" w:afterAutospacing="0" w:line="360" w:lineRule="auto"/>
        <w:jc w:val="left"/>
        <w:outlineLvl w:val="0"/>
        <w:rPr>
          <w:rFonts w:ascii="Times New Roman" w:hAnsi="Times New Roman" w:eastAsia="宋体" w:cs="Times New Roman"/>
          <w:b/>
          <w:snapToGrid w:val="0"/>
          <w:color w:val="auto"/>
          <w:kern w:val="0"/>
          <w:sz w:val="30"/>
          <w:szCs w:val="30"/>
          <w:lang w:val="en-US" w:eastAsia="zh-CN" w:bidi="ar-SA"/>
        </w:rPr>
      </w:pPr>
      <w:bookmarkStart w:id="295" w:name="_Toc7132"/>
      <w:bookmarkStart w:id="296" w:name="_Toc25883"/>
      <w:bookmarkStart w:id="297" w:name="_Toc15047"/>
      <w:bookmarkStart w:id="298" w:name="_Toc10105"/>
      <w:bookmarkStart w:id="299" w:name="_Toc21525"/>
      <w:r>
        <w:rPr>
          <w:rFonts w:ascii="Times New Roman" w:hAnsi="Times New Roman" w:eastAsia="宋体" w:cs="Times New Roman"/>
          <w:b/>
          <w:snapToGrid w:val="0"/>
          <w:color w:val="auto"/>
          <w:kern w:val="0"/>
          <w:sz w:val="30"/>
          <w:szCs w:val="30"/>
          <w:lang w:val="en-US" w:eastAsia="zh-CN" w:bidi="ar-SA"/>
        </w:rPr>
        <w:t>6评价结论和建议</w:t>
      </w:r>
      <w:bookmarkEnd w:id="295"/>
      <w:bookmarkEnd w:id="296"/>
      <w:bookmarkEnd w:id="297"/>
      <w:bookmarkEnd w:id="298"/>
      <w:bookmarkEnd w:id="299"/>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300" w:name="_Toc7947"/>
      <w:bookmarkStart w:id="301" w:name="_Toc18056"/>
      <w:bookmarkStart w:id="302" w:name="_Toc24989"/>
      <w:r>
        <w:rPr>
          <w:rFonts w:ascii="Times New Roman" w:hAnsi="Times New Roman" w:eastAsia="宋体" w:cs="Times New Roman"/>
          <w:b/>
          <w:bCs/>
          <w:color w:val="auto"/>
          <w:kern w:val="2"/>
          <w:sz w:val="28"/>
          <w:szCs w:val="28"/>
          <w:lang w:val="en-US" w:eastAsia="zh-CN" w:bidi="ar-SA"/>
        </w:rPr>
        <w:t>6.1评价结论</w:t>
      </w:r>
      <w:bookmarkEnd w:id="300"/>
      <w:bookmarkEnd w:id="301"/>
      <w:bookmarkEnd w:id="302"/>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default" w:ascii="Times New Roman" w:hAnsi="Times New Roman" w:eastAsia="宋体" w:cs="Times New Roman"/>
          <w:bCs/>
          <w:color w:val="auto"/>
          <w:sz w:val="24"/>
          <w:szCs w:val="21"/>
          <w:highlight w:val="none"/>
          <w:u w:val="none"/>
          <w:lang w:val="en-US" w:eastAsia="zh-CN"/>
        </w:rPr>
        <w:t>本工程对生态环境的影响主要表现为：工程占地、人为干扰、施工活动及施工活动产生的弃渣、废水、扬尘等，总体而言，项目建设将对生态环境造成一定的不利影响，本工程在设计、施工</w:t>
      </w:r>
      <w:r>
        <w:rPr>
          <w:rFonts w:hint="eastAsia" w:ascii="Times New Roman" w:hAnsi="Times New Roman" w:eastAsia="宋体" w:cs="Times New Roman"/>
          <w:bCs/>
          <w:color w:val="auto"/>
          <w:sz w:val="24"/>
          <w:szCs w:val="21"/>
          <w:highlight w:val="none"/>
          <w:u w:val="none"/>
          <w:lang w:val="en-US" w:eastAsia="zh-CN"/>
        </w:rPr>
        <w:t>已经采取了较为完善的措施防止造成较大的生态环境影响，在后续的</w:t>
      </w:r>
      <w:r>
        <w:rPr>
          <w:rFonts w:hint="default" w:ascii="Times New Roman" w:hAnsi="Times New Roman" w:eastAsia="宋体" w:cs="Times New Roman"/>
          <w:bCs/>
          <w:color w:val="auto"/>
          <w:sz w:val="24"/>
          <w:szCs w:val="21"/>
          <w:highlight w:val="none"/>
          <w:u w:val="none"/>
          <w:lang w:val="en-US" w:eastAsia="zh-CN"/>
        </w:rPr>
        <w:t>运营</w:t>
      </w:r>
      <w:r>
        <w:rPr>
          <w:rFonts w:hint="eastAsia" w:ascii="Times New Roman" w:hAnsi="Times New Roman" w:eastAsia="宋体" w:cs="Times New Roman"/>
          <w:bCs/>
          <w:color w:val="auto"/>
          <w:sz w:val="24"/>
          <w:szCs w:val="21"/>
          <w:highlight w:val="none"/>
          <w:u w:val="none"/>
          <w:lang w:val="en-US" w:eastAsia="zh-CN"/>
        </w:rPr>
        <w:t>过程</w:t>
      </w:r>
      <w:r>
        <w:rPr>
          <w:rFonts w:hint="default" w:ascii="Times New Roman" w:hAnsi="Times New Roman" w:eastAsia="宋体" w:cs="Times New Roman"/>
          <w:bCs/>
          <w:color w:val="auto"/>
          <w:sz w:val="24"/>
          <w:szCs w:val="21"/>
          <w:highlight w:val="none"/>
          <w:u w:val="none"/>
          <w:lang w:val="en-US" w:eastAsia="zh-CN"/>
        </w:rPr>
        <w:t>中，</w:t>
      </w:r>
      <w:r>
        <w:rPr>
          <w:rFonts w:hint="eastAsia" w:ascii="Times New Roman" w:hAnsi="Times New Roman" w:eastAsia="宋体" w:cs="Times New Roman"/>
          <w:bCs/>
          <w:color w:val="auto"/>
          <w:sz w:val="24"/>
          <w:szCs w:val="21"/>
          <w:highlight w:val="none"/>
          <w:u w:val="none"/>
          <w:lang w:val="en-US" w:eastAsia="zh-CN"/>
        </w:rPr>
        <w:t>应严格</w:t>
      </w:r>
      <w:r>
        <w:rPr>
          <w:rFonts w:hint="default" w:ascii="Times New Roman" w:hAnsi="Times New Roman" w:eastAsia="宋体" w:cs="Times New Roman"/>
          <w:bCs/>
          <w:color w:val="auto"/>
          <w:sz w:val="24"/>
          <w:szCs w:val="21"/>
          <w:highlight w:val="none"/>
          <w:u w:val="none"/>
          <w:lang w:val="en-US" w:eastAsia="zh-CN"/>
        </w:rPr>
        <w:t>采取本报告提出的保护和加强管理等积极有效的保护措施，可将工程</w:t>
      </w:r>
      <w:r>
        <w:rPr>
          <w:rFonts w:hint="eastAsia" w:ascii="Times New Roman" w:hAnsi="Times New Roman" w:eastAsia="宋体" w:cs="Times New Roman"/>
          <w:bCs/>
          <w:color w:val="auto"/>
          <w:sz w:val="24"/>
          <w:szCs w:val="21"/>
          <w:highlight w:val="none"/>
          <w:u w:val="none"/>
          <w:lang w:val="en-US" w:eastAsia="zh-CN"/>
        </w:rPr>
        <w:t>建设</w:t>
      </w:r>
      <w:r>
        <w:rPr>
          <w:rFonts w:hint="default" w:ascii="Times New Roman" w:hAnsi="Times New Roman" w:eastAsia="宋体" w:cs="Times New Roman"/>
          <w:bCs/>
          <w:color w:val="auto"/>
          <w:sz w:val="24"/>
          <w:szCs w:val="21"/>
          <w:highlight w:val="none"/>
          <w:u w:val="none"/>
          <w:lang w:val="en-US" w:eastAsia="zh-CN"/>
        </w:rPr>
        <w:t>带来的负面影响减轻到生物、生态能够承载的程度。因此，从生态影响的角度分析，本项目是可行的。</w:t>
      </w:r>
    </w:p>
    <w:p>
      <w:pPr>
        <w:keepNext/>
        <w:keepLines/>
        <w:widowControl w:val="0"/>
        <w:adjustRightInd w:val="0"/>
        <w:snapToGrid w:val="0"/>
        <w:spacing w:before="0" w:after="0" w:line="360" w:lineRule="auto"/>
        <w:jc w:val="both"/>
        <w:outlineLvl w:val="1"/>
        <w:rPr>
          <w:rFonts w:ascii="Times New Roman" w:hAnsi="Times New Roman" w:eastAsia="宋体" w:cs="Times New Roman"/>
          <w:b/>
          <w:bCs/>
          <w:color w:val="auto"/>
          <w:kern w:val="2"/>
          <w:sz w:val="28"/>
          <w:szCs w:val="28"/>
          <w:lang w:val="en-US" w:eastAsia="zh-CN" w:bidi="ar-SA"/>
        </w:rPr>
      </w:pPr>
      <w:bookmarkStart w:id="303" w:name="_Toc17926"/>
      <w:bookmarkStart w:id="304" w:name="_Toc28196"/>
      <w:bookmarkStart w:id="305" w:name="_Toc2309"/>
      <w:r>
        <w:rPr>
          <w:rFonts w:ascii="Times New Roman" w:hAnsi="Times New Roman" w:eastAsia="宋体" w:cs="Times New Roman"/>
          <w:b/>
          <w:bCs/>
          <w:color w:val="auto"/>
          <w:kern w:val="2"/>
          <w:sz w:val="28"/>
          <w:szCs w:val="28"/>
          <w:lang w:val="en-US" w:eastAsia="zh-CN" w:bidi="ar-SA"/>
        </w:rPr>
        <w:t>6.2评价建议</w:t>
      </w:r>
      <w:bookmarkEnd w:id="303"/>
      <w:bookmarkEnd w:id="304"/>
      <w:bookmarkEnd w:id="305"/>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1、进一步完善安置区内绿化工作</w:t>
      </w:r>
      <w:r>
        <w:rPr>
          <w:rFonts w:hint="default" w:ascii="Times New Roman" w:hAnsi="Times New Roman" w:eastAsia="宋体" w:cs="Times New Roman"/>
          <w:bCs/>
          <w:color w:val="auto"/>
          <w:sz w:val="24"/>
          <w:szCs w:val="21"/>
          <w:highlight w:val="none"/>
          <w:u w:val="none"/>
          <w:lang w:val="en-US" w:eastAsia="zh-CN"/>
        </w:rPr>
        <w:t>，</w:t>
      </w:r>
      <w:r>
        <w:rPr>
          <w:rFonts w:hint="eastAsia" w:ascii="Times New Roman" w:hAnsi="Times New Roman" w:eastAsia="宋体" w:cs="Times New Roman"/>
          <w:bCs/>
          <w:color w:val="auto"/>
          <w:sz w:val="24"/>
          <w:szCs w:val="21"/>
          <w:highlight w:val="none"/>
          <w:u w:val="none"/>
          <w:lang w:val="en-US" w:eastAsia="zh-CN"/>
        </w:rPr>
        <w:t>在现有绿地基础上进一步丰富区内绿化层次，</w:t>
      </w:r>
      <w:r>
        <w:rPr>
          <w:rFonts w:hint="default" w:ascii="Times New Roman" w:hAnsi="Times New Roman" w:eastAsia="宋体" w:cs="Times New Roman"/>
          <w:bCs/>
          <w:color w:val="auto"/>
          <w:sz w:val="24"/>
          <w:szCs w:val="21"/>
          <w:highlight w:val="none"/>
          <w:u w:val="none"/>
          <w:lang w:val="en-US" w:eastAsia="zh-CN"/>
        </w:rPr>
        <w:t>减少由于生境破坏对动植物的不利影响。</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pPr>
      <w:r>
        <w:rPr>
          <w:rFonts w:hint="eastAsia" w:ascii="Times New Roman" w:hAnsi="Times New Roman" w:eastAsia="宋体" w:cs="Times New Roman"/>
          <w:bCs/>
          <w:color w:val="auto"/>
          <w:sz w:val="24"/>
          <w:szCs w:val="21"/>
          <w:highlight w:val="none"/>
          <w:u w:val="none"/>
          <w:lang w:val="en-US" w:eastAsia="zh-CN"/>
        </w:rPr>
        <w:t>2、</w:t>
      </w:r>
      <w:r>
        <w:rPr>
          <w:rFonts w:hint="default" w:ascii="Times New Roman" w:hAnsi="Times New Roman" w:eastAsia="宋体" w:cs="Times New Roman"/>
          <w:bCs/>
          <w:color w:val="auto"/>
          <w:sz w:val="24"/>
          <w:szCs w:val="21"/>
          <w:highlight w:val="none"/>
          <w:u w:val="none"/>
          <w:lang w:val="en-US" w:eastAsia="zh-CN"/>
        </w:rPr>
        <w:t>严格落实本报告提出的环保措施，建立常规管理和监测机制。</w:t>
      </w:r>
    </w:p>
    <w:p>
      <w:pPr>
        <w:adjustRightInd w:val="0"/>
        <w:snapToGrid w:val="0"/>
        <w:spacing w:line="360" w:lineRule="auto"/>
        <w:ind w:firstLine="480" w:firstLineChars="200"/>
        <w:jc w:val="left"/>
        <w:rPr>
          <w:rFonts w:hint="default" w:ascii="Times New Roman" w:hAnsi="Times New Roman" w:eastAsia="宋体" w:cs="Times New Roman"/>
          <w:bCs/>
          <w:color w:val="auto"/>
          <w:sz w:val="24"/>
          <w:szCs w:val="21"/>
          <w:highlight w:val="none"/>
          <w:u w:val="none"/>
          <w:lang w:val="en-US" w:eastAsia="zh-CN"/>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eastAsia="宋体" w:cs="Times New Roman"/>
          <w:bCs/>
          <w:color w:val="auto"/>
          <w:sz w:val="24"/>
          <w:szCs w:val="21"/>
          <w:highlight w:val="none"/>
          <w:u w:val="none"/>
          <w:lang w:val="en-US" w:eastAsia="zh-CN"/>
        </w:rPr>
        <w:t>3、</w:t>
      </w:r>
      <w:r>
        <w:rPr>
          <w:rFonts w:hint="default" w:ascii="Times New Roman" w:hAnsi="Times New Roman" w:eastAsia="宋体" w:cs="Times New Roman"/>
          <w:bCs/>
          <w:color w:val="auto"/>
          <w:sz w:val="24"/>
          <w:szCs w:val="21"/>
          <w:highlight w:val="none"/>
          <w:u w:val="none"/>
          <w:lang w:val="en-US" w:eastAsia="zh-CN"/>
        </w:rPr>
        <w:t>落实环保措施投资费用，切实落实各项污染防治及生态减缓措施。</w:t>
      </w:r>
    </w:p>
    <w:p>
      <w:pPr>
        <w:adjustRightInd/>
        <w:snapToGrid/>
        <w:spacing w:line="240" w:lineRule="auto"/>
        <w:ind w:firstLine="0" w:firstLineChars="0"/>
        <w:jc w:val="center"/>
        <w:outlineLvl w:val="1"/>
        <w:rPr>
          <w:rFonts w:hint="default" w:ascii="Times New Roman" w:hAnsi="Times New Roman" w:eastAsia="宋体" w:cs="Times New Roman"/>
          <w:b/>
          <w:bCs/>
          <w:color w:val="auto"/>
          <w:sz w:val="24"/>
          <w:szCs w:val="24"/>
          <w:lang w:val="en-US" w:eastAsia="zh-CN"/>
        </w:rPr>
      </w:pPr>
      <w:bookmarkStart w:id="306" w:name="_Toc15039"/>
      <w:bookmarkStart w:id="307" w:name="_Toc24246"/>
      <w:bookmarkStart w:id="308" w:name="_Toc18593"/>
      <w:bookmarkStart w:id="309" w:name="_Toc27860"/>
      <w:bookmarkStart w:id="310" w:name="_Toc3490"/>
      <w:r>
        <w:rPr>
          <w:rFonts w:hint="default" w:ascii="Times New Roman" w:hAnsi="Times New Roman" w:eastAsia="宋体" w:cs="Times New Roman"/>
          <w:b/>
          <w:bCs/>
          <w:color w:val="auto"/>
          <w:sz w:val="24"/>
          <w:szCs w:val="24"/>
          <w:lang w:val="en-US" w:eastAsia="zh-CN"/>
        </w:rPr>
        <w:t>生态影响评价自查表</w:t>
      </w:r>
      <w:bookmarkEnd w:id="306"/>
      <w:bookmarkEnd w:id="307"/>
      <w:bookmarkEnd w:id="308"/>
      <w:bookmarkEnd w:id="309"/>
      <w:bookmarkEnd w:id="310"/>
    </w:p>
    <w:tbl>
      <w:tblPr>
        <w:tblStyle w:val="22"/>
        <w:tblW w:w="899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091"/>
        <w:gridCol w:w="1491"/>
        <w:gridCol w:w="641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工作内容</w:t>
            </w:r>
          </w:p>
        </w:tc>
        <w:tc>
          <w:tcPr>
            <w:tcW w:w="6410" w:type="dxa"/>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自查项目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tcBorders>
              <w:righ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生态影响识别</w:t>
            </w: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生态保护目标</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重要物种□；国家公园□；自然保护区</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；自然公园</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；世界自然遗产□；生态保护红线□；重要生境□；其他具有重要生态功能、对保护生物多样性具有重要意义的区域□；其他</w:t>
            </w:r>
            <w:r>
              <w:rPr>
                <w:rFonts w:hint="eastAsia"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影响方式</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工程占用</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；施工活动干扰</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；改变环境条件□；其他□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tcBorders>
              <w:right w:val="single" w:color="auto" w:sz="4" w:space="0"/>
            </w:tcBorders>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tcBorders>
              <w:left w:val="single" w:color="auto" w:sz="4" w:space="0"/>
            </w:tcBorders>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评价因子</w:t>
            </w:r>
          </w:p>
        </w:tc>
        <w:tc>
          <w:tcPr>
            <w:tcW w:w="641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物种</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生境</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生物群落</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物种组成、群落结构等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生态系统</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植被覆盖度、生态系统功能、完整性</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生物多样性</w:t>
            </w:r>
            <w:r>
              <w:rPr>
                <w:rFonts w:hint="default" w:ascii="Times New Roman" w:hAnsi="Times New Roman" w:eastAsia="宋体" w:cs="Times New Roman"/>
                <w:color w:val="auto"/>
                <w:kern w:val="0"/>
                <w:sz w:val="21"/>
                <w:szCs w:val="21"/>
                <w:u w:val="none" w:color="auto"/>
              </w:rPr>
              <w:sym w:font="Wingdings 2" w:char="0052"/>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i w:val="0"/>
                <w:iCs w:val="0"/>
                <w:color w:val="auto"/>
                <w:kern w:val="0"/>
                <w:sz w:val="21"/>
                <w:szCs w:val="21"/>
                <w:u w:val="none"/>
                <w:lang w:val="en-US" w:eastAsia="zh-CN" w:bidi="ar"/>
              </w:rPr>
              <w:t>物种丰富度、均匀度、优势度</w:t>
            </w:r>
            <w:r>
              <w:rPr>
                <w:rFonts w:hint="eastAsia" w:ascii="Times New Roman" w:hAnsi="Times New Roman" w:eastAsia="宋体" w:cs="Times New Roman"/>
                <w:i w:val="0"/>
                <w:iCs w:val="0"/>
                <w:color w:val="auto"/>
                <w:kern w:val="0"/>
                <w:sz w:val="21"/>
                <w:szCs w:val="21"/>
                <w:u w:val="none"/>
                <w:lang w:val="en-US" w:eastAsia="zh-CN" w:bidi="ar"/>
              </w:rPr>
              <w:t>等</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生态敏感区</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自然景观</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kern w:val="0"/>
                <w:sz w:val="21"/>
                <w:szCs w:val="21"/>
                <w:u w:val="none" w:color="auto"/>
                <w:lang w:eastAsia="zh-CN"/>
              </w:rPr>
            </w:pPr>
            <w:r>
              <w:rPr>
                <w:rFonts w:hint="default" w:ascii="Times New Roman" w:hAnsi="Times New Roman" w:eastAsia="宋体" w:cs="Times New Roman"/>
                <w:color w:val="auto"/>
                <w:kern w:val="0"/>
                <w:sz w:val="21"/>
                <w:szCs w:val="21"/>
                <w:u w:val="none" w:color="auto"/>
                <w:lang w:eastAsia="zh-CN"/>
              </w:rPr>
              <w:t>自然遗迹</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p>
            <w:pPr>
              <w:adjustRightInd/>
              <w:snapToGrid/>
              <w:spacing w:line="240" w:lineRule="auto"/>
              <w:ind w:firstLine="0" w:firstLineChars="0"/>
              <w:jc w:val="both"/>
              <w:rPr>
                <w:rFonts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u w:val="none" w:color="auto"/>
                <w:lang w:eastAsia="zh-CN"/>
              </w:rPr>
              <w:t>其他</w:t>
            </w:r>
            <w:r>
              <w:rPr>
                <w:rFonts w:hint="default" w:ascii="Times New Roman" w:hAnsi="Times New Roman" w:eastAsia="宋体" w:cs="Times New Roman"/>
                <w:color w:val="auto"/>
                <w:kern w:val="0"/>
                <w:sz w:val="21"/>
                <w:szCs w:val="21"/>
                <w:u w:val="none" w:color="auto"/>
              </w:rPr>
              <w:sym w:font="Wingdings 2" w:char="00A3"/>
            </w:r>
            <w:r>
              <w:rPr>
                <w:rFonts w:hint="default" w:ascii="Times New Roman" w:hAnsi="Times New Roman" w:eastAsia="宋体" w:cs="Times New Roman"/>
                <w:color w:val="auto"/>
                <w:kern w:val="0"/>
                <w:sz w:val="21"/>
                <w:szCs w:val="21"/>
                <w:u w:val="none" w:color="auto"/>
                <w:lang w:eastAsia="zh-CN"/>
              </w:rPr>
              <w:t>（</w:t>
            </w:r>
            <w:r>
              <w:rPr>
                <w:rFonts w:hint="default" w:ascii="Times New Roman" w:hAnsi="Times New Roman" w:eastAsia="宋体" w:cs="Times New Roman"/>
                <w:color w:val="auto"/>
                <w:kern w:val="0"/>
                <w:sz w:val="21"/>
                <w:szCs w:val="21"/>
                <w:u w:val="none" w:color="auto"/>
                <w:lang w:val="en-US" w:eastAsia="zh-CN"/>
              </w:rPr>
              <w:t xml:space="preserve">                                </w:t>
            </w:r>
            <w:r>
              <w:rPr>
                <w:rFonts w:hint="default" w:ascii="Times New Roman" w:hAnsi="Times New Roman" w:eastAsia="宋体" w:cs="Times New Roman"/>
                <w:color w:val="auto"/>
                <w:kern w:val="0"/>
                <w:sz w:val="21"/>
                <w:szCs w:val="21"/>
                <w:u w:val="none" w:color="auto"/>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评价等级</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一级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二级</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三级</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 w:val="21"/>
                <w:szCs w:val="21"/>
              </w:rPr>
              <w:t>生态影响简单分析</w:t>
            </w:r>
            <w:r>
              <w:rPr>
                <w:rFonts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82" w:type="dxa"/>
            <w:gridSpan w:val="2"/>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评价范围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陆域面积：（</w:t>
            </w:r>
            <w:r>
              <w:rPr>
                <w:rFonts w:hint="eastAsia" w:cs="Times New Roman"/>
                <w:color w:val="auto"/>
                <w:sz w:val="21"/>
                <w:szCs w:val="21"/>
                <w:lang w:val="en-US" w:eastAsia="zh-CN"/>
              </w:rPr>
              <w:t>4.524</w:t>
            </w:r>
            <w:r>
              <w:rPr>
                <w:rFonts w:ascii="Times New Roman" w:hAnsi="Times New Roman" w:eastAsia="宋体" w:cs="Times New Roman"/>
                <w:color w:val="auto"/>
                <w:sz w:val="21"/>
                <w:szCs w:val="21"/>
              </w:rPr>
              <w:t>）km</w:t>
            </w:r>
            <w:r>
              <w:rPr>
                <w:rFonts w:ascii="Times New Roman" w:hAnsi="Times New Roman" w:eastAsia="宋体" w:cs="Times New Roman"/>
                <w:color w:val="auto"/>
                <w:sz w:val="21"/>
                <w:szCs w:val="21"/>
                <w:vertAlign w:val="superscript"/>
              </w:rPr>
              <w:t>2</w:t>
            </w:r>
            <w:r>
              <w:rPr>
                <w:rFonts w:ascii="Times New Roman" w:hAnsi="Times New Roman" w:eastAsia="宋体" w:cs="Times New Roman"/>
                <w:color w:val="auto"/>
                <w:sz w:val="21"/>
                <w:szCs w:val="21"/>
              </w:rPr>
              <w:t>；水域面积：（）km</w:t>
            </w:r>
            <w:r>
              <w:rPr>
                <w:rFonts w:ascii="Times New Roman" w:hAnsi="Times New Roman" w:eastAsia="宋体" w:cs="Times New Roman"/>
                <w:color w:val="auto"/>
                <w:sz w:val="21"/>
                <w:szCs w:val="21"/>
                <w:vertAlign w:val="superscript"/>
              </w:rPr>
              <w:t>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w:t>
            </w:r>
            <w:r>
              <w:rPr>
                <w:rFonts w:ascii="Times New Roman" w:hAnsi="Times New Roman" w:eastAsia="宋体" w:cs="Times New Roman"/>
                <w:color w:val="auto"/>
                <w:sz w:val="21"/>
                <w:szCs w:val="21"/>
              </w:rPr>
              <w:t>现状</w:t>
            </w:r>
            <w:r>
              <w:rPr>
                <w:rFonts w:hint="eastAsia" w:ascii="Times New Roman" w:hAnsi="Times New Roman" w:eastAsia="宋体" w:cs="Times New Roman"/>
                <w:color w:val="auto"/>
                <w:sz w:val="21"/>
                <w:szCs w:val="21"/>
              </w:rPr>
              <w:t>调查与</w:t>
            </w:r>
            <w:r>
              <w:rPr>
                <w:rFonts w:ascii="Times New Roman" w:hAnsi="Times New Roman" w:eastAsia="宋体" w:cs="Times New Roman"/>
                <w:color w:val="auto"/>
                <w:sz w:val="21"/>
                <w:szCs w:val="21"/>
              </w:rPr>
              <w:t>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资料收集</w:t>
            </w:r>
            <w:r>
              <w:rPr>
                <w:rFonts w:hint="eastAsia"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；遥感调查</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；调查样方、样线</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；调查点位、断面□；专家和公众咨询法</w:t>
            </w:r>
            <w:r>
              <w:rPr>
                <w:rFonts w:hint="eastAsia" w:ascii="Times New Roman" w:hAnsi="Times New Roman" w:eastAsia="宋体" w:cs="Times New Roman"/>
                <w:color w:val="auto"/>
                <w:sz w:val="21"/>
                <w:szCs w:val="21"/>
              </w:rPr>
              <w:t>☑</w:t>
            </w:r>
            <w:r>
              <w:rPr>
                <w:rFonts w:ascii="Times New Roman" w:hAnsi="Times New Roman" w:eastAsia="宋体" w:cs="Times New Roman"/>
                <w:color w:val="auto"/>
                <w:sz w:val="21"/>
                <w:szCs w:val="21"/>
              </w:rPr>
              <w:t>；其他</w:t>
            </w:r>
            <w:r>
              <w:rPr>
                <w:rFonts w:hint="eastAsia" w:ascii="Times New Roman" w:hAnsi="Times New Roman" w:eastAsia="宋体" w:cs="Times New Roman"/>
                <w:color w:val="auto"/>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调查时间</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春季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；夏季</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；秋季</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；冬季</w:t>
            </w:r>
            <w:r>
              <w:rPr>
                <w:rFonts w:hint="eastAsia" w:ascii="Times New Roman" w:hAnsi="Times New Roman" w:eastAsia="宋体" w:cs="Times New Roman"/>
                <w:color w:val="auto"/>
                <w:sz w:val="21"/>
                <w:szCs w:val="21"/>
                <w:lang w:eastAsia="zh-CN"/>
              </w:rPr>
              <w:t>□</w:t>
            </w:r>
          </w:p>
          <w:p>
            <w:pPr>
              <w:adjustRightInd/>
              <w:snapToGrid/>
              <w:spacing w:line="240" w:lineRule="auto"/>
              <w:ind w:firstLine="0" w:firstLineChars="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丰水期</w:t>
            </w:r>
            <w:r>
              <w:rPr>
                <w:rFonts w:ascii="Times New Roman" w:hAnsi="Times New Roman" w:eastAsia="宋体" w:cs="Times New Roman"/>
                <w:color w:val="auto"/>
                <w:sz w:val="21"/>
                <w:szCs w:val="21"/>
              </w:rPr>
              <w:sym w:font="Wingdings 2" w:char="0052"/>
            </w:r>
            <w:r>
              <w:rPr>
                <w:rFonts w:ascii="Times New Roman" w:hAnsi="Times New Roman" w:eastAsia="宋体" w:cs="Times New Roman"/>
                <w:color w:val="auto"/>
                <w:sz w:val="21"/>
                <w:szCs w:val="21"/>
              </w:rPr>
              <w:t>；枯水期□；平水期□</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所在区域的生态问题</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水土流失</w:t>
            </w:r>
            <w:r>
              <w:rPr>
                <w:rFonts w:ascii="Times New Roman" w:hAnsi="Times New Roman" w:eastAsia="宋体" w:cs="Times New Roman"/>
                <w:color w:val="auto"/>
                <w:sz w:val="21"/>
                <w:szCs w:val="21"/>
              </w:rPr>
              <w:sym w:font="Wingdings 2" w:char="00A3"/>
            </w:r>
            <w:r>
              <w:rPr>
                <w:rFonts w:ascii="Times New Roman" w:hAnsi="Times New Roman" w:eastAsia="宋体" w:cs="Times New Roman"/>
                <w:color w:val="auto"/>
                <w:sz w:val="21"/>
                <w:szCs w:val="21"/>
              </w:rPr>
              <w:t>；沙漠化□；石漠化□；盐渍化□；生物入侵</w:t>
            </w:r>
            <w:r>
              <w:rPr>
                <w:rFonts w:hint="eastAsia" w:eastAsia="宋体" w:cs="Times New Roman"/>
                <w:color w:val="auto"/>
                <w:sz w:val="21"/>
                <w:szCs w:val="21"/>
                <w:lang w:eastAsia="zh-CN"/>
              </w:rPr>
              <w:t>□</w:t>
            </w:r>
            <w:r>
              <w:rPr>
                <w:rFonts w:ascii="Times New Roman" w:hAnsi="Times New Roman" w:eastAsia="宋体" w:cs="Times New Roman"/>
                <w:color w:val="auto"/>
                <w:sz w:val="21"/>
                <w:szCs w:val="21"/>
              </w:rPr>
              <w:t>；污染危害□；其他</w:t>
            </w:r>
            <w:r>
              <w:rPr>
                <w:rFonts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；重要物种□；生态敏感区□；其他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生态影响预测与评价</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评价方法</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定性</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；定性和定量</w:t>
            </w:r>
            <w:r>
              <w:rPr>
                <w:rFonts w:hint="eastAsia" w:ascii="Times New Roman" w:hAnsi="Times New Roman" w:eastAsia="宋体" w:cs="Times New Roman"/>
                <w:color w:val="auto"/>
                <w:sz w:val="21"/>
                <w:szCs w:val="21"/>
              </w:rPr>
              <w:sym w:font="Wingdings 2" w:char="00A3"/>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ign w:val="bottom"/>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评价内容</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植被/植物群落</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；土地利用</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；生态系统</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；生物多样性</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；重要物种</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；生态敏感区</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；生物入侵风险□；其他</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restart"/>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生态保护对策措施</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对策措施</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避让□；减缓</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；生态修复</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；生态补偿☑；科研□；其他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生态监测计划</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全生命周期□；长期跟踪□；常规□；无</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vMerge w:val="continue"/>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环境管理</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环境监理</w:t>
            </w:r>
            <w:r>
              <w:rPr>
                <w:rFonts w:hint="eastAsia" w:ascii="Times New Roman" w:hAnsi="Times New Roman" w:eastAsia="宋体" w:cs="Times New Roman"/>
                <w:color w:val="auto"/>
                <w:sz w:val="21"/>
                <w:szCs w:val="21"/>
              </w:rPr>
              <w:sym w:font="Wingdings 2" w:char="00A3"/>
            </w:r>
            <w:r>
              <w:rPr>
                <w:rFonts w:hint="eastAsia" w:ascii="Times New Roman" w:hAnsi="Times New Roman" w:eastAsia="宋体" w:cs="Times New Roman"/>
                <w:color w:val="auto"/>
                <w:sz w:val="21"/>
                <w:szCs w:val="21"/>
              </w:rPr>
              <w:t>；环境影响后评价□；其他</w:t>
            </w:r>
            <w:r>
              <w:rPr>
                <w:rFonts w:hint="eastAsia" w:ascii="Times New Roman" w:hAnsi="Times New Roman" w:eastAsia="宋体" w:cs="Times New Roman"/>
                <w:color w:val="auto"/>
                <w:sz w:val="21"/>
                <w:szCs w:val="21"/>
              </w:rPr>
              <w:sym w:font="Wingdings 2" w:char="0052"/>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0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评价结论</w:t>
            </w:r>
          </w:p>
        </w:tc>
        <w:tc>
          <w:tcPr>
            <w:tcW w:w="1491"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生态影响</w:t>
            </w:r>
          </w:p>
        </w:tc>
        <w:tc>
          <w:tcPr>
            <w:tcW w:w="6410" w:type="dxa"/>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 xml:space="preserve">可行 </w:t>
            </w:r>
            <w:r>
              <w:rPr>
                <w:rFonts w:hint="eastAsia" w:ascii="Times New Roman" w:hAnsi="Times New Roman" w:eastAsia="宋体" w:cs="Times New Roman"/>
                <w:color w:val="auto"/>
                <w:sz w:val="21"/>
                <w:szCs w:val="21"/>
              </w:rPr>
              <w:sym w:font="Wingdings 2" w:char="0052"/>
            </w:r>
            <w:r>
              <w:rPr>
                <w:rFonts w:hint="eastAsia" w:ascii="Times New Roman" w:hAnsi="Times New Roman" w:eastAsia="宋体" w:cs="Times New Roman"/>
                <w:color w:val="auto"/>
                <w:sz w:val="21"/>
                <w:szCs w:val="21"/>
              </w:rPr>
              <w:t>             不可行□</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992" w:type="dxa"/>
            <w:gridSpan w:val="3"/>
            <w:noWrap w:val="0"/>
            <w:vAlign w:val="center"/>
          </w:tcPr>
          <w:p>
            <w:pPr>
              <w:adjustRightInd/>
              <w:snapToGrid/>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注：“□”，填“√”；“（  ）”为内容填写项</w:t>
            </w:r>
          </w:p>
        </w:tc>
      </w:tr>
    </w:tbl>
    <w:p>
      <w:pPr>
        <w:rPr>
          <w:color w:val="auto"/>
        </w:rPr>
      </w:pPr>
    </w:p>
    <w:p>
      <w:pPr>
        <w:rPr>
          <w:color w:val="auto"/>
        </w:rPr>
      </w:pPr>
    </w:p>
    <w:sectPr>
      <w:footerReference r:id="rId13"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CA13CB-3574-4CE2-B5CF-176080C272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embedRegular r:id="rId2" w:fontKey="{69B19238-DEFE-46A9-919A-00EB967DE6F9}"/>
  </w:font>
  <w:font w:name="等线">
    <w:panose1 w:val="02010600030101010101"/>
    <w:charset w:val="86"/>
    <w:family w:val="auto"/>
    <w:pitch w:val="default"/>
    <w:sig w:usb0="A00002BF" w:usb1="38CF7CFA" w:usb2="00000016" w:usb3="00000000" w:csb0="0004000F" w:csb1="00000000"/>
    <w:embedRegular r:id="rId3" w:fontKey="{E854C8B2-9772-4A6A-BCA6-B3BA8CD8757E}"/>
  </w:font>
  <w:font w:name="仿宋_GB2312">
    <w:panose1 w:val="02010609030101010101"/>
    <w:charset w:val="86"/>
    <w:family w:val="modern"/>
    <w:pitch w:val="default"/>
    <w:sig w:usb0="00000001" w:usb1="080E0000" w:usb2="00000000" w:usb3="00000000" w:csb0="00040000" w:csb1="00000000"/>
    <w:embedRegular r:id="rId4" w:fontKey="{B8017E80-8FC4-4867-B9A9-B5C7BE1A31C6}"/>
  </w:font>
  <w:font w:name="楷体_GB2312">
    <w:altName w:val="楷体"/>
    <w:panose1 w:val="02010609030101010101"/>
    <w:charset w:val="86"/>
    <w:family w:val="modern"/>
    <w:pitch w:val="default"/>
    <w:sig w:usb0="00000000" w:usb1="00000000" w:usb2="00000000" w:usb3="00000000" w:csb0="00040000" w:csb1="00000000"/>
    <w:embedRegular r:id="rId5" w:fontKey="{2B163223-E138-400B-941C-DFB38C1C9C4B}"/>
  </w:font>
  <w:font w:name="华文仿宋">
    <w:panose1 w:val="02010600040101010101"/>
    <w:charset w:val="86"/>
    <w:family w:val="auto"/>
    <w:pitch w:val="default"/>
    <w:sig w:usb0="00000287" w:usb1="080F0000" w:usb2="00000000" w:usb3="00000000" w:csb0="0004009F" w:csb1="DFD70000"/>
    <w:embedRegular r:id="rId6" w:fontKey="{915972B6-125B-4CCF-B811-0E452E704660}"/>
  </w:font>
  <w:font w:name="仿宋">
    <w:panose1 w:val="02010609060101010101"/>
    <w:charset w:val="86"/>
    <w:family w:val="auto"/>
    <w:pitch w:val="default"/>
    <w:sig w:usb0="800002BF" w:usb1="38CF7CFA" w:usb2="00000016" w:usb3="00000000" w:csb0="00040001" w:csb1="00000000"/>
    <w:embedRegular r:id="rId7" w:fontKey="{5F1E90AE-A477-4D4E-AACE-F790CA335890}"/>
  </w:font>
  <w:font w:name="Wingdings 2">
    <w:panose1 w:val="05020102010507070707"/>
    <w:charset w:val="02"/>
    <w:family w:val="roman"/>
    <w:pitch w:val="default"/>
    <w:sig w:usb0="00000000" w:usb1="00000000" w:usb2="00000000" w:usb3="00000000" w:csb0="80000000" w:csb1="00000000"/>
    <w:embedRegular r:id="rId8" w:fontKey="{EE34E7D9-1FE1-4246-9625-5A6EA53BE807}"/>
  </w:font>
  <w:font w:name="新宋体">
    <w:panose1 w:val="02010609030101010101"/>
    <w:charset w:val="86"/>
    <w:family w:val="auto"/>
    <w:pitch w:val="default"/>
    <w:sig w:usb0="00000203" w:usb1="288F0000" w:usb2="00000006" w:usb3="00000000" w:csb0="00040001" w:csb1="00000000"/>
    <w:embedRegular r:id="rId9" w:fontKey="{2C3D6B85-6754-44B0-9C8A-2C03A290E348}"/>
  </w:font>
  <w:font w:name="微软雅黑">
    <w:panose1 w:val="020B0503020204020204"/>
    <w:charset w:val="86"/>
    <w:family w:val="auto"/>
    <w:pitch w:val="default"/>
    <w:sig w:usb0="80000287" w:usb1="2ACF3C50" w:usb2="00000016" w:usb3="00000000" w:csb0="0004001F" w:csb1="00000000"/>
    <w:embedRegular r:id="rId10" w:fontKey="{ED2F9BF9-FA01-4576-B0A0-577AE26411A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fldChar w:fldCharType="begin"/>
    </w:r>
    <w:r>
      <w:rPr>
        <w:rStyle w:val="26"/>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25</w:t>
                          </w:r>
                          <w:r>
                            <w:fldChar w:fldCharType="end"/>
                          </w:r>
                        </w:p>
                      </w:txbxContent>
                    </wps:txbx>
                    <wps:bodyPr vert="horz" wrap="none" lIns="0" tIns="0" rIns="0" bIns="0" anchor="t" anchorCtr="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ORY+VTaAQAAtQMAAA4AAAAAAAAAAQAg&#10;AAAAHgEAAGRycy9lMm9Eb2MueG1sUEsFBgAAAAAGAAYAWQEAAGo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40</w:t>
                          </w:r>
                          <w:r>
                            <w:fldChar w:fldCharType="end"/>
                          </w:r>
                        </w:p>
                      </w:txbxContent>
                    </wps:txbx>
                    <wps:bodyPr vert="horz" wrap="none" lIns="0" tIns="0" rIns="0" bIns="0" anchor="t" anchorCtr="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ERKTv3aAQAAtQMAAA4AAAAAAAAAAQAg&#10;AAAAHgEAAGRycy9lMm9Eb2MueG1sUEsFBgAAAAAGAAYAWQEAAGo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0" w:after="60"/>
      <w:ind w:firstLine="420"/>
      <w:jc w:val="center"/>
      <w:rPr>
        <w:sz w:val="21"/>
        <w:szCs w:val="2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pPr>
                      <w:widowControl w:val="0"/>
                      <w:snapToGrid w:val="0"/>
                      <w:ind w:firstLine="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72</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numPr>
        <w:ilvl w:val="0"/>
        <w:numId w:val="0"/>
      </w:numPr>
      <w:spacing w:before="0" w:beforeLines="0" w:after="0" w:afterLines="0" w:line="240" w:lineRule="auto"/>
      <w:jc w:val="cente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numPr>
        <w:ilvl w:val="0"/>
        <w:numId w:val="0"/>
      </w:numPr>
      <w:pBdr>
        <w:bottom w:val="thinThickSmallGap" w:color="auto" w:sz="12" w:space="1"/>
      </w:pBdr>
      <w:spacing w:before="0" w:beforeLines="0" w:after="0" w:afterLines="0" w:line="240" w:lineRule="auto"/>
      <w:jc w:val="cente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8358B"/>
    <w:multiLevelType w:val="singleLevel"/>
    <w:tmpl w:val="CAA8358B"/>
    <w:lvl w:ilvl="0" w:tentative="0">
      <w:start w:val="2"/>
      <w:numFmt w:val="decimal"/>
      <w:suff w:val="nothing"/>
      <w:lvlText w:val="%1、"/>
      <w:lvlJc w:val="left"/>
    </w:lvl>
  </w:abstractNum>
  <w:abstractNum w:abstractNumId="1">
    <w:nsid w:val="D30B9BF5"/>
    <w:multiLevelType w:val="singleLevel"/>
    <w:tmpl w:val="D30B9BF5"/>
    <w:lvl w:ilvl="0" w:tentative="0">
      <w:start w:val="1"/>
      <w:numFmt w:val="decimal"/>
      <w:suff w:val="nothing"/>
      <w:lvlText w:val="%1、"/>
      <w:lvlJc w:val="left"/>
    </w:lvl>
  </w:abstractNum>
  <w:abstractNum w:abstractNumId="2">
    <w:nsid w:val="1C8B6C75"/>
    <w:multiLevelType w:val="singleLevel"/>
    <w:tmpl w:val="1C8B6C75"/>
    <w:lvl w:ilvl="0" w:tentative="0">
      <w:start w:val="6"/>
      <w:numFmt w:val="chineseCounting"/>
      <w:suff w:val="nothing"/>
      <w:lvlText w:val="%1、"/>
      <w:lvlJc w:val="left"/>
      <w:rPr>
        <w:rFonts w:hint="eastAsia"/>
      </w:rPr>
    </w:lvl>
  </w:abstractNum>
  <w:abstractNum w:abstractNumId="3">
    <w:nsid w:val="2709B6AB"/>
    <w:multiLevelType w:val="singleLevel"/>
    <w:tmpl w:val="2709B6AB"/>
    <w:lvl w:ilvl="0" w:tentative="0">
      <w:start w:val="2"/>
      <w:numFmt w:val="decimal"/>
      <w:suff w:val="nothing"/>
      <w:lvlText w:val="%1、"/>
      <w:lvlJc w:val="left"/>
    </w:lvl>
  </w:abstractNum>
  <w:abstractNum w:abstractNumId="4">
    <w:nsid w:val="39CB5F34"/>
    <w:multiLevelType w:val="singleLevel"/>
    <w:tmpl w:val="39CB5F34"/>
    <w:lvl w:ilvl="0" w:tentative="0">
      <w:start w:val="1"/>
      <w:numFmt w:val="decimal"/>
      <w:lvlText w:val="(%1)"/>
      <w:lvlJc w:val="left"/>
      <w:pPr>
        <w:ind w:left="425" w:hanging="425"/>
      </w:pPr>
      <w:rPr>
        <w:rFonts w:hint="default"/>
      </w:rPr>
    </w:lvl>
  </w:abstractNum>
  <w:abstractNum w:abstractNumId="5">
    <w:nsid w:val="435141F0"/>
    <w:multiLevelType w:val="multilevel"/>
    <w:tmpl w:val="435141F0"/>
    <w:lvl w:ilvl="0" w:tentative="0">
      <w:start w:val="1"/>
      <w:numFmt w:val="decimal"/>
      <w:isLgl/>
      <w:suff w:val="space"/>
      <w:lvlText w:val="%1"/>
      <w:lvlJc w:val="left"/>
      <w:pPr>
        <w:ind w:left="200" w:firstLine="0"/>
      </w:pPr>
      <w:rPr>
        <w:rFonts w:hint="eastAsia" w:ascii="Times New Roman" w:hAnsi="Times New Roman" w:eastAsia="宋体" w:cs="Times New Roman"/>
        <w:b/>
        <w:i w:val="0"/>
        <w:sz w:val="36"/>
        <w:szCs w:val="36"/>
      </w:rPr>
    </w:lvl>
    <w:lvl w:ilvl="1" w:tentative="0">
      <w:start w:val="1"/>
      <w:numFmt w:val="decimal"/>
      <w:isLgl/>
      <w:suff w:val="space"/>
      <w:lvlText w:val="%1.%2"/>
      <w:lvlJc w:val="left"/>
      <w:pPr>
        <w:ind w:left="1800" w:firstLine="0"/>
      </w:pPr>
      <w:rPr>
        <w:rFonts w:hint="default" w:ascii="Times New Roman" w:hAnsi="Times New Roman" w:eastAsia="宋体"/>
        <w:b/>
        <w:i w:val="0"/>
        <w:sz w:val="30"/>
      </w:rPr>
    </w:lvl>
    <w:lvl w:ilvl="2" w:tentative="0">
      <w:start w:val="1"/>
      <w:numFmt w:val="decimal"/>
      <w:isLgl/>
      <w:suff w:val="space"/>
      <w:lvlText w:val="%1.%2.%3"/>
      <w:lvlJc w:val="left"/>
      <w:pPr>
        <w:ind w:left="180" w:firstLine="0"/>
      </w:pPr>
      <w:rPr>
        <w:rFonts w:hint="eastAsia"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3" w:tentative="0">
      <w:start w:val="1"/>
      <w:numFmt w:val="decimal"/>
      <w:isLgl/>
      <w:suff w:val="space"/>
      <w:lvlText w:val="%1.%2.%3.%4"/>
      <w:lvlJc w:val="left"/>
      <w:pPr>
        <w:ind w:left="360" w:firstLine="0"/>
      </w:pPr>
      <w:rPr>
        <w:rFonts w:hint="default" w:ascii="Times New Roman" w:hAnsi="Times New Roman" w:eastAsia="宋体"/>
        <w:b/>
        <w:i w:val="0"/>
        <w:sz w:val="24"/>
      </w:rPr>
    </w:lvl>
    <w:lvl w:ilvl="4" w:tentative="0">
      <w:start w:val="1"/>
      <w:numFmt w:val="decimal"/>
      <w:pStyle w:val="8"/>
      <w:suff w:val="space"/>
      <w:lvlText w:val="( %5 )"/>
      <w:lvlJc w:val="left"/>
      <w:pPr>
        <w:ind w:left="540" w:firstLine="0"/>
      </w:pPr>
      <w:rPr>
        <w:rFonts w:hint="eastAsia"/>
        <w:b w:val="0"/>
        <w:i w:val="0"/>
        <w:sz w:val="24"/>
      </w:rPr>
    </w:lvl>
    <w:lvl w:ilvl="5" w:tentative="0">
      <w:start w:val="1"/>
      <w:numFmt w:val="decimalEnclosedCircle"/>
      <w:suff w:val="space"/>
      <w:lvlText w:val="%6"/>
      <w:lvlJc w:val="left"/>
      <w:pPr>
        <w:ind w:left="760" w:firstLine="0"/>
      </w:pPr>
      <w:rPr>
        <w:rFonts w:hint="eastAsia"/>
      </w:rPr>
    </w:lvl>
    <w:lvl w:ilvl="6" w:tentative="0">
      <w:start w:val="1"/>
      <w:numFmt w:val="decimal"/>
      <w:lvlText w:val="%1.%2.%3.%4.%5.%6.%7"/>
      <w:lvlJc w:val="left"/>
      <w:pPr>
        <w:tabs>
          <w:tab w:val="left" w:pos="4715"/>
        </w:tabs>
        <w:ind w:left="4715" w:hanging="1276"/>
      </w:pPr>
      <w:rPr>
        <w:rFonts w:hint="eastAsia"/>
      </w:rPr>
    </w:lvl>
    <w:lvl w:ilvl="7" w:tentative="0">
      <w:start w:val="1"/>
      <w:numFmt w:val="decimal"/>
      <w:lvlText w:val="%1.%2.%3.%4.%5.%6.%7.%8"/>
      <w:lvlJc w:val="left"/>
      <w:pPr>
        <w:tabs>
          <w:tab w:val="left" w:pos="5282"/>
        </w:tabs>
        <w:ind w:left="5282" w:hanging="1418"/>
      </w:pPr>
      <w:rPr>
        <w:rFonts w:hint="eastAsia"/>
      </w:rPr>
    </w:lvl>
    <w:lvl w:ilvl="8" w:tentative="0">
      <w:start w:val="1"/>
      <w:numFmt w:val="decimal"/>
      <w:lvlText w:val="%1.%2.%3.%4.%5.%6.%7.%8.%9"/>
      <w:lvlJc w:val="left"/>
      <w:pPr>
        <w:tabs>
          <w:tab w:val="left" w:pos="5990"/>
        </w:tabs>
        <w:ind w:left="5990" w:hanging="1700"/>
      </w:pPr>
      <w:rPr>
        <w:rFonts w:hint="eastAsia"/>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NzUzZDNlZWQ2YzMxYTczYzhhOTMxMzljZGI4M2UifQ=="/>
    <w:docVar w:name="KSO_WPS_MARK_KEY" w:val="4a5726b1-96f4-4309-8963-eab077aa73a7"/>
  </w:docVars>
  <w:rsids>
    <w:rsidRoot w:val="00172A27"/>
    <w:rsid w:val="000060B3"/>
    <w:rsid w:val="00041CF6"/>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1ED"/>
    <w:rsid w:val="000C09AC"/>
    <w:rsid w:val="000C767F"/>
    <w:rsid w:val="000D5A44"/>
    <w:rsid w:val="000E3ED2"/>
    <w:rsid w:val="00107807"/>
    <w:rsid w:val="001251DD"/>
    <w:rsid w:val="00131F42"/>
    <w:rsid w:val="001357F1"/>
    <w:rsid w:val="00140FA8"/>
    <w:rsid w:val="00142FEB"/>
    <w:rsid w:val="00143A2D"/>
    <w:rsid w:val="00145A41"/>
    <w:rsid w:val="00151675"/>
    <w:rsid w:val="00157435"/>
    <w:rsid w:val="00172A27"/>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340F"/>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AD6"/>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1804"/>
    <w:rsid w:val="00452738"/>
    <w:rsid w:val="00456091"/>
    <w:rsid w:val="00466321"/>
    <w:rsid w:val="00484B9B"/>
    <w:rsid w:val="004855F6"/>
    <w:rsid w:val="0048661E"/>
    <w:rsid w:val="00494670"/>
    <w:rsid w:val="004A3823"/>
    <w:rsid w:val="004B44C7"/>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857D7"/>
    <w:rsid w:val="0069290A"/>
    <w:rsid w:val="00696058"/>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07B"/>
    <w:rsid w:val="007A2170"/>
    <w:rsid w:val="007A22BF"/>
    <w:rsid w:val="007A3323"/>
    <w:rsid w:val="007B72B8"/>
    <w:rsid w:val="007B7A58"/>
    <w:rsid w:val="007C21B5"/>
    <w:rsid w:val="007E4BD2"/>
    <w:rsid w:val="007F57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52C8"/>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1BAD"/>
    <w:rsid w:val="00C2596A"/>
    <w:rsid w:val="00C27537"/>
    <w:rsid w:val="00C328FE"/>
    <w:rsid w:val="00C33507"/>
    <w:rsid w:val="00C4409D"/>
    <w:rsid w:val="00C44E72"/>
    <w:rsid w:val="00C45A06"/>
    <w:rsid w:val="00C47E5B"/>
    <w:rsid w:val="00C61E4B"/>
    <w:rsid w:val="00C64BFF"/>
    <w:rsid w:val="00C651E9"/>
    <w:rsid w:val="00C704E9"/>
    <w:rsid w:val="00C73CD4"/>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58FB"/>
    <w:rsid w:val="00DF6690"/>
    <w:rsid w:val="00DF6804"/>
    <w:rsid w:val="00E0358D"/>
    <w:rsid w:val="00E04323"/>
    <w:rsid w:val="00E070A2"/>
    <w:rsid w:val="00E2656A"/>
    <w:rsid w:val="00E36788"/>
    <w:rsid w:val="00E412D0"/>
    <w:rsid w:val="00E551FD"/>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1A70"/>
    <w:rsid w:val="00F82B19"/>
    <w:rsid w:val="00F9212D"/>
    <w:rsid w:val="00F965DA"/>
    <w:rsid w:val="00FA406A"/>
    <w:rsid w:val="00FB503A"/>
    <w:rsid w:val="00FB516C"/>
    <w:rsid w:val="00FD0236"/>
    <w:rsid w:val="00FD18F4"/>
    <w:rsid w:val="00FD54DB"/>
    <w:rsid w:val="00FD619F"/>
    <w:rsid w:val="01290F7E"/>
    <w:rsid w:val="015D1E09"/>
    <w:rsid w:val="02697903"/>
    <w:rsid w:val="02F96569"/>
    <w:rsid w:val="03D251BA"/>
    <w:rsid w:val="03EA7B21"/>
    <w:rsid w:val="04827A43"/>
    <w:rsid w:val="05BD2181"/>
    <w:rsid w:val="05F83EAE"/>
    <w:rsid w:val="062D344D"/>
    <w:rsid w:val="063E7D85"/>
    <w:rsid w:val="06F6508D"/>
    <w:rsid w:val="07293586"/>
    <w:rsid w:val="07295285"/>
    <w:rsid w:val="07636392"/>
    <w:rsid w:val="076E3F95"/>
    <w:rsid w:val="07770C56"/>
    <w:rsid w:val="081C1399"/>
    <w:rsid w:val="08391830"/>
    <w:rsid w:val="08A62237"/>
    <w:rsid w:val="092217DD"/>
    <w:rsid w:val="093A7294"/>
    <w:rsid w:val="0A263993"/>
    <w:rsid w:val="0A2D3AC2"/>
    <w:rsid w:val="0AA755DF"/>
    <w:rsid w:val="0B120D44"/>
    <w:rsid w:val="0BD27BF6"/>
    <w:rsid w:val="0BEF0663"/>
    <w:rsid w:val="0C3B3C7D"/>
    <w:rsid w:val="0C741481"/>
    <w:rsid w:val="0CAB2EAE"/>
    <w:rsid w:val="0D621C7D"/>
    <w:rsid w:val="0E4D0323"/>
    <w:rsid w:val="0E73034D"/>
    <w:rsid w:val="0ECD5D4E"/>
    <w:rsid w:val="0F136D29"/>
    <w:rsid w:val="0F13775A"/>
    <w:rsid w:val="0F5F45FE"/>
    <w:rsid w:val="0F973CE2"/>
    <w:rsid w:val="0F9A112B"/>
    <w:rsid w:val="106D2F64"/>
    <w:rsid w:val="10B63710"/>
    <w:rsid w:val="10F10820"/>
    <w:rsid w:val="111C2F7A"/>
    <w:rsid w:val="11665CA1"/>
    <w:rsid w:val="117E773A"/>
    <w:rsid w:val="1290624C"/>
    <w:rsid w:val="12FE7E10"/>
    <w:rsid w:val="13951726"/>
    <w:rsid w:val="14396509"/>
    <w:rsid w:val="146934F1"/>
    <w:rsid w:val="14DD2C3C"/>
    <w:rsid w:val="16087E1D"/>
    <w:rsid w:val="17701D14"/>
    <w:rsid w:val="17735226"/>
    <w:rsid w:val="17B374D3"/>
    <w:rsid w:val="183724E4"/>
    <w:rsid w:val="189F624C"/>
    <w:rsid w:val="18EC1394"/>
    <w:rsid w:val="19427323"/>
    <w:rsid w:val="1A1C66C0"/>
    <w:rsid w:val="1A2C2022"/>
    <w:rsid w:val="1A42393B"/>
    <w:rsid w:val="1A976739"/>
    <w:rsid w:val="1AAD45DE"/>
    <w:rsid w:val="1B046F80"/>
    <w:rsid w:val="1B3267B5"/>
    <w:rsid w:val="1B40161D"/>
    <w:rsid w:val="1B441859"/>
    <w:rsid w:val="1B6606B1"/>
    <w:rsid w:val="1C5E7925"/>
    <w:rsid w:val="1C7D5E6D"/>
    <w:rsid w:val="1CA547E5"/>
    <w:rsid w:val="1CA934AA"/>
    <w:rsid w:val="1CE811EA"/>
    <w:rsid w:val="1CFD070F"/>
    <w:rsid w:val="1D5F6196"/>
    <w:rsid w:val="1D6132A5"/>
    <w:rsid w:val="1D8E56D5"/>
    <w:rsid w:val="1DE709FD"/>
    <w:rsid w:val="1E7A43DA"/>
    <w:rsid w:val="1ECF5A4C"/>
    <w:rsid w:val="1F966239"/>
    <w:rsid w:val="1FE7539E"/>
    <w:rsid w:val="1FFE7BD7"/>
    <w:rsid w:val="2059498F"/>
    <w:rsid w:val="20671BE0"/>
    <w:rsid w:val="20963CB8"/>
    <w:rsid w:val="20A81A1B"/>
    <w:rsid w:val="20B07FB6"/>
    <w:rsid w:val="20B646FB"/>
    <w:rsid w:val="21384FBF"/>
    <w:rsid w:val="213B74B1"/>
    <w:rsid w:val="215A2310"/>
    <w:rsid w:val="21DE318A"/>
    <w:rsid w:val="21EF5B80"/>
    <w:rsid w:val="21F13438"/>
    <w:rsid w:val="22576990"/>
    <w:rsid w:val="22A44098"/>
    <w:rsid w:val="22B40DF6"/>
    <w:rsid w:val="22F47480"/>
    <w:rsid w:val="23DE1C48"/>
    <w:rsid w:val="240210CD"/>
    <w:rsid w:val="24BF09F7"/>
    <w:rsid w:val="252D53FE"/>
    <w:rsid w:val="258264EF"/>
    <w:rsid w:val="25EC2D81"/>
    <w:rsid w:val="277057A2"/>
    <w:rsid w:val="27F41D6C"/>
    <w:rsid w:val="28E026ED"/>
    <w:rsid w:val="29206EB8"/>
    <w:rsid w:val="292509ED"/>
    <w:rsid w:val="29595666"/>
    <w:rsid w:val="295F7321"/>
    <w:rsid w:val="29874881"/>
    <w:rsid w:val="29E325E0"/>
    <w:rsid w:val="2A452503"/>
    <w:rsid w:val="2B8A1CFE"/>
    <w:rsid w:val="2BA936A8"/>
    <w:rsid w:val="2BBC3F01"/>
    <w:rsid w:val="2C112FDA"/>
    <w:rsid w:val="2C315A5A"/>
    <w:rsid w:val="2C4B1C25"/>
    <w:rsid w:val="2D9E56F5"/>
    <w:rsid w:val="2DB3256D"/>
    <w:rsid w:val="2E667F96"/>
    <w:rsid w:val="2E8226AB"/>
    <w:rsid w:val="2F04602B"/>
    <w:rsid w:val="2FAD4000"/>
    <w:rsid w:val="2FD065E6"/>
    <w:rsid w:val="2FD96870"/>
    <w:rsid w:val="305772D8"/>
    <w:rsid w:val="30580BC9"/>
    <w:rsid w:val="311E2ED7"/>
    <w:rsid w:val="315619EE"/>
    <w:rsid w:val="315C449C"/>
    <w:rsid w:val="31B82709"/>
    <w:rsid w:val="31D05482"/>
    <w:rsid w:val="323B3B69"/>
    <w:rsid w:val="32400B34"/>
    <w:rsid w:val="328001FF"/>
    <w:rsid w:val="329C47A2"/>
    <w:rsid w:val="329E6876"/>
    <w:rsid w:val="33242316"/>
    <w:rsid w:val="333015F2"/>
    <w:rsid w:val="334B6320"/>
    <w:rsid w:val="3371024C"/>
    <w:rsid w:val="33D934D4"/>
    <w:rsid w:val="33FE2F6A"/>
    <w:rsid w:val="340E07E5"/>
    <w:rsid w:val="34235BF7"/>
    <w:rsid w:val="344F6495"/>
    <w:rsid w:val="358C5FA8"/>
    <w:rsid w:val="35C15DF1"/>
    <w:rsid w:val="36074A7F"/>
    <w:rsid w:val="36923549"/>
    <w:rsid w:val="369368B5"/>
    <w:rsid w:val="36B75FBF"/>
    <w:rsid w:val="36BD0C45"/>
    <w:rsid w:val="37E00298"/>
    <w:rsid w:val="38176844"/>
    <w:rsid w:val="38B302F9"/>
    <w:rsid w:val="38F12CD3"/>
    <w:rsid w:val="38F94775"/>
    <w:rsid w:val="392971ED"/>
    <w:rsid w:val="39325651"/>
    <w:rsid w:val="398D4A17"/>
    <w:rsid w:val="3A872856"/>
    <w:rsid w:val="3B3763D1"/>
    <w:rsid w:val="3C2F6E1E"/>
    <w:rsid w:val="3C4F64BA"/>
    <w:rsid w:val="3CDA245A"/>
    <w:rsid w:val="3CE108FB"/>
    <w:rsid w:val="3D1E06B7"/>
    <w:rsid w:val="3EDA0523"/>
    <w:rsid w:val="3FEA596B"/>
    <w:rsid w:val="407A6407"/>
    <w:rsid w:val="40A74862"/>
    <w:rsid w:val="4200449D"/>
    <w:rsid w:val="423A3BCC"/>
    <w:rsid w:val="424E57D2"/>
    <w:rsid w:val="42B26C49"/>
    <w:rsid w:val="433A6FE6"/>
    <w:rsid w:val="43480868"/>
    <w:rsid w:val="4350713C"/>
    <w:rsid w:val="436653E0"/>
    <w:rsid w:val="43C4431A"/>
    <w:rsid w:val="44322A62"/>
    <w:rsid w:val="44B951CC"/>
    <w:rsid w:val="44CD14E0"/>
    <w:rsid w:val="44F20B0B"/>
    <w:rsid w:val="452E5F4C"/>
    <w:rsid w:val="45612018"/>
    <w:rsid w:val="458946E9"/>
    <w:rsid w:val="45A47C0E"/>
    <w:rsid w:val="46577FD6"/>
    <w:rsid w:val="46D955A7"/>
    <w:rsid w:val="47133957"/>
    <w:rsid w:val="47A07E0C"/>
    <w:rsid w:val="47DE3010"/>
    <w:rsid w:val="482214BC"/>
    <w:rsid w:val="4870272E"/>
    <w:rsid w:val="49DC7715"/>
    <w:rsid w:val="4A023139"/>
    <w:rsid w:val="4A695228"/>
    <w:rsid w:val="4A7B576F"/>
    <w:rsid w:val="4AF561A9"/>
    <w:rsid w:val="4C4A0649"/>
    <w:rsid w:val="4C542034"/>
    <w:rsid w:val="4C7E5ECA"/>
    <w:rsid w:val="4C876AA5"/>
    <w:rsid w:val="4D0E00FB"/>
    <w:rsid w:val="4D176606"/>
    <w:rsid w:val="4D3245B5"/>
    <w:rsid w:val="4D484C6C"/>
    <w:rsid w:val="4DEC4FB0"/>
    <w:rsid w:val="4E075D8A"/>
    <w:rsid w:val="4EC00FAD"/>
    <w:rsid w:val="4F695BD0"/>
    <w:rsid w:val="4F9843DC"/>
    <w:rsid w:val="4FC62A8C"/>
    <w:rsid w:val="4FE20F0D"/>
    <w:rsid w:val="4FE51552"/>
    <w:rsid w:val="50504C4B"/>
    <w:rsid w:val="509C6E7C"/>
    <w:rsid w:val="512E2F76"/>
    <w:rsid w:val="5162104E"/>
    <w:rsid w:val="52A46842"/>
    <w:rsid w:val="530C1261"/>
    <w:rsid w:val="53A039CC"/>
    <w:rsid w:val="53A1505A"/>
    <w:rsid w:val="54063E08"/>
    <w:rsid w:val="543437E8"/>
    <w:rsid w:val="54F73313"/>
    <w:rsid w:val="54F80955"/>
    <w:rsid w:val="555170A7"/>
    <w:rsid w:val="5587536D"/>
    <w:rsid w:val="559B174B"/>
    <w:rsid w:val="55CE0CF4"/>
    <w:rsid w:val="56160BFE"/>
    <w:rsid w:val="56B22A9C"/>
    <w:rsid w:val="5705745D"/>
    <w:rsid w:val="57212723"/>
    <w:rsid w:val="57B72A76"/>
    <w:rsid w:val="57C3426C"/>
    <w:rsid w:val="57CE1F93"/>
    <w:rsid w:val="588743D1"/>
    <w:rsid w:val="5887701A"/>
    <w:rsid w:val="59C0439F"/>
    <w:rsid w:val="59F02BEC"/>
    <w:rsid w:val="5ABE2233"/>
    <w:rsid w:val="5B904113"/>
    <w:rsid w:val="5BDF5D95"/>
    <w:rsid w:val="5BFE7528"/>
    <w:rsid w:val="5D525BD4"/>
    <w:rsid w:val="5E2467F1"/>
    <w:rsid w:val="5E705B43"/>
    <w:rsid w:val="5F1A2B43"/>
    <w:rsid w:val="5F5C5FB8"/>
    <w:rsid w:val="5FB837BB"/>
    <w:rsid w:val="60CC405A"/>
    <w:rsid w:val="61E215D8"/>
    <w:rsid w:val="621B3775"/>
    <w:rsid w:val="62364782"/>
    <w:rsid w:val="6394356A"/>
    <w:rsid w:val="63C61B2C"/>
    <w:rsid w:val="63D40BE9"/>
    <w:rsid w:val="64102431"/>
    <w:rsid w:val="64A5243A"/>
    <w:rsid w:val="64D45ABA"/>
    <w:rsid w:val="64F531DE"/>
    <w:rsid w:val="65373578"/>
    <w:rsid w:val="656A3DF5"/>
    <w:rsid w:val="6688644D"/>
    <w:rsid w:val="671F124A"/>
    <w:rsid w:val="67330773"/>
    <w:rsid w:val="677A33C6"/>
    <w:rsid w:val="681F6961"/>
    <w:rsid w:val="68610A2F"/>
    <w:rsid w:val="68805514"/>
    <w:rsid w:val="689C380B"/>
    <w:rsid w:val="69316E2F"/>
    <w:rsid w:val="694E2071"/>
    <w:rsid w:val="694E61D4"/>
    <w:rsid w:val="69766163"/>
    <w:rsid w:val="697A3B33"/>
    <w:rsid w:val="697E7479"/>
    <w:rsid w:val="69D44760"/>
    <w:rsid w:val="69F30C7F"/>
    <w:rsid w:val="6A520EC7"/>
    <w:rsid w:val="6A6555DC"/>
    <w:rsid w:val="6AF20F8C"/>
    <w:rsid w:val="6AF87E20"/>
    <w:rsid w:val="6B322639"/>
    <w:rsid w:val="6C636C38"/>
    <w:rsid w:val="6D2B14AA"/>
    <w:rsid w:val="6DB34098"/>
    <w:rsid w:val="6DB545B6"/>
    <w:rsid w:val="6DE02FB4"/>
    <w:rsid w:val="6E2D20FE"/>
    <w:rsid w:val="6E415F04"/>
    <w:rsid w:val="6E514CED"/>
    <w:rsid w:val="6EB563D5"/>
    <w:rsid w:val="6ED92677"/>
    <w:rsid w:val="6F225983"/>
    <w:rsid w:val="6FFC5590"/>
    <w:rsid w:val="703F5918"/>
    <w:rsid w:val="706D1DD0"/>
    <w:rsid w:val="70856B87"/>
    <w:rsid w:val="70D527EE"/>
    <w:rsid w:val="711E638B"/>
    <w:rsid w:val="715B5300"/>
    <w:rsid w:val="71A4788D"/>
    <w:rsid w:val="71D27F8A"/>
    <w:rsid w:val="722652B6"/>
    <w:rsid w:val="72553024"/>
    <w:rsid w:val="73122968"/>
    <w:rsid w:val="731F5D5E"/>
    <w:rsid w:val="732E7097"/>
    <w:rsid w:val="73BF1FC1"/>
    <w:rsid w:val="73C51AD5"/>
    <w:rsid w:val="741E793C"/>
    <w:rsid w:val="745E3944"/>
    <w:rsid w:val="74864F95"/>
    <w:rsid w:val="7635099D"/>
    <w:rsid w:val="77762421"/>
    <w:rsid w:val="77B56B1F"/>
    <w:rsid w:val="780F09F4"/>
    <w:rsid w:val="78A90480"/>
    <w:rsid w:val="7A194C28"/>
    <w:rsid w:val="7A364017"/>
    <w:rsid w:val="7A8265E1"/>
    <w:rsid w:val="7B686D42"/>
    <w:rsid w:val="7B841746"/>
    <w:rsid w:val="7BB6113D"/>
    <w:rsid w:val="7C0B11B3"/>
    <w:rsid w:val="7C5C70AB"/>
    <w:rsid w:val="7C6C5AC7"/>
    <w:rsid w:val="7CC6544B"/>
    <w:rsid w:val="7D0239FF"/>
    <w:rsid w:val="7D087552"/>
    <w:rsid w:val="7D5E40CD"/>
    <w:rsid w:val="7DCD56F2"/>
    <w:rsid w:val="7E202C86"/>
    <w:rsid w:val="7E297B6D"/>
    <w:rsid w:val="7E6C008D"/>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iPriority="1"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tabs>
        <w:tab w:val="left" w:pos="360"/>
        <w:tab w:val="left" w:pos="432"/>
        <w:tab w:val="left" w:pos="576"/>
      </w:tabs>
      <w:spacing w:before="260" w:after="240" w:afterLines="100"/>
      <w:outlineLvl w:val="1"/>
    </w:pPr>
    <w:rPr>
      <w:rFonts w:ascii="Arial" w:hAnsi="Arial" w:eastAsia="黑体"/>
      <w:bCs/>
      <w:sz w:val="28"/>
      <w:szCs w:val="32"/>
      <w:lang w:val="en-US" w:eastAsia="zh-CN" w:bidi="ar-SA"/>
    </w:rPr>
  </w:style>
  <w:style w:type="paragraph" w:styleId="6">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unhideWhenUsed/>
    <w:qFormat/>
    <w:locked/>
    <w:uiPriority w:val="1"/>
    <w:pPr>
      <w:ind w:left="217"/>
      <w:outlineLvl w:val="3"/>
    </w:pPr>
    <w:rPr>
      <w:rFonts w:hint="eastAsia"/>
      <w:b/>
      <w:sz w:val="24"/>
      <w:szCs w:val="24"/>
    </w:rPr>
  </w:style>
  <w:style w:type="paragraph" w:styleId="8">
    <w:name w:val="heading 5"/>
    <w:basedOn w:val="1"/>
    <w:next w:val="1"/>
    <w:qFormat/>
    <w:locked/>
    <w:uiPriority w:val="0"/>
    <w:pPr>
      <w:widowControl w:val="0"/>
      <w:numPr>
        <w:ilvl w:val="4"/>
        <w:numId w:val="1"/>
      </w:numPr>
      <w:tabs>
        <w:tab w:val="left" w:pos="289"/>
      </w:tabs>
      <w:adjustRightInd/>
      <w:snapToGrid/>
      <w:spacing w:before="25" w:after="25"/>
      <w:ind w:left="0" w:firstLine="200"/>
      <w:outlineLvl w:val="4"/>
    </w:pPr>
    <w:rPr>
      <w:rFonts w:ascii="Times New Roman" w:hAnsi="Times New Roman" w:eastAsia="宋体" w:cs="Times New Roman"/>
      <w:bCs/>
      <w:color w:val="000000"/>
      <w:kern w:val="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0"/>
    <w:pPr>
      <w:ind w:firstLine="420"/>
    </w:pPr>
    <w:rPr>
      <w:rFonts w:ascii="Calibri"/>
      <w:szCs w:val="24"/>
    </w:rPr>
  </w:style>
  <w:style w:type="paragraph" w:styleId="3">
    <w:name w:val="Body Text Indent"/>
    <w:basedOn w:val="1"/>
    <w:link w:val="34"/>
    <w:qFormat/>
    <w:uiPriority w:val="0"/>
    <w:pPr>
      <w:spacing w:after="120"/>
      <w:ind w:left="420" w:leftChars="200"/>
    </w:pPr>
    <w:rPr>
      <w:kern w:val="0"/>
      <w:sz w:val="24"/>
      <w:szCs w:val="20"/>
    </w:rPr>
  </w:style>
  <w:style w:type="paragraph" w:styleId="9">
    <w:name w:val="Normal Indent"/>
    <w:basedOn w:val="1"/>
    <w:qFormat/>
    <w:locked/>
    <w:uiPriority w:val="0"/>
    <w:pPr>
      <w:adjustRightInd w:val="0"/>
      <w:snapToGrid w:val="0"/>
      <w:spacing w:line="360" w:lineRule="auto"/>
      <w:ind w:firstLine="200" w:firstLineChars="200"/>
      <w:jc w:val="left"/>
    </w:pPr>
    <w:rPr>
      <w:szCs w:val="20"/>
    </w:rPr>
  </w:style>
  <w:style w:type="paragraph" w:styleId="10">
    <w:name w:val="annotation text"/>
    <w:basedOn w:val="1"/>
    <w:link w:val="32"/>
    <w:semiHidden/>
    <w:qFormat/>
    <w:uiPriority w:val="0"/>
    <w:pPr>
      <w:jc w:val="left"/>
    </w:pPr>
    <w:rPr>
      <w:kern w:val="0"/>
      <w:sz w:val="24"/>
      <w:szCs w:val="20"/>
    </w:rPr>
  </w:style>
  <w:style w:type="paragraph" w:styleId="11">
    <w:name w:val="Body Text"/>
    <w:basedOn w:val="1"/>
    <w:next w:val="1"/>
    <w:link w:val="33"/>
    <w:qFormat/>
    <w:uiPriority w:val="0"/>
    <w:pPr>
      <w:widowControl/>
      <w:snapToGrid w:val="0"/>
      <w:spacing w:before="60" w:after="160" w:line="259" w:lineRule="auto"/>
      <w:ind w:right="113"/>
    </w:pPr>
    <w:rPr>
      <w:kern w:val="0"/>
      <w:sz w:val="18"/>
      <w:szCs w:val="20"/>
    </w:rPr>
  </w:style>
  <w:style w:type="paragraph" w:styleId="12">
    <w:name w:val="Plain Text"/>
    <w:basedOn w:val="1"/>
    <w:next w:val="1"/>
    <w:qFormat/>
    <w:locked/>
    <w:uiPriority w:val="0"/>
    <w:pPr>
      <w:spacing w:line="240" w:lineRule="auto"/>
      <w:ind w:firstLine="200" w:firstLineChars="200"/>
    </w:pPr>
    <w:rPr>
      <w:rFonts w:ascii="宋体" w:hAnsi="Courier New" w:cs="Courier New"/>
      <w:sz w:val="21"/>
      <w:szCs w:val="21"/>
    </w:rPr>
  </w:style>
  <w:style w:type="paragraph" w:styleId="13">
    <w:name w:val="Date"/>
    <w:basedOn w:val="1"/>
    <w:next w:val="1"/>
    <w:link w:val="35"/>
    <w:qFormat/>
    <w:uiPriority w:val="0"/>
    <w:pPr>
      <w:ind w:left="100" w:leftChars="2500"/>
    </w:pPr>
    <w:rPr>
      <w:kern w:val="0"/>
      <w:sz w:val="24"/>
      <w:szCs w:val="20"/>
    </w:rPr>
  </w:style>
  <w:style w:type="paragraph" w:styleId="14">
    <w:name w:val="Balloon Text"/>
    <w:basedOn w:val="1"/>
    <w:link w:val="36"/>
    <w:semiHidden/>
    <w:qFormat/>
    <w:uiPriority w:val="0"/>
    <w:rPr>
      <w:kern w:val="0"/>
      <w:sz w:val="18"/>
      <w:szCs w:val="20"/>
    </w:rPr>
  </w:style>
  <w:style w:type="paragraph" w:styleId="15">
    <w:name w:val="footer"/>
    <w:basedOn w:val="1"/>
    <w:link w:val="37"/>
    <w:qFormat/>
    <w:uiPriority w:val="99"/>
    <w:pPr>
      <w:tabs>
        <w:tab w:val="center" w:pos="4153"/>
        <w:tab w:val="right" w:pos="8306"/>
      </w:tabs>
      <w:snapToGrid w:val="0"/>
      <w:jc w:val="left"/>
    </w:pPr>
    <w:rPr>
      <w:kern w:val="0"/>
      <w:sz w:val="18"/>
      <w:szCs w:val="20"/>
    </w:rPr>
  </w:style>
  <w:style w:type="paragraph" w:styleId="16">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toc 1"/>
    <w:basedOn w:val="1"/>
    <w:next w:val="1"/>
    <w:qFormat/>
    <w:locked/>
    <w:uiPriority w:val="0"/>
  </w:style>
  <w:style w:type="paragraph" w:styleId="18">
    <w:name w:val="toc 2"/>
    <w:basedOn w:val="1"/>
    <w:next w:val="1"/>
    <w:qFormat/>
    <w:locked/>
    <w:uiPriority w:val="0"/>
    <w:pPr>
      <w:ind w:left="420" w:leftChars="200"/>
    </w:pPr>
  </w:style>
  <w:style w:type="paragraph" w:styleId="19">
    <w:name w:val="Normal (Web)"/>
    <w:basedOn w:val="1"/>
    <w:link w:val="39"/>
    <w:qFormat/>
    <w:uiPriority w:val="0"/>
    <w:pPr>
      <w:widowControl/>
      <w:spacing w:before="100" w:beforeAutospacing="1" w:after="100" w:afterAutospacing="1"/>
      <w:jc w:val="left"/>
    </w:pPr>
    <w:rPr>
      <w:rFonts w:ascii="宋体" w:hAnsi="宋体"/>
      <w:kern w:val="0"/>
      <w:sz w:val="24"/>
      <w:szCs w:val="20"/>
    </w:rPr>
  </w:style>
  <w:style w:type="paragraph" w:styleId="20">
    <w:name w:val="annotation subject"/>
    <w:basedOn w:val="10"/>
    <w:next w:val="10"/>
    <w:link w:val="40"/>
    <w:semiHidden/>
    <w:qFormat/>
    <w:uiPriority w:val="0"/>
    <w:rPr>
      <w:b/>
    </w:rPr>
  </w:style>
  <w:style w:type="paragraph" w:styleId="21">
    <w:name w:val="Body Text First Indent"/>
    <w:basedOn w:val="11"/>
    <w:next w:val="1"/>
    <w:link w:val="58"/>
    <w:qFormat/>
    <w:locked/>
    <w:uiPriority w:val="0"/>
    <w:pPr>
      <w:ind w:firstLine="420" w:firstLineChars="100"/>
    </w:pPr>
    <w:rPr>
      <w:szCs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rPr>
  </w:style>
  <w:style w:type="character" w:styleId="26">
    <w:name w:val="page number"/>
    <w:basedOn w:val="24"/>
    <w:qFormat/>
    <w:locked/>
    <w:uiPriority w:val="0"/>
  </w:style>
  <w:style w:type="character" w:styleId="27">
    <w:name w:val="Hyperlink"/>
    <w:basedOn w:val="24"/>
    <w:qFormat/>
    <w:locked/>
    <w:uiPriority w:val="0"/>
    <w:rPr>
      <w:color w:val="0000FF"/>
      <w:u w:val="single"/>
    </w:rPr>
  </w:style>
  <w:style w:type="character" w:styleId="28">
    <w:name w:val="annotation reference"/>
    <w:semiHidden/>
    <w:qFormat/>
    <w:uiPriority w:val="0"/>
    <w:rPr>
      <w:sz w:val="21"/>
    </w:rPr>
  </w:style>
  <w:style w:type="paragraph" w:customStyle="1" w:styleId="29">
    <w:name w:val="Default"/>
    <w:basedOn w:val="30"/>
    <w:qFormat/>
    <w:uiPriority w:val="0"/>
    <w:pPr>
      <w:widowControl w:val="0"/>
      <w:autoSpaceDE w:val="0"/>
      <w:autoSpaceDN w:val="0"/>
      <w:adjustRightInd w:val="0"/>
    </w:pPr>
    <w:rPr>
      <w:rFonts w:ascii="方正小标宋_GBK" w:hAnsi="Times New Roman" w:eastAsia="方正小标宋_GBK" w:cs="方正小标宋_GBK"/>
      <w:color w:val="000000"/>
      <w:sz w:val="24"/>
      <w:szCs w:val="24"/>
      <w:lang w:val="en-US" w:eastAsia="zh-CN" w:bidi="ar-SA"/>
    </w:rPr>
  </w:style>
  <w:style w:type="paragraph" w:customStyle="1" w:styleId="30">
    <w:name w:val="纯文本1"/>
    <w:qFormat/>
    <w:uiPriority w:val="0"/>
    <w:pPr>
      <w:widowControl w:val="0"/>
      <w:adjustRightInd w:val="0"/>
      <w:jc w:val="both"/>
    </w:pPr>
    <w:rPr>
      <w:rFonts w:ascii="宋体" w:hAnsi="Courier New" w:eastAsia="宋体" w:cs="Times New Roman"/>
      <w:kern w:val="2"/>
      <w:sz w:val="21"/>
      <w:lang w:val="en-US" w:eastAsia="zh-CN" w:bidi="ar-SA"/>
    </w:rPr>
  </w:style>
  <w:style w:type="paragraph" w:customStyle="1" w:styleId="31">
    <w:name w:val="xl27"/>
    <w:basedOn w:val="1"/>
    <w:qFormat/>
    <w:uiPriority w:val="0"/>
    <w:pPr>
      <w:widowControl/>
      <w:pBdr>
        <w:top w:val="single" w:color="auto" w:sz="12" w:space="0"/>
        <w:left w:val="single" w:color="auto" w:sz="4" w:space="0"/>
        <w:bottom w:val="single" w:color="auto" w:sz="4" w:space="0"/>
        <w:right w:val="single" w:color="auto" w:sz="4" w:space="0"/>
      </w:pBdr>
      <w:shd w:val="clear" w:color="auto" w:fill="CCCCFF"/>
      <w:spacing w:before="100" w:beforeAutospacing="1" w:after="100" w:afterAutospacing="1"/>
      <w:jc w:val="center"/>
    </w:pPr>
    <w:rPr>
      <w:rFonts w:ascii="宋体" w:hAnsi="宋体"/>
      <w:kern w:val="0"/>
      <w:sz w:val="24"/>
    </w:rPr>
  </w:style>
  <w:style w:type="character" w:customStyle="1" w:styleId="32">
    <w:name w:val="批注文字 字符"/>
    <w:link w:val="10"/>
    <w:qFormat/>
    <w:locked/>
    <w:uiPriority w:val="0"/>
    <w:rPr>
      <w:rFonts w:ascii="Times New Roman" w:hAnsi="Times New Roman" w:eastAsia="宋体"/>
      <w:sz w:val="24"/>
    </w:rPr>
  </w:style>
  <w:style w:type="character" w:customStyle="1" w:styleId="33">
    <w:name w:val="正文文本 字符"/>
    <w:link w:val="11"/>
    <w:qFormat/>
    <w:locked/>
    <w:uiPriority w:val="0"/>
    <w:rPr>
      <w:sz w:val="18"/>
    </w:rPr>
  </w:style>
  <w:style w:type="character" w:customStyle="1" w:styleId="34">
    <w:name w:val="正文文本缩进 字符"/>
    <w:link w:val="3"/>
    <w:semiHidden/>
    <w:qFormat/>
    <w:locked/>
    <w:uiPriority w:val="0"/>
    <w:rPr>
      <w:rFonts w:ascii="Times New Roman" w:hAnsi="Times New Roman" w:eastAsia="宋体"/>
      <w:sz w:val="24"/>
    </w:rPr>
  </w:style>
  <w:style w:type="character" w:customStyle="1" w:styleId="35">
    <w:name w:val="日期 字符1"/>
    <w:link w:val="13"/>
    <w:qFormat/>
    <w:locked/>
    <w:uiPriority w:val="0"/>
    <w:rPr>
      <w:rFonts w:ascii="Times New Roman" w:hAnsi="Times New Roman" w:eastAsia="宋体"/>
      <w:sz w:val="24"/>
    </w:rPr>
  </w:style>
  <w:style w:type="character" w:customStyle="1" w:styleId="36">
    <w:name w:val="批注框文本 字符"/>
    <w:link w:val="14"/>
    <w:semiHidden/>
    <w:qFormat/>
    <w:locked/>
    <w:uiPriority w:val="0"/>
    <w:rPr>
      <w:rFonts w:ascii="Times New Roman" w:hAnsi="Times New Roman" w:eastAsia="宋体"/>
      <w:sz w:val="18"/>
    </w:rPr>
  </w:style>
  <w:style w:type="character" w:customStyle="1" w:styleId="37">
    <w:name w:val="页脚 字符1"/>
    <w:link w:val="15"/>
    <w:qFormat/>
    <w:locked/>
    <w:uiPriority w:val="99"/>
    <w:rPr>
      <w:sz w:val="18"/>
    </w:rPr>
  </w:style>
  <w:style w:type="character" w:customStyle="1" w:styleId="38">
    <w:name w:val="页眉 字符"/>
    <w:link w:val="16"/>
    <w:qFormat/>
    <w:locked/>
    <w:uiPriority w:val="0"/>
    <w:rPr>
      <w:sz w:val="18"/>
    </w:rPr>
  </w:style>
  <w:style w:type="character" w:customStyle="1" w:styleId="39">
    <w:name w:val="普通(网站) 字符"/>
    <w:link w:val="19"/>
    <w:qFormat/>
    <w:locked/>
    <w:uiPriority w:val="0"/>
    <w:rPr>
      <w:rFonts w:ascii="宋体" w:hAnsi="宋体" w:eastAsia="宋体"/>
      <w:sz w:val="24"/>
    </w:rPr>
  </w:style>
  <w:style w:type="character" w:customStyle="1" w:styleId="40">
    <w:name w:val="批注主题 字符"/>
    <w:link w:val="20"/>
    <w:semiHidden/>
    <w:qFormat/>
    <w:locked/>
    <w:uiPriority w:val="0"/>
    <w:rPr>
      <w:rFonts w:ascii="Times New Roman" w:hAnsi="Times New Roman" w:eastAsia="宋体"/>
      <w:b/>
      <w:kern w:val="2"/>
      <w:sz w:val="24"/>
    </w:rPr>
  </w:style>
  <w:style w:type="character" w:customStyle="1" w:styleId="41">
    <w:name w:val="页脚 字符"/>
    <w:basedOn w:val="24"/>
    <w:qFormat/>
    <w:uiPriority w:val="99"/>
  </w:style>
  <w:style w:type="character" w:customStyle="1" w:styleId="42">
    <w:name w:val="正文文本 字符1"/>
    <w:semiHidden/>
    <w:qFormat/>
    <w:uiPriority w:val="0"/>
    <w:rPr>
      <w:rFonts w:ascii="Times New Roman" w:hAnsi="Times New Roman" w:eastAsia="宋体"/>
      <w:sz w:val="24"/>
    </w:rPr>
  </w:style>
  <w:style w:type="character" w:customStyle="1" w:styleId="43">
    <w:name w:val="表格 Char"/>
    <w:link w:val="44"/>
    <w:qFormat/>
    <w:locked/>
    <w:uiPriority w:val="0"/>
    <w:rPr>
      <w:rFonts w:ascii="宋体"/>
      <w:sz w:val="21"/>
    </w:rPr>
  </w:style>
  <w:style w:type="paragraph" w:customStyle="1" w:styleId="44">
    <w:name w:val="表格"/>
    <w:basedOn w:val="1"/>
    <w:next w:val="1"/>
    <w:link w:val="43"/>
    <w:qFormat/>
    <w:uiPriority w:val="0"/>
    <w:pPr>
      <w:adjustRightInd w:val="0"/>
      <w:snapToGrid w:val="0"/>
      <w:spacing w:beforeLines="10" w:afterLines="10" w:line="259" w:lineRule="auto"/>
      <w:jc w:val="center"/>
    </w:pPr>
    <w:rPr>
      <w:rFonts w:ascii="宋体"/>
      <w:kern w:val="0"/>
      <w:szCs w:val="20"/>
    </w:rPr>
  </w:style>
  <w:style w:type="character" w:customStyle="1" w:styleId="45">
    <w:name w:val="日期 字符"/>
    <w:semiHidden/>
    <w:qFormat/>
    <w:uiPriority w:val="0"/>
    <w:rPr>
      <w:rFonts w:ascii="Times New Roman" w:hAnsi="Times New Roman" w:eastAsia="宋体"/>
      <w:sz w:val="24"/>
    </w:rPr>
  </w:style>
  <w:style w:type="character" w:customStyle="1" w:styleId="46">
    <w:name w:val="批注文字 字符1"/>
    <w:semiHidden/>
    <w:qFormat/>
    <w:uiPriority w:val="0"/>
    <w:rPr>
      <w:rFonts w:ascii="Times New Roman" w:hAnsi="Times New Roman" w:eastAsia="宋体"/>
      <w:sz w:val="24"/>
    </w:rPr>
  </w:style>
  <w:style w:type="paragraph" w:customStyle="1" w:styleId="4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9">
    <w:name w:val="Table Paragraph"/>
    <w:basedOn w:val="1"/>
    <w:qFormat/>
    <w:uiPriority w:val="1"/>
  </w:style>
  <w:style w:type="paragraph" w:customStyle="1" w:styleId="50">
    <w:name w:val="表格正文"/>
    <w:basedOn w:val="51"/>
    <w:next w:val="1"/>
    <w:qFormat/>
    <w:uiPriority w:val="0"/>
    <w:pPr>
      <w:spacing w:before="20" w:beforeLines="20" w:after="20" w:afterLines="20"/>
    </w:pPr>
    <w:rPr>
      <w:kern w:val="2"/>
    </w:rPr>
  </w:style>
  <w:style w:type="paragraph" w:customStyle="1" w:styleId="51">
    <w:name w:val="表格格式"/>
    <w:basedOn w:val="1"/>
    <w:qFormat/>
    <w:uiPriority w:val="0"/>
    <w:pPr>
      <w:jc w:val="center"/>
    </w:pPr>
    <w:rPr>
      <w:b/>
      <w:kern w:val="0"/>
      <w:szCs w:val="21"/>
    </w:rPr>
  </w:style>
  <w:style w:type="paragraph" w:customStyle="1" w:styleId="52">
    <w:name w:val="报告正文"/>
    <w:basedOn w:val="1"/>
    <w:qFormat/>
    <w:uiPriority w:val="0"/>
    <w:pPr>
      <w:adjustRightInd w:val="0"/>
      <w:spacing w:after="120" w:line="360" w:lineRule="auto"/>
      <w:ind w:firstLine="510"/>
    </w:pPr>
    <w:rPr>
      <w:rFonts w:ascii="宋体" w:hAnsi="Courier New"/>
      <w:kern w:val="0"/>
      <w:sz w:val="24"/>
      <w:szCs w:val="20"/>
    </w:rPr>
  </w:style>
  <w:style w:type="paragraph" w:customStyle="1" w:styleId="53">
    <w:name w:val="A正文1"/>
    <w:basedOn w:val="1"/>
    <w:qFormat/>
    <w:uiPriority w:val="0"/>
    <w:pPr>
      <w:ind w:firstLine="480" w:firstLineChars="200"/>
    </w:pPr>
  </w:style>
  <w:style w:type="paragraph" w:customStyle="1" w:styleId="54">
    <w:name w:val="表格文字"/>
    <w:basedOn w:val="21"/>
    <w:next w:val="1"/>
    <w:qFormat/>
    <w:uiPriority w:val="0"/>
    <w:pPr>
      <w:adjustRightInd w:val="0"/>
      <w:spacing w:before="20" w:beforeLines="20" w:after="20" w:afterLines="20" w:line="240" w:lineRule="auto"/>
      <w:ind w:firstLine="0" w:firstLineChars="0"/>
      <w:jc w:val="center"/>
    </w:pPr>
    <w:rPr>
      <w:sz w:val="21"/>
    </w:rPr>
  </w:style>
  <w:style w:type="paragraph" w:customStyle="1" w:styleId="55">
    <w:name w:val="表格内容居中"/>
    <w:qFormat/>
    <w:uiPriority w:val="0"/>
    <w:pPr>
      <w:adjustRightInd w:val="0"/>
      <w:snapToGrid w:val="0"/>
      <w:jc w:val="center"/>
    </w:pPr>
    <w:rPr>
      <w:rFonts w:ascii="Times New Roman" w:hAnsi="Times New Roman" w:eastAsia="宋体" w:cs="Times New Roman"/>
      <w:snapToGrid w:val="0"/>
      <w:sz w:val="21"/>
      <w:lang w:val="en-US" w:eastAsia="zh-CN" w:bidi="ar-SA"/>
    </w:rPr>
  </w:style>
  <w:style w:type="paragraph" w:customStyle="1" w:styleId="56">
    <w:name w:val="样式 报告 + 首行缩进:  2 字符"/>
    <w:basedOn w:val="1"/>
    <w:unhideWhenUsed/>
    <w:qFormat/>
    <w:uiPriority w:val="0"/>
    <w:pPr>
      <w:widowControl/>
      <w:overflowPunct w:val="0"/>
      <w:autoSpaceDE w:val="0"/>
      <w:autoSpaceDN w:val="0"/>
      <w:adjustRightInd w:val="0"/>
      <w:spacing w:before="120" w:after="120" w:line="400" w:lineRule="atLeast"/>
      <w:ind w:firstLine="480"/>
      <w:textAlignment w:val="baseline"/>
    </w:pPr>
    <w:rPr>
      <w:kern w:val="0"/>
      <w:sz w:val="24"/>
    </w:rPr>
  </w:style>
  <w:style w:type="paragraph" w:customStyle="1" w:styleId="57">
    <w:name w:val="卓龙正文"/>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58">
    <w:name w:val="正文文本首行缩进 字符"/>
    <w:link w:val="21"/>
    <w:qFormat/>
    <w:uiPriority w:val="0"/>
    <w:rPr>
      <w:kern w:val="2"/>
      <w:sz w:val="24"/>
      <w:szCs w:val="24"/>
    </w:rPr>
  </w:style>
  <w:style w:type="paragraph" w:styleId="59">
    <w:name w:val="List Paragraph"/>
    <w:basedOn w:val="1"/>
    <w:qFormat/>
    <w:uiPriority w:val="99"/>
    <w:pPr>
      <w:ind w:firstLine="420" w:firstLineChars="200"/>
    </w:pPr>
  </w:style>
  <w:style w:type="paragraph" w:customStyle="1" w:styleId="60">
    <w:name w:val="报告表格"/>
    <w:qFormat/>
    <w:uiPriority w:val="0"/>
    <w:pPr>
      <w:widowControl w:val="0"/>
      <w:autoSpaceDE w:val="0"/>
      <w:autoSpaceDN w:val="0"/>
      <w:adjustRightInd w:val="0"/>
      <w:spacing w:before="40" w:after="40" w:line="360" w:lineRule="auto"/>
      <w:ind w:firstLine="640" w:firstLineChars="200"/>
      <w:jc w:val="center"/>
    </w:pPr>
    <w:rPr>
      <w:rFonts w:ascii="Times New Roman" w:hAnsi="Times New Roman" w:eastAsia="宋体" w:cs="Times New Roman"/>
      <w:sz w:val="21"/>
      <w:szCs w:val="24"/>
      <w:lang w:val="en-US" w:eastAsia="zh-CN" w:bidi="ar-SA"/>
    </w:rPr>
  </w:style>
  <w:style w:type="paragraph" w:customStyle="1" w:styleId="61">
    <w:name w:val="1正文"/>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2">
    <w:name w:val="1表格内容"/>
    <w:basedOn w:val="1"/>
    <w:qFormat/>
    <w:uiPriority w:val="0"/>
    <w:pPr>
      <w:widowControl/>
      <w:spacing w:line="240" w:lineRule="exact"/>
      <w:jc w:val="center"/>
    </w:pPr>
    <w:rPr>
      <w:color w:val="000000"/>
      <w:sz w:val="18"/>
      <w:szCs w:val="22"/>
    </w:rPr>
  </w:style>
  <w:style w:type="paragraph" w:customStyle="1" w:styleId="63">
    <w:name w:val="M-表头"/>
    <w:basedOn w:val="1"/>
    <w:qFormat/>
    <w:uiPriority w:val="0"/>
    <w:pPr>
      <w:widowControl/>
      <w:spacing w:line="240" w:lineRule="auto"/>
      <w:ind w:firstLine="200" w:firstLineChars="200"/>
      <w:jc w:val="center"/>
    </w:pPr>
    <w:rPr>
      <w:szCs w:val="21"/>
    </w:rPr>
  </w:style>
  <w:style w:type="paragraph" w:customStyle="1" w:styleId="64">
    <w:name w:val="表标题"/>
    <w:basedOn w:val="1"/>
    <w:qFormat/>
    <w:uiPriority w:val="0"/>
    <w:pPr>
      <w:adjustRightInd w:val="0"/>
      <w:snapToGrid w:val="0"/>
      <w:jc w:val="center"/>
    </w:pPr>
    <w:rPr>
      <w:b/>
    </w:rPr>
  </w:style>
  <w:style w:type="paragraph" w:customStyle="1" w:styleId="65">
    <w:name w:val="正文-易恒"/>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66">
    <w:name w:val="表头-易恒"/>
    <w:basedOn w:val="65"/>
    <w:next w:val="65"/>
    <w:qFormat/>
    <w:uiPriority w:val="0"/>
    <w:pPr>
      <w:spacing w:beforeLines="50" w:line="240" w:lineRule="auto"/>
      <w:ind w:firstLine="0" w:firstLineChars="0"/>
      <w:jc w:val="center"/>
    </w:pPr>
    <w:rPr>
      <w:b/>
    </w:rPr>
  </w:style>
  <w:style w:type="paragraph" w:customStyle="1" w:styleId="67">
    <w:name w:val="表格-易恒"/>
    <w:basedOn w:val="65"/>
    <w:qFormat/>
    <w:uiPriority w:val="0"/>
    <w:pPr>
      <w:spacing w:line="240" w:lineRule="auto"/>
      <w:ind w:firstLine="0" w:firstLineChars="0"/>
      <w:jc w:val="center"/>
    </w:pPr>
    <w:rPr>
      <w:sz w:val="21"/>
    </w:rPr>
  </w:style>
  <w:style w:type="paragraph" w:customStyle="1" w:styleId="68">
    <w:name w:val="正文内容"/>
    <w:basedOn w:val="1"/>
    <w:qFormat/>
    <w:uiPriority w:val="0"/>
    <w:pPr>
      <w:spacing w:line="360" w:lineRule="auto"/>
      <w:ind w:firstLine="200" w:firstLineChars="200"/>
    </w:pPr>
    <w:rPr>
      <w:kern w:val="0"/>
      <w:sz w:val="24"/>
      <w:szCs w:val="21"/>
    </w:rPr>
  </w:style>
  <w:style w:type="table" w:customStyle="1" w:styleId="69">
    <w:name w:val="Table Normal"/>
    <w:basedOn w:val="22"/>
    <w:qFormat/>
    <w:uiPriority w:val="0"/>
    <w:rPr>
      <w:rFonts w:eastAsia="Times New Roman"/>
    </w:rPr>
    <w:tblPr>
      <w:tblCellMar>
        <w:top w:w="0" w:type="dxa"/>
        <w:left w:w="0" w:type="dxa"/>
        <w:bottom w:w="0" w:type="dxa"/>
        <w:right w:w="0" w:type="dxa"/>
      </w:tblCellMar>
    </w:tblPr>
  </w:style>
  <w:style w:type="paragraph" w:customStyle="1" w:styleId="70">
    <w:name w:val="Normal"/>
    <w:qFormat/>
    <w:uiPriority w:val="0"/>
    <w:pPr>
      <w:jc w:val="both"/>
    </w:pPr>
    <w:rPr>
      <w:rFonts w:ascii="宋体" w:hAnsi="宋体" w:eastAsia="等线" w:cs="宋体"/>
      <w:kern w:val="2"/>
      <w:sz w:val="21"/>
      <w:szCs w:val="21"/>
      <w:lang w:val="en-US" w:eastAsia="zh-CN" w:bidi="ar-SA"/>
    </w:rPr>
  </w:style>
  <w:style w:type="paragraph" w:customStyle="1" w:styleId="71">
    <w:name w:val="5、正文"/>
    <w:basedOn w:val="12"/>
    <w:qFormat/>
    <w:uiPriority w:val="0"/>
    <w:rPr>
      <w:szCs w:val="21"/>
    </w:rPr>
  </w:style>
  <w:style w:type="paragraph" w:customStyle="1" w:styleId="72">
    <w:name w:val="正文2"/>
    <w:basedOn w:val="1"/>
    <w:qFormat/>
    <w:uiPriority w:val="0"/>
    <w:pPr>
      <w:spacing w:line="240" w:lineRule="auto"/>
      <w:ind w:firstLine="0" w:firstLineChars="0"/>
      <w:jc w:val="center"/>
    </w:pPr>
  </w:style>
  <w:style w:type="paragraph" w:customStyle="1" w:styleId="73">
    <w:name w:val="表文字"/>
    <w:basedOn w:val="1"/>
    <w:qFormat/>
    <w:uiPriority w:val="0"/>
    <w:pPr>
      <w:spacing w:line="240" w:lineRule="auto"/>
      <w:ind w:firstLine="0" w:firstLineChars="0"/>
      <w:jc w:val="center"/>
    </w:pPr>
    <w:rPr>
      <w:b/>
      <w:bCs/>
      <w:kern w:val="10"/>
    </w:rPr>
  </w:style>
  <w:style w:type="paragraph" w:customStyle="1" w:styleId="74">
    <w:name w:val="表格内文字"/>
    <w:qFormat/>
    <w:uiPriority w:val="0"/>
    <w:pPr>
      <w:jc w:val="center"/>
    </w:pPr>
    <w:rPr>
      <w:rFonts w:ascii="Times New Roman" w:hAnsi="Times New Roman" w:eastAsia="宋体" w:cs="宋体"/>
      <w:kern w:val="2"/>
      <w:sz w:val="21"/>
      <w:szCs w:val="21"/>
      <w:lang w:val="en-US" w:eastAsia="zh-CN" w:bidi="ar-SA"/>
    </w:rPr>
  </w:style>
  <w:style w:type="paragraph" w:customStyle="1" w:styleId="75">
    <w:name w:val="列出段落1"/>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60.png"/><Relationship Id="rId73" Type="http://schemas.openxmlformats.org/officeDocument/2006/relationships/image" Target="media/image59.png"/><Relationship Id="rId72" Type="http://schemas.openxmlformats.org/officeDocument/2006/relationships/image" Target="media/image58.png"/><Relationship Id="rId71" Type="http://schemas.openxmlformats.org/officeDocument/2006/relationships/image" Target="media/image57.png"/><Relationship Id="rId70" Type="http://schemas.openxmlformats.org/officeDocument/2006/relationships/image" Target="media/image56.png"/><Relationship Id="rId7" Type="http://schemas.openxmlformats.org/officeDocument/2006/relationships/footer" Target="footer5.xml"/><Relationship Id="rId69" Type="http://schemas.openxmlformats.org/officeDocument/2006/relationships/image" Target="media/image55.png"/><Relationship Id="rId68" Type="http://schemas.openxmlformats.org/officeDocument/2006/relationships/image" Target="media/image54.png"/><Relationship Id="rId67" Type="http://schemas.openxmlformats.org/officeDocument/2006/relationships/image" Target="media/image53.png"/><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4.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footer" Target="footer2.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jpe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122</Pages>
  <Words>50264</Words>
  <Characters>54067</Characters>
  <Lines>271</Lines>
  <Paragraphs>76</Paragraphs>
  <TotalTime>3</TotalTime>
  <ScaleCrop>false</ScaleCrop>
  <LinksUpToDate>false</LinksUpToDate>
  <CharactersWithSpaces>55611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2022-02-25T06:39:00Z</dcterms:created>
  <dc:creator>lhj</dc:creator>
  <cp:lastModifiedBy>Administrator</cp:lastModifiedBy>
  <cp:lastPrinted>2022-03-07T13:07:00Z</cp:lastPrinted>
  <dcterms:modified xsi:type="dcterms:W3CDTF">2025-05-19T08:39:25Z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C115789D6B63421A99A2425A1B25E3BA</vt:lpwstr>
  </property>
  <property fmtid="{D5CDD505-2E9C-101B-9397-08002B2CF9AE}" pid="4" name="KSOTemplateDocerSaveRecord">
    <vt:lpwstr>eyJoZGlkIjoiMjQyMTY1ODE3Y2FkYWQ1M2Q0ODk4NzBmZDU4NjE3MzgiLCJ1c2VySWQiOiIzODM4NjE4MjkifQ==</vt:lpwstr>
  </property>
</Properties>
</file>