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color w:val="auto"/>
          <w:sz w:val="36"/>
          <w:szCs w:val="36"/>
        </w:rPr>
      </w:pPr>
    </w:p>
    <w:p>
      <w:pPr>
        <w:rPr>
          <w:rFonts w:ascii="仿宋_GB2312" w:hAnsi="仿宋_GB2312" w:eastAsia="仿宋_GB2312" w:cs="仿宋_GB2312"/>
          <w:color w:val="auto"/>
          <w:sz w:val="36"/>
          <w:szCs w:val="36"/>
        </w:rPr>
      </w:pPr>
    </w:p>
    <w:p>
      <w:pPr>
        <w:rPr>
          <w:rFonts w:ascii="仿宋_GB2312" w:hAnsi="仿宋_GB2312" w:eastAsia="仿宋_GB2312" w:cs="仿宋_GB2312"/>
          <w:color w:val="auto"/>
          <w:sz w:val="36"/>
          <w:szCs w:val="36"/>
        </w:rPr>
      </w:pPr>
    </w:p>
    <w:p>
      <w:pPr>
        <w:rPr>
          <w:rFonts w:ascii="仿宋_GB2312" w:hAnsi="仿宋_GB2312" w:eastAsia="仿宋_GB2312" w:cs="仿宋_GB2312"/>
          <w:color w:val="auto"/>
          <w:sz w:val="36"/>
          <w:szCs w:val="36"/>
        </w:rPr>
      </w:pPr>
    </w:p>
    <w:p>
      <w:pPr>
        <w:adjustRightInd w:val="0"/>
        <w:snapToGrid w:val="0"/>
        <w:jc w:val="center"/>
        <w:outlineLvl w:val="0"/>
        <w:rPr>
          <w:rFonts w:ascii="方正小标宋_GBK" w:eastAsia="方正小标宋_GBK"/>
          <w:bCs/>
          <w:color w:val="auto"/>
          <w:sz w:val="72"/>
          <w:szCs w:val="72"/>
        </w:rPr>
      </w:pPr>
      <w:bookmarkStart w:id="0" w:name="_Toc15156"/>
      <w:bookmarkStart w:id="1" w:name="_Toc510"/>
      <w:bookmarkStart w:id="2" w:name="_Toc32655"/>
      <w:bookmarkStart w:id="3" w:name="_Toc32108"/>
      <w:bookmarkStart w:id="4" w:name="_Toc14192"/>
      <w:bookmarkStart w:id="5" w:name="_Toc22355"/>
      <w:r>
        <w:rPr>
          <w:rFonts w:hint="eastAsia" w:ascii="方正小标宋_GBK" w:eastAsia="方正小标宋_GBK"/>
          <w:bCs/>
          <w:color w:val="auto"/>
          <w:sz w:val="72"/>
          <w:szCs w:val="72"/>
        </w:rPr>
        <w:t>建设项目环境影响报告表</w:t>
      </w:r>
      <w:bookmarkEnd w:id="0"/>
      <w:bookmarkEnd w:id="1"/>
      <w:bookmarkEnd w:id="2"/>
      <w:bookmarkEnd w:id="3"/>
      <w:bookmarkEnd w:id="4"/>
      <w:bookmarkEnd w:id="5"/>
    </w:p>
    <w:p>
      <w:pPr>
        <w:adjustRightInd w:val="0"/>
        <w:snapToGrid w:val="0"/>
        <w:spacing w:before="192" w:beforeLines="80"/>
        <w:jc w:val="center"/>
        <w:rPr>
          <w:rFonts w:ascii="楷体_GB2312" w:eastAsia="楷体_GB2312"/>
          <w:bCs/>
          <w:color w:val="auto"/>
          <w:sz w:val="48"/>
          <w:szCs w:val="48"/>
        </w:rPr>
      </w:pPr>
      <w:r>
        <w:rPr>
          <w:rFonts w:hint="eastAsia" w:ascii="楷体_GB2312" w:eastAsia="楷体_GB2312"/>
          <w:bCs/>
          <w:color w:val="auto"/>
          <w:sz w:val="48"/>
          <w:szCs w:val="48"/>
        </w:rPr>
        <w:t>（</w:t>
      </w:r>
      <w:r>
        <w:rPr>
          <w:rFonts w:hint="default" w:ascii="楷体_GB2312" w:eastAsia="楷体_GB2312"/>
          <w:bCs/>
          <w:color w:val="auto"/>
          <w:sz w:val="48"/>
          <w:szCs w:val="48"/>
        </w:rPr>
        <w:t>生态影响</w:t>
      </w:r>
      <w:r>
        <w:rPr>
          <w:rFonts w:hint="eastAsia" w:ascii="楷体_GB2312" w:eastAsia="楷体_GB2312"/>
          <w:bCs/>
          <w:color w:val="auto"/>
          <w:sz w:val="48"/>
          <w:szCs w:val="48"/>
        </w:rPr>
        <w:t>类）</w:t>
      </w:r>
    </w:p>
    <w:p>
      <w:pPr>
        <w:adjustRightInd w:val="0"/>
        <w:snapToGrid w:val="0"/>
        <w:spacing w:line="288" w:lineRule="auto"/>
        <w:jc w:val="center"/>
        <w:rPr>
          <w:rFonts w:ascii="华文仿宋" w:hAnsi="华文仿宋" w:eastAsia="华文仿宋" w:cs="华文仿宋"/>
          <w:color w:val="auto"/>
          <w:kern w:val="44"/>
          <w:sz w:val="44"/>
          <w:szCs w:val="44"/>
        </w:rPr>
      </w:pPr>
    </w:p>
    <w:p>
      <w:pPr>
        <w:jc w:val="center"/>
        <w:rPr>
          <w:rFonts w:eastAsia="仿宋"/>
          <w:color w:val="auto"/>
          <w:sz w:val="52"/>
          <w:szCs w:val="52"/>
        </w:rPr>
      </w:pPr>
    </w:p>
    <w:p>
      <w:pPr>
        <w:ind w:firstLine="1040"/>
        <w:rPr>
          <w:rFonts w:eastAsia="仿宋"/>
          <w:color w:val="auto"/>
          <w:sz w:val="44"/>
          <w:szCs w:val="44"/>
        </w:rPr>
      </w:pPr>
    </w:p>
    <w:p>
      <w:pPr>
        <w:ind w:firstLine="1040"/>
        <w:rPr>
          <w:rFonts w:eastAsia="仿宋"/>
          <w:color w:val="auto"/>
          <w:sz w:val="44"/>
          <w:szCs w:val="44"/>
        </w:rPr>
      </w:pPr>
    </w:p>
    <w:p>
      <w:pPr>
        <w:ind w:firstLine="1040"/>
        <w:rPr>
          <w:rFonts w:eastAsia="仿宋"/>
          <w:color w:val="auto"/>
          <w:sz w:val="44"/>
          <w:szCs w:val="44"/>
        </w:rPr>
      </w:pPr>
    </w:p>
    <w:p>
      <w:pPr>
        <w:ind w:firstLine="1040"/>
        <w:rPr>
          <w:rFonts w:eastAsia="仿宋"/>
          <w:color w:val="auto"/>
          <w:sz w:val="44"/>
          <w:szCs w:val="44"/>
        </w:rPr>
      </w:pPr>
    </w:p>
    <w:p>
      <w:pPr>
        <w:adjustRightInd w:val="0"/>
        <w:snapToGrid w:val="0"/>
        <w:spacing w:line="288" w:lineRule="auto"/>
        <w:ind w:left="2159" w:leftChars="171" w:hanging="1800" w:hangingChars="500"/>
        <w:rPr>
          <w:rFonts w:hint="default" w:ascii="仿宋_GB2312" w:hAnsi="Times New Roman" w:eastAsia="仿宋_GB2312" w:cs="Times New Roman"/>
          <w:color w:val="auto"/>
          <w:sz w:val="36"/>
          <w:szCs w:val="36"/>
          <w:u w:val="single"/>
          <w:lang w:val="en-US" w:eastAsia="zh-CN"/>
        </w:rPr>
      </w:pPr>
      <w:r>
        <w:rPr>
          <w:rFonts w:hint="eastAsia" w:ascii="仿宋_GB2312" w:eastAsia="仿宋_GB2312"/>
          <w:color w:val="auto"/>
          <w:sz w:val="36"/>
          <w:szCs w:val="36"/>
        </w:rPr>
        <w:t>项目名称：</w:t>
      </w:r>
      <w:r>
        <w:rPr>
          <w:rFonts w:hint="eastAsia" w:ascii="仿宋_GB2312" w:hAnsi="Times New Roman" w:eastAsia="仿宋_GB2312" w:cs="Times New Roman"/>
          <w:color w:val="auto"/>
          <w:sz w:val="36"/>
          <w:szCs w:val="36"/>
          <w:u w:val="single"/>
          <w:lang w:val="en-US" w:eastAsia="zh-CN"/>
        </w:rPr>
        <w:t>华容县团洲垸灾后重建安置房建设项目</w:t>
      </w:r>
      <w:r>
        <w:rPr>
          <w:rFonts w:hint="eastAsia" w:ascii="仿宋_GB2312" w:eastAsia="仿宋_GB2312" w:cs="Times New Roman"/>
          <w:color w:val="auto"/>
          <w:sz w:val="36"/>
          <w:szCs w:val="36"/>
          <w:u w:val="single"/>
          <w:lang w:val="en-US" w:eastAsia="zh-CN"/>
        </w:rPr>
        <w:t xml:space="preserve">   </w:t>
      </w:r>
    </w:p>
    <w:p>
      <w:pPr>
        <w:adjustRightInd w:val="0"/>
        <w:snapToGrid w:val="0"/>
        <w:spacing w:line="288" w:lineRule="auto"/>
        <w:ind w:firstLine="360" w:firstLineChars="100"/>
        <w:rPr>
          <w:rFonts w:ascii="仿宋_GB2312" w:eastAsia="仿宋_GB2312"/>
          <w:color w:val="auto"/>
          <w:sz w:val="36"/>
          <w:szCs w:val="36"/>
          <w:u w:val="single"/>
        </w:rPr>
      </w:pPr>
      <w:r>
        <w:rPr>
          <w:rFonts w:hint="eastAsia" w:ascii="仿宋_GB2312" w:eastAsia="仿宋_GB2312"/>
          <w:color w:val="auto"/>
          <w:sz w:val="36"/>
          <w:szCs w:val="36"/>
        </w:rPr>
        <w:t>建设单位（盖章）：</w:t>
      </w:r>
      <w:r>
        <w:rPr>
          <w:rFonts w:hint="eastAsia" w:ascii="仿宋_GB2312" w:eastAsia="仿宋_GB2312"/>
          <w:color w:val="auto"/>
          <w:sz w:val="36"/>
          <w:szCs w:val="36"/>
          <w:lang w:val="en-US" w:eastAsia="zh-CN"/>
        </w:rPr>
        <w:t xml:space="preserve"> </w:t>
      </w:r>
      <w:r>
        <w:rPr>
          <w:rFonts w:hint="eastAsia" w:ascii="仿宋_GB2312" w:hAnsi="Times New Roman" w:eastAsia="仿宋_GB2312" w:cs="Times New Roman"/>
          <w:color w:val="auto"/>
          <w:sz w:val="36"/>
          <w:szCs w:val="36"/>
          <w:u w:val="single"/>
          <w:lang w:val="en-US" w:eastAsia="zh-CN"/>
        </w:rPr>
        <w:t xml:space="preserve">华容县住房和城乡建设局  </w:t>
      </w:r>
      <w:r>
        <w:rPr>
          <w:rFonts w:hint="eastAsia" w:ascii="仿宋_GB2312" w:eastAsia="仿宋_GB2312"/>
          <w:color w:val="auto"/>
          <w:sz w:val="36"/>
          <w:szCs w:val="36"/>
          <w:u w:val="single"/>
        </w:rPr>
        <w:t xml:space="preserve">                  </w:t>
      </w:r>
    </w:p>
    <w:p>
      <w:pPr>
        <w:adjustRightInd w:val="0"/>
        <w:snapToGrid w:val="0"/>
        <w:spacing w:line="288" w:lineRule="auto"/>
        <w:ind w:firstLine="360" w:firstLineChars="100"/>
        <w:rPr>
          <w:rFonts w:ascii="仿宋_GB2312" w:eastAsia="仿宋_GB2312"/>
          <w:color w:val="auto"/>
          <w:sz w:val="36"/>
          <w:szCs w:val="36"/>
          <w:u w:val="single"/>
        </w:rPr>
      </w:pPr>
      <w:r>
        <w:rPr>
          <w:rFonts w:hint="eastAsia" w:ascii="仿宋_GB2312" w:eastAsia="仿宋_GB2312"/>
          <w:color w:val="auto"/>
          <w:sz w:val="36"/>
          <w:szCs w:val="36"/>
        </w:rPr>
        <w:t>编制日期：</w:t>
      </w:r>
      <w:r>
        <w:rPr>
          <w:rFonts w:hint="eastAsia" w:ascii="仿宋_GB2312" w:eastAsia="仿宋_GB2312"/>
          <w:color w:val="auto"/>
          <w:sz w:val="36"/>
          <w:szCs w:val="36"/>
          <w:u w:val="single"/>
        </w:rPr>
        <w:t xml:space="preserve">      二〇二</w:t>
      </w:r>
      <w:r>
        <w:rPr>
          <w:rFonts w:hint="eastAsia" w:ascii="仿宋_GB2312" w:eastAsia="仿宋_GB2312"/>
          <w:color w:val="auto"/>
          <w:sz w:val="36"/>
          <w:szCs w:val="36"/>
          <w:u w:val="single"/>
          <w:lang w:val="en-US" w:eastAsia="zh-CN"/>
        </w:rPr>
        <w:t>五</w:t>
      </w:r>
      <w:r>
        <w:rPr>
          <w:rFonts w:hint="eastAsia" w:ascii="仿宋_GB2312" w:eastAsia="仿宋_GB2312"/>
          <w:color w:val="auto"/>
          <w:sz w:val="36"/>
          <w:szCs w:val="36"/>
          <w:u w:val="single"/>
        </w:rPr>
        <w:t>年</w:t>
      </w:r>
      <w:r>
        <w:rPr>
          <w:rFonts w:hint="eastAsia" w:ascii="仿宋_GB2312" w:eastAsia="仿宋_GB2312"/>
          <w:color w:val="auto"/>
          <w:sz w:val="36"/>
          <w:szCs w:val="36"/>
          <w:u w:val="single"/>
          <w:lang w:val="en-US" w:eastAsia="zh-CN"/>
        </w:rPr>
        <w:t>五</w:t>
      </w:r>
      <w:r>
        <w:rPr>
          <w:rFonts w:hint="eastAsia" w:ascii="仿宋_GB2312" w:eastAsia="仿宋_GB2312"/>
          <w:color w:val="auto"/>
          <w:sz w:val="36"/>
          <w:szCs w:val="36"/>
          <w:u w:val="single"/>
        </w:rPr>
        <w:t xml:space="preserve">月 </w:t>
      </w:r>
      <w:r>
        <w:rPr>
          <w:rFonts w:ascii="仿宋_GB2312" w:eastAsia="仿宋_GB2312"/>
          <w:color w:val="auto"/>
          <w:sz w:val="36"/>
          <w:szCs w:val="36"/>
          <w:u w:val="single"/>
        </w:rPr>
        <w:t xml:space="preserve">                         </w:t>
      </w:r>
      <w:r>
        <w:rPr>
          <w:rFonts w:hint="eastAsia" w:ascii="仿宋_GB2312" w:eastAsia="仿宋_GB2312"/>
          <w:color w:val="auto"/>
          <w:sz w:val="36"/>
          <w:szCs w:val="36"/>
          <w:u w:val="single"/>
        </w:rPr>
        <w:t xml:space="preserve"> </w:t>
      </w:r>
    </w:p>
    <w:p>
      <w:pPr>
        <w:adjustRightInd w:val="0"/>
        <w:snapToGrid w:val="0"/>
        <w:spacing w:line="288" w:lineRule="auto"/>
        <w:ind w:firstLine="1040"/>
        <w:rPr>
          <w:rFonts w:ascii="仿宋_GB2312" w:eastAsia="仿宋_GB2312"/>
          <w:color w:val="auto"/>
          <w:sz w:val="36"/>
          <w:szCs w:val="36"/>
          <w:u w:val="single"/>
        </w:rPr>
      </w:pPr>
      <w:bookmarkStart w:id="6" w:name="_Hlk57884087"/>
    </w:p>
    <w:p>
      <w:pPr>
        <w:adjustRightInd w:val="0"/>
        <w:snapToGrid w:val="0"/>
        <w:spacing w:line="288" w:lineRule="auto"/>
        <w:ind w:firstLine="1040"/>
        <w:rPr>
          <w:rFonts w:ascii="仿宋_GB2312" w:eastAsia="仿宋_GB2312"/>
          <w:color w:val="auto"/>
          <w:sz w:val="36"/>
          <w:szCs w:val="36"/>
        </w:rPr>
      </w:pPr>
    </w:p>
    <w:p>
      <w:pPr>
        <w:adjustRightInd w:val="0"/>
        <w:snapToGrid w:val="0"/>
        <w:spacing w:line="288" w:lineRule="auto"/>
        <w:ind w:firstLine="1040"/>
        <w:rPr>
          <w:rFonts w:ascii="仿宋_GB2312" w:eastAsia="仿宋_GB2312"/>
          <w:color w:val="auto"/>
          <w:sz w:val="36"/>
          <w:szCs w:val="36"/>
        </w:rPr>
      </w:pPr>
    </w:p>
    <w:p>
      <w:pPr>
        <w:adjustRightInd w:val="0"/>
        <w:snapToGrid w:val="0"/>
        <w:spacing w:line="288" w:lineRule="auto"/>
        <w:ind w:firstLine="1040"/>
        <w:rPr>
          <w:rFonts w:ascii="仿宋_GB2312" w:eastAsia="仿宋_GB2312"/>
          <w:color w:val="auto"/>
          <w:sz w:val="36"/>
          <w:szCs w:val="36"/>
        </w:rPr>
      </w:pPr>
    </w:p>
    <w:p>
      <w:pPr>
        <w:adjustRightInd w:val="0"/>
        <w:snapToGrid w:val="0"/>
        <w:spacing w:line="288" w:lineRule="auto"/>
        <w:ind w:firstLine="1040"/>
        <w:rPr>
          <w:rFonts w:ascii="仿宋_GB2312" w:eastAsia="仿宋_GB2312"/>
          <w:color w:val="auto"/>
          <w:sz w:val="36"/>
          <w:szCs w:val="36"/>
        </w:rPr>
      </w:pPr>
    </w:p>
    <w:bookmarkEnd w:id="6"/>
    <w:p>
      <w:pPr>
        <w:adjustRightInd w:val="0"/>
        <w:snapToGrid w:val="0"/>
        <w:spacing w:line="288" w:lineRule="auto"/>
        <w:jc w:val="center"/>
        <w:rPr>
          <w:rFonts w:ascii="楷体_GB2312" w:eastAsia="楷体_GB2312"/>
          <w:color w:val="auto"/>
          <w:sz w:val="36"/>
          <w:szCs w:val="36"/>
        </w:rPr>
      </w:pPr>
      <w:r>
        <w:rPr>
          <w:rFonts w:hint="eastAsia" w:ascii="楷体_GB2312" w:eastAsia="楷体_GB2312"/>
          <w:color w:val="auto"/>
          <w:sz w:val="36"/>
          <w:szCs w:val="36"/>
        </w:rPr>
        <w:t>中华人民共和国生态环境部制</w:t>
      </w:r>
    </w:p>
    <w:p>
      <w:pPr>
        <w:pStyle w:val="11"/>
        <w:rPr>
          <w:color w:val="auto"/>
        </w:rPr>
      </w:pPr>
    </w:p>
    <w:p>
      <w:pPr>
        <w:rPr>
          <w:rFonts w:hint="eastAsia" w:ascii="仿宋_GB2312" w:eastAsia="仿宋_GB2312"/>
          <w:color w:val="auto"/>
          <w:sz w:val="36"/>
          <w:szCs w:val="36"/>
        </w:rPr>
      </w:pPr>
      <w:r>
        <w:rPr>
          <w:rFonts w:hint="eastAsia" w:ascii="仿宋_GB2312" w:eastAsia="仿宋_GB2312"/>
          <w:color w:val="auto"/>
          <w:sz w:val="36"/>
          <w:szCs w:val="36"/>
        </w:rPr>
        <w:br w:type="page"/>
      </w:r>
    </w:p>
    <w:p>
      <w:pPr>
        <w:rPr>
          <w:rFonts w:hint="eastAsia" w:eastAsia="宋体"/>
          <w:lang w:eastAsia="zh-CN"/>
        </w:rPr>
      </w:pPr>
      <w:r>
        <w:rPr>
          <w:rFonts w:hint="eastAsia" w:eastAsia="宋体"/>
          <w:lang w:eastAsia="zh-CN"/>
        </w:rPr>
        <w:drawing>
          <wp:inline distT="0" distB="0" distL="114300" distR="114300">
            <wp:extent cx="5601335" cy="8442325"/>
            <wp:effectExtent l="0" t="0" r="18415" b="15875"/>
            <wp:docPr id="86" name="图片 86" descr="资质页第一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资质页第一页"/>
                    <pic:cNvPicPr>
                      <a:picLocks noChangeAspect="1"/>
                    </pic:cNvPicPr>
                  </pic:nvPicPr>
                  <pic:blipFill>
                    <a:blip r:embed="rId15"/>
                    <a:srcRect t="3807" r="1060" b="7786"/>
                    <a:stretch>
                      <a:fillRect/>
                    </a:stretch>
                  </pic:blipFill>
                  <pic:spPr>
                    <a:xfrm>
                      <a:off x="0" y="0"/>
                      <a:ext cx="5601335" cy="8442325"/>
                    </a:xfrm>
                    <a:prstGeom prst="rect">
                      <a:avLst/>
                    </a:prstGeom>
                  </pic:spPr>
                </pic:pic>
              </a:graphicData>
            </a:graphic>
          </wp:inline>
        </w:drawing>
      </w:r>
    </w:p>
    <w:p>
      <w:r>
        <w:br w:type="page"/>
      </w:r>
    </w:p>
    <w:p>
      <w:r>
        <w:drawing>
          <wp:inline distT="0" distB="0" distL="114300" distR="114300">
            <wp:extent cx="5814060" cy="7638415"/>
            <wp:effectExtent l="0" t="0" r="15240" b="635"/>
            <wp:docPr id="1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
                    <pic:cNvPicPr>
                      <a:picLocks noChangeAspect="1"/>
                    </pic:cNvPicPr>
                  </pic:nvPicPr>
                  <pic:blipFill>
                    <a:blip r:embed="rId16"/>
                    <a:stretch>
                      <a:fillRect/>
                    </a:stretch>
                  </pic:blipFill>
                  <pic:spPr>
                    <a:xfrm>
                      <a:off x="0" y="0"/>
                      <a:ext cx="5814060" cy="7638415"/>
                    </a:xfrm>
                    <a:prstGeom prst="rect">
                      <a:avLst/>
                    </a:prstGeom>
                    <a:noFill/>
                    <a:ln>
                      <a:noFill/>
                    </a:ln>
                  </pic:spPr>
                </pic:pic>
              </a:graphicData>
            </a:graphic>
          </wp:inline>
        </w:drawing>
      </w:r>
      <w:r>
        <w:drawing>
          <wp:inline distT="0" distB="0" distL="114300" distR="114300">
            <wp:extent cx="5353050" cy="7610475"/>
            <wp:effectExtent l="0" t="0" r="0" b="9525"/>
            <wp:docPr id="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
                    <pic:cNvPicPr>
                      <a:picLocks noChangeAspect="1"/>
                    </pic:cNvPicPr>
                  </pic:nvPicPr>
                  <pic:blipFill>
                    <a:blip r:embed="rId17"/>
                    <a:stretch>
                      <a:fillRect/>
                    </a:stretch>
                  </pic:blipFill>
                  <pic:spPr>
                    <a:xfrm>
                      <a:off x="0" y="0"/>
                      <a:ext cx="5353050" cy="7610475"/>
                    </a:xfrm>
                    <a:prstGeom prst="rect">
                      <a:avLst/>
                    </a:prstGeom>
                    <a:noFill/>
                    <a:ln>
                      <a:noFill/>
                    </a:ln>
                  </pic:spPr>
                </pic:pic>
              </a:graphicData>
            </a:graphic>
          </wp:inline>
        </w:drawing>
      </w:r>
      <w:r>
        <w:drawing>
          <wp:inline distT="0" distB="0" distL="114300" distR="114300">
            <wp:extent cx="4924425" cy="7229475"/>
            <wp:effectExtent l="0" t="0" r="9525" b="9525"/>
            <wp:docPr id="7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
                    <pic:cNvPicPr>
                      <a:picLocks noChangeAspect="1"/>
                    </pic:cNvPicPr>
                  </pic:nvPicPr>
                  <pic:blipFill>
                    <a:blip r:embed="rId18"/>
                    <a:stretch>
                      <a:fillRect/>
                    </a:stretch>
                  </pic:blipFill>
                  <pic:spPr>
                    <a:xfrm>
                      <a:off x="0" y="0"/>
                      <a:ext cx="4924425" cy="7229475"/>
                    </a:xfrm>
                    <a:prstGeom prst="rect">
                      <a:avLst/>
                    </a:prstGeom>
                    <a:noFill/>
                    <a:ln>
                      <a:noFill/>
                    </a:ln>
                  </pic:spPr>
                </pic:pic>
              </a:graphicData>
            </a:graphic>
          </wp:inline>
        </w:drawing>
      </w:r>
      <w:r>
        <w:drawing>
          <wp:inline distT="0" distB="0" distL="114300" distR="114300">
            <wp:extent cx="5124450" cy="7286625"/>
            <wp:effectExtent l="0" t="0" r="0" b="9525"/>
            <wp:docPr id="7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4"/>
                    <pic:cNvPicPr>
                      <a:picLocks noChangeAspect="1"/>
                    </pic:cNvPicPr>
                  </pic:nvPicPr>
                  <pic:blipFill>
                    <a:blip r:embed="rId19"/>
                    <a:stretch>
                      <a:fillRect/>
                    </a:stretch>
                  </pic:blipFill>
                  <pic:spPr>
                    <a:xfrm>
                      <a:off x="0" y="0"/>
                      <a:ext cx="5124450" cy="7286625"/>
                    </a:xfrm>
                    <a:prstGeom prst="rect">
                      <a:avLst/>
                    </a:prstGeom>
                    <a:noFill/>
                    <a:ln>
                      <a:noFill/>
                    </a:ln>
                  </pic:spPr>
                </pic:pic>
              </a:graphicData>
            </a:graphic>
          </wp:inline>
        </w:drawing>
      </w:r>
      <w:r>
        <w:drawing>
          <wp:inline distT="0" distB="0" distL="114300" distR="114300">
            <wp:extent cx="5038725" cy="6905625"/>
            <wp:effectExtent l="0" t="0" r="9525" b="9525"/>
            <wp:docPr id="8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5"/>
                    <pic:cNvPicPr>
                      <a:picLocks noChangeAspect="1"/>
                    </pic:cNvPicPr>
                  </pic:nvPicPr>
                  <pic:blipFill>
                    <a:blip r:embed="rId20"/>
                    <a:stretch>
                      <a:fillRect/>
                    </a:stretch>
                  </pic:blipFill>
                  <pic:spPr>
                    <a:xfrm>
                      <a:off x="0" y="0"/>
                      <a:ext cx="5038725" cy="6905625"/>
                    </a:xfrm>
                    <a:prstGeom prst="rect">
                      <a:avLst/>
                    </a:prstGeom>
                    <a:noFill/>
                    <a:ln>
                      <a:noFill/>
                    </a:ln>
                  </pic:spPr>
                </pic:pic>
              </a:graphicData>
            </a:graphic>
          </wp:inline>
        </w:drawing>
      </w:r>
      <w:r>
        <w:drawing>
          <wp:inline distT="0" distB="0" distL="114300" distR="114300">
            <wp:extent cx="5191125" cy="6991350"/>
            <wp:effectExtent l="0" t="0" r="9525" b="0"/>
            <wp:docPr id="8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6"/>
                    <pic:cNvPicPr>
                      <a:picLocks noChangeAspect="1"/>
                    </pic:cNvPicPr>
                  </pic:nvPicPr>
                  <pic:blipFill>
                    <a:blip r:embed="rId21"/>
                    <a:stretch>
                      <a:fillRect/>
                    </a:stretch>
                  </pic:blipFill>
                  <pic:spPr>
                    <a:xfrm>
                      <a:off x="0" y="0"/>
                      <a:ext cx="5191125" cy="6991350"/>
                    </a:xfrm>
                    <a:prstGeom prst="rect">
                      <a:avLst/>
                    </a:prstGeom>
                    <a:noFill/>
                    <a:ln>
                      <a:noFill/>
                    </a:ln>
                  </pic:spPr>
                </pic:pic>
              </a:graphicData>
            </a:graphic>
          </wp:inline>
        </w:drawing>
      </w:r>
    </w:p>
    <w:p>
      <w:r>
        <w:br w:type="page"/>
      </w:r>
    </w:p>
    <w:p>
      <w:pPr>
        <w:adjustRightInd w:val="0"/>
        <w:snapToGrid w:val="0"/>
        <w:spacing w:line="288" w:lineRule="auto"/>
        <w:ind w:firstLine="0"/>
        <w:jc w:val="center"/>
        <w:rPr>
          <w:rFonts w:ascii="仿宋_GB2312" w:eastAsia="仿宋_GB2312"/>
          <w:b/>
          <w:bCs/>
          <w:color w:val="auto"/>
          <w:sz w:val="36"/>
          <w:szCs w:val="36"/>
        </w:rPr>
      </w:pPr>
      <w:r>
        <w:rPr>
          <w:rFonts w:hint="eastAsia" w:ascii="仿宋_GB2312" w:eastAsia="仿宋_GB2312"/>
          <w:b/>
          <w:bCs/>
          <w:color w:val="auto"/>
          <w:sz w:val="36"/>
          <w:szCs w:val="36"/>
        </w:rPr>
        <w:t>目录</w:t>
      </w:r>
    </w:p>
    <w:p>
      <w:pPr>
        <w:pStyle w:val="17"/>
        <w:tabs>
          <w:tab w:val="right" w:leader="dot" w:pos="8844"/>
        </w:tabs>
        <w:rPr>
          <w:sz w:val="24"/>
          <w:szCs w:val="24"/>
        </w:rPr>
      </w:pPr>
      <w:r>
        <w:rPr>
          <w:color w:val="auto"/>
          <w:sz w:val="24"/>
          <w:szCs w:val="24"/>
        </w:rPr>
        <w:fldChar w:fldCharType="begin"/>
      </w:r>
      <w:r>
        <w:rPr>
          <w:color w:val="auto"/>
          <w:sz w:val="24"/>
          <w:szCs w:val="24"/>
        </w:rPr>
        <w:instrText xml:space="preserve">TOC \o "1-2" \h \u </w:instrText>
      </w:r>
      <w:r>
        <w:rPr>
          <w:color w:val="auto"/>
          <w:sz w:val="24"/>
          <w:szCs w:val="24"/>
        </w:rPr>
        <w:fldChar w:fldCharType="separate"/>
      </w:r>
      <w:r>
        <w:rPr>
          <w:color w:val="auto"/>
          <w:sz w:val="24"/>
          <w:szCs w:val="24"/>
        </w:rPr>
        <w:fldChar w:fldCharType="begin"/>
      </w:r>
      <w:r>
        <w:rPr>
          <w:sz w:val="24"/>
          <w:szCs w:val="24"/>
        </w:rPr>
        <w:instrText xml:space="preserve"> HYPERLINK \l _Toc8115 </w:instrText>
      </w:r>
      <w:r>
        <w:rPr>
          <w:sz w:val="24"/>
          <w:szCs w:val="24"/>
        </w:rPr>
        <w:fldChar w:fldCharType="separate"/>
      </w:r>
      <w:r>
        <w:rPr>
          <w:rFonts w:hint="eastAsia" w:ascii="黑体" w:hAnsi="黑体" w:eastAsia="黑体"/>
          <w:snapToGrid w:val="0"/>
          <w:sz w:val="24"/>
          <w:szCs w:val="24"/>
        </w:rPr>
        <w:t>一、建设项目基本情况</w:t>
      </w:r>
      <w:r>
        <w:rPr>
          <w:sz w:val="24"/>
          <w:szCs w:val="24"/>
        </w:rPr>
        <w:tab/>
      </w:r>
      <w:r>
        <w:rPr>
          <w:sz w:val="24"/>
          <w:szCs w:val="24"/>
        </w:rPr>
        <w:fldChar w:fldCharType="begin"/>
      </w:r>
      <w:r>
        <w:rPr>
          <w:sz w:val="24"/>
          <w:szCs w:val="24"/>
        </w:rPr>
        <w:instrText xml:space="preserve"> PAGEREF _Toc8115 \h </w:instrText>
      </w:r>
      <w:r>
        <w:rPr>
          <w:sz w:val="24"/>
          <w:szCs w:val="24"/>
        </w:rPr>
        <w:fldChar w:fldCharType="separate"/>
      </w:r>
      <w:r>
        <w:rPr>
          <w:sz w:val="24"/>
          <w:szCs w:val="24"/>
        </w:rPr>
        <w:t>1</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_Toc16308 </w:instrText>
      </w:r>
      <w:r>
        <w:rPr>
          <w:sz w:val="24"/>
          <w:szCs w:val="24"/>
        </w:rPr>
        <w:fldChar w:fldCharType="separate"/>
      </w:r>
      <w:r>
        <w:rPr>
          <w:rFonts w:hint="eastAsia" w:ascii="黑体" w:hAnsi="黑体" w:eastAsia="黑体"/>
          <w:snapToGrid w:val="0"/>
          <w:sz w:val="24"/>
          <w:szCs w:val="24"/>
        </w:rPr>
        <w:t>二、</w:t>
      </w:r>
      <w:r>
        <w:rPr>
          <w:rFonts w:hint="eastAsia" w:ascii="黑体" w:hAnsi="黑体" w:eastAsia="黑体"/>
          <w:snapToGrid w:val="0"/>
          <w:sz w:val="24"/>
          <w:szCs w:val="24"/>
          <w:lang w:val="en-US" w:eastAsia="zh-CN"/>
        </w:rPr>
        <w:t>建设内容</w:t>
      </w:r>
      <w:r>
        <w:rPr>
          <w:sz w:val="24"/>
          <w:szCs w:val="24"/>
        </w:rPr>
        <w:tab/>
      </w:r>
      <w:r>
        <w:rPr>
          <w:sz w:val="24"/>
          <w:szCs w:val="24"/>
        </w:rPr>
        <w:fldChar w:fldCharType="begin"/>
      </w:r>
      <w:r>
        <w:rPr>
          <w:sz w:val="24"/>
          <w:szCs w:val="24"/>
        </w:rPr>
        <w:instrText xml:space="preserve"> PAGEREF _Toc16308 \h </w:instrText>
      </w:r>
      <w:r>
        <w:rPr>
          <w:sz w:val="24"/>
          <w:szCs w:val="24"/>
        </w:rPr>
        <w:fldChar w:fldCharType="separate"/>
      </w:r>
      <w:r>
        <w:rPr>
          <w:sz w:val="24"/>
          <w:szCs w:val="24"/>
        </w:rPr>
        <w:t>11</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_Toc21181 </w:instrText>
      </w:r>
      <w:r>
        <w:rPr>
          <w:sz w:val="24"/>
          <w:szCs w:val="24"/>
        </w:rPr>
        <w:fldChar w:fldCharType="separate"/>
      </w:r>
      <w:r>
        <w:rPr>
          <w:rFonts w:hint="eastAsia" w:ascii="黑体" w:hAnsi="黑体" w:eastAsia="黑体"/>
          <w:snapToGrid w:val="0"/>
          <w:sz w:val="24"/>
          <w:szCs w:val="24"/>
        </w:rPr>
        <w:t>三、</w:t>
      </w:r>
      <w:r>
        <w:rPr>
          <w:rFonts w:hint="eastAsia" w:ascii="黑体" w:hAnsi="黑体" w:eastAsia="黑体"/>
          <w:snapToGrid w:val="0"/>
          <w:sz w:val="24"/>
          <w:szCs w:val="24"/>
          <w:lang w:val="en-US" w:eastAsia="zh-CN"/>
        </w:rPr>
        <w:t>生态环境现状</w:t>
      </w:r>
      <w:r>
        <w:rPr>
          <w:rFonts w:hint="eastAsia" w:ascii="黑体" w:hAnsi="黑体" w:eastAsia="黑体"/>
          <w:snapToGrid w:val="0"/>
          <w:sz w:val="24"/>
          <w:szCs w:val="24"/>
        </w:rPr>
        <w:t>、保护目标及评价标准</w:t>
      </w:r>
      <w:r>
        <w:rPr>
          <w:sz w:val="24"/>
          <w:szCs w:val="24"/>
        </w:rPr>
        <w:tab/>
      </w:r>
      <w:r>
        <w:rPr>
          <w:sz w:val="24"/>
          <w:szCs w:val="24"/>
        </w:rPr>
        <w:fldChar w:fldCharType="begin"/>
      </w:r>
      <w:r>
        <w:rPr>
          <w:sz w:val="24"/>
          <w:szCs w:val="24"/>
        </w:rPr>
        <w:instrText xml:space="preserve"> PAGEREF _Toc21181 \h </w:instrText>
      </w:r>
      <w:r>
        <w:rPr>
          <w:sz w:val="24"/>
          <w:szCs w:val="24"/>
        </w:rPr>
        <w:fldChar w:fldCharType="separate"/>
      </w:r>
      <w:r>
        <w:rPr>
          <w:sz w:val="24"/>
          <w:szCs w:val="24"/>
        </w:rPr>
        <w:t>29</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_Toc6397 </w:instrText>
      </w:r>
      <w:r>
        <w:rPr>
          <w:sz w:val="24"/>
          <w:szCs w:val="24"/>
        </w:rPr>
        <w:fldChar w:fldCharType="separate"/>
      </w:r>
      <w:r>
        <w:rPr>
          <w:rFonts w:hint="eastAsia" w:ascii="黑体" w:hAnsi="黑体" w:eastAsia="黑体"/>
          <w:snapToGrid w:val="0"/>
          <w:sz w:val="24"/>
          <w:szCs w:val="24"/>
        </w:rPr>
        <w:t>四、</w:t>
      </w:r>
      <w:r>
        <w:rPr>
          <w:rFonts w:hint="eastAsia" w:ascii="黑体" w:hAnsi="黑体" w:eastAsia="黑体"/>
          <w:snapToGrid w:val="0"/>
          <w:sz w:val="24"/>
          <w:szCs w:val="24"/>
          <w:lang w:val="en-US" w:eastAsia="zh-CN"/>
        </w:rPr>
        <w:t>生态环境影响分析</w:t>
      </w:r>
      <w:r>
        <w:rPr>
          <w:sz w:val="24"/>
          <w:szCs w:val="24"/>
        </w:rPr>
        <w:tab/>
      </w:r>
      <w:r>
        <w:rPr>
          <w:sz w:val="24"/>
          <w:szCs w:val="24"/>
        </w:rPr>
        <w:fldChar w:fldCharType="begin"/>
      </w:r>
      <w:r>
        <w:rPr>
          <w:sz w:val="24"/>
          <w:szCs w:val="24"/>
        </w:rPr>
        <w:instrText xml:space="preserve"> PAGEREF _Toc6397 \h </w:instrText>
      </w:r>
      <w:r>
        <w:rPr>
          <w:sz w:val="24"/>
          <w:szCs w:val="24"/>
        </w:rPr>
        <w:fldChar w:fldCharType="separate"/>
      </w:r>
      <w:r>
        <w:rPr>
          <w:sz w:val="24"/>
          <w:szCs w:val="24"/>
        </w:rPr>
        <w:t>35</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_Toc24018 </w:instrText>
      </w:r>
      <w:r>
        <w:rPr>
          <w:sz w:val="24"/>
          <w:szCs w:val="24"/>
        </w:rPr>
        <w:fldChar w:fldCharType="separate"/>
      </w:r>
      <w:r>
        <w:rPr>
          <w:rFonts w:hint="eastAsia" w:ascii="黑体" w:hAnsi="黑体" w:eastAsia="黑体"/>
          <w:snapToGrid w:val="0"/>
          <w:sz w:val="24"/>
          <w:szCs w:val="24"/>
        </w:rPr>
        <w:t>五、</w:t>
      </w:r>
      <w:r>
        <w:rPr>
          <w:rFonts w:hint="eastAsia" w:ascii="黑体" w:hAnsi="黑体" w:eastAsia="黑体"/>
          <w:snapToGrid w:val="0"/>
          <w:sz w:val="24"/>
          <w:szCs w:val="24"/>
          <w:lang w:val="en-US" w:eastAsia="zh-CN"/>
        </w:rPr>
        <w:t>主要生态环境保护措施</w:t>
      </w:r>
      <w:r>
        <w:rPr>
          <w:sz w:val="24"/>
          <w:szCs w:val="24"/>
        </w:rPr>
        <w:tab/>
      </w:r>
      <w:r>
        <w:rPr>
          <w:sz w:val="24"/>
          <w:szCs w:val="24"/>
        </w:rPr>
        <w:fldChar w:fldCharType="begin"/>
      </w:r>
      <w:r>
        <w:rPr>
          <w:sz w:val="24"/>
          <w:szCs w:val="24"/>
        </w:rPr>
        <w:instrText xml:space="preserve"> PAGEREF _Toc24018 \h </w:instrText>
      </w:r>
      <w:r>
        <w:rPr>
          <w:sz w:val="24"/>
          <w:szCs w:val="24"/>
        </w:rPr>
        <w:fldChar w:fldCharType="separate"/>
      </w:r>
      <w:r>
        <w:rPr>
          <w:sz w:val="24"/>
          <w:szCs w:val="24"/>
        </w:rPr>
        <w:t>51</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_Toc15683 </w:instrText>
      </w:r>
      <w:r>
        <w:rPr>
          <w:sz w:val="24"/>
          <w:szCs w:val="24"/>
        </w:rPr>
        <w:fldChar w:fldCharType="separate"/>
      </w:r>
      <w:r>
        <w:rPr>
          <w:rFonts w:hint="eastAsia" w:ascii="Times New Roman" w:hAnsi="Times New Roman" w:eastAsia="黑体" w:cs="Times New Roman"/>
          <w:snapToGrid w:val="0"/>
          <w:sz w:val="24"/>
          <w:szCs w:val="24"/>
        </w:rPr>
        <w:t xml:space="preserve">六、 </w:t>
      </w:r>
      <w:r>
        <w:rPr>
          <w:rFonts w:hint="default" w:ascii="Times New Roman" w:hAnsi="Times New Roman" w:eastAsia="黑体" w:cs="Times New Roman"/>
          <w:snapToGrid w:val="0"/>
          <w:sz w:val="24"/>
          <w:szCs w:val="24"/>
        </w:rPr>
        <w:t>生态环境保护措施监督检查清单</w:t>
      </w:r>
      <w:r>
        <w:rPr>
          <w:sz w:val="24"/>
          <w:szCs w:val="24"/>
        </w:rPr>
        <w:tab/>
      </w:r>
      <w:r>
        <w:rPr>
          <w:sz w:val="24"/>
          <w:szCs w:val="24"/>
        </w:rPr>
        <w:fldChar w:fldCharType="begin"/>
      </w:r>
      <w:r>
        <w:rPr>
          <w:sz w:val="24"/>
          <w:szCs w:val="24"/>
        </w:rPr>
        <w:instrText xml:space="preserve"> PAGEREF _Toc15683 \h </w:instrText>
      </w:r>
      <w:r>
        <w:rPr>
          <w:sz w:val="24"/>
          <w:szCs w:val="24"/>
        </w:rPr>
        <w:fldChar w:fldCharType="separate"/>
      </w:r>
      <w:r>
        <w:rPr>
          <w:sz w:val="24"/>
          <w:szCs w:val="24"/>
        </w:rPr>
        <w:t>58</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_Toc30481 </w:instrText>
      </w:r>
      <w:r>
        <w:rPr>
          <w:sz w:val="24"/>
          <w:szCs w:val="24"/>
        </w:rPr>
        <w:fldChar w:fldCharType="separate"/>
      </w:r>
      <w:r>
        <w:rPr>
          <w:rFonts w:hint="eastAsia" w:ascii="黑体" w:hAnsi="黑体" w:eastAsia="黑体"/>
          <w:snapToGrid w:val="0"/>
          <w:sz w:val="24"/>
          <w:szCs w:val="24"/>
          <w:lang w:val="en-US" w:eastAsia="zh-CN"/>
        </w:rPr>
        <w:t>七</w:t>
      </w:r>
      <w:r>
        <w:rPr>
          <w:rFonts w:hint="eastAsia" w:ascii="黑体" w:hAnsi="黑体" w:eastAsia="黑体"/>
          <w:snapToGrid w:val="0"/>
          <w:sz w:val="24"/>
          <w:szCs w:val="24"/>
        </w:rPr>
        <w:t>、结论</w:t>
      </w:r>
      <w:r>
        <w:rPr>
          <w:sz w:val="24"/>
          <w:szCs w:val="24"/>
        </w:rPr>
        <w:tab/>
      </w:r>
      <w:r>
        <w:rPr>
          <w:sz w:val="24"/>
          <w:szCs w:val="24"/>
        </w:rPr>
        <w:fldChar w:fldCharType="begin"/>
      </w:r>
      <w:r>
        <w:rPr>
          <w:sz w:val="24"/>
          <w:szCs w:val="24"/>
        </w:rPr>
        <w:instrText xml:space="preserve"> PAGEREF _Toc30481 \h </w:instrText>
      </w:r>
      <w:r>
        <w:rPr>
          <w:sz w:val="24"/>
          <w:szCs w:val="24"/>
        </w:rPr>
        <w:fldChar w:fldCharType="separate"/>
      </w:r>
      <w:r>
        <w:rPr>
          <w:sz w:val="24"/>
          <w:szCs w:val="24"/>
        </w:rPr>
        <w:t>60</w:t>
      </w:r>
      <w:r>
        <w:rPr>
          <w:sz w:val="24"/>
          <w:szCs w:val="24"/>
        </w:rPr>
        <w:fldChar w:fldCharType="end"/>
      </w:r>
      <w:r>
        <w:rPr>
          <w:color w:val="auto"/>
          <w:sz w:val="24"/>
          <w:szCs w:val="24"/>
        </w:rPr>
        <w:fldChar w:fldCharType="end"/>
      </w:r>
    </w:p>
    <w:p>
      <w:pPr>
        <w:pStyle w:val="17"/>
        <w:tabs>
          <w:tab w:val="right" w:leader="dot" w:pos="8844"/>
        </w:tabs>
        <w:rPr>
          <w:color w:val="auto"/>
          <w:sz w:val="24"/>
          <w:szCs w:val="24"/>
        </w:rPr>
      </w:pPr>
    </w:p>
    <w:p>
      <w:pPr>
        <w:pStyle w:val="17"/>
        <w:tabs>
          <w:tab w:val="right" w:leader="dot" w:pos="8844"/>
        </w:tabs>
        <w:rPr>
          <w:sz w:val="24"/>
          <w:szCs w:val="24"/>
        </w:rPr>
      </w:pPr>
      <w:r>
        <w:rPr>
          <w:color w:val="auto"/>
          <w:sz w:val="24"/>
          <w:szCs w:val="24"/>
        </w:rPr>
        <w:fldChar w:fldCharType="begin"/>
      </w:r>
      <w:r>
        <w:rPr>
          <w:sz w:val="24"/>
          <w:szCs w:val="24"/>
        </w:rPr>
        <w:instrText xml:space="preserve"> HYPERLINK \l _Toc23414 </w:instrText>
      </w:r>
      <w:r>
        <w:rPr>
          <w:sz w:val="24"/>
          <w:szCs w:val="24"/>
        </w:rPr>
        <w:fldChar w:fldCharType="separate"/>
      </w:r>
      <w:r>
        <w:rPr>
          <w:rFonts w:hint="eastAsia" w:ascii="方正小标宋_GBK" w:hAnsi="黑体" w:eastAsia="方正小标宋_GBK"/>
          <w:snapToGrid w:val="0"/>
          <w:kern w:val="0"/>
          <w:sz w:val="24"/>
          <w:szCs w:val="24"/>
        </w:rPr>
        <w:t>附图</w:t>
      </w:r>
      <w:r>
        <w:rPr>
          <w:sz w:val="24"/>
          <w:szCs w:val="24"/>
        </w:rPr>
        <w:tab/>
      </w:r>
      <w:r>
        <w:rPr>
          <w:sz w:val="24"/>
          <w:szCs w:val="24"/>
        </w:rPr>
        <w:fldChar w:fldCharType="begin"/>
      </w:r>
      <w:r>
        <w:rPr>
          <w:sz w:val="24"/>
          <w:szCs w:val="24"/>
        </w:rPr>
        <w:instrText xml:space="preserve"> PAGEREF _Toc23414 \h </w:instrText>
      </w:r>
      <w:r>
        <w:rPr>
          <w:sz w:val="24"/>
          <w:szCs w:val="24"/>
        </w:rPr>
        <w:fldChar w:fldCharType="separate"/>
      </w:r>
      <w:r>
        <w:rPr>
          <w:sz w:val="24"/>
          <w:szCs w:val="24"/>
        </w:rPr>
        <w:t>61</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_Toc27214 </w:instrText>
      </w:r>
      <w:r>
        <w:rPr>
          <w:sz w:val="24"/>
          <w:szCs w:val="24"/>
        </w:rPr>
        <w:fldChar w:fldCharType="separate"/>
      </w:r>
      <w:r>
        <w:rPr>
          <w:bCs/>
          <w:sz w:val="24"/>
          <w:szCs w:val="24"/>
        </w:rPr>
        <w:t>附图1 项目地理位置图</w:t>
      </w:r>
      <w:r>
        <w:rPr>
          <w:sz w:val="24"/>
          <w:szCs w:val="24"/>
        </w:rPr>
        <w:tab/>
      </w:r>
      <w:r>
        <w:rPr>
          <w:sz w:val="24"/>
          <w:szCs w:val="24"/>
        </w:rPr>
        <w:fldChar w:fldCharType="begin"/>
      </w:r>
      <w:r>
        <w:rPr>
          <w:sz w:val="24"/>
          <w:szCs w:val="24"/>
        </w:rPr>
        <w:instrText xml:space="preserve"> PAGEREF _Toc27214 \h </w:instrText>
      </w:r>
      <w:r>
        <w:rPr>
          <w:sz w:val="24"/>
          <w:szCs w:val="24"/>
        </w:rPr>
        <w:fldChar w:fldCharType="separate"/>
      </w:r>
      <w:r>
        <w:rPr>
          <w:sz w:val="24"/>
          <w:szCs w:val="24"/>
        </w:rPr>
        <w:t>61</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_Toc30049 </w:instrText>
      </w:r>
      <w:r>
        <w:rPr>
          <w:sz w:val="24"/>
          <w:szCs w:val="24"/>
        </w:rPr>
        <w:fldChar w:fldCharType="separate"/>
      </w:r>
      <w:r>
        <w:rPr>
          <w:bCs/>
          <w:sz w:val="24"/>
          <w:szCs w:val="24"/>
        </w:rPr>
        <w:t>附图2 厂区平面布置图</w:t>
      </w:r>
      <w:r>
        <w:rPr>
          <w:sz w:val="24"/>
          <w:szCs w:val="24"/>
        </w:rPr>
        <w:tab/>
      </w:r>
      <w:r>
        <w:rPr>
          <w:sz w:val="24"/>
          <w:szCs w:val="24"/>
        </w:rPr>
        <w:fldChar w:fldCharType="begin"/>
      </w:r>
      <w:r>
        <w:rPr>
          <w:sz w:val="24"/>
          <w:szCs w:val="24"/>
        </w:rPr>
        <w:instrText xml:space="preserve"> PAGEREF _Toc30049 \h </w:instrText>
      </w:r>
      <w:r>
        <w:rPr>
          <w:sz w:val="24"/>
          <w:szCs w:val="24"/>
        </w:rPr>
        <w:fldChar w:fldCharType="separate"/>
      </w:r>
      <w:r>
        <w:rPr>
          <w:sz w:val="24"/>
          <w:szCs w:val="24"/>
        </w:rPr>
        <w:t>62</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_Toc10824 </w:instrText>
      </w:r>
      <w:r>
        <w:rPr>
          <w:sz w:val="24"/>
          <w:szCs w:val="24"/>
        </w:rPr>
        <w:fldChar w:fldCharType="separate"/>
      </w:r>
      <w:r>
        <w:rPr>
          <w:bCs/>
          <w:sz w:val="24"/>
          <w:szCs w:val="24"/>
        </w:rPr>
        <w:t>附图</w:t>
      </w:r>
      <w:r>
        <w:rPr>
          <w:rFonts w:hint="eastAsia"/>
          <w:bCs/>
          <w:sz w:val="24"/>
          <w:szCs w:val="24"/>
        </w:rPr>
        <w:t>3</w:t>
      </w:r>
      <w:r>
        <w:rPr>
          <w:bCs/>
          <w:sz w:val="24"/>
          <w:szCs w:val="24"/>
        </w:rPr>
        <w:t xml:space="preserve"> </w:t>
      </w:r>
      <w:r>
        <w:rPr>
          <w:rFonts w:hint="eastAsia"/>
          <w:bCs/>
          <w:sz w:val="24"/>
          <w:szCs w:val="24"/>
        </w:rPr>
        <w:t>项目周边环境及敏感目标</w:t>
      </w:r>
      <w:r>
        <w:rPr>
          <w:bCs/>
          <w:sz w:val="24"/>
          <w:szCs w:val="24"/>
        </w:rPr>
        <w:t>图</w:t>
      </w:r>
      <w:r>
        <w:rPr>
          <w:sz w:val="24"/>
          <w:szCs w:val="24"/>
        </w:rPr>
        <w:tab/>
      </w:r>
      <w:r>
        <w:rPr>
          <w:sz w:val="24"/>
          <w:szCs w:val="24"/>
        </w:rPr>
        <w:fldChar w:fldCharType="begin"/>
      </w:r>
      <w:r>
        <w:rPr>
          <w:sz w:val="24"/>
          <w:szCs w:val="24"/>
        </w:rPr>
        <w:instrText xml:space="preserve"> PAGEREF _Toc10824 \h </w:instrText>
      </w:r>
      <w:r>
        <w:rPr>
          <w:sz w:val="24"/>
          <w:szCs w:val="24"/>
        </w:rPr>
        <w:fldChar w:fldCharType="separate"/>
      </w:r>
      <w:r>
        <w:rPr>
          <w:sz w:val="24"/>
          <w:szCs w:val="24"/>
        </w:rPr>
        <w:t>65</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_Toc21089 </w:instrText>
      </w:r>
      <w:r>
        <w:rPr>
          <w:sz w:val="24"/>
          <w:szCs w:val="24"/>
        </w:rPr>
        <w:fldChar w:fldCharType="separate"/>
      </w:r>
      <w:r>
        <w:rPr>
          <w:rFonts w:hint="eastAsia"/>
          <w:bCs/>
          <w:sz w:val="24"/>
          <w:szCs w:val="24"/>
        </w:rPr>
        <w:t>附图</w:t>
      </w:r>
      <w:r>
        <w:rPr>
          <w:rFonts w:hint="eastAsia"/>
          <w:bCs/>
          <w:sz w:val="24"/>
          <w:szCs w:val="24"/>
          <w:lang w:val="en-US" w:eastAsia="zh-CN"/>
        </w:rPr>
        <w:t>4</w:t>
      </w:r>
      <w:r>
        <w:rPr>
          <w:rFonts w:hint="eastAsia"/>
          <w:bCs/>
          <w:sz w:val="24"/>
          <w:szCs w:val="24"/>
        </w:rPr>
        <w:t xml:space="preserve"> </w:t>
      </w:r>
      <w:r>
        <w:rPr>
          <w:rFonts w:hint="eastAsia"/>
          <w:bCs/>
          <w:sz w:val="24"/>
          <w:szCs w:val="24"/>
          <w:lang w:val="en-US" w:eastAsia="zh-CN"/>
        </w:rPr>
        <w:t>噪声监测布点</w:t>
      </w:r>
      <w:r>
        <w:rPr>
          <w:rFonts w:hint="eastAsia"/>
          <w:bCs/>
          <w:sz w:val="24"/>
          <w:szCs w:val="24"/>
        </w:rPr>
        <w:t>图</w:t>
      </w:r>
      <w:r>
        <w:rPr>
          <w:sz w:val="24"/>
          <w:szCs w:val="24"/>
        </w:rPr>
        <w:tab/>
      </w:r>
      <w:r>
        <w:rPr>
          <w:sz w:val="24"/>
          <w:szCs w:val="24"/>
        </w:rPr>
        <w:fldChar w:fldCharType="begin"/>
      </w:r>
      <w:r>
        <w:rPr>
          <w:sz w:val="24"/>
          <w:szCs w:val="24"/>
        </w:rPr>
        <w:instrText xml:space="preserve"> PAGEREF _Toc21089 \h </w:instrText>
      </w:r>
      <w:r>
        <w:rPr>
          <w:sz w:val="24"/>
          <w:szCs w:val="24"/>
        </w:rPr>
        <w:fldChar w:fldCharType="separate"/>
      </w:r>
      <w:r>
        <w:rPr>
          <w:sz w:val="24"/>
          <w:szCs w:val="24"/>
        </w:rPr>
        <w:t>67</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_Toc27164 </w:instrText>
      </w:r>
      <w:r>
        <w:rPr>
          <w:sz w:val="24"/>
          <w:szCs w:val="24"/>
        </w:rPr>
        <w:fldChar w:fldCharType="separate"/>
      </w:r>
      <w:r>
        <w:rPr>
          <w:bCs/>
          <w:sz w:val="24"/>
          <w:szCs w:val="24"/>
        </w:rPr>
        <w:t>附图</w:t>
      </w:r>
      <w:r>
        <w:rPr>
          <w:rFonts w:hint="eastAsia"/>
          <w:bCs/>
          <w:sz w:val="24"/>
          <w:szCs w:val="24"/>
          <w:lang w:val="en-US" w:eastAsia="zh-CN"/>
        </w:rPr>
        <w:t>5</w:t>
      </w:r>
      <w:r>
        <w:rPr>
          <w:bCs/>
          <w:sz w:val="24"/>
          <w:szCs w:val="24"/>
        </w:rPr>
        <w:t xml:space="preserve"> </w:t>
      </w:r>
      <w:r>
        <w:rPr>
          <w:rFonts w:hint="eastAsia"/>
          <w:bCs/>
          <w:sz w:val="24"/>
          <w:szCs w:val="24"/>
          <w:lang w:val="en-US" w:eastAsia="zh-CN"/>
        </w:rPr>
        <w:t>本项目与湖南东洞庭湖国家级自然保护区位置示意图（调整前及调整后）</w:t>
      </w:r>
      <w:r>
        <w:rPr>
          <w:sz w:val="24"/>
          <w:szCs w:val="24"/>
        </w:rPr>
        <w:tab/>
      </w:r>
      <w:r>
        <w:rPr>
          <w:sz w:val="24"/>
          <w:szCs w:val="24"/>
        </w:rPr>
        <w:fldChar w:fldCharType="begin"/>
      </w:r>
      <w:r>
        <w:rPr>
          <w:sz w:val="24"/>
          <w:szCs w:val="24"/>
        </w:rPr>
        <w:instrText xml:space="preserve"> PAGEREF _Toc27164 \h </w:instrText>
      </w:r>
      <w:r>
        <w:rPr>
          <w:sz w:val="24"/>
          <w:szCs w:val="24"/>
        </w:rPr>
        <w:fldChar w:fldCharType="separate"/>
      </w:r>
      <w:r>
        <w:rPr>
          <w:sz w:val="24"/>
          <w:szCs w:val="24"/>
        </w:rPr>
        <w:t>70</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_Toc1419 </w:instrText>
      </w:r>
      <w:r>
        <w:rPr>
          <w:sz w:val="24"/>
          <w:szCs w:val="24"/>
        </w:rPr>
        <w:fldChar w:fldCharType="separate"/>
      </w:r>
      <w:r>
        <w:rPr>
          <w:bCs/>
          <w:sz w:val="24"/>
          <w:szCs w:val="24"/>
        </w:rPr>
        <w:t>附图</w:t>
      </w:r>
      <w:r>
        <w:rPr>
          <w:rFonts w:hint="eastAsia"/>
          <w:bCs/>
          <w:sz w:val="24"/>
          <w:szCs w:val="24"/>
          <w:lang w:val="en-US" w:eastAsia="zh-CN"/>
        </w:rPr>
        <w:t>7</w:t>
      </w:r>
      <w:r>
        <w:rPr>
          <w:bCs/>
          <w:sz w:val="24"/>
          <w:szCs w:val="24"/>
        </w:rPr>
        <w:t xml:space="preserve"> </w:t>
      </w:r>
      <w:r>
        <w:rPr>
          <w:rFonts w:hint="eastAsia"/>
          <w:bCs/>
          <w:sz w:val="24"/>
          <w:szCs w:val="24"/>
          <w:lang w:val="en-US" w:eastAsia="zh-CN"/>
        </w:rPr>
        <w:t>项目及周边区域植被分布图</w:t>
      </w:r>
      <w:r>
        <w:rPr>
          <w:sz w:val="24"/>
          <w:szCs w:val="24"/>
        </w:rPr>
        <w:tab/>
      </w:r>
      <w:r>
        <w:rPr>
          <w:sz w:val="24"/>
          <w:szCs w:val="24"/>
        </w:rPr>
        <w:fldChar w:fldCharType="begin"/>
      </w:r>
      <w:r>
        <w:rPr>
          <w:sz w:val="24"/>
          <w:szCs w:val="24"/>
        </w:rPr>
        <w:instrText xml:space="preserve"> PAGEREF _Toc1419 \h </w:instrText>
      </w:r>
      <w:r>
        <w:rPr>
          <w:sz w:val="24"/>
          <w:szCs w:val="24"/>
        </w:rPr>
        <w:fldChar w:fldCharType="separate"/>
      </w:r>
      <w:r>
        <w:rPr>
          <w:sz w:val="24"/>
          <w:szCs w:val="24"/>
        </w:rPr>
        <w:t>75</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_Toc4938 </w:instrText>
      </w:r>
      <w:r>
        <w:rPr>
          <w:sz w:val="24"/>
          <w:szCs w:val="24"/>
        </w:rPr>
        <w:fldChar w:fldCharType="separate"/>
      </w:r>
      <w:r>
        <w:rPr>
          <w:bCs/>
          <w:sz w:val="24"/>
          <w:szCs w:val="24"/>
        </w:rPr>
        <w:t>附图</w:t>
      </w:r>
      <w:r>
        <w:rPr>
          <w:rFonts w:hint="eastAsia"/>
          <w:bCs/>
          <w:sz w:val="24"/>
          <w:szCs w:val="24"/>
          <w:lang w:val="en-US" w:eastAsia="zh-CN"/>
        </w:rPr>
        <w:t>8</w:t>
      </w:r>
      <w:r>
        <w:rPr>
          <w:bCs/>
          <w:sz w:val="24"/>
          <w:szCs w:val="24"/>
        </w:rPr>
        <w:t xml:space="preserve"> </w:t>
      </w:r>
      <w:r>
        <w:rPr>
          <w:rFonts w:hint="eastAsia"/>
          <w:bCs/>
          <w:sz w:val="24"/>
          <w:szCs w:val="24"/>
          <w:lang w:val="en-US" w:eastAsia="zh-CN"/>
        </w:rPr>
        <w:t>项目三区三线套合图</w:t>
      </w:r>
      <w:r>
        <w:rPr>
          <w:sz w:val="24"/>
          <w:szCs w:val="24"/>
        </w:rPr>
        <w:tab/>
      </w:r>
      <w:r>
        <w:rPr>
          <w:sz w:val="24"/>
          <w:szCs w:val="24"/>
        </w:rPr>
        <w:fldChar w:fldCharType="begin"/>
      </w:r>
      <w:r>
        <w:rPr>
          <w:sz w:val="24"/>
          <w:szCs w:val="24"/>
        </w:rPr>
        <w:instrText xml:space="preserve"> PAGEREF _Toc4938 \h </w:instrText>
      </w:r>
      <w:r>
        <w:rPr>
          <w:sz w:val="24"/>
          <w:szCs w:val="24"/>
        </w:rPr>
        <w:fldChar w:fldCharType="separate"/>
      </w:r>
      <w:r>
        <w:rPr>
          <w:sz w:val="24"/>
          <w:szCs w:val="24"/>
        </w:rPr>
        <w:t>76</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_Toc29208 </w:instrText>
      </w:r>
      <w:r>
        <w:rPr>
          <w:sz w:val="24"/>
          <w:szCs w:val="24"/>
        </w:rPr>
        <w:fldChar w:fldCharType="separate"/>
      </w:r>
      <w:r>
        <w:rPr>
          <w:bCs/>
          <w:sz w:val="24"/>
          <w:szCs w:val="24"/>
        </w:rPr>
        <w:t>附图</w:t>
      </w:r>
      <w:r>
        <w:rPr>
          <w:rFonts w:hint="eastAsia"/>
          <w:bCs/>
          <w:sz w:val="24"/>
          <w:szCs w:val="24"/>
          <w:lang w:val="en-US" w:eastAsia="zh-CN"/>
        </w:rPr>
        <w:t>9</w:t>
      </w:r>
      <w:r>
        <w:rPr>
          <w:bCs/>
          <w:sz w:val="24"/>
          <w:szCs w:val="24"/>
        </w:rPr>
        <w:t xml:space="preserve"> </w:t>
      </w:r>
      <w:r>
        <w:rPr>
          <w:rFonts w:hint="eastAsia"/>
          <w:bCs/>
          <w:sz w:val="24"/>
          <w:szCs w:val="24"/>
          <w:lang w:val="en-US" w:eastAsia="zh-CN"/>
        </w:rPr>
        <w:t>项目调查样方调查分布图</w:t>
      </w:r>
      <w:r>
        <w:rPr>
          <w:sz w:val="24"/>
          <w:szCs w:val="24"/>
        </w:rPr>
        <w:tab/>
      </w:r>
      <w:r>
        <w:rPr>
          <w:sz w:val="24"/>
          <w:szCs w:val="24"/>
        </w:rPr>
        <w:fldChar w:fldCharType="begin"/>
      </w:r>
      <w:r>
        <w:rPr>
          <w:sz w:val="24"/>
          <w:szCs w:val="24"/>
        </w:rPr>
        <w:instrText xml:space="preserve"> PAGEREF _Toc29208 \h </w:instrText>
      </w:r>
      <w:r>
        <w:rPr>
          <w:sz w:val="24"/>
          <w:szCs w:val="24"/>
        </w:rPr>
        <w:fldChar w:fldCharType="separate"/>
      </w:r>
      <w:r>
        <w:rPr>
          <w:sz w:val="24"/>
          <w:szCs w:val="24"/>
        </w:rPr>
        <w:t>77</w:t>
      </w:r>
      <w:r>
        <w:rPr>
          <w:sz w:val="24"/>
          <w:szCs w:val="24"/>
        </w:rPr>
        <w:fldChar w:fldCharType="end"/>
      </w:r>
      <w:r>
        <w:rPr>
          <w:color w:val="auto"/>
          <w:sz w:val="24"/>
          <w:szCs w:val="24"/>
        </w:rPr>
        <w:fldChar w:fldCharType="end"/>
      </w:r>
    </w:p>
    <w:p>
      <w:pPr>
        <w:pStyle w:val="17"/>
        <w:tabs>
          <w:tab w:val="right" w:leader="dot" w:pos="8844"/>
        </w:tabs>
        <w:rPr>
          <w:color w:val="auto"/>
          <w:sz w:val="24"/>
          <w:szCs w:val="24"/>
        </w:rPr>
      </w:pPr>
    </w:p>
    <w:p>
      <w:pPr>
        <w:pStyle w:val="17"/>
        <w:tabs>
          <w:tab w:val="right" w:leader="dot" w:pos="8844"/>
        </w:tabs>
        <w:rPr>
          <w:sz w:val="24"/>
          <w:szCs w:val="24"/>
        </w:rPr>
      </w:pPr>
      <w:r>
        <w:rPr>
          <w:color w:val="auto"/>
          <w:sz w:val="24"/>
          <w:szCs w:val="24"/>
        </w:rPr>
        <w:fldChar w:fldCharType="begin"/>
      </w:r>
      <w:r>
        <w:rPr>
          <w:sz w:val="24"/>
          <w:szCs w:val="24"/>
        </w:rPr>
        <w:instrText xml:space="preserve"> HYPERLINK \l _Toc1276 </w:instrText>
      </w:r>
      <w:r>
        <w:rPr>
          <w:sz w:val="24"/>
          <w:szCs w:val="24"/>
        </w:rPr>
        <w:fldChar w:fldCharType="separate"/>
      </w:r>
      <w:r>
        <w:rPr>
          <w:rFonts w:hint="eastAsia" w:ascii="方正小标宋_GBK" w:hAnsi="黑体" w:eastAsia="方正小标宋_GBK"/>
          <w:snapToGrid w:val="0"/>
          <w:kern w:val="0"/>
          <w:sz w:val="24"/>
          <w:szCs w:val="24"/>
        </w:rPr>
        <w:t>附件</w:t>
      </w:r>
      <w:r>
        <w:rPr>
          <w:sz w:val="24"/>
          <w:szCs w:val="24"/>
        </w:rPr>
        <w:tab/>
      </w:r>
      <w:r>
        <w:rPr>
          <w:sz w:val="24"/>
          <w:szCs w:val="24"/>
        </w:rPr>
        <w:fldChar w:fldCharType="begin"/>
      </w:r>
      <w:r>
        <w:rPr>
          <w:sz w:val="24"/>
          <w:szCs w:val="24"/>
        </w:rPr>
        <w:instrText xml:space="preserve"> PAGEREF _Toc1276 \h </w:instrText>
      </w:r>
      <w:r>
        <w:rPr>
          <w:sz w:val="24"/>
          <w:szCs w:val="24"/>
        </w:rPr>
        <w:fldChar w:fldCharType="separate"/>
      </w:r>
      <w:r>
        <w:rPr>
          <w:sz w:val="24"/>
          <w:szCs w:val="24"/>
        </w:rPr>
        <w:t>78</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_Toc10261 </w:instrText>
      </w:r>
      <w:r>
        <w:rPr>
          <w:sz w:val="24"/>
          <w:szCs w:val="24"/>
        </w:rPr>
        <w:fldChar w:fldCharType="separate"/>
      </w:r>
      <w:r>
        <w:rPr>
          <w:bCs/>
          <w:sz w:val="24"/>
          <w:szCs w:val="24"/>
        </w:rPr>
        <w:t>附</w:t>
      </w:r>
      <w:r>
        <w:rPr>
          <w:rFonts w:hint="eastAsia"/>
          <w:bCs/>
          <w:sz w:val="24"/>
          <w:szCs w:val="24"/>
        </w:rPr>
        <w:t>件</w:t>
      </w:r>
      <w:r>
        <w:rPr>
          <w:bCs/>
          <w:sz w:val="24"/>
          <w:szCs w:val="24"/>
        </w:rPr>
        <w:t xml:space="preserve">1 </w:t>
      </w:r>
      <w:r>
        <w:rPr>
          <w:rFonts w:hint="eastAsia"/>
          <w:bCs/>
          <w:sz w:val="24"/>
          <w:szCs w:val="24"/>
        </w:rPr>
        <w:t>环评委托书</w:t>
      </w:r>
      <w:r>
        <w:rPr>
          <w:sz w:val="24"/>
          <w:szCs w:val="24"/>
        </w:rPr>
        <w:tab/>
      </w:r>
      <w:r>
        <w:rPr>
          <w:sz w:val="24"/>
          <w:szCs w:val="24"/>
        </w:rPr>
        <w:fldChar w:fldCharType="begin"/>
      </w:r>
      <w:r>
        <w:rPr>
          <w:sz w:val="24"/>
          <w:szCs w:val="24"/>
        </w:rPr>
        <w:instrText xml:space="preserve"> PAGEREF _Toc10261 \h </w:instrText>
      </w:r>
      <w:r>
        <w:rPr>
          <w:sz w:val="24"/>
          <w:szCs w:val="24"/>
        </w:rPr>
        <w:fldChar w:fldCharType="separate"/>
      </w:r>
      <w:r>
        <w:rPr>
          <w:sz w:val="24"/>
          <w:szCs w:val="24"/>
        </w:rPr>
        <w:t>78</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_Toc11887 </w:instrText>
      </w:r>
      <w:r>
        <w:rPr>
          <w:sz w:val="24"/>
          <w:szCs w:val="24"/>
        </w:rPr>
        <w:fldChar w:fldCharType="separate"/>
      </w:r>
      <w:r>
        <w:rPr>
          <w:bCs/>
          <w:sz w:val="24"/>
          <w:szCs w:val="24"/>
          <w:highlight w:val="none"/>
        </w:rPr>
        <w:t>附</w:t>
      </w:r>
      <w:r>
        <w:rPr>
          <w:rFonts w:hint="eastAsia"/>
          <w:bCs/>
          <w:sz w:val="24"/>
          <w:szCs w:val="24"/>
          <w:highlight w:val="none"/>
        </w:rPr>
        <w:t>件2</w:t>
      </w:r>
      <w:r>
        <w:rPr>
          <w:bCs/>
          <w:sz w:val="24"/>
          <w:szCs w:val="24"/>
          <w:highlight w:val="none"/>
        </w:rPr>
        <w:t xml:space="preserve"> </w:t>
      </w:r>
      <w:r>
        <w:rPr>
          <w:rFonts w:hint="eastAsia"/>
          <w:bCs/>
          <w:sz w:val="24"/>
          <w:szCs w:val="24"/>
          <w:highlight w:val="none"/>
        </w:rPr>
        <w:t>营业执照</w:t>
      </w:r>
      <w:r>
        <w:rPr>
          <w:sz w:val="24"/>
          <w:szCs w:val="24"/>
        </w:rPr>
        <w:tab/>
      </w:r>
      <w:r>
        <w:rPr>
          <w:sz w:val="24"/>
          <w:szCs w:val="24"/>
        </w:rPr>
        <w:fldChar w:fldCharType="begin"/>
      </w:r>
      <w:r>
        <w:rPr>
          <w:sz w:val="24"/>
          <w:szCs w:val="24"/>
        </w:rPr>
        <w:instrText xml:space="preserve"> PAGEREF _Toc11887 \h </w:instrText>
      </w:r>
      <w:r>
        <w:rPr>
          <w:sz w:val="24"/>
          <w:szCs w:val="24"/>
        </w:rPr>
        <w:fldChar w:fldCharType="separate"/>
      </w:r>
      <w:r>
        <w:rPr>
          <w:sz w:val="24"/>
          <w:szCs w:val="24"/>
        </w:rPr>
        <w:t>79</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_Toc932 </w:instrText>
      </w:r>
      <w:r>
        <w:rPr>
          <w:sz w:val="24"/>
          <w:szCs w:val="24"/>
        </w:rPr>
        <w:fldChar w:fldCharType="separate"/>
      </w:r>
      <w:r>
        <w:rPr>
          <w:bCs/>
          <w:sz w:val="24"/>
          <w:szCs w:val="24"/>
        </w:rPr>
        <w:t>附</w:t>
      </w:r>
      <w:r>
        <w:rPr>
          <w:rFonts w:hint="eastAsia"/>
          <w:bCs/>
          <w:sz w:val="24"/>
          <w:szCs w:val="24"/>
        </w:rPr>
        <w:t>件3</w:t>
      </w:r>
      <w:r>
        <w:rPr>
          <w:bCs/>
          <w:sz w:val="24"/>
          <w:szCs w:val="24"/>
        </w:rPr>
        <w:t xml:space="preserve"> </w:t>
      </w:r>
      <w:r>
        <w:rPr>
          <w:rFonts w:hint="eastAsia"/>
          <w:bCs/>
          <w:sz w:val="24"/>
          <w:szCs w:val="24"/>
          <w:lang w:val="en-US" w:eastAsia="zh-CN"/>
        </w:rPr>
        <w:t>用地预审意见书</w:t>
      </w:r>
      <w:r>
        <w:rPr>
          <w:sz w:val="24"/>
          <w:szCs w:val="24"/>
        </w:rPr>
        <w:tab/>
      </w:r>
      <w:r>
        <w:rPr>
          <w:sz w:val="24"/>
          <w:szCs w:val="24"/>
        </w:rPr>
        <w:fldChar w:fldCharType="begin"/>
      </w:r>
      <w:r>
        <w:rPr>
          <w:sz w:val="24"/>
          <w:szCs w:val="24"/>
        </w:rPr>
        <w:instrText xml:space="preserve"> PAGEREF _Toc932 \h </w:instrText>
      </w:r>
      <w:r>
        <w:rPr>
          <w:sz w:val="24"/>
          <w:szCs w:val="24"/>
        </w:rPr>
        <w:fldChar w:fldCharType="separate"/>
      </w:r>
      <w:r>
        <w:rPr>
          <w:sz w:val="24"/>
          <w:szCs w:val="24"/>
        </w:rPr>
        <w:t>80</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_Toc26024 </w:instrText>
      </w:r>
      <w:r>
        <w:rPr>
          <w:sz w:val="24"/>
          <w:szCs w:val="24"/>
        </w:rPr>
        <w:fldChar w:fldCharType="separate"/>
      </w:r>
      <w:r>
        <w:rPr>
          <w:rFonts w:hint="eastAsia" w:ascii="Times New Roman" w:hAnsi="Times New Roman" w:eastAsia="宋体" w:cs="Times New Roman"/>
          <w:bCs/>
          <w:sz w:val="24"/>
          <w:szCs w:val="24"/>
          <w:lang w:val="en-US" w:eastAsia="zh-CN"/>
        </w:rPr>
        <w:t>附件4、华容县住房和城乡建设局关于华容县团洲垸灾后重建安置房建设项目的审查意见</w:t>
      </w:r>
      <w:r>
        <w:rPr>
          <w:sz w:val="24"/>
          <w:szCs w:val="24"/>
        </w:rPr>
        <w:tab/>
      </w:r>
      <w:r>
        <w:rPr>
          <w:sz w:val="24"/>
          <w:szCs w:val="24"/>
        </w:rPr>
        <w:fldChar w:fldCharType="begin"/>
      </w:r>
      <w:r>
        <w:rPr>
          <w:sz w:val="24"/>
          <w:szCs w:val="24"/>
        </w:rPr>
        <w:instrText xml:space="preserve"> PAGEREF _Toc26024 \h </w:instrText>
      </w:r>
      <w:r>
        <w:rPr>
          <w:sz w:val="24"/>
          <w:szCs w:val="24"/>
        </w:rPr>
        <w:fldChar w:fldCharType="separate"/>
      </w:r>
      <w:r>
        <w:rPr>
          <w:sz w:val="24"/>
          <w:szCs w:val="24"/>
        </w:rPr>
        <w:t>88</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_Toc2911 </w:instrText>
      </w:r>
      <w:r>
        <w:rPr>
          <w:sz w:val="24"/>
          <w:szCs w:val="24"/>
        </w:rPr>
        <w:fldChar w:fldCharType="separate"/>
      </w:r>
      <w:r>
        <w:rPr>
          <w:rFonts w:hint="eastAsia" w:ascii="Times New Roman" w:hAnsi="Times New Roman" w:eastAsia="宋体" w:cs="Times New Roman"/>
          <w:bCs/>
          <w:sz w:val="24"/>
          <w:szCs w:val="24"/>
        </w:rPr>
        <w:t xml:space="preserve">附件5 </w:t>
      </w:r>
      <w:r>
        <w:rPr>
          <w:rFonts w:hint="eastAsia" w:cs="Times New Roman"/>
          <w:bCs/>
          <w:sz w:val="24"/>
          <w:szCs w:val="24"/>
          <w:lang w:val="en-US" w:eastAsia="zh-CN"/>
        </w:rPr>
        <w:t>生物多样性影响评价报告</w:t>
      </w:r>
      <w:r>
        <w:rPr>
          <w:sz w:val="24"/>
          <w:szCs w:val="24"/>
        </w:rPr>
        <w:tab/>
      </w:r>
      <w:r>
        <w:rPr>
          <w:sz w:val="24"/>
          <w:szCs w:val="24"/>
        </w:rPr>
        <w:fldChar w:fldCharType="begin"/>
      </w:r>
      <w:r>
        <w:rPr>
          <w:sz w:val="24"/>
          <w:szCs w:val="24"/>
        </w:rPr>
        <w:instrText xml:space="preserve"> PAGEREF _Toc2911 \h </w:instrText>
      </w:r>
      <w:r>
        <w:rPr>
          <w:sz w:val="24"/>
          <w:szCs w:val="24"/>
        </w:rPr>
        <w:fldChar w:fldCharType="separate"/>
      </w:r>
      <w:r>
        <w:rPr>
          <w:sz w:val="24"/>
          <w:szCs w:val="24"/>
        </w:rPr>
        <w:t>94</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_Toc9444 </w:instrText>
      </w:r>
      <w:r>
        <w:rPr>
          <w:sz w:val="24"/>
          <w:szCs w:val="24"/>
        </w:rPr>
        <w:fldChar w:fldCharType="separate"/>
      </w:r>
      <w:r>
        <w:rPr>
          <w:rFonts w:hint="eastAsia" w:cs="Times New Roman"/>
          <w:bCs/>
          <w:sz w:val="24"/>
          <w:szCs w:val="24"/>
          <w:lang w:val="en-US" w:eastAsia="zh-CN"/>
        </w:rPr>
        <w:t>附件6 林业局关于</w:t>
      </w:r>
      <w:r>
        <w:rPr>
          <w:rFonts w:hint="eastAsia" w:ascii="Times New Roman" w:hAnsi="Times New Roman" w:eastAsia="宋体" w:cs="Times New Roman"/>
          <w:bCs/>
          <w:sz w:val="24"/>
          <w:szCs w:val="24"/>
          <w:lang w:val="en-US" w:eastAsia="zh-CN"/>
        </w:rPr>
        <w:t>华容县团洲垸灾后重建安置房建设项目的</w:t>
      </w:r>
      <w:r>
        <w:rPr>
          <w:rFonts w:hint="eastAsia" w:cs="Times New Roman"/>
          <w:bCs/>
          <w:sz w:val="24"/>
          <w:szCs w:val="24"/>
          <w:lang w:val="en-US" w:eastAsia="zh-CN"/>
        </w:rPr>
        <w:t>意见</w:t>
      </w:r>
      <w:r>
        <w:rPr>
          <w:sz w:val="24"/>
          <w:szCs w:val="24"/>
        </w:rPr>
        <w:tab/>
      </w:r>
      <w:r>
        <w:rPr>
          <w:sz w:val="24"/>
          <w:szCs w:val="24"/>
        </w:rPr>
        <w:fldChar w:fldCharType="begin"/>
      </w:r>
      <w:r>
        <w:rPr>
          <w:sz w:val="24"/>
          <w:szCs w:val="24"/>
        </w:rPr>
        <w:instrText xml:space="preserve"> PAGEREF _Toc9444 \h </w:instrText>
      </w:r>
      <w:r>
        <w:rPr>
          <w:sz w:val="24"/>
          <w:szCs w:val="24"/>
        </w:rPr>
        <w:fldChar w:fldCharType="separate"/>
      </w:r>
      <w:r>
        <w:rPr>
          <w:sz w:val="24"/>
          <w:szCs w:val="24"/>
        </w:rPr>
        <w:t>99</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_Toc11916 </w:instrText>
      </w:r>
      <w:r>
        <w:rPr>
          <w:sz w:val="24"/>
          <w:szCs w:val="24"/>
        </w:rPr>
        <w:fldChar w:fldCharType="separate"/>
      </w:r>
      <w:r>
        <w:rPr>
          <w:rFonts w:hint="eastAsia" w:cs="Times New Roman"/>
          <w:bCs/>
          <w:sz w:val="24"/>
          <w:szCs w:val="24"/>
          <w:lang w:val="en-US" w:eastAsia="zh-CN"/>
        </w:rPr>
        <w:t xml:space="preserve">附件7 </w:t>
      </w:r>
      <w:r>
        <w:rPr>
          <w:rFonts w:hint="eastAsia" w:ascii="Times New Roman" w:hAnsi="Times New Roman" w:eastAsia="宋体" w:cs="Times New Roman"/>
          <w:bCs/>
          <w:sz w:val="24"/>
          <w:szCs w:val="24"/>
          <w:lang w:val="en-US" w:eastAsia="zh-CN"/>
        </w:rPr>
        <w:t>华容县人民政府县长办公会议纪要</w:t>
      </w:r>
      <w:r>
        <w:rPr>
          <w:sz w:val="24"/>
          <w:szCs w:val="24"/>
        </w:rPr>
        <w:tab/>
      </w:r>
      <w:r>
        <w:rPr>
          <w:sz w:val="24"/>
          <w:szCs w:val="24"/>
        </w:rPr>
        <w:fldChar w:fldCharType="begin"/>
      </w:r>
      <w:r>
        <w:rPr>
          <w:sz w:val="24"/>
          <w:szCs w:val="24"/>
        </w:rPr>
        <w:instrText xml:space="preserve"> PAGEREF _Toc11916 \h </w:instrText>
      </w:r>
      <w:r>
        <w:rPr>
          <w:sz w:val="24"/>
          <w:szCs w:val="24"/>
        </w:rPr>
        <w:fldChar w:fldCharType="separate"/>
      </w:r>
      <w:r>
        <w:rPr>
          <w:sz w:val="24"/>
          <w:szCs w:val="24"/>
        </w:rPr>
        <w:t>103</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_Toc19020 </w:instrText>
      </w:r>
      <w:r>
        <w:rPr>
          <w:sz w:val="24"/>
          <w:szCs w:val="24"/>
        </w:rPr>
        <w:fldChar w:fldCharType="separate"/>
      </w:r>
      <w:r>
        <w:rPr>
          <w:rFonts w:hint="eastAsia"/>
          <w:bCs/>
          <w:sz w:val="24"/>
          <w:szCs w:val="24"/>
          <w:lang w:val="en-US" w:eastAsia="zh-CN"/>
        </w:rPr>
        <w:t xml:space="preserve">附件8  </w:t>
      </w:r>
      <w:r>
        <w:rPr>
          <w:bCs/>
          <w:sz w:val="24"/>
          <w:szCs w:val="24"/>
        </w:rPr>
        <w:t>环境现状监测报告</w:t>
      </w:r>
      <w:r>
        <w:rPr>
          <w:sz w:val="24"/>
          <w:szCs w:val="24"/>
        </w:rPr>
        <w:tab/>
      </w:r>
      <w:r>
        <w:rPr>
          <w:sz w:val="24"/>
          <w:szCs w:val="24"/>
        </w:rPr>
        <w:fldChar w:fldCharType="begin"/>
      </w:r>
      <w:r>
        <w:rPr>
          <w:sz w:val="24"/>
          <w:szCs w:val="24"/>
        </w:rPr>
        <w:instrText xml:space="preserve"> PAGEREF _Toc19020 \h </w:instrText>
      </w:r>
      <w:r>
        <w:rPr>
          <w:sz w:val="24"/>
          <w:szCs w:val="24"/>
        </w:rPr>
        <w:fldChar w:fldCharType="separate"/>
      </w:r>
      <w:r>
        <w:rPr>
          <w:sz w:val="24"/>
          <w:szCs w:val="24"/>
        </w:rPr>
        <w:t>107</w:t>
      </w:r>
      <w:r>
        <w:rPr>
          <w:sz w:val="24"/>
          <w:szCs w:val="24"/>
        </w:rPr>
        <w:fldChar w:fldCharType="end"/>
      </w:r>
      <w:r>
        <w:rPr>
          <w:color w:val="auto"/>
          <w:sz w:val="24"/>
          <w:szCs w:val="24"/>
        </w:rPr>
        <w:fldChar w:fldCharType="end"/>
      </w:r>
    </w:p>
    <w:p>
      <w:pPr>
        <w:pStyle w:val="17"/>
        <w:tabs>
          <w:tab w:val="right" w:leader="dot" w:pos="8844"/>
        </w:tabs>
        <w:rPr>
          <w:color w:val="auto"/>
          <w:sz w:val="24"/>
          <w:szCs w:val="24"/>
        </w:rPr>
      </w:pPr>
    </w:p>
    <w:p>
      <w:pPr>
        <w:pStyle w:val="17"/>
        <w:tabs>
          <w:tab w:val="right" w:leader="dot" w:pos="8844"/>
        </w:tabs>
        <w:rPr>
          <w:sz w:val="24"/>
          <w:szCs w:val="24"/>
        </w:rPr>
      </w:pPr>
      <w:r>
        <w:rPr>
          <w:color w:val="auto"/>
          <w:sz w:val="24"/>
          <w:szCs w:val="24"/>
        </w:rPr>
        <w:fldChar w:fldCharType="begin"/>
      </w:r>
      <w:r>
        <w:rPr>
          <w:sz w:val="24"/>
          <w:szCs w:val="24"/>
        </w:rPr>
        <w:instrText xml:space="preserve"> HYPERLINK \l _Toc13137 </w:instrText>
      </w:r>
      <w:r>
        <w:rPr>
          <w:sz w:val="24"/>
          <w:szCs w:val="24"/>
        </w:rPr>
        <w:fldChar w:fldCharType="separate"/>
      </w:r>
      <w:r>
        <w:rPr>
          <w:rFonts w:hint="eastAsia" w:ascii="方正小标宋_GBK" w:hAnsi="黑体" w:eastAsia="方正小标宋_GBK" w:cs="Times New Roman"/>
          <w:snapToGrid w:val="0"/>
          <w:kern w:val="0"/>
          <w:sz w:val="24"/>
          <w:szCs w:val="24"/>
          <w:lang w:val="en-US" w:eastAsia="zh-CN"/>
        </w:rPr>
        <w:t>华容县团洲垸灾后重建安置房建设项目</w:t>
      </w:r>
      <w:r>
        <w:rPr>
          <w:color w:val="auto"/>
          <w:sz w:val="24"/>
          <w:szCs w:val="24"/>
        </w:rPr>
        <w:fldChar w:fldCharType="end"/>
      </w:r>
      <w:r>
        <w:rPr>
          <w:color w:val="auto"/>
          <w:sz w:val="24"/>
          <w:szCs w:val="24"/>
        </w:rPr>
        <w:fldChar w:fldCharType="begin"/>
      </w:r>
      <w:r>
        <w:rPr>
          <w:sz w:val="24"/>
          <w:szCs w:val="24"/>
        </w:rPr>
        <w:instrText xml:space="preserve"> HYPERLINK \l _Toc21739 </w:instrText>
      </w:r>
      <w:r>
        <w:rPr>
          <w:sz w:val="24"/>
          <w:szCs w:val="24"/>
        </w:rPr>
        <w:fldChar w:fldCharType="separate"/>
      </w:r>
      <w:r>
        <w:rPr>
          <w:rFonts w:hint="eastAsia" w:ascii="方正小标宋_GBK" w:hAnsi="黑体" w:eastAsia="方正小标宋_GBK" w:cs="Times New Roman"/>
          <w:snapToGrid w:val="0"/>
          <w:kern w:val="0"/>
          <w:sz w:val="24"/>
          <w:szCs w:val="24"/>
          <w:lang w:eastAsia="zh-CN"/>
        </w:rPr>
        <w:t>生态</w:t>
      </w:r>
      <w:r>
        <w:rPr>
          <w:rFonts w:hint="default" w:ascii="方正小标宋_GBK" w:hAnsi="黑体" w:eastAsia="方正小标宋_GBK" w:cs="Times New Roman"/>
          <w:snapToGrid w:val="0"/>
          <w:kern w:val="0"/>
          <w:sz w:val="24"/>
          <w:szCs w:val="24"/>
        </w:rPr>
        <w:t>环境影响专项报告</w:t>
      </w:r>
      <w:r>
        <w:rPr>
          <w:sz w:val="24"/>
          <w:szCs w:val="24"/>
        </w:rPr>
        <w:tab/>
      </w:r>
      <w:r>
        <w:rPr>
          <w:sz w:val="24"/>
          <w:szCs w:val="24"/>
        </w:rPr>
        <w:fldChar w:fldCharType="begin"/>
      </w:r>
      <w:r>
        <w:rPr>
          <w:sz w:val="24"/>
          <w:szCs w:val="24"/>
        </w:rPr>
        <w:instrText xml:space="preserve"> PAGEREF _Toc21739 \h </w:instrText>
      </w:r>
      <w:r>
        <w:rPr>
          <w:sz w:val="24"/>
          <w:szCs w:val="24"/>
        </w:rPr>
        <w:fldChar w:fldCharType="separate"/>
      </w:r>
      <w:r>
        <w:rPr>
          <w:sz w:val="24"/>
          <w:szCs w:val="24"/>
        </w:rPr>
        <w:t>108</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_Toc27280 </w:instrText>
      </w:r>
      <w:r>
        <w:rPr>
          <w:sz w:val="24"/>
          <w:szCs w:val="24"/>
        </w:rPr>
        <w:fldChar w:fldCharType="separate"/>
      </w:r>
      <w:r>
        <w:rPr>
          <w:rFonts w:ascii="Times New Roman" w:hAnsi="Times New Roman" w:eastAsia="宋体" w:cs="Times New Roman"/>
          <w:snapToGrid w:val="0"/>
          <w:kern w:val="0"/>
          <w:sz w:val="24"/>
          <w:szCs w:val="24"/>
          <w:lang w:val="en-US" w:eastAsia="zh-CN" w:bidi="ar-SA"/>
        </w:rPr>
        <w:t>1总则</w:t>
      </w:r>
      <w:r>
        <w:rPr>
          <w:sz w:val="24"/>
          <w:szCs w:val="24"/>
        </w:rPr>
        <w:tab/>
      </w:r>
      <w:r>
        <w:rPr>
          <w:sz w:val="24"/>
          <w:szCs w:val="24"/>
        </w:rPr>
        <w:fldChar w:fldCharType="begin"/>
      </w:r>
      <w:r>
        <w:rPr>
          <w:sz w:val="24"/>
          <w:szCs w:val="24"/>
        </w:rPr>
        <w:instrText xml:space="preserve"> PAGEREF _Toc27280 \h </w:instrText>
      </w:r>
      <w:r>
        <w:rPr>
          <w:sz w:val="24"/>
          <w:szCs w:val="24"/>
        </w:rPr>
        <w:fldChar w:fldCharType="separate"/>
      </w:r>
      <w:r>
        <w:rPr>
          <w:sz w:val="24"/>
          <w:szCs w:val="24"/>
        </w:rPr>
        <w:t>1</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_Toc18677 </w:instrText>
      </w:r>
      <w:r>
        <w:rPr>
          <w:sz w:val="24"/>
          <w:szCs w:val="24"/>
        </w:rPr>
        <w:fldChar w:fldCharType="separate"/>
      </w:r>
      <w:r>
        <w:rPr>
          <w:rFonts w:ascii="Times New Roman" w:hAnsi="Times New Roman" w:eastAsia="宋体" w:cs="Times New Roman"/>
          <w:bCs/>
          <w:kern w:val="2"/>
          <w:sz w:val="24"/>
          <w:szCs w:val="24"/>
          <w:lang w:val="en-US" w:eastAsia="zh-CN" w:bidi="ar-SA"/>
        </w:rPr>
        <w:t>1.1项目由来</w:t>
      </w:r>
      <w:r>
        <w:rPr>
          <w:sz w:val="24"/>
          <w:szCs w:val="24"/>
        </w:rPr>
        <w:tab/>
      </w:r>
      <w:r>
        <w:rPr>
          <w:sz w:val="24"/>
          <w:szCs w:val="24"/>
        </w:rPr>
        <w:fldChar w:fldCharType="begin"/>
      </w:r>
      <w:r>
        <w:rPr>
          <w:sz w:val="24"/>
          <w:szCs w:val="24"/>
        </w:rPr>
        <w:instrText xml:space="preserve"> PAGEREF _Toc18677 \h </w:instrText>
      </w:r>
      <w:r>
        <w:rPr>
          <w:sz w:val="24"/>
          <w:szCs w:val="24"/>
        </w:rPr>
        <w:fldChar w:fldCharType="separate"/>
      </w:r>
      <w:r>
        <w:rPr>
          <w:sz w:val="24"/>
          <w:szCs w:val="24"/>
        </w:rPr>
        <w:t>1</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_Toc25528 </w:instrText>
      </w:r>
      <w:r>
        <w:rPr>
          <w:sz w:val="24"/>
          <w:szCs w:val="24"/>
        </w:rPr>
        <w:fldChar w:fldCharType="separate"/>
      </w:r>
      <w:r>
        <w:rPr>
          <w:rFonts w:ascii="Times New Roman" w:hAnsi="Times New Roman" w:eastAsia="宋体" w:cs="Times New Roman"/>
          <w:bCs/>
          <w:kern w:val="2"/>
          <w:sz w:val="24"/>
          <w:szCs w:val="24"/>
          <w:lang w:val="en-US" w:eastAsia="zh-CN" w:bidi="ar-SA"/>
        </w:rPr>
        <w:t>1.2评价目的和评价原则</w:t>
      </w:r>
      <w:r>
        <w:rPr>
          <w:sz w:val="24"/>
          <w:szCs w:val="24"/>
        </w:rPr>
        <w:tab/>
      </w:r>
      <w:r>
        <w:rPr>
          <w:sz w:val="24"/>
          <w:szCs w:val="24"/>
        </w:rPr>
        <w:fldChar w:fldCharType="begin"/>
      </w:r>
      <w:r>
        <w:rPr>
          <w:sz w:val="24"/>
          <w:szCs w:val="24"/>
        </w:rPr>
        <w:instrText xml:space="preserve"> PAGEREF _Toc25528 \h </w:instrText>
      </w:r>
      <w:r>
        <w:rPr>
          <w:sz w:val="24"/>
          <w:szCs w:val="24"/>
        </w:rPr>
        <w:fldChar w:fldCharType="separate"/>
      </w:r>
      <w:r>
        <w:rPr>
          <w:sz w:val="24"/>
          <w:szCs w:val="24"/>
        </w:rPr>
        <w:t>1</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_Toc30149 </w:instrText>
      </w:r>
      <w:r>
        <w:rPr>
          <w:sz w:val="24"/>
          <w:szCs w:val="24"/>
        </w:rPr>
        <w:fldChar w:fldCharType="separate"/>
      </w:r>
      <w:r>
        <w:rPr>
          <w:rFonts w:ascii="Times New Roman" w:hAnsi="Times New Roman" w:eastAsia="宋体" w:cs="Times New Roman"/>
          <w:bCs/>
          <w:kern w:val="2"/>
          <w:sz w:val="24"/>
          <w:szCs w:val="24"/>
          <w:lang w:val="en-US" w:eastAsia="zh-CN" w:bidi="ar-SA"/>
        </w:rPr>
        <w:t>1.3工作原则</w:t>
      </w:r>
      <w:r>
        <w:rPr>
          <w:sz w:val="24"/>
          <w:szCs w:val="24"/>
        </w:rPr>
        <w:tab/>
      </w:r>
      <w:r>
        <w:rPr>
          <w:sz w:val="24"/>
          <w:szCs w:val="24"/>
        </w:rPr>
        <w:fldChar w:fldCharType="begin"/>
      </w:r>
      <w:r>
        <w:rPr>
          <w:sz w:val="24"/>
          <w:szCs w:val="24"/>
        </w:rPr>
        <w:instrText xml:space="preserve"> PAGEREF _Toc30149 \h </w:instrText>
      </w:r>
      <w:r>
        <w:rPr>
          <w:sz w:val="24"/>
          <w:szCs w:val="24"/>
        </w:rPr>
        <w:fldChar w:fldCharType="separate"/>
      </w:r>
      <w:r>
        <w:rPr>
          <w:sz w:val="24"/>
          <w:szCs w:val="24"/>
        </w:rPr>
        <w:t>2</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_Toc19468 </w:instrText>
      </w:r>
      <w:r>
        <w:rPr>
          <w:sz w:val="24"/>
          <w:szCs w:val="24"/>
        </w:rPr>
        <w:fldChar w:fldCharType="separate"/>
      </w:r>
      <w:r>
        <w:rPr>
          <w:rFonts w:ascii="Times New Roman" w:hAnsi="Times New Roman" w:eastAsia="宋体" w:cs="Times New Roman"/>
          <w:bCs/>
          <w:kern w:val="2"/>
          <w:sz w:val="24"/>
          <w:szCs w:val="24"/>
          <w:lang w:val="en-US" w:eastAsia="zh-CN" w:bidi="ar-SA"/>
        </w:rPr>
        <w:t>1.4评价依据</w:t>
      </w:r>
      <w:r>
        <w:rPr>
          <w:sz w:val="24"/>
          <w:szCs w:val="24"/>
        </w:rPr>
        <w:tab/>
      </w:r>
      <w:r>
        <w:rPr>
          <w:sz w:val="24"/>
          <w:szCs w:val="24"/>
        </w:rPr>
        <w:fldChar w:fldCharType="begin"/>
      </w:r>
      <w:r>
        <w:rPr>
          <w:sz w:val="24"/>
          <w:szCs w:val="24"/>
        </w:rPr>
        <w:instrText xml:space="preserve"> PAGEREF _Toc19468 \h </w:instrText>
      </w:r>
      <w:r>
        <w:rPr>
          <w:sz w:val="24"/>
          <w:szCs w:val="24"/>
        </w:rPr>
        <w:fldChar w:fldCharType="separate"/>
      </w:r>
      <w:r>
        <w:rPr>
          <w:sz w:val="24"/>
          <w:szCs w:val="24"/>
        </w:rPr>
        <w:t>2</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_Toc18847 </w:instrText>
      </w:r>
      <w:r>
        <w:rPr>
          <w:sz w:val="24"/>
          <w:szCs w:val="24"/>
        </w:rPr>
        <w:fldChar w:fldCharType="separate"/>
      </w:r>
      <w:r>
        <w:rPr>
          <w:rFonts w:ascii="Times New Roman" w:hAnsi="Times New Roman" w:eastAsia="宋体" w:cs="Times New Roman"/>
          <w:bCs/>
          <w:kern w:val="2"/>
          <w:sz w:val="24"/>
          <w:szCs w:val="24"/>
          <w:lang w:val="en-US" w:eastAsia="zh-CN" w:bidi="ar-SA"/>
        </w:rPr>
        <w:t>1.5生态环境评价工作等级及范围</w:t>
      </w:r>
      <w:r>
        <w:rPr>
          <w:sz w:val="24"/>
          <w:szCs w:val="24"/>
        </w:rPr>
        <w:tab/>
      </w:r>
      <w:r>
        <w:rPr>
          <w:sz w:val="24"/>
          <w:szCs w:val="24"/>
        </w:rPr>
        <w:fldChar w:fldCharType="begin"/>
      </w:r>
      <w:r>
        <w:rPr>
          <w:sz w:val="24"/>
          <w:szCs w:val="24"/>
        </w:rPr>
        <w:instrText xml:space="preserve"> PAGEREF _Toc18847 \h </w:instrText>
      </w:r>
      <w:r>
        <w:rPr>
          <w:sz w:val="24"/>
          <w:szCs w:val="24"/>
        </w:rPr>
        <w:fldChar w:fldCharType="separate"/>
      </w:r>
      <w:r>
        <w:rPr>
          <w:sz w:val="24"/>
          <w:szCs w:val="24"/>
        </w:rPr>
        <w:t>5</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_Toc7841 </w:instrText>
      </w:r>
      <w:r>
        <w:rPr>
          <w:sz w:val="24"/>
          <w:szCs w:val="24"/>
        </w:rPr>
        <w:fldChar w:fldCharType="separate"/>
      </w:r>
      <w:r>
        <w:rPr>
          <w:rFonts w:hint="eastAsia" w:ascii="Times New Roman" w:hAnsi="Times New Roman" w:eastAsia="宋体" w:cs="Times New Roman"/>
          <w:bCs/>
          <w:kern w:val="2"/>
          <w:sz w:val="24"/>
          <w:szCs w:val="24"/>
          <w:lang w:val="en-US" w:eastAsia="zh-CN" w:bidi="ar-SA"/>
        </w:rPr>
        <w:t>1.6评价因子筛选及评价重点</w:t>
      </w:r>
      <w:r>
        <w:rPr>
          <w:sz w:val="24"/>
          <w:szCs w:val="24"/>
        </w:rPr>
        <w:tab/>
      </w:r>
      <w:r>
        <w:rPr>
          <w:sz w:val="24"/>
          <w:szCs w:val="24"/>
        </w:rPr>
        <w:fldChar w:fldCharType="begin"/>
      </w:r>
      <w:r>
        <w:rPr>
          <w:sz w:val="24"/>
          <w:szCs w:val="24"/>
        </w:rPr>
        <w:instrText xml:space="preserve"> PAGEREF _Toc7841 \h </w:instrText>
      </w:r>
      <w:r>
        <w:rPr>
          <w:sz w:val="24"/>
          <w:szCs w:val="24"/>
        </w:rPr>
        <w:fldChar w:fldCharType="separate"/>
      </w:r>
      <w:r>
        <w:rPr>
          <w:sz w:val="24"/>
          <w:szCs w:val="24"/>
        </w:rPr>
        <w:t>6</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_Toc2459 </w:instrText>
      </w:r>
      <w:r>
        <w:rPr>
          <w:sz w:val="24"/>
          <w:szCs w:val="24"/>
        </w:rPr>
        <w:fldChar w:fldCharType="separate"/>
      </w:r>
      <w:r>
        <w:rPr>
          <w:rFonts w:ascii="Times New Roman" w:hAnsi="Times New Roman" w:eastAsia="宋体" w:cs="Times New Roman"/>
          <w:kern w:val="2"/>
          <w:sz w:val="24"/>
          <w:szCs w:val="24"/>
          <w:lang w:val="en-US" w:eastAsia="zh-CN" w:bidi="ar-SA"/>
        </w:rPr>
        <w:t>1.</w:t>
      </w:r>
      <w:r>
        <w:rPr>
          <w:rFonts w:hint="eastAsia" w:ascii="Times New Roman" w:hAnsi="Times New Roman" w:eastAsia="宋体" w:cs="Times New Roman"/>
          <w:kern w:val="2"/>
          <w:sz w:val="24"/>
          <w:szCs w:val="24"/>
          <w:lang w:val="en-US" w:eastAsia="zh-CN" w:bidi="ar-SA"/>
        </w:rPr>
        <w:t>7</w:t>
      </w:r>
      <w:r>
        <w:rPr>
          <w:rFonts w:ascii="Times New Roman" w:hAnsi="Times New Roman" w:eastAsia="宋体" w:cs="Times New Roman"/>
          <w:kern w:val="2"/>
          <w:sz w:val="24"/>
          <w:szCs w:val="24"/>
          <w:lang w:val="en-US" w:eastAsia="zh-CN" w:bidi="ar-SA"/>
        </w:rPr>
        <w:t>生态环境保护目标</w:t>
      </w:r>
      <w:r>
        <w:rPr>
          <w:sz w:val="24"/>
          <w:szCs w:val="24"/>
        </w:rPr>
        <w:tab/>
      </w:r>
      <w:r>
        <w:rPr>
          <w:sz w:val="24"/>
          <w:szCs w:val="24"/>
        </w:rPr>
        <w:fldChar w:fldCharType="begin"/>
      </w:r>
      <w:r>
        <w:rPr>
          <w:sz w:val="24"/>
          <w:szCs w:val="24"/>
        </w:rPr>
        <w:instrText xml:space="preserve"> PAGEREF _Toc2459 \h </w:instrText>
      </w:r>
      <w:r>
        <w:rPr>
          <w:sz w:val="24"/>
          <w:szCs w:val="24"/>
        </w:rPr>
        <w:fldChar w:fldCharType="separate"/>
      </w:r>
      <w:r>
        <w:rPr>
          <w:sz w:val="24"/>
          <w:szCs w:val="24"/>
        </w:rPr>
        <w:t>7</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_Toc20766 </w:instrText>
      </w:r>
      <w:r>
        <w:rPr>
          <w:sz w:val="24"/>
          <w:szCs w:val="24"/>
        </w:rPr>
        <w:fldChar w:fldCharType="separate"/>
      </w:r>
      <w:r>
        <w:rPr>
          <w:rFonts w:ascii="Times New Roman" w:hAnsi="Times New Roman" w:eastAsia="宋体" w:cs="Times New Roman"/>
          <w:snapToGrid w:val="0"/>
          <w:kern w:val="0"/>
          <w:sz w:val="24"/>
          <w:szCs w:val="24"/>
          <w:lang w:val="en-US" w:eastAsia="zh-CN" w:bidi="ar-SA"/>
        </w:rPr>
        <w:t>2项目工程分析</w:t>
      </w:r>
      <w:r>
        <w:rPr>
          <w:sz w:val="24"/>
          <w:szCs w:val="24"/>
        </w:rPr>
        <w:tab/>
      </w:r>
      <w:r>
        <w:rPr>
          <w:sz w:val="24"/>
          <w:szCs w:val="24"/>
        </w:rPr>
        <w:fldChar w:fldCharType="begin"/>
      </w:r>
      <w:r>
        <w:rPr>
          <w:sz w:val="24"/>
          <w:szCs w:val="24"/>
        </w:rPr>
        <w:instrText xml:space="preserve"> PAGEREF _Toc20766 \h </w:instrText>
      </w:r>
      <w:r>
        <w:rPr>
          <w:sz w:val="24"/>
          <w:szCs w:val="24"/>
        </w:rPr>
        <w:fldChar w:fldCharType="separate"/>
      </w:r>
      <w:r>
        <w:rPr>
          <w:sz w:val="24"/>
          <w:szCs w:val="24"/>
        </w:rPr>
        <w:t>8</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_Toc19947 </w:instrText>
      </w:r>
      <w:r>
        <w:rPr>
          <w:sz w:val="24"/>
          <w:szCs w:val="24"/>
        </w:rPr>
        <w:fldChar w:fldCharType="separate"/>
      </w:r>
      <w:r>
        <w:rPr>
          <w:rFonts w:ascii="Times New Roman" w:hAnsi="Times New Roman" w:eastAsia="宋体" w:cs="Times New Roman"/>
          <w:bCs/>
          <w:kern w:val="2"/>
          <w:sz w:val="24"/>
          <w:szCs w:val="24"/>
          <w:lang w:val="en-US" w:eastAsia="zh-CN" w:bidi="ar-SA"/>
        </w:rPr>
        <w:t>2.1</w:t>
      </w:r>
      <w:r>
        <w:rPr>
          <w:rFonts w:hint="eastAsia" w:ascii="Times New Roman" w:hAnsi="Times New Roman" w:eastAsia="宋体" w:cs="Times New Roman"/>
          <w:bCs/>
          <w:kern w:val="2"/>
          <w:sz w:val="24"/>
          <w:szCs w:val="24"/>
          <w:lang w:val="en-US" w:eastAsia="zh-CN" w:bidi="ar-SA"/>
        </w:rPr>
        <w:t>项目概况</w:t>
      </w:r>
      <w:r>
        <w:rPr>
          <w:sz w:val="24"/>
          <w:szCs w:val="24"/>
        </w:rPr>
        <w:tab/>
      </w:r>
      <w:r>
        <w:rPr>
          <w:sz w:val="24"/>
          <w:szCs w:val="24"/>
        </w:rPr>
        <w:fldChar w:fldCharType="begin"/>
      </w:r>
      <w:r>
        <w:rPr>
          <w:sz w:val="24"/>
          <w:szCs w:val="24"/>
        </w:rPr>
        <w:instrText xml:space="preserve"> PAGEREF _Toc19947 \h </w:instrText>
      </w:r>
      <w:r>
        <w:rPr>
          <w:sz w:val="24"/>
          <w:szCs w:val="24"/>
        </w:rPr>
        <w:fldChar w:fldCharType="separate"/>
      </w:r>
      <w:r>
        <w:rPr>
          <w:sz w:val="24"/>
          <w:szCs w:val="24"/>
        </w:rPr>
        <w:t>8</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_Toc22388 </w:instrText>
      </w:r>
      <w:r>
        <w:rPr>
          <w:sz w:val="24"/>
          <w:szCs w:val="24"/>
        </w:rPr>
        <w:fldChar w:fldCharType="separate"/>
      </w:r>
      <w:r>
        <w:rPr>
          <w:rFonts w:hint="eastAsia" w:ascii="Times New Roman" w:hAnsi="Times New Roman" w:eastAsia="宋体" w:cs="Times New Roman"/>
          <w:bCs/>
          <w:kern w:val="2"/>
          <w:sz w:val="24"/>
          <w:szCs w:val="24"/>
          <w:lang w:val="en-US" w:eastAsia="zh-CN" w:bidi="ar-SA"/>
        </w:rPr>
        <w:t>2.2</w:t>
      </w:r>
      <w:r>
        <w:rPr>
          <w:rFonts w:ascii="Times New Roman" w:hAnsi="Times New Roman" w:eastAsia="宋体" w:cs="Times New Roman"/>
          <w:bCs/>
          <w:kern w:val="2"/>
          <w:sz w:val="24"/>
          <w:szCs w:val="24"/>
          <w:lang w:val="en-US" w:eastAsia="zh-CN" w:bidi="ar-SA"/>
        </w:rPr>
        <w:t>工程建设内容</w:t>
      </w:r>
      <w:r>
        <w:rPr>
          <w:sz w:val="24"/>
          <w:szCs w:val="24"/>
        </w:rPr>
        <w:tab/>
      </w:r>
      <w:r>
        <w:rPr>
          <w:sz w:val="24"/>
          <w:szCs w:val="24"/>
        </w:rPr>
        <w:fldChar w:fldCharType="begin"/>
      </w:r>
      <w:r>
        <w:rPr>
          <w:sz w:val="24"/>
          <w:szCs w:val="24"/>
        </w:rPr>
        <w:instrText xml:space="preserve"> PAGEREF _Toc22388 \h </w:instrText>
      </w:r>
      <w:r>
        <w:rPr>
          <w:sz w:val="24"/>
          <w:szCs w:val="24"/>
        </w:rPr>
        <w:fldChar w:fldCharType="separate"/>
      </w:r>
      <w:r>
        <w:rPr>
          <w:sz w:val="24"/>
          <w:szCs w:val="24"/>
        </w:rPr>
        <w:t>8</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_Toc3389 </w:instrText>
      </w:r>
      <w:r>
        <w:rPr>
          <w:sz w:val="24"/>
          <w:szCs w:val="24"/>
        </w:rPr>
        <w:fldChar w:fldCharType="separate"/>
      </w:r>
      <w:r>
        <w:rPr>
          <w:rFonts w:ascii="Times New Roman" w:hAnsi="Times New Roman" w:eastAsia="宋体" w:cs="Times New Roman"/>
          <w:bCs w:val="0"/>
          <w:snapToGrid w:val="0"/>
          <w:kern w:val="0"/>
          <w:sz w:val="24"/>
          <w:szCs w:val="24"/>
          <w:lang w:val="en-US" w:eastAsia="zh-CN" w:bidi="ar-SA"/>
        </w:rPr>
        <w:t>3生态环境现状调查与评价</w:t>
      </w:r>
      <w:r>
        <w:rPr>
          <w:sz w:val="24"/>
          <w:szCs w:val="24"/>
        </w:rPr>
        <w:tab/>
      </w:r>
      <w:r>
        <w:rPr>
          <w:sz w:val="24"/>
          <w:szCs w:val="24"/>
        </w:rPr>
        <w:fldChar w:fldCharType="begin"/>
      </w:r>
      <w:r>
        <w:rPr>
          <w:sz w:val="24"/>
          <w:szCs w:val="24"/>
        </w:rPr>
        <w:instrText xml:space="preserve"> PAGEREF _Toc3389 \h </w:instrText>
      </w:r>
      <w:r>
        <w:rPr>
          <w:sz w:val="24"/>
          <w:szCs w:val="24"/>
        </w:rPr>
        <w:fldChar w:fldCharType="separate"/>
      </w:r>
      <w:r>
        <w:rPr>
          <w:sz w:val="24"/>
          <w:szCs w:val="24"/>
        </w:rPr>
        <w:t>9</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_Toc15910 </w:instrText>
      </w:r>
      <w:r>
        <w:rPr>
          <w:sz w:val="24"/>
          <w:szCs w:val="24"/>
        </w:rPr>
        <w:fldChar w:fldCharType="separate"/>
      </w:r>
      <w:r>
        <w:rPr>
          <w:rFonts w:ascii="Times New Roman" w:hAnsi="Times New Roman" w:eastAsia="宋体" w:cs="Times New Roman"/>
          <w:bCs/>
          <w:kern w:val="2"/>
          <w:sz w:val="24"/>
          <w:szCs w:val="24"/>
          <w:lang w:val="en-US" w:eastAsia="zh-CN" w:bidi="ar-SA"/>
        </w:rPr>
        <w:t>3.1</w:t>
      </w:r>
      <w:r>
        <w:rPr>
          <w:rFonts w:hint="eastAsia" w:ascii="Times New Roman" w:hAnsi="Times New Roman" w:eastAsia="宋体" w:cs="Times New Roman"/>
          <w:bCs/>
          <w:kern w:val="2"/>
          <w:sz w:val="24"/>
          <w:szCs w:val="24"/>
          <w:lang w:val="en-US" w:eastAsia="zh-CN" w:bidi="ar-SA"/>
        </w:rPr>
        <w:t>土地利用现状</w:t>
      </w:r>
      <w:r>
        <w:rPr>
          <w:sz w:val="24"/>
          <w:szCs w:val="24"/>
        </w:rPr>
        <w:tab/>
      </w:r>
      <w:r>
        <w:rPr>
          <w:sz w:val="24"/>
          <w:szCs w:val="24"/>
        </w:rPr>
        <w:fldChar w:fldCharType="begin"/>
      </w:r>
      <w:r>
        <w:rPr>
          <w:sz w:val="24"/>
          <w:szCs w:val="24"/>
        </w:rPr>
        <w:instrText xml:space="preserve"> PAGEREF _Toc15910 \h </w:instrText>
      </w:r>
      <w:r>
        <w:rPr>
          <w:sz w:val="24"/>
          <w:szCs w:val="24"/>
        </w:rPr>
        <w:fldChar w:fldCharType="separate"/>
      </w:r>
      <w:r>
        <w:rPr>
          <w:sz w:val="24"/>
          <w:szCs w:val="24"/>
        </w:rPr>
        <w:t>9</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_Toc6221 </w:instrText>
      </w:r>
      <w:r>
        <w:rPr>
          <w:sz w:val="24"/>
          <w:szCs w:val="24"/>
        </w:rPr>
        <w:fldChar w:fldCharType="separate"/>
      </w:r>
      <w:r>
        <w:rPr>
          <w:rFonts w:hint="eastAsia" w:ascii="Times New Roman" w:hAnsi="Times New Roman" w:eastAsia="宋体" w:cs="Times New Roman"/>
          <w:bCs/>
          <w:kern w:val="2"/>
          <w:sz w:val="24"/>
          <w:szCs w:val="24"/>
          <w:lang w:val="en-US" w:eastAsia="zh-CN" w:bidi="ar-SA"/>
        </w:rPr>
        <w:t>3</w:t>
      </w:r>
      <w:r>
        <w:rPr>
          <w:rFonts w:hint="default" w:ascii="Times New Roman" w:hAnsi="Times New Roman" w:eastAsia="宋体" w:cs="Times New Roman"/>
          <w:bCs/>
          <w:kern w:val="2"/>
          <w:sz w:val="24"/>
          <w:szCs w:val="24"/>
          <w:lang w:val="en-US" w:eastAsia="zh-CN" w:bidi="ar-SA"/>
        </w:rPr>
        <w:t>.2生态环境</w:t>
      </w:r>
      <w:r>
        <w:rPr>
          <w:rFonts w:hint="eastAsia" w:ascii="Times New Roman" w:hAnsi="Times New Roman" w:eastAsia="宋体" w:cs="Times New Roman"/>
          <w:bCs/>
          <w:kern w:val="2"/>
          <w:sz w:val="24"/>
          <w:szCs w:val="24"/>
          <w:lang w:val="en-US" w:eastAsia="zh-CN" w:bidi="ar-SA"/>
        </w:rPr>
        <w:t>调查与评价</w:t>
      </w:r>
      <w:r>
        <w:rPr>
          <w:sz w:val="24"/>
          <w:szCs w:val="24"/>
        </w:rPr>
        <w:tab/>
      </w:r>
      <w:r>
        <w:rPr>
          <w:sz w:val="24"/>
          <w:szCs w:val="24"/>
        </w:rPr>
        <w:fldChar w:fldCharType="begin"/>
      </w:r>
      <w:r>
        <w:rPr>
          <w:sz w:val="24"/>
          <w:szCs w:val="24"/>
        </w:rPr>
        <w:instrText xml:space="preserve"> PAGEREF _Toc6221 \h </w:instrText>
      </w:r>
      <w:r>
        <w:rPr>
          <w:sz w:val="24"/>
          <w:szCs w:val="24"/>
        </w:rPr>
        <w:fldChar w:fldCharType="separate"/>
      </w:r>
      <w:r>
        <w:rPr>
          <w:sz w:val="24"/>
          <w:szCs w:val="24"/>
        </w:rPr>
        <w:t>9</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_Toc22566 </w:instrText>
      </w:r>
      <w:r>
        <w:rPr>
          <w:sz w:val="24"/>
          <w:szCs w:val="24"/>
        </w:rPr>
        <w:fldChar w:fldCharType="separate"/>
      </w:r>
      <w:r>
        <w:rPr>
          <w:rFonts w:hint="eastAsia" w:ascii="Times New Roman" w:hAnsi="Times New Roman" w:eastAsia="宋体" w:cs="Times New Roman"/>
          <w:bCs/>
          <w:kern w:val="2"/>
          <w:sz w:val="24"/>
          <w:szCs w:val="24"/>
          <w:lang w:val="en-US" w:eastAsia="zh-CN" w:bidi="ar-SA"/>
        </w:rPr>
        <w:t>3</w:t>
      </w:r>
      <w:r>
        <w:rPr>
          <w:rFonts w:hint="default" w:ascii="Times New Roman" w:hAnsi="Times New Roman" w:eastAsia="宋体" w:cs="Times New Roman"/>
          <w:bCs/>
          <w:kern w:val="2"/>
          <w:sz w:val="24"/>
          <w:szCs w:val="24"/>
          <w:lang w:val="en-US" w:eastAsia="zh-CN" w:bidi="ar-SA"/>
        </w:rPr>
        <w:t>.</w:t>
      </w:r>
      <w:r>
        <w:rPr>
          <w:rFonts w:hint="eastAsia" w:ascii="Times New Roman" w:hAnsi="Times New Roman" w:eastAsia="宋体" w:cs="Times New Roman"/>
          <w:bCs/>
          <w:kern w:val="2"/>
          <w:sz w:val="24"/>
          <w:szCs w:val="24"/>
          <w:lang w:val="en-US" w:eastAsia="zh-CN" w:bidi="ar-SA"/>
        </w:rPr>
        <w:t>3湖南东洞庭湖国家级自然保护区</w:t>
      </w:r>
      <w:r>
        <w:rPr>
          <w:sz w:val="24"/>
          <w:szCs w:val="24"/>
        </w:rPr>
        <w:tab/>
      </w:r>
      <w:r>
        <w:rPr>
          <w:sz w:val="24"/>
          <w:szCs w:val="24"/>
        </w:rPr>
        <w:fldChar w:fldCharType="begin"/>
      </w:r>
      <w:r>
        <w:rPr>
          <w:sz w:val="24"/>
          <w:szCs w:val="24"/>
        </w:rPr>
        <w:instrText xml:space="preserve"> PAGEREF _Toc22566 \h </w:instrText>
      </w:r>
      <w:r>
        <w:rPr>
          <w:sz w:val="24"/>
          <w:szCs w:val="24"/>
        </w:rPr>
        <w:fldChar w:fldCharType="separate"/>
      </w:r>
      <w:r>
        <w:rPr>
          <w:sz w:val="24"/>
          <w:szCs w:val="24"/>
        </w:rPr>
        <w:t>28</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_Toc12000 </w:instrText>
      </w:r>
      <w:r>
        <w:rPr>
          <w:sz w:val="24"/>
          <w:szCs w:val="24"/>
        </w:rPr>
        <w:fldChar w:fldCharType="separate"/>
      </w:r>
      <w:r>
        <w:rPr>
          <w:rFonts w:hint="eastAsia" w:ascii="Times New Roman" w:hAnsi="Times New Roman" w:eastAsia="宋体" w:cs="Times New Roman"/>
          <w:bCs w:val="0"/>
          <w:snapToGrid w:val="0"/>
          <w:kern w:val="0"/>
          <w:sz w:val="24"/>
          <w:szCs w:val="24"/>
          <w:lang w:val="en-US" w:eastAsia="zh-CN" w:bidi="ar-SA"/>
        </w:rPr>
        <w:t>4</w:t>
      </w:r>
      <w:r>
        <w:rPr>
          <w:rFonts w:ascii="Times New Roman" w:hAnsi="Times New Roman" w:eastAsia="宋体" w:cs="Times New Roman"/>
          <w:bCs w:val="0"/>
          <w:snapToGrid w:val="0"/>
          <w:kern w:val="0"/>
          <w:sz w:val="24"/>
          <w:szCs w:val="24"/>
          <w:lang w:val="en-US" w:eastAsia="zh-CN" w:bidi="ar-SA"/>
        </w:rPr>
        <w:t>生态环境</w:t>
      </w:r>
      <w:r>
        <w:rPr>
          <w:rFonts w:hint="eastAsia" w:ascii="Times New Roman" w:hAnsi="Times New Roman" w:eastAsia="宋体" w:cs="Times New Roman"/>
          <w:bCs w:val="0"/>
          <w:snapToGrid w:val="0"/>
          <w:kern w:val="0"/>
          <w:sz w:val="24"/>
          <w:szCs w:val="24"/>
          <w:lang w:val="en-US" w:eastAsia="zh-CN" w:bidi="ar-SA"/>
        </w:rPr>
        <w:t>影响</w:t>
      </w:r>
      <w:r>
        <w:rPr>
          <w:rFonts w:ascii="Times New Roman" w:hAnsi="Times New Roman" w:eastAsia="宋体" w:cs="Times New Roman"/>
          <w:bCs w:val="0"/>
          <w:snapToGrid w:val="0"/>
          <w:kern w:val="0"/>
          <w:sz w:val="24"/>
          <w:szCs w:val="24"/>
          <w:lang w:val="en-US" w:eastAsia="zh-CN" w:bidi="ar-SA"/>
        </w:rPr>
        <w:t>评价</w:t>
      </w:r>
      <w:r>
        <w:rPr>
          <w:sz w:val="24"/>
          <w:szCs w:val="24"/>
        </w:rPr>
        <w:tab/>
      </w:r>
      <w:r>
        <w:rPr>
          <w:sz w:val="24"/>
          <w:szCs w:val="24"/>
        </w:rPr>
        <w:fldChar w:fldCharType="begin"/>
      </w:r>
      <w:r>
        <w:rPr>
          <w:sz w:val="24"/>
          <w:szCs w:val="24"/>
        </w:rPr>
        <w:instrText xml:space="preserve"> PAGEREF _Toc12000 \h </w:instrText>
      </w:r>
      <w:r>
        <w:rPr>
          <w:sz w:val="24"/>
          <w:szCs w:val="24"/>
        </w:rPr>
        <w:fldChar w:fldCharType="separate"/>
      </w:r>
      <w:r>
        <w:rPr>
          <w:sz w:val="24"/>
          <w:szCs w:val="24"/>
        </w:rPr>
        <w:t>34</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_Toc9300 </w:instrText>
      </w:r>
      <w:r>
        <w:rPr>
          <w:sz w:val="24"/>
          <w:szCs w:val="24"/>
        </w:rPr>
        <w:fldChar w:fldCharType="separate"/>
      </w:r>
      <w:r>
        <w:rPr>
          <w:rFonts w:ascii="Times New Roman" w:hAnsi="Times New Roman" w:eastAsia="宋体" w:cs="Times New Roman"/>
          <w:bCs/>
          <w:kern w:val="2"/>
          <w:sz w:val="24"/>
          <w:szCs w:val="24"/>
          <w:lang w:val="en-US" w:eastAsia="zh-CN" w:bidi="ar-SA"/>
        </w:rPr>
        <w:t xml:space="preserve">4.1 </w:t>
      </w:r>
      <w:r>
        <w:rPr>
          <w:rFonts w:hint="eastAsia" w:ascii="Times New Roman" w:hAnsi="Times New Roman" w:eastAsia="宋体" w:cs="Times New Roman"/>
          <w:bCs/>
          <w:kern w:val="2"/>
          <w:sz w:val="24"/>
          <w:szCs w:val="24"/>
          <w:lang w:val="en-US" w:eastAsia="zh-CN" w:bidi="ar-SA"/>
        </w:rPr>
        <w:t>施工期生态环境影响分析与评价</w:t>
      </w:r>
      <w:r>
        <w:rPr>
          <w:sz w:val="24"/>
          <w:szCs w:val="24"/>
        </w:rPr>
        <w:tab/>
      </w:r>
      <w:r>
        <w:rPr>
          <w:sz w:val="24"/>
          <w:szCs w:val="24"/>
        </w:rPr>
        <w:fldChar w:fldCharType="begin"/>
      </w:r>
      <w:r>
        <w:rPr>
          <w:sz w:val="24"/>
          <w:szCs w:val="24"/>
        </w:rPr>
        <w:instrText xml:space="preserve"> PAGEREF _Toc9300 \h </w:instrText>
      </w:r>
      <w:r>
        <w:rPr>
          <w:sz w:val="24"/>
          <w:szCs w:val="24"/>
        </w:rPr>
        <w:fldChar w:fldCharType="separate"/>
      </w:r>
      <w:r>
        <w:rPr>
          <w:sz w:val="24"/>
          <w:szCs w:val="24"/>
        </w:rPr>
        <w:t>34</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_Toc25023 </w:instrText>
      </w:r>
      <w:r>
        <w:rPr>
          <w:sz w:val="24"/>
          <w:szCs w:val="24"/>
        </w:rPr>
        <w:fldChar w:fldCharType="separate"/>
      </w:r>
      <w:r>
        <w:rPr>
          <w:rFonts w:ascii="Times New Roman" w:hAnsi="Times New Roman" w:eastAsia="宋体" w:cs="Times New Roman"/>
          <w:bCs/>
          <w:kern w:val="2"/>
          <w:sz w:val="24"/>
          <w:szCs w:val="24"/>
          <w:lang w:val="en-US" w:eastAsia="zh-CN" w:bidi="ar-SA"/>
        </w:rPr>
        <w:t>4.</w:t>
      </w:r>
      <w:r>
        <w:rPr>
          <w:rFonts w:hint="eastAsia" w:ascii="Times New Roman" w:hAnsi="Times New Roman" w:eastAsia="宋体" w:cs="Times New Roman"/>
          <w:bCs/>
          <w:kern w:val="2"/>
          <w:sz w:val="24"/>
          <w:szCs w:val="24"/>
          <w:lang w:val="en-US" w:eastAsia="zh-CN" w:bidi="ar-SA"/>
        </w:rPr>
        <w:t>2</w:t>
      </w:r>
      <w:r>
        <w:rPr>
          <w:rFonts w:ascii="Times New Roman" w:hAnsi="Times New Roman" w:eastAsia="宋体" w:cs="Times New Roman"/>
          <w:bCs/>
          <w:kern w:val="2"/>
          <w:sz w:val="24"/>
          <w:szCs w:val="24"/>
          <w:lang w:val="en-US" w:eastAsia="zh-CN" w:bidi="ar-SA"/>
        </w:rPr>
        <w:t xml:space="preserve"> </w:t>
      </w:r>
      <w:r>
        <w:rPr>
          <w:rFonts w:hint="eastAsia" w:ascii="Times New Roman" w:hAnsi="Times New Roman" w:eastAsia="宋体" w:cs="Times New Roman"/>
          <w:bCs/>
          <w:kern w:val="2"/>
          <w:sz w:val="24"/>
          <w:szCs w:val="24"/>
          <w:lang w:val="en-US" w:eastAsia="zh-CN" w:bidi="ar-SA"/>
        </w:rPr>
        <w:t>运营期生态环境影响分析与评价</w:t>
      </w:r>
      <w:r>
        <w:rPr>
          <w:sz w:val="24"/>
          <w:szCs w:val="24"/>
        </w:rPr>
        <w:tab/>
      </w:r>
      <w:r>
        <w:rPr>
          <w:sz w:val="24"/>
          <w:szCs w:val="24"/>
        </w:rPr>
        <w:fldChar w:fldCharType="begin"/>
      </w:r>
      <w:r>
        <w:rPr>
          <w:sz w:val="24"/>
          <w:szCs w:val="24"/>
        </w:rPr>
        <w:instrText xml:space="preserve"> PAGEREF _Toc25023 \h </w:instrText>
      </w:r>
      <w:r>
        <w:rPr>
          <w:sz w:val="24"/>
          <w:szCs w:val="24"/>
        </w:rPr>
        <w:fldChar w:fldCharType="separate"/>
      </w:r>
      <w:r>
        <w:rPr>
          <w:sz w:val="24"/>
          <w:szCs w:val="24"/>
        </w:rPr>
        <w:t>37</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_Toc28695 </w:instrText>
      </w:r>
      <w:r>
        <w:rPr>
          <w:sz w:val="24"/>
          <w:szCs w:val="24"/>
        </w:rPr>
        <w:fldChar w:fldCharType="separate"/>
      </w:r>
      <w:r>
        <w:rPr>
          <w:rFonts w:ascii="Times New Roman" w:hAnsi="Times New Roman" w:eastAsia="宋体" w:cs="Times New Roman"/>
          <w:bCs w:val="0"/>
          <w:snapToGrid w:val="0"/>
          <w:kern w:val="0"/>
          <w:sz w:val="24"/>
          <w:szCs w:val="24"/>
          <w:lang w:val="en-US" w:eastAsia="zh-CN" w:bidi="ar-SA"/>
        </w:rPr>
        <w:t>5生态保护对策措施</w:t>
      </w:r>
      <w:r>
        <w:rPr>
          <w:sz w:val="24"/>
          <w:szCs w:val="24"/>
        </w:rPr>
        <w:tab/>
      </w:r>
      <w:r>
        <w:rPr>
          <w:sz w:val="24"/>
          <w:szCs w:val="24"/>
        </w:rPr>
        <w:fldChar w:fldCharType="begin"/>
      </w:r>
      <w:r>
        <w:rPr>
          <w:sz w:val="24"/>
          <w:szCs w:val="24"/>
        </w:rPr>
        <w:instrText xml:space="preserve"> PAGEREF _Toc28695 \h </w:instrText>
      </w:r>
      <w:r>
        <w:rPr>
          <w:sz w:val="24"/>
          <w:szCs w:val="24"/>
        </w:rPr>
        <w:fldChar w:fldCharType="separate"/>
      </w:r>
      <w:r>
        <w:rPr>
          <w:sz w:val="24"/>
          <w:szCs w:val="24"/>
        </w:rPr>
        <w:t>39</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_Toc20848 </w:instrText>
      </w:r>
      <w:r>
        <w:rPr>
          <w:sz w:val="24"/>
          <w:szCs w:val="24"/>
        </w:rPr>
        <w:fldChar w:fldCharType="separate"/>
      </w:r>
      <w:r>
        <w:rPr>
          <w:rFonts w:ascii="Times New Roman" w:hAnsi="Times New Roman" w:eastAsia="宋体" w:cs="Times New Roman"/>
          <w:bCs/>
          <w:kern w:val="2"/>
          <w:sz w:val="24"/>
          <w:szCs w:val="24"/>
          <w:lang w:val="en-US" w:eastAsia="zh-CN" w:bidi="ar-SA"/>
        </w:rPr>
        <w:t>5.1施工期生态保护措施</w:t>
      </w:r>
      <w:r>
        <w:rPr>
          <w:sz w:val="24"/>
          <w:szCs w:val="24"/>
        </w:rPr>
        <w:tab/>
      </w:r>
      <w:r>
        <w:rPr>
          <w:sz w:val="24"/>
          <w:szCs w:val="24"/>
        </w:rPr>
        <w:fldChar w:fldCharType="begin"/>
      </w:r>
      <w:r>
        <w:rPr>
          <w:sz w:val="24"/>
          <w:szCs w:val="24"/>
        </w:rPr>
        <w:instrText xml:space="preserve"> PAGEREF _Toc20848 \h </w:instrText>
      </w:r>
      <w:r>
        <w:rPr>
          <w:sz w:val="24"/>
          <w:szCs w:val="24"/>
        </w:rPr>
        <w:fldChar w:fldCharType="separate"/>
      </w:r>
      <w:r>
        <w:rPr>
          <w:sz w:val="24"/>
          <w:szCs w:val="24"/>
        </w:rPr>
        <w:t>39</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_Toc10162 </w:instrText>
      </w:r>
      <w:r>
        <w:rPr>
          <w:sz w:val="24"/>
          <w:szCs w:val="24"/>
        </w:rPr>
        <w:fldChar w:fldCharType="separate"/>
      </w:r>
      <w:r>
        <w:rPr>
          <w:rFonts w:ascii="Times New Roman" w:hAnsi="Times New Roman" w:eastAsia="宋体" w:cs="Times New Roman"/>
          <w:bCs/>
          <w:kern w:val="2"/>
          <w:sz w:val="24"/>
          <w:szCs w:val="24"/>
          <w:lang w:val="en-US" w:eastAsia="zh-CN" w:bidi="ar-SA"/>
        </w:rPr>
        <w:t>5.2营运期生态保护措施</w:t>
      </w:r>
      <w:r>
        <w:rPr>
          <w:sz w:val="24"/>
          <w:szCs w:val="24"/>
        </w:rPr>
        <w:tab/>
      </w:r>
      <w:r>
        <w:rPr>
          <w:sz w:val="24"/>
          <w:szCs w:val="24"/>
        </w:rPr>
        <w:fldChar w:fldCharType="begin"/>
      </w:r>
      <w:r>
        <w:rPr>
          <w:sz w:val="24"/>
          <w:szCs w:val="24"/>
        </w:rPr>
        <w:instrText xml:space="preserve"> PAGEREF _Toc10162 \h </w:instrText>
      </w:r>
      <w:r>
        <w:rPr>
          <w:sz w:val="24"/>
          <w:szCs w:val="24"/>
        </w:rPr>
        <w:fldChar w:fldCharType="separate"/>
      </w:r>
      <w:r>
        <w:rPr>
          <w:sz w:val="24"/>
          <w:szCs w:val="24"/>
        </w:rPr>
        <w:t>41</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_Toc6071 </w:instrText>
      </w:r>
      <w:r>
        <w:rPr>
          <w:sz w:val="24"/>
          <w:szCs w:val="24"/>
        </w:rPr>
        <w:fldChar w:fldCharType="separate"/>
      </w:r>
      <w:r>
        <w:rPr>
          <w:rFonts w:ascii="Times New Roman" w:hAnsi="Times New Roman" w:eastAsia="宋体" w:cs="Times New Roman"/>
          <w:snapToGrid w:val="0"/>
          <w:kern w:val="0"/>
          <w:sz w:val="24"/>
          <w:szCs w:val="24"/>
          <w:lang w:val="en-US" w:eastAsia="zh-CN" w:bidi="ar-SA"/>
        </w:rPr>
        <w:t>6评价结论和建议</w:t>
      </w:r>
      <w:r>
        <w:rPr>
          <w:sz w:val="24"/>
          <w:szCs w:val="24"/>
        </w:rPr>
        <w:tab/>
      </w:r>
      <w:r>
        <w:rPr>
          <w:sz w:val="24"/>
          <w:szCs w:val="24"/>
        </w:rPr>
        <w:fldChar w:fldCharType="begin"/>
      </w:r>
      <w:r>
        <w:rPr>
          <w:sz w:val="24"/>
          <w:szCs w:val="24"/>
        </w:rPr>
        <w:instrText xml:space="preserve"> PAGEREF _Toc6071 \h </w:instrText>
      </w:r>
      <w:r>
        <w:rPr>
          <w:sz w:val="24"/>
          <w:szCs w:val="24"/>
        </w:rPr>
        <w:fldChar w:fldCharType="separate"/>
      </w:r>
      <w:r>
        <w:rPr>
          <w:sz w:val="24"/>
          <w:szCs w:val="24"/>
        </w:rPr>
        <w:t>42</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_Toc2619 </w:instrText>
      </w:r>
      <w:r>
        <w:rPr>
          <w:sz w:val="24"/>
          <w:szCs w:val="24"/>
        </w:rPr>
        <w:fldChar w:fldCharType="separate"/>
      </w:r>
      <w:r>
        <w:rPr>
          <w:rFonts w:ascii="Times New Roman" w:hAnsi="Times New Roman" w:eastAsia="宋体" w:cs="Times New Roman"/>
          <w:bCs/>
          <w:kern w:val="2"/>
          <w:sz w:val="24"/>
          <w:szCs w:val="24"/>
          <w:lang w:val="en-US" w:eastAsia="zh-CN" w:bidi="ar-SA"/>
        </w:rPr>
        <w:t>6.1评价结论</w:t>
      </w:r>
      <w:r>
        <w:rPr>
          <w:sz w:val="24"/>
          <w:szCs w:val="24"/>
        </w:rPr>
        <w:tab/>
      </w:r>
      <w:r>
        <w:rPr>
          <w:sz w:val="24"/>
          <w:szCs w:val="24"/>
        </w:rPr>
        <w:fldChar w:fldCharType="begin"/>
      </w:r>
      <w:r>
        <w:rPr>
          <w:sz w:val="24"/>
          <w:szCs w:val="24"/>
        </w:rPr>
        <w:instrText xml:space="preserve"> PAGEREF _Toc2619 \h </w:instrText>
      </w:r>
      <w:r>
        <w:rPr>
          <w:sz w:val="24"/>
          <w:szCs w:val="24"/>
        </w:rPr>
        <w:fldChar w:fldCharType="separate"/>
      </w:r>
      <w:r>
        <w:rPr>
          <w:sz w:val="24"/>
          <w:szCs w:val="24"/>
        </w:rPr>
        <w:t>42</w:t>
      </w:r>
      <w:r>
        <w:rPr>
          <w:sz w:val="24"/>
          <w:szCs w:val="24"/>
        </w:rPr>
        <w:fldChar w:fldCharType="end"/>
      </w:r>
      <w:r>
        <w:rPr>
          <w:color w:val="auto"/>
          <w:sz w:val="24"/>
          <w:szCs w:val="24"/>
        </w:rPr>
        <w:fldChar w:fldCharType="end"/>
      </w:r>
    </w:p>
    <w:p>
      <w:pPr>
        <w:pStyle w:val="19"/>
        <w:tabs>
          <w:tab w:val="right" w:leader="dot" w:pos="8844"/>
        </w:tabs>
        <w:rPr>
          <w:sz w:val="24"/>
          <w:szCs w:val="24"/>
        </w:rPr>
      </w:pPr>
      <w:r>
        <w:rPr>
          <w:color w:val="auto"/>
          <w:sz w:val="24"/>
          <w:szCs w:val="24"/>
        </w:rPr>
        <w:fldChar w:fldCharType="begin"/>
      </w:r>
      <w:r>
        <w:rPr>
          <w:sz w:val="24"/>
          <w:szCs w:val="24"/>
        </w:rPr>
        <w:instrText xml:space="preserve"> HYPERLINK \l _Toc23080 </w:instrText>
      </w:r>
      <w:r>
        <w:rPr>
          <w:sz w:val="24"/>
          <w:szCs w:val="24"/>
        </w:rPr>
        <w:fldChar w:fldCharType="separate"/>
      </w:r>
      <w:r>
        <w:rPr>
          <w:rFonts w:ascii="Times New Roman" w:hAnsi="Times New Roman" w:eastAsia="宋体" w:cs="Times New Roman"/>
          <w:bCs/>
          <w:kern w:val="2"/>
          <w:sz w:val="24"/>
          <w:szCs w:val="24"/>
          <w:lang w:val="en-US" w:eastAsia="zh-CN" w:bidi="ar-SA"/>
        </w:rPr>
        <w:t>6.2评价建议</w:t>
      </w:r>
      <w:r>
        <w:rPr>
          <w:sz w:val="24"/>
          <w:szCs w:val="24"/>
        </w:rPr>
        <w:tab/>
      </w:r>
      <w:r>
        <w:rPr>
          <w:sz w:val="24"/>
          <w:szCs w:val="24"/>
        </w:rPr>
        <w:fldChar w:fldCharType="begin"/>
      </w:r>
      <w:r>
        <w:rPr>
          <w:sz w:val="24"/>
          <w:szCs w:val="24"/>
        </w:rPr>
        <w:instrText xml:space="preserve"> PAGEREF _Toc23080 \h </w:instrText>
      </w:r>
      <w:r>
        <w:rPr>
          <w:sz w:val="24"/>
          <w:szCs w:val="24"/>
        </w:rPr>
        <w:fldChar w:fldCharType="separate"/>
      </w:r>
      <w:r>
        <w:rPr>
          <w:sz w:val="24"/>
          <w:szCs w:val="24"/>
        </w:rPr>
        <w:t>42</w:t>
      </w:r>
      <w:r>
        <w:rPr>
          <w:sz w:val="24"/>
          <w:szCs w:val="24"/>
        </w:rPr>
        <w:fldChar w:fldCharType="end"/>
      </w:r>
      <w:r>
        <w:rPr>
          <w:color w:val="auto"/>
          <w:sz w:val="24"/>
          <w:szCs w:val="24"/>
        </w:rPr>
        <w:fldChar w:fldCharType="end"/>
      </w:r>
    </w:p>
    <w:p>
      <w:pPr>
        <w:pStyle w:val="19"/>
        <w:tabs>
          <w:tab w:val="right" w:leader="dot" w:pos="8844"/>
        </w:tabs>
      </w:pPr>
      <w:r>
        <w:rPr>
          <w:color w:val="auto"/>
          <w:sz w:val="24"/>
          <w:szCs w:val="24"/>
        </w:rPr>
        <w:fldChar w:fldCharType="begin"/>
      </w:r>
      <w:r>
        <w:rPr>
          <w:sz w:val="24"/>
          <w:szCs w:val="24"/>
        </w:rPr>
        <w:instrText xml:space="preserve"> HYPERLINK \l _Toc26213 </w:instrText>
      </w:r>
      <w:r>
        <w:rPr>
          <w:sz w:val="24"/>
          <w:szCs w:val="24"/>
        </w:rPr>
        <w:fldChar w:fldCharType="separate"/>
      </w:r>
      <w:r>
        <w:rPr>
          <w:rFonts w:hint="default" w:ascii="Times New Roman" w:hAnsi="Times New Roman" w:eastAsia="宋体" w:cs="Times New Roman"/>
          <w:bCs/>
          <w:sz w:val="24"/>
          <w:szCs w:val="24"/>
          <w:lang w:val="en-US" w:eastAsia="zh-CN"/>
        </w:rPr>
        <w:t>生态影响评价自查表</w:t>
      </w:r>
      <w:r>
        <w:rPr>
          <w:sz w:val="24"/>
          <w:szCs w:val="24"/>
        </w:rPr>
        <w:tab/>
      </w:r>
      <w:r>
        <w:rPr>
          <w:sz w:val="24"/>
          <w:szCs w:val="24"/>
        </w:rPr>
        <w:fldChar w:fldCharType="begin"/>
      </w:r>
      <w:r>
        <w:rPr>
          <w:sz w:val="24"/>
          <w:szCs w:val="24"/>
        </w:rPr>
        <w:instrText xml:space="preserve"> PAGEREF _Toc26213 \h </w:instrText>
      </w:r>
      <w:r>
        <w:rPr>
          <w:sz w:val="24"/>
          <w:szCs w:val="24"/>
        </w:rPr>
        <w:fldChar w:fldCharType="separate"/>
      </w:r>
      <w:r>
        <w:rPr>
          <w:sz w:val="24"/>
          <w:szCs w:val="24"/>
        </w:rPr>
        <w:t>43</w:t>
      </w:r>
      <w:r>
        <w:rPr>
          <w:sz w:val="24"/>
          <w:szCs w:val="24"/>
        </w:rPr>
        <w:fldChar w:fldCharType="end"/>
      </w:r>
      <w:r>
        <w:rPr>
          <w:color w:val="auto"/>
          <w:sz w:val="24"/>
          <w:szCs w:val="24"/>
        </w:rPr>
        <w:fldChar w:fldCharType="end"/>
      </w:r>
    </w:p>
    <w:p>
      <w:pPr>
        <w:rPr>
          <w:color w:val="auto"/>
          <w:szCs w:val="24"/>
        </w:rPr>
      </w:pPr>
      <w:r>
        <w:rPr>
          <w:color w:val="auto"/>
          <w:szCs w:val="24"/>
        </w:rPr>
        <w:fldChar w:fldCharType="end"/>
      </w:r>
    </w:p>
    <w:p>
      <w:pPr>
        <w:rPr>
          <w:color w:val="auto"/>
          <w:szCs w:val="24"/>
        </w:rPr>
      </w:pPr>
      <w:r>
        <w:rPr>
          <w:color w:val="auto"/>
          <w:szCs w:val="24"/>
        </w:rPr>
        <w:br w:type="page"/>
      </w:r>
    </w:p>
    <w:p>
      <w:pPr>
        <w:pStyle w:val="2"/>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pPr>
        <w:pStyle w:val="20"/>
        <w:jc w:val="center"/>
        <w:outlineLvl w:val="0"/>
        <w:rPr>
          <w:rFonts w:ascii="黑体" w:hAnsi="黑体" w:eastAsia="黑体"/>
          <w:snapToGrid w:val="0"/>
          <w:color w:val="auto"/>
          <w:sz w:val="30"/>
          <w:szCs w:val="30"/>
        </w:rPr>
      </w:pPr>
      <w:bookmarkStart w:id="7" w:name="_Toc29286"/>
      <w:bookmarkStart w:id="8" w:name="_Toc8115"/>
      <w:r>
        <w:rPr>
          <w:rFonts w:hint="eastAsia" w:ascii="黑体" w:hAnsi="黑体" w:eastAsia="黑体"/>
          <w:snapToGrid w:val="0"/>
          <w:color w:val="auto"/>
          <w:sz w:val="30"/>
          <w:szCs w:val="30"/>
        </w:rPr>
        <w:t>一、建设项目基本情况</w:t>
      </w:r>
      <w:bookmarkEnd w:id="7"/>
      <w:bookmarkEnd w:id="8"/>
    </w:p>
    <w:tbl>
      <w:tblPr>
        <w:tblStyle w:val="23"/>
        <w:tblW w:w="90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82"/>
        <w:gridCol w:w="2391"/>
        <w:gridCol w:w="2010"/>
        <w:gridCol w:w="34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建设项目</w:t>
            </w:r>
          </w:p>
          <w:p>
            <w:pPr>
              <w:adjustRightInd w:val="0"/>
              <w:snapToGrid w:val="0"/>
              <w:jc w:val="center"/>
              <w:rPr>
                <w:rFonts w:cs="宋体"/>
                <w:color w:val="auto"/>
                <w:sz w:val="24"/>
                <w:szCs w:val="21"/>
              </w:rPr>
            </w:pPr>
            <w:r>
              <w:rPr>
                <w:rFonts w:hint="eastAsia" w:cs="宋体"/>
                <w:color w:val="auto"/>
                <w:sz w:val="24"/>
                <w:szCs w:val="21"/>
              </w:rPr>
              <w:t>名称</w:t>
            </w:r>
          </w:p>
        </w:tc>
        <w:tc>
          <w:tcPr>
            <w:tcW w:w="7838" w:type="dxa"/>
            <w:gridSpan w:val="3"/>
            <w:vAlign w:val="center"/>
          </w:tcPr>
          <w:p>
            <w:pPr>
              <w:adjustRightInd w:val="0"/>
              <w:snapToGrid w:val="0"/>
              <w:jc w:val="center"/>
              <w:rPr>
                <w:rFonts w:cs="宋体"/>
                <w:color w:val="auto"/>
                <w:sz w:val="24"/>
                <w:szCs w:val="21"/>
              </w:rPr>
            </w:pPr>
            <w:r>
              <w:rPr>
                <w:rFonts w:hint="eastAsia" w:ascii="Times New Roman" w:hAnsi="Times New Roman" w:cs="宋体"/>
                <w:color w:val="auto"/>
                <w:sz w:val="24"/>
                <w:szCs w:val="21"/>
                <w:lang w:val="en-US" w:eastAsia="zh-CN"/>
              </w:rPr>
              <w:t>华容县团洲垸灾后重建安置房建设项目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项目代码</w:t>
            </w:r>
          </w:p>
        </w:tc>
        <w:tc>
          <w:tcPr>
            <w:tcW w:w="7838" w:type="dxa"/>
            <w:gridSpan w:val="3"/>
            <w:vAlign w:val="center"/>
          </w:tcPr>
          <w:p>
            <w:pPr>
              <w:adjustRightInd w:val="0"/>
              <w:snapToGrid w:val="0"/>
              <w:jc w:val="center"/>
              <w:rPr>
                <w:rFonts w:hint="default"/>
                <w:lang w:val="en-US" w:eastAsia="zh-CN"/>
              </w:rPr>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建设单位</w:t>
            </w:r>
          </w:p>
          <w:p>
            <w:pPr>
              <w:adjustRightInd w:val="0"/>
              <w:snapToGrid w:val="0"/>
              <w:jc w:val="center"/>
              <w:rPr>
                <w:rFonts w:cs="宋体"/>
                <w:color w:val="auto"/>
                <w:sz w:val="24"/>
                <w:szCs w:val="21"/>
              </w:rPr>
            </w:pPr>
            <w:r>
              <w:rPr>
                <w:rFonts w:hint="eastAsia" w:cs="宋体"/>
                <w:color w:val="auto"/>
                <w:sz w:val="24"/>
                <w:szCs w:val="21"/>
              </w:rPr>
              <w:t>联系人</w:t>
            </w:r>
          </w:p>
        </w:tc>
        <w:tc>
          <w:tcPr>
            <w:tcW w:w="2391" w:type="dxa"/>
            <w:vAlign w:val="center"/>
          </w:tcPr>
          <w:p>
            <w:pPr>
              <w:adjustRightInd w:val="0"/>
              <w:snapToGrid w:val="0"/>
              <w:jc w:val="center"/>
              <w:rPr>
                <w:rFonts w:hint="default" w:eastAsia="宋体" w:cs="宋体"/>
                <w:color w:val="auto"/>
                <w:sz w:val="24"/>
                <w:szCs w:val="21"/>
                <w:lang w:val="en-US" w:eastAsia="zh-CN"/>
              </w:rPr>
            </w:pPr>
            <w:r>
              <w:rPr>
                <w:rFonts w:hint="eastAsia" w:cs="宋体"/>
                <w:color w:val="auto"/>
                <w:sz w:val="24"/>
                <w:szCs w:val="21"/>
                <w:lang w:val="en-US" w:eastAsia="zh-CN"/>
              </w:rPr>
              <w:t>蔡祥</w:t>
            </w:r>
          </w:p>
        </w:tc>
        <w:tc>
          <w:tcPr>
            <w:tcW w:w="2010" w:type="dxa"/>
            <w:vAlign w:val="center"/>
          </w:tcPr>
          <w:p>
            <w:pPr>
              <w:adjustRightInd w:val="0"/>
              <w:snapToGrid w:val="0"/>
              <w:jc w:val="center"/>
              <w:rPr>
                <w:rFonts w:cs="宋体"/>
                <w:color w:val="auto"/>
                <w:sz w:val="24"/>
                <w:szCs w:val="21"/>
              </w:rPr>
            </w:pPr>
            <w:r>
              <w:rPr>
                <w:rFonts w:hint="eastAsia" w:cs="宋体"/>
                <w:color w:val="auto"/>
                <w:sz w:val="24"/>
                <w:szCs w:val="21"/>
              </w:rPr>
              <w:t>联系方式</w:t>
            </w:r>
          </w:p>
        </w:tc>
        <w:tc>
          <w:tcPr>
            <w:tcW w:w="3437" w:type="dxa"/>
            <w:vAlign w:val="center"/>
          </w:tcPr>
          <w:p>
            <w:pPr>
              <w:adjustRightInd w:val="0"/>
              <w:snapToGrid w:val="0"/>
              <w:jc w:val="center"/>
              <w:rPr>
                <w:rFonts w:hint="default" w:eastAsia="宋体" w:cs="宋体"/>
                <w:color w:val="auto"/>
                <w:sz w:val="24"/>
                <w:szCs w:val="21"/>
                <w:lang w:val="en-US" w:eastAsia="zh-CN"/>
              </w:rPr>
            </w:pPr>
            <w:r>
              <w:rPr>
                <w:rFonts w:hint="eastAsia" w:cs="宋体"/>
                <w:color w:val="auto"/>
                <w:sz w:val="24"/>
                <w:szCs w:val="21"/>
                <w:highlight w:val="none"/>
                <w:lang w:val="en-US" w:eastAsia="zh-CN"/>
              </w:rPr>
              <w:t>13337301653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建设地点</w:t>
            </w:r>
          </w:p>
        </w:tc>
        <w:tc>
          <w:tcPr>
            <w:tcW w:w="7838" w:type="dxa"/>
            <w:gridSpan w:val="3"/>
            <w:vAlign w:val="center"/>
          </w:tcPr>
          <w:p>
            <w:pPr>
              <w:adjustRightInd w:val="0"/>
              <w:snapToGrid w:val="0"/>
              <w:jc w:val="center"/>
              <w:rPr>
                <w:rFonts w:hint="default" w:ascii="Times New Roman" w:hAnsi="Times New Roman" w:cs="宋体"/>
                <w:color w:val="auto"/>
                <w:sz w:val="24"/>
                <w:szCs w:val="21"/>
                <w:lang w:val="en-US" w:eastAsia="zh-CN"/>
              </w:rPr>
            </w:pPr>
            <w:r>
              <w:rPr>
                <w:rFonts w:hint="eastAsia" w:ascii="Times New Roman" w:hAnsi="Times New Roman" w:cs="宋体"/>
                <w:color w:val="auto"/>
                <w:sz w:val="24"/>
                <w:szCs w:val="21"/>
                <w:lang w:val="en-US" w:eastAsia="zh-CN"/>
              </w:rPr>
              <w:t>位于</w:t>
            </w:r>
            <w:r>
              <w:rPr>
                <w:rFonts w:hint="eastAsia" w:cs="宋体"/>
                <w:color w:val="auto"/>
                <w:sz w:val="24"/>
                <w:szCs w:val="21"/>
                <w:lang w:val="en-US" w:eastAsia="zh-CN"/>
              </w:rPr>
              <w:t>湖南省岳阳市</w:t>
            </w:r>
            <w:r>
              <w:rPr>
                <w:rFonts w:hint="eastAsia" w:ascii="Times New Roman" w:hAnsi="Times New Roman" w:cs="宋体"/>
                <w:color w:val="auto"/>
                <w:sz w:val="24"/>
                <w:szCs w:val="21"/>
                <w:lang w:val="en-US" w:eastAsia="zh-CN"/>
              </w:rPr>
              <w:t>华容县团洲安全垸内团洲乡中心小学东侧，</w:t>
            </w:r>
            <w:r>
              <w:rPr>
                <w:rFonts w:hint="eastAsia" w:cs="宋体"/>
                <w:color w:val="auto"/>
                <w:sz w:val="24"/>
                <w:szCs w:val="21"/>
                <w:lang w:val="en-US" w:eastAsia="zh-CN"/>
              </w:rPr>
              <w:t>南电排渠西侧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地理坐标</w:t>
            </w:r>
          </w:p>
        </w:tc>
        <w:tc>
          <w:tcPr>
            <w:tcW w:w="7838" w:type="dxa"/>
            <w:gridSpan w:val="3"/>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hint="default" w:ascii="Times New Roman" w:hAnsi="Times New Roman" w:eastAsia="宋体" w:cs="Times New Roman"/>
                <w:sz w:val="24"/>
                <w:szCs w:val="24"/>
                <w:lang w:eastAsia="zh-CN"/>
              </w:rPr>
            </w:pPr>
            <w:r>
              <w:rPr>
                <w:rFonts w:hint="default" w:ascii="Times New Roman" w:hAnsi="Times New Roman" w:cs="Times New Roman"/>
                <w:color w:val="auto"/>
                <w:sz w:val="24"/>
                <w:szCs w:val="24"/>
                <w:highlight w:val="none"/>
                <w:lang w:val="en-US" w:eastAsia="zh-CN"/>
              </w:rPr>
              <w:t>安置区一期：东经：</w:t>
            </w:r>
            <w:r>
              <w:rPr>
                <w:rFonts w:hint="default" w:ascii="Times New Roman" w:hAnsi="Times New Roman" w:cs="Times New Roman"/>
                <w:sz w:val="24"/>
                <w:szCs w:val="24"/>
                <w:u w:val="single"/>
              </w:rPr>
              <w:t xml:space="preserve"> 112  </w:t>
            </w:r>
            <w:r>
              <w:rPr>
                <w:rFonts w:hint="default" w:ascii="Times New Roman" w:hAnsi="Times New Roman" w:cs="Times New Roman"/>
                <w:sz w:val="24"/>
                <w:szCs w:val="24"/>
              </w:rPr>
              <w:t>度</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47</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分</w:t>
            </w:r>
            <w:r>
              <w:rPr>
                <w:rFonts w:hint="default" w:ascii="Times New Roman" w:hAnsi="Times New Roman" w:cs="Times New Roman"/>
                <w:sz w:val="24"/>
                <w:szCs w:val="24"/>
                <w:u w:val="single"/>
              </w:rPr>
              <w:t xml:space="preserve">  37.59000 </w:t>
            </w:r>
            <w:r>
              <w:rPr>
                <w:rFonts w:hint="default" w:ascii="Times New Roman" w:hAnsi="Times New Roman" w:cs="Times New Roman"/>
                <w:sz w:val="24"/>
                <w:szCs w:val="24"/>
              </w:rPr>
              <w:t>秒</w:t>
            </w:r>
            <w:r>
              <w:rPr>
                <w:rFonts w:hint="default" w:ascii="Times New Roman" w:hAnsi="Times New Roman" w:cs="Times New Roman"/>
                <w:color w:val="auto"/>
                <w:sz w:val="24"/>
                <w:szCs w:val="24"/>
                <w:highlight w:val="none"/>
                <w:lang w:val="en-US" w:eastAsia="zh-CN"/>
              </w:rPr>
              <w:t>；北纬：</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29</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度</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20</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分</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15.49320</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秒</w:t>
            </w:r>
            <w:r>
              <w:rPr>
                <w:rFonts w:hint="default" w:ascii="Times New Roman" w:hAnsi="Times New Roman" w:cs="Times New Roman"/>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left"/>
              <w:textAlignment w:val="auto"/>
              <w:rPr>
                <w:rFonts w:hint="default" w:ascii="Times New Roman" w:hAnsi="Times New Roman" w:eastAsia="宋体" w:cs="Times New Roman"/>
                <w:szCs w:val="21"/>
                <w:lang w:eastAsia="zh-CN"/>
              </w:rPr>
            </w:pPr>
            <w:r>
              <w:rPr>
                <w:rFonts w:hint="default" w:ascii="Times New Roman" w:hAnsi="Times New Roman" w:cs="Times New Roman"/>
                <w:sz w:val="24"/>
                <w:szCs w:val="24"/>
                <w:lang w:val="en-US" w:eastAsia="zh-CN"/>
              </w:rPr>
              <w:t>安置区二期：</w:t>
            </w:r>
            <w:r>
              <w:rPr>
                <w:rFonts w:hint="default" w:ascii="Times New Roman" w:hAnsi="Times New Roman" w:cs="Times New Roman"/>
                <w:color w:val="auto"/>
                <w:sz w:val="24"/>
                <w:szCs w:val="21"/>
                <w:highlight w:val="none"/>
                <w:lang w:val="en-US" w:eastAsia="zh-CN"/>
              </w:rPr>
              <w:t>东经：</w:t>
            </w:r>
            <w:r>
              <w:rPr>
                <w:rFonts w:hint="default" w:ascii="Times New Roman" w:hAnsi="Times New Roman" w:cs="Times New Roman"/>
                <w:szCs w:val="21"/>
                <w:u w:val="single"/>
              </w:rPr>
              <w:t xml:space="preserve"> 112  </w:t>
            </w:r>
            <w:r>
              <w:rPr>
                <w:rFonts w:hint="default" w:ascii="Times New Roman" w:hAnsi="Times New Roman" w:cs="Times New Roman"/>
                <w:szCs w:val="21"/>
              </w:rPr>
              <w:t>度</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47</w:t>
            </w:r>
            <w:r>
              <w:rPr>
                <w:rFonts w:hint="default" w:ascii="Times New Roman" w:hAnsi="Times New Roman" w:cs="Times New Roman"/>
                <w:szCs w:val="21"/>
                <w:u w:val="single"/>
              </w:rPr>
              <w:t xml:space="preserve"> </w:t>
            </w:r>
            <w:r>
              <w:rPr>
                <w:rFonts w:hint="default" w:ascii="Times New Roman" w:hAnsi="Times New Roman" w:cs="Times New Roman"/>
                <w:szCs w:val="21"/>
              </w:rPr>
              <w:t>分</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53.34</w:t>
            </w:r>
            <w:r>
              <w:rPr>
                <w:rFonts w:hint="default" w:ascii="Times New Roman" w:hAnsi="Times New Roman" w:cs="Times New Roman"/>
                <w:szCs w:val="21"/>
                <w:u w:val="single"/>
              </w:rPr>
              <w:t xml:space="preserve">000 </w:t>
            </w:r>
            <w:r>
              <w:rPr>
                <w:rFonts w:hint="default" w:ascii="Times New Roman" w:hAnsi="Times New Roman" w:cs="Times New Roman"/>
                <w:szCs w:val="21"/>
              </w:rPr>
              <w:t>秒</w:t>
            </w:r>
            <w:r>
              <w:rPr>
                <w:rFonts w:hint="default" w:ascii="Times New Roman" w:hAnsi="Times New Roman" w:cs="Times New Roman"/>
                <w:color w:val="auto"/>
                <w:sz w:val="24"/>
                <w:szCs w:val="21"/>
                <w:highlight w:val="none"/>
                <w:lang w:val="en-US" w:eastAsia="zh-CN"/>
              </w:rPr>
              <w:t>；北纬：</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29</w:t>
            </w:r>
            <w:r>
              <w:rPr>
                <w:rFonts w:hint="default" w:ascii="Times New Roman" w:hAnsi="Times New Roman" w:cs="Times New Roman"/>
                <w:szCs w:val="21"/>
                <w:u w:val="single"/>
              </w:rPr>
              <w:t xml:space="preserve"> </w:t>
            </w:r>
            <w:r>
              <w:rPr>
                <w:rFonts w:hint="default" w:ascii="Times New Roman" w:hAnsi="Times New Roman" w:cs="Times New Roman"/>
                <w:szCs w:val="21"/>
              </w:rPr>
              <w:t>度</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20</w:t>
            </w:r>
            <w:r>
              <w:rPr>
                <w:rFonts w:hint="default" w:ascii="Times New Roman" w:hAnsi="Times New Roman" w:cs="Times New Roman"/>
                <w:szCs w:val="21"/>
                <w:u w:val="single"/>
              </w:rPr>
              <w:t xml:space="preserve"> </w:t>
            </w:r>
            <w:r>
              <w:rPr>
                <w:rFonts w:hint="default" w:ascii="Times New Roman" w:hAnsi="Times New Roman" w:cs="Times New Roman"/>
                <w:szCs w:val="21"/>
              </w:rPr>
              <w:t>分</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11.19840</w:t>
            </w:r>
            <w:r>
              <w:rPr>
                <w:rFonts w:hint="default" w:ascii="Times New Roman" w:hAnsi="Times New Roman" w:cs="Times New Roman"/>
                <w:szCs w:val="21"/>
                <w:u w:val="single"/>
              </w:rPr>
              <w:t xml:space="preserve"> </w:t>
            </w:r>
            <w:r>
              <w:rPr>
                <w:rFonts w:hint="default" w:ascii="Times New Roman" w:hAnsi="Times New Roman" w:cs="Times New Roman"/>
                <w:szCs w:val="21"/>
              </w:rPr>
              <w:t>秒</w:t>
            </w:r>
            <w:r>
              <w:rPr>
                <w:rFonts w:hint="default" w:ascii="Times New Roman" w:hAnsi="Times New Roman" w:cs="Times New Roman"/>
                <w:szCs w:val="21"/>
                <w:lang w:eastAsia="zh-CN"/>
              </w:rPr>
              <w:t>；</w:t>
            </w:r>
          </w:p>
          <w:p>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left"/>
              <w:textAlignment w:val="auto"/>
              <w:rPr>
                <w:rFonts w:hint="default" w:ascii="Times New Roman" w:hAnsi="Times New Roman" w:eastAsia="宋体" w:cs="Times New Roman"/>
                <w:sz w:val="24"/>
                <w:szCs w:val="24"/>
                <w:lang w:eastAsia="zh-CN"/>
              </w:rPr>
            </w:pPr>
            <w:r>
              <w:rPr>
                <w:rFonts w:hint="default" w:ascii="Times New Roman" w:hAnsi="Times New Roman" w:cs="Times New Roman"/>
                <w:szCs w:val="21"/>
                <w:lang w:val="en-US" w:eastAsia="zh-CN"/>
              </w:rPr>
              <w:t>安置区三期：</w:t>
            </w:r>
            <w:r>
              <w:rPr>
                <w:rFonts w:hint="default" w:ascii="Times New Roman" w:hAnsi="Times New Roman" w:cs="Times New Roman"/>
                <w:color w:val="auto"/>
                <w:sz w:val="24"/>
                <w:szCs w:val="24"/>
                <w:highlight w:val="none"/>
                <w:lang w:val="en-US" w:eastAsia="zh-CN"/>
              </w:rPr>
              <w:t>东经：</w:t>
            </w:r>
            <w:r>
              <w:rPr>
                <w:rFonts w:hint="default" w:ascii="Times New Roman" w:hAnsi="Times New Roman" w:cs="Times New Roman"/>
                <w:sz w:val="24"/>
                <w:szCs w:val="24"/>
                <w:u w:val="single"/>
              </w:rPr>
              <w:t xml:space="preserve"> 112  </w:t>
            </w:r>
            <w:r>
              <w:rPr>
                <w:rFonts w:hint="default" w:ascii="Times New Roman" w:hAnsi="Times New Roman" w:cs="Times New Roman"/>
                <w:sz w:val="24"/>
                <w:szCs w:val="24"/>
              </w:rPr>
              <w:t>度</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47</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分</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51.75600</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秒</w:t>
            </w:r>
            <w:r>
              <w:rPr>
                <w:rFonts w:hint="default" w:ascii="Times New Roman" w:hAnsi="Times New Roman" w:cs="Times New Roman"/>
                <w:color w:val="auto"/>
                <w:sz w:val="24"/>
                <w:szCs w:val="24"/>
                <w:highlight w:val="none"/>
                <w:lang w:val="en-US" w:eastAsia="zh-CN"/>
              </w:rPr>
              <w:t>；北纬：</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29</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度</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20</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分</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2.43240</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秒</w:t>
            </w:r>
            <w:r>
              <w:rPr>
                <w:rFonts w:hint="default" w:ascii="Times New Roman" w:hAnsi="Times New Roman" w:cs="Times New Roman"/>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left"/>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val="en-US" w:eastAsia="zh-CN"/>
              </w:rPr>
              <w:t>污水处理厂：东经：</w:t>
            </w:r>
            <w:r>
              <w:rPr>
                <w:rFonts w:hint="default" w:ascii="Times New Roman" w:hAnsi="Times New Roman" w:cs="Times New Roman"/>
                <w:sz w:val="24"/>
                <w:szCs w:val="24"/>
                <w:u w:val="single"/>
              </w:rPr>
              <w:t xml:space="preserve"> 112  </w:t>
            </w:r>
            <w:r>
              <w:rPr>
                <w:rFonts w:hint="default" w:ascii="Times New Roman" w:hAnsi="Times New Roman" w:cs="Times New Roman"/>
                <w:sz w:val="24"/>
                <w:szCs w:val="24"/>
              </w:rPr>
              <w:t>度</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47</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分</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56.66231</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秒</w:t>
            </w:r>
            <w:r>
              <w:rPr>
                <w:rFonts w:hint="default" w:ascii="Times New Roman" w:hAnsi="Times New Roman" w:cs="Times New Roman"/>
                <w:color w:val="auto"/>
                <w:sz w:val="24"/>
                <w:szCs w:val="24"/>
                <w:highlight w:val="none"/>
                <w:lang w:val="en-US" w:eastAsia="zh-CN"/>
              </w:rPr>
              <w:t>；北纬：</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29</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度</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19</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分</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55.08764</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秒</w:t>
            </w:r>
            <w:r>
              <w:rPr>
                <w:rFonts w:hint="default" w:ascii="Times New Roman" w:hAnsi="Times New Roman" w:cs="Times New Roman"/>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基础设施：东经：</w:t>
            </w:r>
            <w:r>
              <w:rPr>
                <w:rFonts w:hint="default" w:ascii="Times New Roman" w:hAnsi="Times New Roman" w:cs="Times New Roman"/>
                <w:sz w:val="24"/>
                <w:szCs w:val="24"/>
                <w:u w:val="single"/>
              </w:rPr>
              <w:t xml:space="preserve"> 112  </w:t>
            </w:r>
            <w:r>
              <w:rPr>
                <w:rFonts w:hint="default" w:ascii="Times New Roman" w:hAnsi="Times New Roman" w:cs="Times New Roman"/>
                <w:sz w:val="24"/>
                <w:szCs w:val="24"/>
              </w:rPr>
              <w:t>度</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47</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分</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52.76556</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秒</w:t>
            </w:r>
            <w:r>
              <w:rPr>
                <w:rFonts w:hint="default" w:ascii="Times New Roman" w:hAnsi="Times New Roman" w:cs="Times New Roman"/>
                <w:color w:val="auto"/>
                <w:sz w:val="24"/>
                <w:szCs w:val="24"/>
                <w:highlight w:val="none"/>
                <w:lang w:val="en-US" w:eastAsia="zh-CN"/>
              </w:rPr>
              <w:t>；北纬：</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29</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度</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20</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分</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7.08162</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秒</w:t>
            </w:r>
            <w:r>
              <w:rPr>
                <w:rFonts w:hint="default" w:ascii="Times New Roman" w:hAnsi="Times New Roman" w:cs="Times New Roman"/>
                <w:sz w:val="24"/>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国民经济</w:t>
            </w:r>
          </w:p>
          <w:p>
            <w:pPr>
              <w:adjustRightInd w:val="0"/>
              <w:snapToGrid w:val="0"/>
              <w:jc w:val="center"/>
              <w:rPr>
                <w:rFonts w:cs="宋体"/>
                <w:color w:val="auto"/>
                <w:sz w:val="24"/>
                <w:szCs w:val="21"/>
              </w:rPr>
            </w:pPr>
            <w:r>
              <w:rPr>
                <w:rFonts w:hint="eastAsia" w:cs="宋体"/>
                <w:color w:val="auto"/>
                <w:sz w:val="24"/>
                <w:szCs w:val="21"/>
              </w:rPr>
              <w:t>行业类别</w:t>
            </w:r>
          </w:p>
        </w:tc>
        <w:tc>
          <w:tcPr>
            <w:tcW w:w="2391" w:type="dxa"/>
            <w:vAlign w:val="center"/>
          </w:tcPr>
          <w:p>
            <w:pPr>
              <w:adjustRightInd w:val="0"/>
              <w:snapToGrid w:val="0"/>
              <w:jc w:val="center"/>
              <w:rPr>
                <w:rFonts w:hint="default" w:eastAsia="宋体" w:cs="宋体"/>
                <w:color w:val="auto"/>
                <w:sz w:val="24"/>
                <w:szCs w:val="21"/>
                <w:highlight w:val="none"/>
                <w:lang w:val="en-US" w:eastAsia="zh-CN"/>
              </w:rPr>
            </w:pPr>
            <w:r>
              <w:rPr>
                <w:rFonts w:hint="eastAsia" w:cs="宋体"/>
                <w:color w:val="auto"/>
                <w:sz w:val="24"/>
                <w:szCs w:val="21"/>
                <w:highlight w:val="none"/>
                <w:lang w:val="en-US" w:eastAsia="zh-CN"/>
              </w:rPr>
              <w:t>K7010房地产开发经营</w:t>
            </w:r>
          </w:p>
        </w:tc>
        <w:tc>
          <w:tcPr>
            <w:tcW w:w="2010" w:type="dxa"/>
            <w:vAlign w:val="center"/>
          </w:tcPr>
          <w:p>
            <w:pPr>
              <w:adjustRightInd w:val="0"/>
              <w:snapToGrid w:val="0"/>
              <w:jc w:val="center"/>
              <w:rPr>
                <w:rFonts w:cs="宋体"/>
                <w:color w:val="auto"/>
                <w:spacing w:val="-6"/>
                <w:sz w:val="24"/>
                <w:szCs w:val="21"/>
              </w:rPr>
            </w:pPr>
            <w:r>
              <w:rPr>
                <w:rFonts w:hint="eastAsia" w:cs="宋体"/>
                <w:color w:val="auto"/>
                <w:spacing w:val="-6"/>
                <w:sz w:val="24"/>
                <w:szCs w:val="21"/>
              </w:rPr>
              <w:t>用地（用海）</w:t>
            </w:r>
          </w:p>
          <w:p>
            <w:pPr>
              <w:adjustRightInd w:val="0"/>
              <w:snapToGrid w:val="0"/>
              <w:jc w:val="center"/>
              <w:rPr>
                <w:rFonts w:cs="宋体"/>
                <w:color w:val="auto"/>
                <w:sz w:val="24"/>
                <w:szCs w:val="21"/>
                <w:highlight w:val="none"/>
              </w:rPr>
            </w:pPr>
            <w:r>
              <w:rPr>
                <w:rFonts w:hint="eastAsia" w:cs="宋体"/>
                <w:color w:val="auto"/>
                <w:spacing w:val="-6"/>
                <w:sz w:val="24"/>
                <w:szCs w:val="21"/>
              </w:rPr>
              <w:t>面积（</w:t>
            </w:r>
            <w:r>
              <w:rPr>
                <w:rFonts w:cs="宋体"/>
                <w:color w:val="auto"/>
                <w:spacing w:val="-6"/>
                <w:sz w:val="24"/>
                <w:szCs w:val="21"/>
              </w:rPr>
              <w:t>m</w:t>
            </w:r>
            <w:r>
              <w:rPr>
                <w:rFonts w:cs="宋体"/>
                <w:color w:val="auto"/>
                <w:spacing w:val="-6"/>
                <w:sz w:val="24"/>
                <w:szCs w:val="21"/>
                <w:vertAlign w:val="superscript"/>
              </w:rPr>
              <w:t>2</w:t>
            </w:r>
            <w:r>
              <w:rPr>
                <w:rFonts w:hint="eastAsia" w:cs="宋体"/>
                <w:color w:val="auto"/>
                <w:spacing w:val="-6"/>
                <w:sz w:val="24"/>
                <w:szCs w:val="21"/>
              </w:rPr>
              <w:t>）</w:t>
            </w:r>
          </w:p>
        </w:tc>
        <w:tc>
          <w:tcPr>
            <w:tcW w:w="3437" w:type="dxa"/>
            <w:vAlign w:val="center"/>
          </w:tcPr>
          <w:p>
            <w:pPr>
              <w:adjustRightInd w:val="0"/>
              <w:snapToGrid w:val="0"/>
              <w:jc w:val="center"/>
              <w:rPr>
                <w:rFonts w:cs="宋体"/>
                <w:color w:val="auto"/>
                <w:sz w:val="24"/>
                <w:szCs w:val="21"/>
                <w:highlight w:val="none"/>
              </w:rPr>
            </w:pPr>
            <w:r>
              <w:rPr>
                <w:rFonts w:hint="eastAsia" w:cs="宋体"/>
                <w:color w:val="auto"/>
                <w:sz w:val="24"/>
                <w:szCs w:val="21"/>
                <w:highlight w:val="none"/>
                <w:lang w:val="en-US" w:eastAsia="zh-CN"/>
              </w:rPr>
              <w:t>总用地面积：276905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建设性质</w:t>
            </w:r>
          </w:p>
        </w:tc>
        <w:tc>
          <w:tcPr>
            <w:tcW w:w="2391" w:type="dxa"/>
            <w:vAlign w:val="center"/>
          </w:tcPr>
          <w:p>
            <w:pPr>
              <w:jc w:val="left"/>
              <w:rPr>
                <w:rFonts w:cs="宋体"/>
                <w:color w:val="auto"/>
                <w:sz w:val="24"/>
                <w:szCs w:val="21"/>
              </w:rPr>
            </w:pPr>
            <w:r>
              <w:rPr>
                <w:rFonts w:hint="eastAsia" w:cs="宋体"/>
                <w:color w:val="auto"/>
                <w:sz w:val="24"/>
                <w:szCs w:val="21"/>
              </w:rPr>
              <w:sym w:font="Wingdings 2" w:char="0052"/>
            </w:r>
            <w:r>
              <w:rPr>
                <w:rFonts w:hint="eastAsia" w:cs="宋体"/>
                <w:color w:val="auto"/>
                <w:sz w:val="24"/>
                <w:szCs w:val="21"/>
              </w:rPr>
              <w:t>新建（迁建）</w:t>
            </w:r>
          </w:p>
          <w:p>
            <w:pPr>
              <w:jc w:val="left"/>
              <w:rPr>
                <w:rFonts w:cs="宋体"/>
                <w:color w:val="auto"/>
                <w:sz w:val="24"/>
                <w:szCs w:val="21"/>
              </w:rPr>
            </w:pPr>
            <w:r>
              <w:rPr>
                <w:rFonts w:hint="eastAsia" w:cs="宋体"/>
                <w:color w:val="auto"/>
                <w:sz w:val="24"/>
                <w:szCs w:val="21"/>
              </w:rPr>
              <w:t>□改建</w:t>
            </w:r>
          </w:p>
          <w:p>
            <w:pPr>
              <w:jc w:val="left"/>
              <w:rPr>
                <w:rFonts w:cs="宋体"/>
                <w:color w:val="auto"/>
                <w:sz w:val="24"/>
                <w:szCs w:val="21"/>
              </w:rPr>
            </w:pPr>
            <w:r>
              <w:rPr>
                <w:rFonts w:hint="eastAsia" w:cs="宋体"/>
                <w:color w:val="auto"/>
                <w:sz w:val="24"/>
                <w:szCs w:val="21"/>
              </w:rPr>
              <w:t>□扩建</w:t>
            </w:r>
          </w:p>
          <w:p>
            <w:pPr>
              <w:jc w:val="left"/>
              <w:rPr>
                <w:rFonts w:cs="宋体"/>
                <w:color w:val="auto"/>
                <w:sz w:val="24"/>
                <w:szCs w:val="21"/>
              </w:rPr>
            </w:pPr>
            <w:r>
              <w:rPr>
                <w:rFonts w:hint="eastAsia" w:cs="宋体"/>
                <w:color w:val="auto"/>
                <w:sz w:val="24"/>
                <w:szCs w:val="21"/>
              </w:rPr>
              <w:t>□技术改造</w:t>
            </w:r>
          </w:p>
        </w:tc>
        <w:tc>
          <w:tcPr>
            <w:tcW w:w="2010" w:type="dxa"/>
            <w:vAlign w:val="center"/>
          </w:tcPr>
          <w:p>
            <w:pPr>
              <w:adjustRightInd w:val="0"/>
              <w:snapToGrid w:val="0"/>
              <w:jc w:val="center"/>
              <w:rPr>
                <w:rFonts w:cs="宋体"/>
                <w:color w:val="auto"/>
                <w:sz w:val="24"/>
                <w:szCs w:val="21"/>
              </w:rPr>
            </w:pPr>
            <w:r>
              <w:rPr>
                <w:rFonts w:hint="eastAsia" w:cs="宋体"/>
                <w:color w:val="auto"/>
                <w:sz w:val="24"/>
                <w:szCs w:val="21"/>
              </w:rPr>
              <w:t>建设项目</w:t>
            </w:r>
          </w:p>
          <w:p>
            <w:pPr>
              <w:adjustRightInd w:val="0"/>
              <w:snapToGrid w:val="0"/>
              <w:jc w:val="center"/>
              <w:rPr>
                <w:rFonts w:cs="宋体"/>
                <w:color w:val="auto"/>
                <w:sz w:val="24"/>
                <w:szCs w:val="21"/>
              </w:rPr>
            </w:pPr>
            <w:r>
              <w:rPr>
                <w:rFonts w:hint="eastAsia" w:cs="宋体"/>
                <w:color w:val="auto"/>
                <w:sz w:val="24"/>
                <w:szCs w:val="21"/>
              </w:rPr>
              <w:t>申报情形</w:t>
            </w:r>
          </w:p>
        </w:tc>
        <w:tc>
          <w:tcPr>
            <w:tcW w:w="3437" w:type="dxa"/>
            <w:vAlign w:val="center"/>
          </w:tcPr>
          <w:p>
            <w:pPr>
              <w:jc w:val="left"/>
              <w:rPr>
                <w:rFonts w:cs="宋体"/>
                <w:color w:val="auto"/>
                <w:sz w:val="24"/>
                <w:szCs w:val="21"/>
              </w:rPr>
            </w:pPr>
            <w:r>
              <w:rPr>
                <w:rFonts w:hint="eastAsia" w:cs="宋体"/>
                <w:color w:val="auto"/>
                <w:sz w:val="24"/>
                <w:szCs w:val="21"/>
              </w:rPr>
              <w:sym w:font="Wingdings 2" w:char="0052"/>
            </w:r>
            <w:r>
              <w:rPr>
                <w:rFonts w:hint="eastAsia" w:cs="宋体"/>
                <w:color w:val="auto"/>
                <w:sz w:val="24"/>
                <w:szCs w:val="21"/>
              </w:rPr>
              <w:t>首次申报项目</w:t>
            </w:r>
            <w:r>
              <w:rPr>
                <w:rFonts w:cs="宋体"/>
                <w:color w:val="auto"/>
                <w:sz w:val="24"/>
                <w:szCs w:val="21"/>
              </w:rPr>
              <w:t xml:space="preserve">             </w:t>
            </w:r>
          </w:p>
          <w:p>
            <w:pPr>
              <w:jc w:val="left"/>
              <w:rPr>
                <w:rFonts w:cs="宋体"/>
                <w:color w:val="auto"/>
                <w:sz w:val="24"/>
                <w:szCs w:val="21"/>
              </w:rPr>
            </w:pPr>
            <w:r>
              <w:rPr>
                <w:rFonts w:hint="eastAsia" w:cs="宋体"/>
                <w:color w:val="auto"/>
                <w:sz w:val="24"/>
                <w:szCs w:val="21"/>
              </w:rPr>
              <w:t>□不予批准后再次申报项目</w:t>
            </w:r>
          </w:p>
          <w:p>
            <w:pPr>
              <w:jc w:val="left"/>
              <w:rPr>
                <w:rFonts w:cs="宋体"/>
                <w:color w:val="auto"/>
                <w:sz w:val="24"/>
                <w:szCs w:val="21"/>
              </w:rPr>
            </w:pPr>
            <w:r>
              <w:rPr>
                <w:rFonts w:hint="eastAsia" w:cs="宋体"/>
                <w:color w:val="auto"/>
                <w:sz w:val="24"/>
                <w:szCs w:val="21"/>
              </w:rPr>
              <w:sym w:font="Wingdings 2" w:char="00A3"/>
            </w:r>
            <w:r>
              <w:rPr>
                <w:rFonts w:hint="eastAsia" w:cs="宋体"/>
                <w:color w:val="auto"/>
                <w:sz w:val="24"/>
                <w:szCs w:val="21"/>
              </w:rPr>
              <w:t>超五年重新审核项目</w:t>
            </w:r>
            <w:r>
              <w:rPr>
                <w:rFonts w:cs="宋体"/>
                <w:color w:val="auto"/>
                <w:sz w:val="24"/>
                <w:szCs w:val="21"/>
              </w:rPr>
              <w:t xml:space="preserve">     </w:t>
            </w:r>
          </w:p>
          <w:p>
            <w:pPr>
              <w:jc w:val="left"/>
              <w:rPr>
                <w:rFonts w:cs="宋体"/>
                <w:color w:val="auto"/>
                <w:sz w:val="24"/>
                <w:szCs w:val="21"/>
              </w:rPr>
            </w:pPr>
            <w:r>
              <w:rPr>
                <w:rFonts w:hint="eastAsia" w:cs="宋体"/>
                <w:color w:val="auto"/>
                <w:sz w:val="24"/>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项目审批（核准</w:t>
            </w:r>
            <w:r>
              <w:rPr>
                <w:rFonts w:cs="宋体"/>
                <w:color w:val="auto"/>
                <w:sz w:val="24"/>
                <w:szCs w:val="21"/>
              </w:rPr>
              <w:t>/</w:t>
            </w:r>
          </w:p>
          <w:p>
            <w:pPr>
              <w:adjustRightInd w:val="0"/>
              <w:snapToGrid w:val="0"/>
              <w:jc w:val="center"/>
              <w:rPr>
                <w:rFonts w:cs="宋体"/>
                <w:color w:val="auto"/>
                <w:sz w:val="24"/>
                <w:szCs w:val="21"/>
              </w:rPr>
            </w:pPr>
            <w:r>
              <w:rPr>
                <w:rFonts w:hint="eastAsia" w:cs="宋体"/>
                <w:color w:val="auto"/>
                <w:sz w:val="24"/>
                <w:szCs w:val="21"/>
              </w:rPr>
              <w:t>备案）部门（选填）</w:t>
            </w:r>
          </w:p>
        </w:tc>
        <w:tc>
          <w:tcPr>
            <w:tcW w:w="2391" w:type="dxa"/>
            <w:vAlign w:val="center"/>
          </w:tcPr>
          <w:p>
            <w:pPr>
              <w:adjustRightInd w:val="0"/>
              <w:snapToGrid w:val="0"/>
              <w:jc w:val="center"/>
              <w:rPr>
                <w:rFonts w:cs="宋体"/>
                <w:color w:val="auto"/>
                <w:sz w:val="24"/>
                <w:szCs w:val="21"/>
              </w:rPr>
            </w:pPr>
            <w:r>
              <w:rPr>
                <w:rFonts w:hint="eastAsia"/>
                <w:lang w:val="en-US" w:eastAsia="zh-CN"/>
              </w:rPr>
              <w:t>/</w:t>
            </w:r>
          </w:p>
        </w:tc>
        <w:tc>
          <w:tcPr>
            <w:tcW w:w="2010" w:type="dxa"/>
            <w:vAlign w:val="center"/>
          </w:tcPr>
          <w:p>
            <w:pPr>
              <w:adjustRightInd w:val="0"/>
              <w:snapToGrid w:val="0"/>
              <w:jc w:val="center"/>
              <w:rPr>
                <w:rFonts w:cs="宋体"/>
                <w:color w:val="auto"/>
                <w:sz w:val="24"/>
                <w:szCs w:val="21"/>
              </w:rPr>
            </w:pPr>
            <w:r>
              <w:rPr>
                <w:rFonts w:hint="eastAsia" w:cs="宋体"/>
                <w:color w:val="auto"/>
                <w:sz w:val="24"/>
                <w:szCs w:val="21"/>
              </w:rPr>
              <w:t>项目审批（核准</w:t>
            </w:r>
            <w:r>
              <w:rPr>
                <w:rFonts w:cs="宋体"/>
                <w:color w:val="auto"/>
                <w:sz w:val="24"/>
                <w:szCs w:val="21"/>
              </w:rPr>
              <w:t>/</w:t>
            </w:r>
          </w:p>
          <w:p>
            <w:pPr>
              <w:adjustRightInd w:val="0"/>
              <w:snapToGrid w:val="0"/>
              <w:jc w:val="center"/>
              <w:rPr>
                <w:rFonts w:cs="宋体"/>
                <w:color w:val="auto"/>
                <w:sz w:val="24"/>
                <w:szCs w:val="21"/>
              </w:rPr>
            </w:pPr>
            <w:r>
              <w:rPr>
                <w:rFonts w:hint="eastAsia" w:cs="宋体"/>
                <w:color w:val="auto"/>
                <w:sz w:val="24"/>
                <w:szCs w:val="21"/>
              </w:rPr>
              <w:t>备案）文号（选填）</w:t>
            </w:r>
          </w:p>
        </w:tc>
        <w:tc>
          <w:tcPr>
            <w:tcW w:w="3437" w:type="dxa"/>
            <w:vAlign w:val="center"/>
          </w:tcPr>
          <w:p>
            <w:pPr>
              <w:adjustRightInd w:val="0"/>
              <w:snapToGrid w:val="0"/>
              <w:jc w:val="center"/>
              <w:rPr>
                <w:rFonts w:hint="default"/>
                <w:lang w:val="en-US" w:eastAsia="zh-CN"/>
              </w:rPr>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11"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总投资</w:t>
            </w:r>
          </w:p>
          <w:p>
            <w:pPr>
              <w:adjustRightInd w:val="0"/>
              <w:snapToGrid w:val="0"/>
              <w:jc w:val="center"/>
              <w:rPr>
                <w:rFonts w:cs="宋体"/>
                <w:color w:val="auto"/>
                <w:sz w:val="24"/>
                <w:szCs w:val="21"/>
              </w:rPr>
            </w:pPr>
            <w:r>
              <w:rPr>
                <w:rFonts w:hint="eastAsia" w:cs="宋体"/>
                <w:color w:val="auto"/>
                <w:sz w:val="24"/>
                <w:szCs w:val="21"/>
              </w:rPr>
              <w:t>（万元）</w:t>
            </w:r>
          </w:p>
        </w:tc>
        <w:tc>
          <w:tcPr>
            <w:tcW w:w="2391" w:type="dxa"/>
            <w:vAlign w:val="center"/>
          </w:tcPr>
          <w:p>
            <w:pPr>
              <w:adjustRightInd w:val="0"/>
              <w:snapToGrid w:val="0"/>
              <w:jc w:val="center"/>
              <w:rPr>
                <w:rFonts w:hint="default" w:eastAsia="宋体" w:cs="宋体"/>
                <w:color w:val="auto"/>
                <w:sz w:val="24"/>
                <w:szCs w:val="21"/>
                <w:lang w:val="en-US" w:eastAsia="zh-CN"/>
              </w:rPr>
            </w:pPr>
            <w:r>
              <w:rPr>
                <w:rFonts w:hint="eastAsia" w:cs="宋体"/>
                <w:color w:val="auto"/>
                <w:sz w:val="24"/>
                <w:szCs w:val="21"/>
                <w:lang w:val="en-US" w:eastAsia="zh-CN"/>
              </w:rPr>
              <w:t>89555</w:t>
            </w:r>
          </w:p>
        </w:tc>
        <w:tc>
          <w:tcPr>
            <w:tcW w:w="2010"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环保投资（万元）</w:t>
            </w:r>
          </w:p>
        </w:tc>
        <w:tc>
          <w:tcPr>
            <w:tcW w:w="3437" w:type="dxa"/>
            <w:vAlign w:val="center"/>
          </w:tcPr>
          <w:p>
            <w:pPr>
              <w:adjustRightInd w:val="0"/>
              <w:snapToGrid w:val="0"/>
              <w:jc w:val="center"/>
              <w:rPr>
                <w:rFonts w:hint="default" w:eastAsia="宋体" w:cs="宋体"/>
                <w:color w:val="auto"/>
                <w:sz w:val="24"/>
                <w:szCs w:val="21"/>
                <w:lang w:val="en-US" w:eastAsia="zh-CN"/>
              </w:rPr>
            </w:pPr>
            <w:r>
              <w:rPr>
                <w:rFonts w:hint="eastAsia" w:cs="宋体"/>
                <w:color w:val="auto"/>
                <w:sz w:val="24"/>
                <w:szCs w:val="21"/>
                <w:lang w:val="en-US" w:eastAsia="zh-CN"/>
              </w:rPr>
              <w:t>620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环保投资</w:t>
            </w:r>
          </w:p>
          <w:p>
            <w:pPr>
              <w:adjustRightInd w:val="0"/>
              <w:snapToGrid w:val="0"/>
              <w:jc w:val="center"/>
              <w:rPr>
                <w:rFonts w:cs="宋体"/>
                <w:color w:val="auto"/>
                <w:sz w:val="24"/>
                <w:szCs w:val="21"/>
              </w:rPr>
            </w:pPr>
            <w:r>
              <w:rPr>
                <w:rFonts w:hint="eastAsia" w:cs="宋体"/>
                <w:color w:val="auto"/>
                <w:sz w:val="24"/>
                <w:szCs w:val="21"/>
              </w:rPr>
              <w:t>占比（</w:t>
            </w:r>
            <w:r>
              <w:rPr>
                <w:rFonts w:cs="宋体"/>
                <w:color w:val="auto"/>
                <w:sz w:val="24"/>
                <w:szCs w:val="21"/>
              </w:rPr>
              <w:t>%</w:t>
            </w:r>
            <w:r>
              <w:rPr>
                <w:rFonts w:hint="eastAsia" w:cs="宋体"/>
                <w:color w:val="auto"/>
                <w:sz w:val="24"/>
                <w:szCs w:val="21"/>
              </w:rPr>
              <w:t>）</w:t>
            </w:r>
          </w:p>
        </w:tc>
        <w:tc>
          <w:tcPr>
            <w:tcW w:w="2391" w:type="dxa"/>
            <w:vAlign w:val="center"/>
          </w:tcPr>
          <w:p>
            <w:pPr>
              <w:adjustRightInd w:val="0"/>
              <w:snapToGrid w:val="0"/>
              <w:jc w:val="center"/>
              <w:rPr>
                <w:rFonts w:hint="default" w:eastAsia="宋体" w:cs="宋体"/>
                <w:color w:val="auto"/>
                <w:sz w:val="24"/>
                <w:szCs w:val="21"/>
                <w:lang w:val="en-US" w:eastAsia="zh-CN"/>
              </w:rPr>
            </w:pPr>
            <w:r>
              <w:rPr>
                <w:rFonts w:hint="eastAsia" w:cs="宋体"/>
                <w:color w:val="auto"/>
                <w:sz w:val="24"/>
                <w:szCs w:val="21"/>
                <w:lang w:val="en-US" w:eastAsia="zh-CN"/>
              </w:rPr>
              <w:t>0.69</w:t>
            </w:r>
          </w:p>
        </w:tc>
        <w:tc>
          <w:tcPr>
            <w:tcW w:w="2010"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施工工期</w:t>
            </w:r>
          </w:p>
        </w:tc>
        <w:tc>
          <w:tcPr>
            <w:tcW w:w="3437" w:type="dxa"/>
            <w:vAlign w:val="center"/>
          </w:tcPr>
          <w:p>
            <w:pPr>
              <w:adjustRightInd w:val="0"/>
              <w:snapToGrid w:val="0"/>
              <w:jc w:val="center"/>
              <w:rPr>
                <w:rFonts w:hint="eastAsia" w:eastAsia="宋体" w:cs="宋体"/>
                <w:color w:val="auto"/>
                <w:sz w:val="24"/>
                <w:szCs w:val="21"/>
                <w:lang w:val="en-US" w:eastAsia="zh-CN"/>
              </w:rPr>
            </w:pPr>
            <w:r>
              <w:rPr>
                <w:rFonts w:hint="eastAsia" w:cs="宋体"/>
                <w:color w:val="auto"/>
                <w:sz w:val="24"/>
                <w:szCs w:val="21"/>
                <w:lang w:val="en-US" w:eastAsia="zh-CN"/>
              </w:rPr>
              <w:t>主体工程已建成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是否开工</w:t>
            </w:r>
          </w:p>
          <w:p>
            <w:pPr>
              <w:adjustRightInd w:val="0"/>
              <w:snapToGrid w:val="0"/>
              <w:jc w:val="center"/>
              <w:rPr>
                <w:rFonts w:cs="宋体"/>
                <w:color w:val="auto"/>
                <w:sz w:val="24"/>
                <w:szCs w:val="21"/>
              </w:rPr>
            </w:pPr>
            <w:r>
              <w:rPr>
                <w:rFonts w:hint="eastAsia" w:cs="宋体"/>
                <w:color w:val="auto"/>
                <w:sz w:val="24"/>
                <w:szCs w:val="21"/>
              </w:rPr>
              <w:t>建设</w:t>
            </w:r>
          </w:p>
        </w:tc>
        <w:tc>
          <w:tcPr>
            <w:tcW w:w="7838" w:type="dxa"/>
            <w:gridSpan w:val="3"/>
            <w:vAlign w:val="center"/>
          </w:tcPr>
          <w:p>
            <w:pPr>
              <w:adjustRightInd w:val="0"/>
              <w:snapToGrid w:val="0"/>
              <w:rPr>
                <w:rFonts w:cs="宋体"/>
                <w:color w:val="auto"/>
                <w:sz w:val="24"/>
                <w:szCs w:val="21"/>
              </w:rPr>
            </w:pPr>
            <w:r>
              <w:rPr>
                <w:rFonts w:hint="eastAsia" w:cs="宋体"/>
                <w:color w:val="auto"/>
                <w:sz w:val="24"/>
                <w:szCs w:val="21"/>
              </w:rPr>
              <w:sym w:font="Wingdings 2" w:char="00A3"/>
            </w:r>
            <w:r>
              <w:rPr>
                <w:rFonts w:hint="eastAsia" w:cs="宋体"/>
                <w:color w:val="auto"/>
                <w:sz w:val="24"/>
                <w:szCs w:val="21"/>
              </w:rPr>
              <w:t>否</w:t>
            </w:r>
          </w:p>
          <w:p>
            <w:pPr>
              <w:adjustRightInd w:val="0"/>
              <w:snapToGrid w:val="0"/>
              <w:jc w:val="center"/>
              <w:rPr>
                <w:rFonts w:hint="default" w:eastAsia="宋体" w:cs="宋体"/>
                <w:color w:val="auto"/>
                <w:sz w:val="24"/>
                <w:szCs w:val="21"/>
                <w:lang w:val="en-US" w:eastAsia="zh-CN"/>
              </w:rPr>
            </w:pPr>
            <w:r>
              <w:rPr>
                <w:rFonts w:hint="eastAsia" w:cs="宋体"/>
                <w:color w:val="auto"/>
                <w:sz w:val="24"/>
                <w:szCs w:val="21"/>
              </w:rPr>
              <w:sym w:font="Wingdings 2" w:char="0052"/>
            </w:r>
            <w:r>
              <w:rPr>
                <w:rFonts w:hint="eastAsia" w:cs="宋体"/>
                <w:color w:val="auto"/>
                <w:sz w:val="24"/>
                <w:szCs w:val="21"/>
              </w:rPr>
              <w:t>是：</w:t>
            </w:r>
            <w:r>
              <w:rPr>
                <w:rFonts w:hint="eastAsia" w:cs="宋体"/>
                <w:color w:val="auto"/>
                <w:sz w:val="24"/>
                <w:szCs w:val="21"/>
                <w:u w:val="single"/>
                <w:lang w:val="en-US" w:eastAsia="zh-CN"/>
              </w:rPr>
              <w:t>项目为灾后重建应急工程，为保证进度提前开工建设，目前已建成，已有零星住户入住</w:t>
            </w:r>
            <w:r>
              <w:rPr>
                <w:rFonts w:hint="eastAsia" w:cs="宋体"/>
                <w:color w:val="auto"/>
                <w:sz w:val="24"/>
                <w:szCs w:val="21"/>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pPr>
              <w:autoSpaceDE w:val="0"/>
              <w:autoSpaceDN w:val="0"/>
              <w:adjustRightInd w:val="0"/>
              <w:snapToGrid w:val="0"/>
              <w:jc w:val="center"/>
              <w:rPr>
                <w:rFonts w:cs="宋体"/>
                <w:color w:val="auto"/>
                <w:kern w:val="0"/>
                <w:sz w:val="24"/>
                <w:szCs w:val="21"/>
              </w:rPr>
            </w:pPr>
            <w:r>
              <w:rPr>
                <w:rFonts w:hint="eastAsia" w:cs="宋体"/>
                <w:color w:val="auto"/>
                <w:kern w:val="0"/>
                <w:sz w:val="24"/>
                <w:szCs w:val="21"/>
              </w:rPr>
              <w:t>专项评价设置情况</w:t>
            </w:r>
          </w:p>
        </w:tc>
        <w:tc>
          <w:tcPr>
            <w:tcW w:w="7838"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新宋体" w:cs="Times New Roman"/>
                <w:color w:val="auto"/>
                <w:kern w:val="0"/>
                <w:sz w:val="24"/>
                <w:szCs w:val="24"/>
                <w:u w:val="single"/>
                <w:lang w:val="en-US" w:eastAsia="zh-CN"/>
              </w:rPr>
            </w:pPr>
            <w:r>
              <w:rPr>
                <w:rFonts w:hint="default" w:ascii="Times New Roman" w:hAnsi="Times New Roman" w:eastAsia="新宋体" w:cs="Times New Roman"/>
                <w:color w:val="auto"/>
                <w:kern w:val="0"/>
                <w:sz w:val="24"/>
                <w:szCs w:val="24"/>
                <w:lang w:val="en-US" w:eastAsia="zh-CN"/>
              </w:rPr>
              <w:t>本项目</w:t>
            </w:r>
            <w:r>
              <w:rPr>
                <w:rFonts w:hint="eastAsia" w:eastAsia="新宋体" w:cs="Times New Roman"/>
                <w:color w:val="auto"/>
                <w:kern w:val="0"/>
                <w:sz w:val="24"/>
                <w:szCs w:val="24"/>
                <w:lang w:val="en-US" w:eastAsia="zh-CN"/>
              </w:rPr>
              <w:t>涉及房地产业</w:t>
            </w:r>
            <w:r>
              <w:rPr>
                <w:rFonts w:hint="default" w:ascii="Times New Roman" w:hAnsi="Times New Roman" w:eastAsia="新宋体" w:cs="Times New Roman"/>
                <w:color w:val="auto"/>
                <w:kern w:val="0"/>
                <w:sz w:val="24"/>
                <w:szCs w:val="24"/>
                <w:lang w:val="en-US" w:eastAsia="zh-CN"/>
              </w:rPr>
              <w:t>，该部分为生态影响类，应参照</w:t>
            </w:r>
            <w:r>
              <w:rPr>
                <w:rFonts w:hint="default" w:ascii="Times New Roman" w:hAnsi="Times New Roman" w:eastAsia="新宋体" w:cs="Times New Roman"/>
                <w:color w:val="auto"/>
                <w:kern w:val="0"/>
                <w:sz w:val="24"/>
                <w:szCs w:val="24"/>
              </w:rPr>
              <w:t>《建设项目环境影响报告表编制技术指南（</w:t>
            </w:r>
            <w:r>
              <w:rPr>
                <w:rFonts w:hint="default" w:ascii="Times New Roman" w:hAnsi="Times New Roman" w:eastAsia="新宋体" w:cs="Times New Roman"/>
                <w:color w:val="auto"/>
                <w:kern w:val="0"/>
                <w:sz w:val="24"/>
                <w:szCs w:val="24"/>
                <w:lang w:val="en-US" w:eastAsia="zh-CN"/>
              </w:rPr>
              <w:t>生态</w:t>
            </w:r>
            <w:r>
              <w:rPr>
                <w:rFonts w:hint="default" w:ascii="Times New Roman" w:hAnsi="Times New Roman" w:eastAsia="新宋体" w:cs="Times New Roman"/>
                <w:color w:val="auto"/>
                <w:kern w:val="0"/>
                <w:sz w:val="24"/>
                <w:szCs w:val="24"/>
              </w:rPr>
              <w:t>影响类）（试行）》</w:t>
            </w:r>
            <w:r>
              <w:rPr>
                <w:rFonts w:hint="default" w:ascii="Times New Roman" w:hAnsi="Times New Roman" w:eastAsia="新宋体" w:cs="Times New Roman"/>
                <w:color w:val="auto"/>
                <w:kern w:val="0"/>
                <w:sz w:val="24"/>
                <w:szCs w:val="24"/>
                <w:lang w:val="en-US" w:eastAsia="zh-CN"/>
              </w:rPr>
              <w:t>进行</w:t>
            </w:r>
            <w:r>
              <w:rPr>
                <w:rFonts w:hint="default" w:ascii="Times New Roman" w:hAnsi="Times New Roman" w:eastAsia="新宋体" w:cs="Times New Roman"/>
                <w:color w:val="auto"/>
                <w:kern w:val="0"/>
                <w:sz w:val="24"/>
                <w:szCs w:val="24"/>
              </w:rPr>
              <w:t>专项评价设置情况</w:t>
            </w:r>
            <w:r>
              <w:rPr>
                <w:rFonts w:hint="default" w:ascii="Times New Roman" w:hAnsi="Times New Roman" w:eastAsia="新宋体" w:cs="Times New Roman"/>
                <w:color w:val="auto"/>
                <w:kern w:val="0"/>
                <w:sz w:val="24"/>
                <w:szCs w:val="24"/>
                <w:lang w:val="en-US" w:eastAsia="zh-CN"/>
              </w:rPr>
              <w:t>的分析，</w:t>
            </w:r>
            <w:r>
              <w:rPr>
                <w:rFonts w:hint="eastAsia" w:ascii="Times New Roman" w:hAnsi="Times New Roman" w:eastAsia="新宋体" w:cs="Times New Roman"/>
                <w:color w:val="auto"/>
                <w:kern w:val="0"/>
                <w:sz w:val="24"/>
                <w:szCs w:val="24"/>
                <w:lang w:val="en-US" w:eastAsia="zh-CN"/>
              </w:rPr>
              <w:t>专题设置判定</w:t>
            </w:r>
            <w:r>
              <w:rPr>
                <w:rFonts w:hint="default" w:ascii="Times New Roman" w:hAnsi="Times New Roman" w:eastAsia="新宋体" w:cs="Times New Roman"/>
                <w:color w:val="auto"/>
                <w:kern w:val="0"/>
                <w:sz w:val="24"/>
                <w:szCs w:val="24"/>
                <w:lang w:val="en-US" w:eastAsia="zh-CN"/>
              </w:rPr>
              <w:t>详见</w:t>
            </w:r>
            <w:r>
              <w:rPr>
                <w:rFonts w:hint="default" w:ascii="Times New Roman" w:hAnsi="Times New Roman" w:eastAsia="新宋体" w:cs="Times New Roman"/>
                <w:color w:val="auto"/>
                <w:kern w:val="0"/>
                <w:sz w:val="24"/>
                <w:szCs w:val="24"/>
              </w:rPr>
              <w:t>下</w:t>
            </w:r>
            <w:r>
              <w:rPr>
                <w:rFonts w:hint="default" w:ascii="Times New Roman" w:hAnsi="Times New Roman" w:eastAsia="新宋体" w:cs="Times New Roman"/>
                <w:color w:val="auto"/>
                <w:kern w:val="0"/>
                <w:sz w:val="24"/>
                <w:szCs w:val="24"/>
                <w:lang w:val="en-US" w:eastAsia="zh-CN"/>
              </w:rPr>
              <w:t>表1-1</w:t>
            </w:r>
            <w:r>
              <w:rPr>
                <w:rFonts w:hint="eastAsia" w:ascii="Times New Roman" w:hAnsi="Times New Roman" w:eastAsia="新宋体" w:cs="Times New Roman"/>
                <w:color w:val="auto"/>
                <w:kern w:val="0"/>
                <w:sz w:val="24"/>
                <w:szCs w:val="24"/>
                <w:lang w:val="en-US" w:eastAsia="zh-CN"/>
              </w:rPr>
              <w:t>所示</w:t>
            </w:r>
            <w:r>
              <w:rPr>
                <w:rFonts w:hint="default" w:ascii="Times New Roman" w:hAnsi="Times New Roman" w:eastAsia="新宋体" w:cs="Times New Roman"/>
                <w:color w:val="auto"/>
                <w:kern w:val="0"/>
                <w:sz w:val="24"/>
                <w:szCs w:val="24"/>
                <w:lang w:eastAsia="zh-CN"/>
              </w:rPr>
              <w:t>。</w:t>
            </w:r>
          </w:p>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eastAsia" w:ascii="Times New Roman" w:hAnsi="Times New Roman" w:eastAsia="宋体" w:cs="Times New Roman"/>
                <w:color w:val="auto"/>
                <w:u w:val="none"/>
                <w:lang w:eastAsia="zh-CN"/>
              </w:rPr>
            </w:pPr>
            <w:r>
              <w:rPr>
                <w:rFonts w:hint="default" w:ascii="Times New Roman" w:hAnsi="Times New Roman" w:cs="Times New Roman"/>
                <w:color w:val="auto"/>
                <w:u w:val="none"/>
              </w:rPr>
              <w:t>表1-1专项评价设置原则表</w:t>
            </w:r>
            <w:r>
              <w:rPr>
                <w:rFonts w:hint="eastAsia" w:cs="Times New Roman"/>
                <w:color w:val="auto"/>
                <w:u w:val="none"/>
                <w:lang w:eastAsia="zh-CN"/>
              </w:rPr>
              <w:t>（</w:t>
            </w:r>
            <w:r>
              <w:rPr>
                <w:rFonts w:hint="eastAsia" w:cs="Times New Roman"/>
                <w:color w:val="auto"/>
                <w:u w:val="none"/>
                <w:lang w:val="en-US" w:eastAsia="zh-CN"/>
              </w:rPr>
              <w:t>生态影响类</w:t>
            </w:r>
            <w:r>
              <w:rPr>
                <w:rFonts w:hint="eastAsia" w:cs="Times New Roman"/>
                <w:color w:val="auto"/>
                <w:u w:val="none"/>
                <w:lang w:eastAsia="zh-CN"/>
              </w:rPr>
              <w:t>）</w:t>
            </w:r>
          </w:p>
          <w:tbl>
            <w:tblPr>
              <w:tblStyle w:val="23"/>
              <w:tblW w:w="507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28" w:type="dxa"/>
                <w:left w:w="0" w:type="dxa"/>
                <w:bottom w:w="28" w:type="dxa"/>
                <w:right w:w="0" w:type="dxa"/>
              </w:tblCellMar>
            </w:tblPr>
            <w:tblGrid>
              <w:gridCol w:w="922"/>
              <w:gridCol w:w="3501"/>
              <w:gridCol w:w="2349"/>
              <w:gridCol w:w="93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548" w:hRule="atLeast"/>
                <w:jc w:val="center"/>
              </w:trPr>
              <w:tc>
                <w:tcPr>
                  <w:tcW w:w="597" w:type="pct"/>
                  <w:tcBorders>
                    <w:tl2br w:val="nil"/>
                    <w:tr2bl w:val="nil"/>
                  </w:tcBorders>
                  <w:noWrap w:val="0"/>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专项评价的类别</w:t>
                  </w:r>
                </w:p>
              </w:tc>
              <w:tc>
                <w:tcPr>
                  <w:tcW w:w="2270" w:type="pct"/>
                  <w:tcBorders>
                    <w:tl2br w:val="nil"/>
                    <w:tr2bl w:val="nil"/>
                  </w:tcBorders>
                  <w:noWrap w:val="0"/>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涉及项目类别</w:t>
                  </w:r>
                </w:p>
              </w:tc>
              <w:tc>
                <w:tcPr>
                  <w:tcW w:w="1523" w:type="pct"/>
                  <w:tcBorders>
                    <w:tl2br w:val="nil"/>
                    <w:tr2bl w:val="nil"/>
                  </w:tcBorders>
                  <w:noWrap w:val="0"/>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本项目情况</w:t>
                  </w:r>
                </w:p>
              </w:tc>
              <w:tc>
                <w:tcPr>
                  <w:tcW w:w="608" w:type="pct"/>
                  <w:tcBorders>
                    <w:tl2br w:val="nil"/>
                    <w:tr2bl w:val="nil"/>
                  </w:tcBorders>
                  <w:noWrap w:val="0"/>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是否设置专项评价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534"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地表水</w:t>
                  </w:r>
                </w:p>
              </w:tc>
              <w:tc>
                <w:tcPr>
                  <w:tcW w:w="2270" w:type="pct"/>
                  <w:tcBorders>
                    <w:tl2br w:val="nil"/>
                    <w:tr2bl w:val="nil"/>
                  </w:tcBorders>
                  <w:noWrap w:val="0"/>
                  <w:vAlign w:val="center"/>
                </w:tcPr>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水力发电：引水式发电、涉及发电的项目；</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人工湖、人工湿地：全部水库：全部；</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引水工程：全部（配套的管线工程等除外）；</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防洪除涝工程：包含水库的项目；</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河湖整治：涉及清淤且底泥存在重金属污染的项目</w:t>
                  </w:r>
                </w:p>
              </w:tc>
              <w:tc>
                <w:tcPr>
                  <w:tcW w:w="1523" w:type="pct"/>
                  <w:tcBorders>
                    <w:tl2br w:val="nil"/>
                    <w:tr2bl w:val="nil"/>
                  </w:tcBorders>
                  <w:noWrap w:val="0"/>
                  <w:vAlign w:val="center"/>
                </w:tcPr>
                <w:p>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不涉及左述项目类别</w:t>
                  </w:r>
                </w:p>
              </w:tc>
              <w:tc>
                <w:tcPr>
                  <w:tcW w:w="608"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1076"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地下水</w:t>
                  </w:r>
                </w:p>
              </w:tc>
              <w:tc>
                <w:tcPr>
                  <w:tcW w:w="2270" w:type="pct"/>
                  <w:tcBorders>
                    <w:tl2br w:val="nil"/>
                    <w:tr2bl w:val="nil"/>
                  </w:tcBorders>
                  <w:noWrap w:val="0"/>
                  <w:vAlign w:val="center"/>
                </w:tcPr>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陆地石油和天然气开采：全部；</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地下水（含矿泉水）开采：全部；</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水利、水电、交通等：含穿越可溶岩地层隧道的项目</w:t>
                  </w:r>
                </w:p>
              </w:tc>
              <w:tc>
                <w:tcPr>
                  <w:tcW w:w="1523" w:type="pct"/>
                  <w:tcBorders>
                    <w:tl2br w:val="nil"/>
                    <w:tr2bl w:val="nil"/>
                  </w:tcBorders>
                  <w:noWrap w:val="0"/>
                  <w:vAlign w:val="center"/>
                </w:tcPr>
                <w:p>
                  <w:pPr>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不涉及左述项目类别</w:t>
                  </w:r>
                </w:p>
              </w:tc>
              <w:tc>
                <w:tcPr>
                  <w:tcW w:w="608" w:type="pct"/>
                  <w:tcBorders>
                    <w:tl2br w:val="nil"/>
                    <w:tr2bl w:val="nil"/>
                  </w:tcBorders>
                  <w:noWrap w:val="0"/>
                  <w:vAlign w:val="center"/>
                </w:tcPr>
                <w:p>
                  <w:pPr>
                    <w:jc w:val="center"/>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543"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生态</w:t>
                  </w:r>
                </w:p>
              </w:tc>
              <w:tc>
                <w:tcPr>
                  <w:tcW w:w="2270" w:type="pct"/>
                  <w:tcBorders>
                    <w:tl2br w:val="nil"/>
                    <w:tr2bl w:val="nil"/>
                  </w:tcBorders>
                  <w:noWrap w:val="0"/>
                  <w:vAlign w:val="center"/>
                </w:tcPr>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涉及环境敏感区（不包括饮用水水源保护区、以居住、医疗卫生、文化教育、科研、行政办公为主要功能的区域，以及文物保护单位）的项目</w:t>
                  </w:r>
                </w:p>
              </w:tc>
              <w:tc>
                <w:tcPr>
                  <w:tcW w:w="1523" w:type="pc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涉及</w:t>
                  </w:r>
                  <w:r>
                    <w:rPr>
                      <w:rFonts w:hint="eastAsia" w:ascii="Times New Roman" w:hAnsi="Times New Roman" w:eastAsia="宋体" w:cs="Times New Roman"/>
                      <w:color w:val="auto"/>
                      <w:lang w:val="en-US" w:eastAsia="zh-CN"/>
                    </w:rPr>
                    <w:t>湖南东洞庭湖国家级自然保护区</w:t>
                  </w:r>
                </w:p>
              </w:tc>
              <w:tc>
                <w:tcPr>
                  <w:tcW w:w="608" w:type="pct"/>
                  <w:tcBorders>
                    <w:tl2br w:val="nil"/>
                    <w:tr2bl w:val="nil"/>
                  </w:tcBorders>
                  <w:noWrap w:val="0"/>
                  <w:vAlign w:val="center"/>
                </w:tcPr>
                <w:p>
                  <w:pPr>
                    <w:jc w:val="center"/>
                    <w:rPr>
                      <w:rFonts w:hint="eastAsia"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810"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大气</w:t>
                  </w:r>
                </w:p>
              </w:tc>
              <w:tc>
                <w:tcPr>
                  <w:tcW w:w="2270" w:type="pct"/>
                  <w:tcBorders>
                    <w:tl2br w:val="nil"/>
                    <w:tr2bl w:val="nil"/>
                  </w:tcBorders>
                  <w:noWrap w:val="0"/>
                  <w:vAlign w:val="center"/>
                </w:tcPr>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油气、液体化工码头：全部；</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干散货（含煤炭、矿石）、件杂、多用途、通用码头：涉及粉尘、挥发性有机物排放的项目</w:t>
                  </w:r>
                </w:p>
              </w:tc>
              <w:tc>
                <w:tcPr>
                  <w:tcW w:w="1523" w:type="pct"/>
                  <w:tcBorders>
                    <w:tl2br w:val="nil"/>
                    <w:tr2bl w:val="nil"/>
                  </w:tcBorders>
                  <w:noWrap w:val="0"/>
                  <w:vAlign w:val="center"/>
                </w:tcPr>
                <w:p>
                  <w:pPr>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不涉及左述项目类别</w:t>
                  </w:r>
                </w:p>
              </w:tc>
              <w:tc>
                <w:tcPr>
                  <w:tcW w:w="608"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1342"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噪声</w:t>
                  </w:r>
                </w:p>
              </w:tc>
              <w:tc>
                <w:tcPr>
                  <w:tcW w:w="2270" w:type="pct"/>
                  <w:tcBorders>
                    <w:tl2br w:val="nil"/>
                    <w:tr2bl w:val="nil"/>
                  </w:tcBorders>
                  <w:noWrap w:val="0"/>
                  <w:vAlign w:val="center"/>
                </w:tcPr>
                <w:p>
                  <w:pPr>
                    <w:autoSpaceDE w:val="0"/>
                    <w:autoSpaceDN w:val="0"/>
                    <w:adjustRightIn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公路、铁路、机场等交通运输业涉及环境敏感区（以居住、医疗卫生、文化教育、科研、行政办公为主要功能的区域）的项目；</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城市道路（不含维护，不含支路、人行天桥、人行地道）：全部</w:t>
                  </w:r>
                </w:p>
              </w:tc>
              <w:tc>
                <w:tcPr>
                  <w:tcW w:w="1523"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不涉及左述项目类别</w:t>
                  </w:r>
                </w:p>
              </w:tc>
              <w:tc>
                <w:tcPr>
                  <w:tcW w:w="608"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337"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环境风险</w:t>
                  </w:r>
                </w:p>
              </w:tc>
              <w:tc>
                <w:tcPr>
                  <w:tcW w:w="2270" w:type="pct"/>
                  <w:tcBorders>
                    <w:tl2br w:val="nil"/>
                    <w:tr2bl w:val="nil"/>
                  </w:tcBorders>
                  <w:noWrap w:val="0"/>
                  <w:vAlign w:val="center"/>
                </w:tcPr>
                <w:p>
                  <w:pPr>
                    <w:autoSpaceDE w:val="0"/>
                    <w:autoSpaceDN w:val="0"/>
                    <w:adjustRightIn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石油和天然气开采：全部；</w:t>
                  </w:r>
                </w:p>
                <w:p>
                  <w:pPr>
                    <w:autoSpaceDE w:val="0"/>
                    <w:autoSpaceDN w:val="0"/>
                    <w:adjustRightIn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油气、液体化工码头：全部；</w:t>
                  </w:r>
                </w:p>
                <w:p>
                  <w:pPr>
                    <w:autoSpaceDE w:val="0"/>
                    <w:autoSpaceDN w:val="0"/>
                    <w:adjustRightIn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原油、成品油、天然气管线（不含城镇天然气管线、企业厂区内管线），危险化学品输送管线（不含企业厂区内管线）：全部</w:t>
                  </w:r>
                </w:p>
              </w:tc>
              <w:tc>
                <w:tcPr>
                  <w:tcW w:w="1523"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不涉及左述项目类别</w:t>
                  </w:r>
                </w:p>
              </w:tc>
              <w:tc>
                <w:tcPr>
                  <w:tcW w:w="608"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825" w:hRule="atLeast"/>
                <w:jc w:val="center"/>
              </w:trPr>
              <w:tc>
                <w:tcPr>
                  <w:tcW w:w="5000" w:type="pct"/>
                  <w:gridSpan w:val="4"/>
                  <w:tcBorders>
                    <w:tl2br w:val="nil"/>
                    <w:tr2bl w:val="nil"/>
                  </w:tcBorders>
                  <w:noWrap w:val="0"/>
                  <w:vAlign w:val="center"/>
                </w:tcPr>
                <w:p>
                  <w:pPr>
                    <w:autoSpaceDE w:val="0"/>
                    <w:autoSpaceDN w:val="0"/>
                    <w:adjustRightInd w:val="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注</w:t>
                  </w:r>
                  <w:r>
                    <w:rPr>
                      <w:rFonts w:hint="default" w:ascii="Times New Roman" w:hAnsi="Times New Roman" w:eastAsia="宋体" w:cs="Times New Roman"/>
                      <w:color w:val="auto"/>
                      <w:kern w:val="0"/>
                      <w:sz w:val="21"/>
                      <w:szCs w:val="21"/>
                    </w:rPr>
                    <w:t>：</w:t>
                  </w:r>
                  <w:r>
                    <w:rPr>
                      <w:rFonts w:hint="default" w:ascii="Times New Roman" w:hAnsi="Times New Roman" w:eastAsia="宋体" w:cs="Times New Roman"/>
                      <w:color w:val="auto"/>
                      <w:kern w:val="0"/>
                      <w:sz w:val="21"/>
                      <w:szCs w:val="21"/>
                      <w:lang w:eastAsia="zh-CN"/>
                    </w:rPr>
                    <w:t>“</w:t>
                  </w:r>
                  <w:r>
                    <w:rPr>
                      <w:rFonts w:hint="default" w:ascii="Times New Roman" w:hAnsi="Times New Roman" w:eastAsia="宋体" w:cs="Times New Roman"/>
                      <w:color w:val="auto"/>
                      <w:kern w:val="0"/>
                      <w:sz w:val="21"/>
                      <w:szCs w:val="21"/>
                    </w:rPr>
                    <w:t>涉及环境敏感区</w:t>
                  </w:r>
                  <w:r>
                    <w:rPr>
                      <w:rFonts w:hint="default" w:ascii="Times New Roman" w:hAnsi="Times New Roman"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rPr>
                    <w:t>是指建设项目位于、穿（跨）越（无害化通过的除外）环境敏感区，或环境影响范围涵盖环境敏感区。环境敏感区是指《建设项目环境影响评价分类管理名录》中针对该类项目所列的敏感区。</w:t>
                  </w:r>
                </w:p>
              </w:tc>
            </w:tr>
          </w:tbl>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eastAsia="宋体" w:cs="宋体"/>
                <w:color w:val="auto"/>
                <w:kern w:val="0"/>
                <w:sz w:val="24"/>
                <w:szCs w:val="21"/>
                <w:lang w:eastAsia="zh-CN"/>
              </w:rPr>
            </w:pPr>
            <w:r>
              <w:rPr>
                <w:rFonts w:hint="default" w:ascii="Times New Roman" w:hAnsi="Times New Roman" w:cs="Times New Roman"/>
                <w:color w:val="auto"/>
                <w:kern w:val="0"/>
                <w:sz w:val="24"/>
              </w:rPr>
              <w:t>综上所述，本项目</w:t>
            </w:r>
            <w:r>
              <w:rPr>
                <w:rFonts w:hint="default" w:ascii="Times New Roman" w:hAnsi="Times New Roman" w:cs="Times New Roman"/>
                <w:color w:val="auto"/>
                <w:kern w:val="0"/>
                <w:sz w:val="24"/>
                <w:lang w:val="en-US" w:eastAsia="zh-CN"/>
              </w:rPr>
              <w:t>需</w:t>
            </w:r>
            <w:r>
              <w:rPr>
                <w:rFonts w:hint="default" w:ascii="Times New Roman" w:hAnsi="Times New Roman" w:cs="Times New Roman"/>
                <w:color w:val="auto"/>
                <w:kern w:val="0"/>
                <w:sz w:val="24"/>
              </w:rPr>
              <w:t>设置</w:t>
            </w:r>
            <w:r>
              <w:rPr>
                <w:rFonts w:hint="eastAsia" w:cs="Times New Roman"/>
                <w:color w:val="auto"/>
                <w:kern w:val="0"/>
                <w:sz w:val="24"/>
                <w:lang w:val="en-US" w:eastAsia="zh-CN"/>
              </w:rPr>
              <w:t>生态</w:t>
            </w:r>
            <w:r>
              <w:rPr>
                <w:rFonts w:hint="default" w:ascii="Times New Roman" w:hAnsi="Times New Roman" w:cs="Times New Roman"/>
                <w:color w:val="auto"/>
                <w:kern w:val="0"/>
                <w:sz w:val="24"/>
              </w:rPr>
              <w:t>专项评价</w:t>
            </w:r>
            <w:r>
              <w:rPr>
                <w:rFonts w:hint="eastAsia" w:cs="Times New Roman"/>
                <w:color w:val="auto"/>
                <w:kern w:val="0"/>
                <w:sz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82" w:type="dxa"/>
            <w:vAlign w:val="center"/>
          </w:tcPr>
          <w:p>
            <w:pPr>
              <w:autoSpaceDE w:val="0"/>
              <w:autoSpaceDN w:val="0"/>
              <w:adjustRightInd w:val="0"/>
              <w:snapToGrid w:val="0"/>
              <w:jc w:val="center"/>
              <w:rPr>
                <w:rFonts w:cs="宋体"/>
                <w:color w:val="auto"/>
                <w:kern w:val="0"/>
                <w:sz w:val="24"/>
                <w:szCs w:val="21"/>
              </w:rPr>
            </w:pPr>
            <w:r>
              <w:rPr>
                <w:rFonts w:hint="eastAsia" w:cs="宋体"/>
                <w:color w:val="auto"/>
                <w:sz w:val="24"/>
                <w:szCs w:val="21"/>
              </w:rPr>
              <w:t>规划情况</w:t>
            </w:r>
          </w:p>
        </w:tc>
        <w:tc>
          <w:tcPr>
            <w:tcW w:w="7838"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eastAsia="宋体" w:cs="宋体"/>
                <w:color w:val="auto"/>
                <w:kern w:val="0"/>
                <w:sz w:val="24"/>
                <w:szCs w:val="21"/>
                <w:lang w:val="en-US" w:eastAsia="zh-CN"/>
              </w:rPr>
            </w:pPr>
            <w:r>
              <w:rPr>
                <w:rFonts w:hint="eastAsia" w:cs="宋体"/>
                <w:color w:val="auto"/>
                <w:kern w:val="0"/>
                <w:sz w:val="24"/>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pPr>
              <w:adjustRightInd w:val="0"/>
              <w:snapToGrid w:val="0"/>
              <w:jc w:val="center"/>
              <w:rPr>
                <w:rFonts w:cs="宋体"/>
                <w:color w:val="auto"/>
                <w:sz w:val="24"/>
                <w:szCs w:val="21"/>
              </w:rPr>
            </w:pPr>
            <w:r>
              <w:rPr>
                <w:rFonts w:hint="eastAsia" w:cs="宋体"/>
                <w:color w:val="auto"/>
                <w:sz w:val="24"/>
                <w:szCs w:val="21"/>
              </w:rPr>
              <w:t>规划环境影响</w:t>
            </w:r>
          </w:p>
          <w:p>
            <w:pPr>
              <w:adjustRightInd w:val="0"/>
              <w:snapToGrid w:val="0"/>
              <w:jc w:val="center"/>
              <w:rPr>
                <w:rFonts w:cs="宋体"/>
                <w:color w:val="auto"/>
                <w:kern w:val="0"/>
                <w:sz w:val="24"/>
                <w:szCs w:val="21"/>
              </w:rPr>
            </w:pPr>
            <w:r>
              <w:rPr>
                <w:rFonts w:hint="eastAsia" w:cs="宋体"/>
                <w:color w:val="auto"/>
                <w:sz w:val="24"/>
                <w:szCs w:val="21"/>
              </w:rPr>
              <w:t>评价情况</w:t>
            </w:r>
          </w:p>
        </w:tc>
        <w:tc>
          <w:tcPr>
            <w:tcW w:w="7838"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eastAsia="宋体" w:cs="宋体"/>
                <w:color w:val="auto"/>
                <w:kern w:val="0"/>
                <w:sz w:val="24"/>
                <w:szCs w:val="21"/>
                <w:lang w:eastAsia="zh-CN"/>
              </w:rPr>
            </w:pPr>
            <w:r>
              <w:rPr>
                <w:rFonts w:hint="eastAsia" w:cs="宋体"/>
                <w:color w:val="auto"/>
                <w:kern w:val="0"/>
                <w:sz w:val="24"/>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pPr>
              <w:autoSpaceDE w:val="0"/>
              <w:autoSpaceDN w:val="0"/>
              <w:adjustRightInd w:val="0"/>
              <w:snapToGrid w:val="0"/>
              <w:jc w:val="center"/>
              <w:rPr>
                <w:rFonts w:cs="宋体"/>
                <w:color w:val="auto"/>
                <w:kern w:val="0"/>
                <w:sz w:val="24"/>
                <w:szCs w:val="21"/>
              </w:rPr>
            </w:pPr>
            <w:r>
              <w:rPr>
                <w:rFonts w:hint="eastAsia" w:cs="宋体"/>
                <w:color w:val="auto"/>
                <w:kern w:val="0"/>
                <w:sz w:val="24"/>
                <w:szCs w:val="21"/>
              </w:rPr>
              <w:t>规划及规划环境</w:t>
            </w:r>
          </w:p>
          <w:p>
            <w:pPr>
              <w:autoSpaceDE w:val="0"/>
              <w:autoSpaceDN w:val="0"/>
              <w:adjustRightInd w:val="0"/>
              <w:snapToGrid w:val="0"/>
              <w:jc w:val="center"/>
              <w:rPr>
                <w:rFonts w:cs="宋体"/>
                <w:color w:val="auto"/>
                <w:kern w:val="0"/>
                <w:sz w:val="24"/>
                <w:szCs w:val="21"/>
              </w:rPr>
            </w:pPr>
            <w:r>
              <w:rPr>
                <w:rFonts w:hint="eastAsia" w:cs="宋体"/>
                <w:color w:val="auto"/>
                <w:kern w:val="0"/>
                <w:sz w:val="24"/>
                <w:szCs w:val="21"/>
              </w:rPr>
              <w:t>影响评价符合性分析</w:t>
            </w:r>
          </w:p>
        </w:tc>
        <w:tc>
          <w:tcPr>
            <w:tcW w:w="7838"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20" w:firstLineChars="200"/>
              <w:jc w:val="left"/>
              <w:textAlignment w:val="auto"/>
              <w:rPr>
                <w:rFonts w:hint="eastAsia" w:eastAsia="宋体"/>
                <w:color w:val="auto"/>
                <w:lang w:val="en-US" w:eastAsia="zh-CN"/>
              </w:rPr>
            </w:pPr>
            <w:r>
              <w:rPr>
                <w:rFonts w:hint="eastAsia"/>
                <w:color w:val="auto"/>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pPr>
              <w:autoSpaceDE w:val="0"/>
              <w:autoSpaceDN w:val="0"/>
              <w:adjustRightInd w:val="0"/>
              <w:snapToGrid w:val="0"/>
              <w:jc w:val="center"/>
              <w:rPr>
                <w:rFonts w:hint="eastAsia" w:cs="宋体"/>
                <w:color w:val="auto"/>
                <w:kern w:val="0"/>
                <w:sz w:val="24"/>
                <w:szCs w:val="21"/>
              </w:rPr>
            </w:pPr>
            <w:r>
              <w:rPr>
                <w:rFonts w:hint="eastAsia" w:cs="宋体"/>
                <w:color w:val="auto"/>
                <w:kern w:val="0"/>
                <w:sz w:val="24"/>
                <w:szCs w:val="21"/>
              </w:rPr>
              <w:t>其他符合性分析</w:t>
            </w:r>
          </w:p>
        </w:tc>
        <w:tc>
          <w:tcPr>
            <w:tcW w:w="7838" w:type="dxa"/>
            <w:gridSpan w:val="3"/>
            <w:vAlign w:val="center"/>
          </w:tcPr>
          <w:p>
            <w:pPr>
              <w:adjustRightInd w:val="0"/>
              <w:snapToGrid w:val="0"/>
              <w:spacing w:line="360" w:lineRule="auto"/>
              <w:ind w:firstLine="482" w:firstLineChars="200"/>
              <w:jc w:val="left"/>
              <w:rPr>
                <w:rFonts w:hint="default"/>
                <w:b/>
                <w:bCs/>
                <w:color w:val="auto"/>
                <w:sz w:val="24"/>
              </w:rPr>
            </w:pPr>
            <w:r>
              <w:rPr>
                <w:rFonts w:hint="eastAsia"/>
                <w:b/>
                <w:bCs/>
                <w:color w:val="auto"/>
                <w:sz w:val="24"/>
              </w:rPr>
              <w:t>（1）产业政策相符性</w:t>
            </w:r>
          </w:p>
          <w:p>
            <w:pPr>
              <w:topLinePunct/>
              <w:adjustRightInd w:val="0"/>
              <w:snapToGrid w:val="0"/>
              <w:spacing w:line="360" w:lineRule="auto"/>
              <w:ind w:firstLine="480" w:firstLineChars="200"/>
              <w:rPr>
                <w:color w:val="auto"/>
                <w:sz w:val="24"/>
              </w:rPr>
            </w:pPr>
            <w:r>
              <w:rPr>
                <w:rFonts w:hint="eastAsia" w:ascii="Times New Roman" w:hAnsi="Times New Roman" w:eastAsia="宋体" w:cs="Times New Roman"/>
                <w:color w:val="auto"/>
                <w:kern w:val="0"/>
                <w:sz w:val="24"/>
              </w:rPr>
              <w:t>建设项目主要为</w:t>
            </w:r>
            <w:r>
              <w:rPr>
                <w:rFonts w:hint="eastAsia" w:ascii="Times New Roman" w:hAnsi="Times New Roman" w:eastAsia="宋体" w:cs="Times New Roman"/>
                <w:color w:val="auto"/>
                <w:kern w:val="0"/>
                <w:sz w:val="24"/>
                <w:lang w:val="en-US" w:eastAsia="zh-CN"/>
              </w:rPr>
              <w:t>安置区安置房</w:t>
            </w:r>
            <w:r>
              <w:rPr>
                <w:rFonts w:hint="eastAsia" w:cs="Times New Roman"/>
                <w:color w:val="auto"/>
                <w:kern w:val="0"/>
                <w:sz w:val="24"/>
                <w:lang w:val="en-US" w:eastAsia="zh-CN"/>
              </w:rPr>
              <w:t>（一、二、三期）及配套的基础设施（含污水处理厂）</w:t>
            </w:r>
            <w:r>
              <w:rPr>
                <w:rFonts w:hint="eastAsia" w:ascii="Times New Roman" w:hAnsi="Times New Roman" w:eastAsia="宋体" w:cs="Times New Roman"/>
                <w:color w:val="auto"/>
                <w:kern w:val="0"/>
                <w:sz w:val="24"/>
                <w:lang w:val="en-US" w:eastAsia="zh-CN"/>
              </w:rPr>
              <w:t>建设</w:t>
            </w:r>
            <w:r>
              <w:rPr>
                <w:rFonts w:hint="eastAsia" w:ascii="Times New Roman" w:hAnsi="Times New Roman" w:eastAsia="宋体" w:cs="Times New Roman"/>
                <w:color w:val="auto"/>
                <w:kern w:val="0"/>
                <w:sz w:val="24"/>
              </w:rPr>
              <w:t>项目，根据《产业结构调整指导目录（20</w:t>
            </w:r>
            <w:r>
              <w:rPr>
                <w:rFonts w:hint="eastAsia" w:ascii="Times New Roman" w:hAnsi="Times New Roman" w:eastAsia="宋体" w:cs="Times New Roman"/>
                <w:color w:val="auto"/>
                <w:kern w:val="0"/>
                <w:sz w:val="24"/>
                <w:lang w:val="en-US" w:eastAsia="zh-CN"/>
              </w:rPr>
              <w:t>24</w:t>
            </w:r>
            <w:r>
              <w:rPr>
                <w:rFonts w:hint="eastAsia" w:ascii="Times New Roman" w:hAnsi="Times New Roman" w:eastAsia="宋体" w:cs="Times New Roman"/>
                <w:color w:val="auto"/>
                <w:kern w:val="0"/>
                <w:sz w:val="24"/>
              </w:rPr>
              <w:t>年本）》，项目</w:t>
            </w:r>
            <w:r>
              <w:rPr>
                <w:rFonts w:hint="eastAsia" w:ascii="Times New Roman" w:hAnsi="Times New Roman" w:eastAsia="宋体" w:cs="Times New Roman"/>
                <w:color w:val="auto"/>
                <w:kern w:val="0"/>
                <w:sz w:val="24"/>
                <w:lang w:val="en-US" w:eastAsia="zh-CN"/>
              </w:rPr>
              <w:t>不</w:t>
            </w:r>
            <w:r>
              <w:rPr>
                <w:rFonts w:hint="eastAsia" w:ascii="Times New Roman" w:hAnsi="Times New Roman" w:eastAsia="宋体" w:cs="Times New Roman"/>
                <w:color w:val="auto"/>
                <w:kern w:val="0"/>
                <w:sz w:val="24"/>
              </w:rPr>
              <w:t>属于“鼓励类”</w:t>
            </w:r>
            <w:r>
              <w:rPr>
                <w:rFonts w:hint="eastAsia" w:ascii="Times New Roman" w:hAnsi="Times New Roman" w:eastAsia="宋体" w:cs="Times New Roman"/>
                <w:color w:val="auto"/>
                <w:kern w:val="0"/>
                <w:sz w:val="24"/>
                <w:lang w:eastAsia="zh-CN"/>
              </w:rPr>
              <w:t>“</w:t>
            </w:r>
            <w:r>
              <w:rPr>
                <w:rFonts w:hint="eastAsia" w:ascii="Times New Roman" w:hAnsi="Times New Roman" w:eastAsia="宋体" w:cs="Times New Roman"/>
                <w:color w:val="auto"/>
                <w:kern w:val="0"/>
                <w:sz w:val="24"/>
                <w:lang w:val="en-US" w:eastAsia="zh-CN"/>
              </w:rPr>
              <w:t>淘汰类</w:t>
            </w:r>
            <w:r>
              <w:rPr>
                <w:rFonts w:hint="eastAsia" w:ascii="Times New Roman" w:hAnsi="Times New Roman" w:eastAsia="宋体" w:cs="Times New Roman"/>
                <w:color w:val="auto"/>
                <w:kern w:val="0"/>
                <w:sz w:val="24"/>
                <w:lang w:eastAsia="zh-CN"/>
              </w:rPr>
              <w:t>”</w:t>
            </w:r>
            <w:r>
              <w:rPr>
                <w:rFonts w:hint="eastAsia" w:ascii="Times New Roman" w:hAnsi="Times New Roman" w:eastAsia="宋体" w:cs="Times New Roman"/>
                <w:color w:val="auto"/>
                <w:kern w:val="0"/>
                <w:sz w:val="24"/>
                <w:lang w:val="en-US" w:eastAsia="zh-CN"/>
              </w:rPr>
              <w:t>以及“限制类”项目，属于允许类项目；项目不属于《市场准入负面清单（</w:t>
            </w:r>
            <w:r>
              <w:rPr>
                <w:rFonts w:hint="default" w:ascii="Times New Roman" w:hAnsi="Times New Roman" w:eastAsia="宋体" w:cs="Times New Roman"/>
                <w:color w:val="auto"/>
                <w:kern w:val="0"/>
                <w:sz w:val="24"/>
                <w:lang w:val="en-US" w:eastAsia="zh-CN"/>
              </w:rPr>
              <w:t xml:space="preserve">2022 </w:t>
            </w:r>
            <w:r>
              <w:rPr>
                <w:rFonts w:hint="eastAsia" w:ascii="Times New Roman" w:hAnsi="Times New Roman" w:eastAsia="宋体" w:cs="Times New Roman"/>
                <w:color w:val="auto"/>
                <w:kern w:val="0"/>
                <w:sz w:val="24"/>
                <w:lang w:val="en-US" w:eastAsia="zh-CN"/>
              </w:rPr>
              <w:t>年版）》中的项目</w:t>
            </w:r>
            <w:r>
              <w:rPr>
                <w:rFonts w:hint="eastAsia" w:ascii="Times New Roman" w:hAnsi="Times New Roman" w:eastAsia="宋体" w:cs="Times New Roman"/>
                <w:color w:val="auto"/>
                <w:kern w:val="0"/>
                <w:sz w:val="24"/>
              </w:rPr>
              <w:t>。因此，项目建设符合国家产业政策。</w:t>
            </w:r>
          </w:p>
          <w:p>
            <w:pPr>
              <w:adjustRightInd w:val="0"/>
              <w:snapToGrid w:val="0"/>
              <w:spacing w:line="360" w:lineRule="auto"/>
              <w:ind w:firstLine="482" w:firstLineChars="200"/>
              <w:jc w:val="left"/>
              <w:rPr>
                <w:b/>
                <w:bCs/>
                <w:color w:val="auto"/>
                <w:sz w:val="24"/>
              </w:rPr>
            </w:pPr>
            <w:r>
              <w:rPr>
                <w:rFonts w:hint="eastAsia"/>
                <w:b/>
                <w:bCs/>
                <w:color w:val="auto"/>
                <w:sz w:val="24"/>
              </w:rPr>
              <w:t>（2）规划及选址合理性分析</w:t>
            </w:r>
          </w:p>
          <w:p>
            <w:pPr>
              <w:topLinePunct/>
              <w:adjustRightInd w:val="0"/>
              <w:snapToGrid w:val="0"/>
              <w:spacing w:line="360" w:lineRule="auto"/>
              <w:ind w:firstLine="480" w:firstLineChars="200"/>
              <w:rPr>
                <w:rFonts w:hint="default" w:ascii="Times New Roman" w:hAnsi="Times New Roman" w:eastAsia="宋体" w:cs="Times New Roman"/>
                <w:color w:val="auto"/>
                <w:kern w:val="0"/>
                <w:sz w:val="24"/>
              </w:rPr>
            </w:pPr>
            <w:r>
              <w:rPr>
                <w:rFonts w:hint="eastAsia" w:ascii="Times New Roman" w:hAnsi="Times New Roman" w:eastAsia="宋体" w:cs="Times New Roman"/>
                <w:color w:val="auto"/>
                <w:kern w:val="0"/>
                <w:sz w:val="24"/>
                <w:lang w:val="en-US" w:eastAsia="zh-CN"/>
              </w:rPr>
              <w:t>项目</w:t>
            </w:r>
            <w:r>
              <w:rPr>
                <w:rFonts w:hint="eastAsia" w:cs="Times New Roman"/>
                <w:color w:val="auto"/>
                <w:kern w:val="0"/>
                <w:sz w:val="24"/>
                <w:lang w:val="en-US" w:eastAsia="zh-CN"/>
              </w:rPr>
              <w:t>整体</w:t>
            </w:r>
            <w:r>
              <w:rPr>
                <w:rFonts w:hint="eastAsia" w:ascii="Times New Roman" w:hAnsi="Times New Roman" w:eastAsia="宋体" w:cs="Times New Roman"/>
                <w:color w:val="auto"/>
                <w:kern w:val="0"/>
                <w:sz w:val="24"/>
                <w:lang w:val="en-US" w:eastAsia="zh-CN"/>
              </w:rPr>
              <w:t>建设地点位于华容县团洲安全垸内团洲乡中心小学东侧，</w:t>
            </w:r>
            <w:r>
              <w:rPr>
                <w:rFonts w:hint="eastAsia" w:cs="Times New Roman"/>
                <w:color w:val="auto"/>
                <w:kern w:val="0"/>
                <w:sz w:val="24"/>
                <w:lang w:val="en-US" w:eastAsia="zh-CN"/>
              </w:rPr>
              <w:t>南电排渠</w:t>
            </w:r>
            <w:r>
              <w:rPr>
                <w:rFonts w:hint="eastAsia" w:ascii="Times New Roman" w:hAnsi="Times New Roman" w:eastAsia="宋体" w:cs="Times New Roman"/>
                <w:color w:val="auto"/>
                <w:kern w:val="0"/>
                <w:sz w:val="24"/>
                <w:lang w:val="en-US" w:eastAsia="zh-CN"/>
              </w:rPr>
              <w:t>小区西侧，区域原为华容县团洲安全垸内耕地范围</w:t>
            </w:r>
            <w:r>
              <w:rPr>
                <w:rFonts w:hint="eastAsia" w:cs="Times New Roman"/>
                <w:color w:val="auto"/>
                <w:kern w:val="0"/>
                <w:sz w:val="24"/>
                <w:lang w:val="en-US" w:eastAsia="zh-CN"/>
              </w:rPr>
              <w:t>（不属于基本农田）</w:t>
            </w:r>
            <w:r>
              <w:rPr>
                <w:rFonts w:hint="eastAsia" w:ascii="Times New Roman" w:hAnsi="Times New Roman" w:eastAsia="宋体" w:cs="Times New Roman"/>
                <w:color w:val="auto"/>
                <w:kern w:val="0"/>
                <w:sz w:val="24"/>
                <w:lang w:val="en-US" w:eastAsia="zh-CN"/>
              </w:rPr>
              <w:t>，地势较为平坦</w:t>
            </w:r>
            <w:r>
              <w:rPr>
                <w:rFonts w:hint="eastAsia" w:eastAsia="宋体" w:cs="Times New Roman"/>
                <w:color w:val="auto"/>
                <w:kern w:val="0"/>
                <w:sz w:val="24"/>
                <w:lang w:val="en-US" w:eastAsia="zh-CN"/>
              </w:rPr>
              <w:t>，适合房地产开发利用，项目已取得华容县自然资源局出具的《建设项目用地预审与选址意见书》</w:t>
            </w:r>
            <w:r>
              <w:rPr>
                <w:rFonts w:hint="eastAsia" w:ascii="Times New Roman" w:hAnsi="Times New Roman" w:eastAsia="宋体" w:cs="Times New Roman"/>
                <w:color w:val="auto"/>
                <w:kern w:val="0"/>
                <w:sz w:val="24"/>
                <w:lang w:val="en-US" w:eastAsia="zh-CN"/>
              </w:rPr>
              <w:t>；该区域</w:t>
            </w:r>
            <w:r>
              <w:rPr>
                <w:rFonts w:hint="eastAsia" w:eastAsia="宋体" w:cs="Times New Roman"/>
                <w:color w:val="auto"/>
                <w:kern w:val="0"/>
                <w:sz w:val="24"/>
                <w:lang w:val="en-US" w:eastAsia="zh-CN"/>
              </w:rPr>
              <w:t>位于</w:t>
            </w:r>
            <w:r>
              <w:rPr>
                <w:rFonts w:hint="eastAsia" w:ascii="Times New Roman" w:hAnsi="Times New Roman" w:eastAsia="宋体" w:cs="Times New Roman"/>
                <w:color w:val="auto"/>
                <w:kern w:val="0"/>
                <w:sz w:val="24"/>
                <w:lang w:val="en-US" w:eastAsia="zh-CN"/>
              </w:rPr>
              <w:t>华容县团洲安全垸内，</w:t>
            </w:r>
            <w:r>
              <w:rPr>
                <w:rFonts w:hint="default" w:ascii="Times New Roman" w:hAnsi="Times New Roman" w:eastAsia="宋体" w:cs="Times New Roman"/>
                <w:color w:val="auto"/>
                <w:kern w:val="0"/>
                <w:sz w:val="24"/>
              </w:rPr>
              <w:t>项目周边供电、供水、排水、交通道路等基础设施较完善，有利于本项目的建设和实施；</w:t>
            </w:r>
            <w:r>
              <w:rPr>
                <w:rFonts w:hint="eastAsia" w:ascii="Times New Roman" w:hAnsi="Times New Roman" w:eastAsia="宋体" w:cs="Times New Roman"/>
                <w:color w:val="auto"/>
                <w:kern w:val="0"/>
                <w:sz w:val="24"/>
                <w:lang w:val="en-US" w:eastAsia="zh-CN"/>
              </w:rPr>
              <w:t>项目周边无大型工业企业、采矿企业，</w:t>
            </w:r>
            <w:r>
              <w:rPr>
                <w:rFonts w:hint="default" w:ascii="Times New Roman" w:hAnsi="Times New Roman" w:eastAsia="宋体" w:cs="Times New Roman"/>
                <w:color w:val="auto"/>
                <w:kern w:val="0"/>
                <w:sz w:val="24"/>
              </w:rPr>
              <w:t>评价区域内环境空气质量、周围水体环境质量、声环境质量能满足相应功能区要求。因此，从项目区域场地条件、市政基础设施条件、环境可行性等方面综合分析，评价认为，项目选址是可行的。</w:t>
            </w:r>
          </w:p>
          <w:p>
            <w:pPr>
              <w:adjustRightInd w:val="0"/>
              <w:snapToGrid w:val="0"/>
              <w:spacing w:line="360" w:lineRule="auto"/>
              <w:ind w:firstLine="482" w:firstLineChars="200"/>
              <w:jc w:val="left"/>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lang w:eastAsia="zh-CN"/>
              </w:rPr>
              <w:t>（</w:t>
            </w:r>
            <w:r>
              <w:rPr>
                <w:rFonts w:hint="eastAsia" w:cs="Times New Roman"/>
                <w:b/>
                <w:bCs/>
                <w:color w:val="auto"/>
                <w:sz w:val="24"/>
                <w:lang w:val="en-US" w:eastAsia="zh-CN"/>
              </w:rPr>
              <w:t>3</w:t>
            </w:r>
            <w:r>
              <w:rPr>
                <w:rFonts w:hint="eastAsia" w:ascii="Times New Roman" w:hAnsi="Times New Roman" w:eastAsia="宋体" w:cs="Times New Roman"/>
                <w:b/>
                <w:bCs/>
                <w:color w:val="auto"/>
                <w:sz w:val="24"/>
                <w:lang w:eastAsia="zh-CN"/>
              </w:rPr>
              <w:t>）</w:t>
            </w:r>
            <w:r>
              <w:rPr>
                <w:rFonts w:hint="eastAsia" w:ascii="Times New Roman" w:hAnsi="Times New Roman" w:eastAsia="宋体" w:cs="Times New Roman"/>
                <w:b/>
                <w:bCs/>
                <w:color w:val="auto"/>
                <w:sz w:val="24"/>
              </w:rPr>
              <w:t>“三线一单”符合性分析</w:t>
            </w:r>
          </w:p>
          <w:p>
            <w:pPr>
              <w:pStyle w:val="68"/>
              <w:ind w:firstLine="480"/>
              <w:rPr>
                <w:rFonts w:hint="default" w:ascii="Times New Roman" w:hAnsi="Times New Roman" w:cs="Times New Roman"/>
                <w:color w:val="auto"/>
              </w:rPr>
            </w:pPr>
            <w:r>
              <w:rPr>
                <w:rFonts w:hint="default" w:ascii="Times New Roman" w:hAnsi="Times New Roman" w:cs="Times New Roman"/>
                <w:color w:val="auto"/>
              </w:rPr>
              <w:t>1）生态保护红线</w:t>
            </w:r>
          </w:p>
          <w:p>
            <w:pPr>
              <w:pStyle w:val="68"/>
              <w:ind w:firstLine="480"/>
              <w:rPr>
                <w:rFonts w:hint="default" w:ascii="Times New Roman" w:hAnsi="Times New Roman" w:cs="Times New Roman"/>
                <w:color w:val="auto"/>
              </w:rPr>
            </w:pPr>
            <w:r>
              <w:rPr>
                <w:rFonts w:hint="default" w:ascii="Times New Roman" w:hAnsi="Times New Roman" w:cs="Times New Roman"/>
                <w:color w:val="auto"/>
              </w:rPr>
              <w:t>对照《华容县国土空间总体规划（2021-2035年）》中统筹划定三条控制线的图纸分析，本项目不涉及华容县生态保护红线</w:t>
            </w:r>
            <w:r>
              <w:rPr>
                <w:rFonts w:hint="eastAsia" w:cs="Times New Roman"/>
                <w:color w:val="auto"/>
                <w:lang w:eastAsia="zh-CN"/>
              </w:rPr>
              <w:t>（</w:t>
            </w:r>
            <w:r>
              <w:rPr>
                <w:rFonts w:hint="eastAsia" w:cs="Times New Roman"/>
                <w:color w:val="auto"/>
                <w:lang w:val="en-US" w:eastAsia="zh-CN"/>
              </w:rPr>
              <w:t>详见附图中三区三线套合图</w:t>
            </w:r>
            <w:r>
              <w:rPr>
                <w:rFonts w:hint="eastAsia" w:cs="Times New Roman"/>
                <w:color w:val="auto"/>
                <w:lang w:eastAsia="zh-CN"/>
              </w:rPr>
              <w:t>）</w:t>
            </w:r>
            <w:r>
              <w:rPr>
                <w:rFonts w:hint="default" w:ascii="Times New Roman" w:hAnsi="Times New Roman" w:cs="Times New Roman"/>
                <w:color w:val="auto"/>
              </w:rPr>
              <w:t>。</w:t>
            </w:r>
          </w:p>
          <w:p>
            <w:pPr>
              <w:pStyle w:val="68"/>
              <w:ind w:firstLine="480"/>
              <w:rPr>
                <w:rFonts w:hint="default" w:ascii="Times New Roman" w:hAnsi="Times New Roman" w:cs="Times New Roman"/>
                <w:color w:val="auto"/>
              </w:rPr>
            </w:pPr>
            <w:r>
              <w:rPr>
                <w:rFonts w:hint="default" w:ascii="Times New Roman" w:hAnsi="Times New Roman" w:cs="Times New Roman"/>
                <w:color w:val="auto"/>
              </w:rPr>
              <w:t>2）环境质量底线</w:t>
            </w:r>
          </w:p>
          <w:p>
            <w:pPr>
              <w:pStyle w:val="68"/>
              <w:ind w:firstLine="480"/>
              <w:rPr>
                <w:rFonts w:hint="default" w:ascii="Times New Roman" w:hAnsi="Times New Roman" w:cs="Times New Roman"/>
                <w:color w:val="auto"/>
              </w:rPr>
            </w:pPr>
            <w:r>
              <w:rPr>
                <w:rFonts w:hint="default" w:ascii="Times New Roman" w:hAnsi="Times New Roman" w:cs="Times New Roman"/>
                <w:color w:val="auto"/>
              </w:rPr>
              <w:t>根据环境质量现状调查，项目地环境质量现状达标。项目</w:t>
            </w:r>
            <w:r>
              <w:rPr>
                <w:rFonts w:hint="eastAsia" w:ascii="Times New Roman" w:hAnsi="Times New Roman" w:cs="Times New Roman"/>
                <w:color w:val="auto"/>
                <w:lang w:val="en-US" w:eastAsia="zh-CN"/>
              </w:rPr>
              <w:t>不属于工业项目，</w:t>
            </w:r>
            <w:r>
              <w:rPr>
                <w:rFonts w:hint="default" w:ascii="Times New Roman" w:hAnsi="Times New Roman" w:cs="Times New Roman"/>
                <w:color w:val="auto"/>
                <w:lang w:val="en-US" w:eastAsia="zh-CN"/>
              </w:rPr>
              <w:t>为民生工程，</w:t>
            </w:r>
            <w:r>
              <w:rPr>
                <w:rFonts w:hint="eastAsia" w:ascii="Times New Roman" w:hAnsi="Times New Roman" w:cs="Times New Roman"/>
                <w:color w:val="auto"/>
                <w:lang w:val="en-US" w:eastAsia="zh-CN"/>
              </w:rPr>
              <w:t>旨在通过建设团洲垸灾后重建安置房，改善受灾群众的居住条件，提升区域抗灾能力，促进城乡统筹发展，项目建成运行后</w:t>
            </w:r>
            <w:r>
              <w:rPr>
                <w:rFonts w:hint="eastAsia" w:cs="Times New Roman"/>
                <w:color w:val="auto"/>
                <w:lang w:val="en-US" w:eastAsia="zh-CN"/>
              </w:rPr>
              <w:t>主要为受灾居民居住，无具体生产过程，污染物质排放量较少，</w:t>
            </w:r>
            <w:r>
              <w:rPr>
                <w:rFonts w:hint="default" w:ascii="Times New Roman" w:hAnsi="Times New Roman" w:cs="Times New Roman"/>
                <w:color w:val="auto"/>
              </w:rPr>
              <w:t>项目</w:t>
            </w:r>
            <w:r>
              <w:rPr>
                <w:rFonts w:hint="eastAsia" w:cs="Times New Roman"/>
                <w:color w:val="auto"/>
                <w:lang w:val="en-US" w:eastAsia="zh-CN"/>
              </w:rPr>
              <w:t>的</w:t>
            </w:r>
            <w:r>
              <w:rPr>
                <w:rFonts w:hint="default" w:ascii="Times New Roman" w:hAnsi="Times New Roman" w:cs="Times New Roman"/>
                <w:color w:val="auto"/>
              </w:rPr>
              <w:t>建设不会突破区域环境质量底线。</w:t>
            </w:r>
          </w:p>
          <w:p>
            <w:pPr>
              <w:pStyle w:val="68"/>
              <w:ind w:firstLine="480"/>
              <w:rPr>
                <w:rFonts w:hint="default" w:ascii="Times New Roman" w:hAnsi="Times New Roman" w:cs="Times New Roman"/>
                <w:color w:val="auto"/>
              </w:rPr>
            </w:pPr>
            <w:r>
              <w:rPr>
                <w:rFonts w:hint="default" w:ascii="Times New Roman" w:hAnsi="Times New Roman" w:cs="Times New Roman"/>
                <w:color w:val="auto"/>
              </w:rPr>
              <w:t>3）资源利用上线</w:t>
            </w:r>
          </w:p>
          <w:p>
            <w:pPr>
              <w:pStyle w:val="68"/>
              <w:ind w:firstLine="480"/>
              <w:rPr>
                <w:rFonts w:hint="default" w:ascii="Times New Roman" w:hAnsi="Times New Roman" w:cs="Times New Roman"/>
                <w:color w:val="auto"/>
              </w:rPr>
            </w:pPr>
            <w:r>
              <w:rPr>
                <w:rFonts w:hint="default" w:ascii="Times New Roman" w:hAnsi="Times New Roman" w:cs="Times New Roman"/>
                <w:color w:val="auto"/>
              </w:rPr>
              <w:t>项目施工过程中消耗一定的建筑材料、电、水资源，资源消耗量相对区域资源利用总量很少，符合资源利用上限要求。</w:t>
            </w:r>
          </w:p>
          <w:p>
            <w:pPr>
              <w:pStyle w:val="68"/>
              <w:ind w:firstLine="480"/>
              <w:rPr>
                <w:rFonts w:hint="default" w:ascii="Times New Roman" w:hAnsi="Times New Roman" w:cs="Times New Roman"/>
                <w:color w:val="auto"/>
              </w:rPr>
            </w:pPr>
            <w:r>
              <w:rPr>
                <w:rFonts w:hint="default" w:ascii="Times New Roman" w:hAnsi="Times New Roman" w:cs="Times New Roman"/>
                <w:color w:val="auto"/>
              </w:rPr>
              <w:t>4）生态环境准入清单</w:t>
            </w:r>
          </w:p>
          <w:p>
            <w:pPr>
              <w:pStyle w:val="68"/>
              <w:ind w:firstLine="480"/>
              <w:rPr>
                <w:rFonts w:hint="default" w:ascii="Times New Roman" w:hAnsi="Times New Roman" w:cs="Times New Roman"/>
                <w:bCs/>
                <w:color w:val="auto"/>
              </w:rPr>
            </w:pPr>
            <w:r>
              <w:rPr>
                <w:rFonts w:hint="default" w:ascii="Times New Roman" w:hAnsi="Times New Roman" w:cs="Times New Roman"/>
                <w:bCs/>
                <w:color w:val="auto"/>
              </w:rPr>
              <w:t>根据《国家发展改革委商务部关于印发〈市场准入负面清单（2022年版）〉的通知》中的产业准入负面清单以及《岳阳市生态环境分区管控基本要求（2023年版）》、《岳阳市其他环境管控单元（省级及以上产业园区除外）生态环境准入清单（2023年版）》，本项目不属于市场准入负面清单，且符合“三线一单”生态环境分区管控要求。</w:t>
            </w:r>
          </w:p>
          <w:p>
            <w:pPr>
              <w:pStyle w:val="68"/>
              <w:ind w:firstLine="482"/>
              <w:rPr>
                <w:rFonts w:hint="default" w:ascii="Times New Roman" w:hAnsi="Times New Roman" w:cs="Times New Roman"/>
                <w:b/>
                <w:bCs/>
                <w:color w:val="auto"/>
              </w:rPr>
            </w:pPr>
            <w:r>
              <w:rPr>
                <w:rFonts w:hint="eastAsia" w:cs="Times New Roman"/>
                <w:b/>
                <w:bCs/>
                <w:color w:val="auto"/>
                <w:lang w:eastAsia="zh-CN"/>
              </w:rPr>
              <w:t>（</w:t>
            </w:r>
            <w:r>
              <w:rPr>
                <w:rFonts w:hint="eastAsia" w:cs="Times New Roman"/>
                <w:b/>
                <w:bCs/>
                <w:color w:val="auto"/>
                <w:lang w:val="en-US" w:eastAsia="zh-CN"/>
              </w:rPr>
              <w:t>4</w:t>
            </w:r>
            <w:r>
              <w:rPr>
                <w:rFonts w:hint="eastAsia" w:cs="Times New Roman"/>
                <w:b/>
                <w:bCs/>
                <w:color w:val="auto"/>
                <w:lang w:eastAsia="zh-CN"/>
              </w:rPr>
              <w:t>）</w:t>
            </w:r>
            <w:r>
              <w:rPr>
                <w:rFonts w:hint="default" w:ascii="Times New Roman" w:hAnsi="Times New Roman" w:cs="Times New Roman"/>
                <w:b/>
                <w:bCs/>
                <w:color w:val="auto"/>
              </w:rPr>
              <w:t>与岳阳市生态环境分区管控基本要求（2023年版）符合性分析</w:t>
            </w:r>
          </w:p>
          <w:p>
            <w:pPr>
              <w:pStyle w:val="68"/>
              <w:ind w:firstLine="480"/>
              <w:rPr>
                <w:rFonts w:hint="default" w:ascii="Times New Roman" w:hAnsi="Times New Roman" w:cs="Times New Roman"/>
                <w:color w:val="auto"/>
              </w:rPr>
            </w:pPr>
            <w:r>
              <w:rPr>
                <w:rFonts w:hint="default" w:ascii="Times New Roman" w:hAnsi="Times New Roman" w:cs="Times New Roman"/>
                <w:bCs/>
                <w:color w:val="auto"/>
              </w:rPr>
              <w:t>项目位于</w:t>
            </w:r>
            <w:r>
              <w:rPr>
                <w:rFonts w:hint="eastAsia" w:ascii="Times New Roman" w:hAnsi="Times New Roman" w:cs="Times New Roman"/>
                <w:bCs/>
                <w:color w:val="auto"/>
                <w:lang w:val="en-US" w:eastAsia="zh-CN"/>
              </w:rPr>
              <w:t>华容县团洲乡，</w:t>
            </w:r>
            <w:r>
              <w:rPr>
                <w:rFonts w:hint="default" w:ascii="Times New Roman" w:hAnsi="Times New Roman" w:cs="Times New Roman"/>
                <w:bCs/>
                <w:color w:val="auto"/>
              </w:rPr>
              <w:t>其所在区域属于：“优先保护单元”，环境管控单元编码为：ZH43062310002，本项目相关符合性情况</w:t>
            </w:r>
            <w:r>
              <w:rPr>
                <w:rFonts w:hint="default" w:ascii="Times New Roman" w:hAnsi="Times New Roman" w:cs="Times New Roman"/>
                <w:bCs/>
                <w:color w:val="auto"/>
                <w:lang w:val="en-US" w:eastAsia="zh-CN"/>
              </w:rPr>
              <w:t>详</w:t>
            </w:r>
            <w:r>
              <w:rPr>
                <w:rFonts w:hint="default" w:ascii="Times New Roman" w:hAnsi="Times New Roman" w:cs="Times New Roman"/>
                <w:bCs/>
                <w:color w:val="auto"/>
              </w:rPr>
              <w:t>见下表</w:t>
            </w:r>
            <w:r>
              <w:rPr>
                <w:rFonts w:hint="default" w:ascii="Times New Roman" w:hAnsi="Times New Roman" w:cs="Times New Roman"/>
                <w:color w:val="auto"/>
              </w:rPr>
              <w:t>：</w:t>
            </w:r>
          </w:p>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rPr>
            </w:pPr>
            <w:r>
              <w:rPr>
                <w:rFonts w:hint="default" w:ascii="Times New Roman" w:hAnsi="Times New Roman" w:cs="Times New Roman"/>
                <w:color w:val="auto"/>
              </w:rPr>
              <w:t>表1-</w:t>
            </w:r>
            <w:r>
              <w:rPr>
                <w:rFonts w:hint="eastAsia" w:cs="Times New Roman"/>
                <w:color w:val="auto"/>
                <w:lang w:val="en-US" w:eastAsia="zh-CN"/>
              </w:rPr>
              <w:t>1</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项目所在地“三线一单”分区管控要求</w:t>
            </w:r>
          </w:p>
          <w:tbl>
            <w:tblPr>
              <w:tblStyle w:val="23"/>
              <w:tblW w:w="771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28" w:type="dxa"/>
                <w:left w:w="0" w:type="dxa"/>
                <w:bottom w:w="28" w:type="dxa"/>
                <w:right w:w="0" w:type="dxa"/>
              </w:tblCellMar>
            </w:tblPr>
            <w:tblGrid>
              <w:gridCol w:w="1240"/>
              <w:gridCol w:w="3375"/>
              <w:gridCol w:w="2349"/>
              <w:gridCol w:w="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环境管控单元编码</w:t>
                  </w:r>
                </w:p>
              </w:tc>
              <w:tc>
                <w:tcPr>
                  <w:tcW w:w="2188"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单元名称</w:t>
                  </w:r>
                </w:p>
              </w:tc>
              <w:tc>
                <w:tcPr>
                  <w:tcW w:w="1523"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单元分类</w:t>
                  </w:r>
                </w:p>
              </w:tc>
              <w:tc>
                <w:tcPr>
                  <w:tcW w:w="483" w:type="pct"/>
                  <w:tcBorders>
                    <w:tl2br w:val="nil"/>
                    <w:tr2bl w:val="nil"/>
                  </w:tcBorders>
                  <w:shd w:val="clear" w:color="auto" w:fill="auto"/>
                  <w:noWrap w:val="0"/>
                  <w:vAlign w:val="center"/>
                </w:tcPr>
                <w:p>
                  <w:pPr>
                    <w:pStyle w:val="70"/>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主体功能定位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ZH43062310002</w:t>
                  </w:r>
                </w:p>
              </w:tc>
              <w:tc>
                <w:tcPr>
                  <w:tcW w:w="2188"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插旗镇/ 团洲乡/ 禹山镇/ 注滋口镇</w:t>
                  </w:r>
                </w:p>
              </w:tc>
              <w:tc>
                <w:tcPr>
                  <w:tcW w:w="1523"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优先保护单元</w:t>
                  </w:r>
                </w:p>
              </w:tc>
              <w:tc>
                <w:tcPr>
                  <w:tcW w:w="483" w:type="pct"/>
                  <w:tcBorders>
                    <w:tl2br w:val="nil"/>
                    <w:tr2bl w:val="nil"/>
                  </w:tcBorders>
                  <w:shd w:val="clear" w:color="auto" w:fill="auto"/>
                  <w:noWrap w:val="0"/>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农产品主产区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color w:val="auto"/>
                      <w:kern w:val="2"/>
                      <w:sz w:val="21"/>
                      <w:szCs w:val="24"/>
                      <w:lang w:val="en-US" w:eastAsia="zh-CN" w:bidi="ar-SA"/>
                    </w:rPr>
                  </w:pPr>
                  <w:r>
                    <w:rPr>
                      <w:rFonts w:hint="default" w:ascii="Times New Roman" w:hAnsi="Times New Roman" w:eastAsia="宋体" w:cs="Times New Roman"/>
                      <w:b/>
                      <w:bCs/>
                      <w:color w:val="auto"/>
                      <w:lang w:val="en-US" w:eastAsia="zh-CN"/>
                    </w:rPr>
                    <w:t>经济产业布局</w:t>
                  </w:r>
                </w:p>
              </w:tc>
              <w:tc>
                <w:tcPr>
                  <w:tcW w:w="2188"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color w:val="auto"/>
                      <w:kern w:val="2"/>
                      <w:sz w:val="21"/>
                      <w:szCs w:val="24"/>
                      <w:lang w:val="en-US" w:eastAsia="zh-CN" w:bidi="ar-SA"/>
                    </w:rPr>
                  </w:pPr>
                  <w:r>
                    <w:rPr>
                      <w:rFonts w:hint="default" w:ascii="Times New Roman" w:hAnsi="Times New Roman" w:eastAsia="宋体" w:cs="Times New Roman"/>
                      <w:b/>
                      <w:bCs/>
                      <w:color w:val="auto"/>
                      <w:lang w:val="en-US" w:eastAsia="zh-CN"/>
                    </w:rPr>
                    <w:t>重要敏感目标和主要环境问题</w:t>
                  </w:r>
                </w:p>
              </w:tc>
              <w:tc>
                <w:tcPr>
                  <w:tcW w:w="2007" w:type="pct"/>
                  <w:gridSpan w:val="2"/>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主要属性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农业种植、中药材种植、水产养殖、畜禽养殖、农副产品加工等其他食品加工业</w:t>
                  </w:r>
                </w:p>
              </w:tc>
              <w:tc>
                <w:tcPr>
                  <w:tcW w:w="2188"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团洲乡、注滋口镇：湖南东洞庭湖国家级自然保护区</w:t>
                  </w:r>
                </w:p>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p>
              </w:tc>
              <w:tc>
                <w:tcPr>
                  <w:tcW w:w="2007" w:type="pct"/>
                  <w:gridSpan w:val="2"/>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红线</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一般生态空间</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原生态红线</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自然保护区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生物多样性保护功能重要区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三区三线生态红线</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水源涵养重要区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水环境优先保护区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水产种质（国家级）</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东洞庭湖中国圆田螺国家级水产种质资源保护区、东洞庭湖鲤鲫黄颡国家级水产种质资源保护区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大气环境优先保护区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大气环境受体敏感重点管控区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湖南东洞庭湖国家级自然保护区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农用地优先保护区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建设用地重点管控区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一般管控区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中高风险企业用地</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农产品主产区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rPr>
                  </w:pPr>
                  <w:r>
                    <w:rPr>
                      <w:rFonts w:hint="default" w:ascii="Times New Roman" w:hAnsi="Times New Roman" w:cs="Times New Roman"/>
                      <w:b/>
                      <w:bCs/>
                      <w:color w:val="auto"/>
                    </w:rPr>
                    <w:t>管控维度</w:t>
                  </w:r>
                </w:p>
              </w:tc>
              <w:tc>
                <w:tcPr>
                  <w:tcW w:w="2188"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rPr>
                  </w:pPr>
                  <w:r>
                    <w:rPr>
                      <w:rFonts w:hint="default" w:ascii="Times New Roman" w:hAnsi="Times New Roman" w:cs="Times New Roman"/>
                      <w:b/>
                      <w:bCs/>
                      <w:color w:val="auto"/>
                    </w:rPr>
                    <w:t>管控要求</w:t>
                  </w:r>
                </w:p>
              </w:tc>
              <w:tc>
                <w:tcPr>
                  <w:tcW w:w="1523"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rPr>
                  </w:pPr>
                  <w:r>
                    <w:rPr>
                      <w:rFonts w:hint="default" w:ascii="Times New Roman" w:hAnsi="Times New Roman" w:cs="Times New Roman"/>
                      <w:b/>
                      <w:bCs/>
                      <w:color w:val="auto"/>
                    </w:rPr>
                    <w:t>本项目情况</w:t>
                  </w:r>
                </w:p>
              </w:tc>
              <w:tc>
                <w:tcPr>
                  <w:tcW w:w="483" w:type="pct"/>
                  <w:tcBorders>
                    <w:tl2br w:val="nil"/>
                    <w:tr2bl w:val="nil"/>
                  </w:tcBorders>
                  <w:shd w:val="clear" w:color="auto" w:fill="auto"/>
                  <w:noWrap w:val="0"/>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rPr>
                  </w:pPr>
                  <w:r>
                    <w:rPr>
                      <w:rFonts w:hint="default" w:ascii="Times New Roman" w:hAnsi="Times New Roman" w:cs="Times New Roman"/>
                      <w:b/>
                      <w:bCs/>
                      <w:color w:val="auto"/>
                    </w:rPr>
                    <w:t>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空间布局约束</w:t>
                  </w:r>
                </w:p>
              </w:tc>
              <w:tc>
                <w:tcPr>
                  <w:tcW w:w="2188"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（1.1）持续开展河湖岸线生态修护，认真实施“十年禁渔”，有效恢复水生生物多样性。禁止在天然水域（开放性湖泊和常水位面积1500亩及以上的水域）投肥投饵养殖等破坏水生态行为。</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禁养区内畜禽养殖场立即关停退养，禁养区外沿江、河、湖、库、排（干）渠岸线500米内实施限养管理，禁止新增养殖场和扩大养殖规模，引导现有养殖场逐步退出；根据养殖规模配套粪污处理设施装备，坚决取缔一切外排粪污的养殖场（户）。</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（1.3）严禁秸秆、垃圾露天焚烧。提高秸秆综合利用率，严格管控烟花爆竹运输、销售、燃放，及餐饮油烟、露天烧烤。</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（1.4）加快建设完善城镇生活污水收集管网，更新修复混接、漏接、老旧破损管网，推进初期雨水污染控制；推进农村生活污水治理，强化农户生活污水分类处理处置，提高农村生活污水治理率。</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（1.5）禁止在国、省考断面和饮用水水源保护区上游三公里、下游0.3公里范围内进行非法采砂。</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1.6）禁止在自然保护区核心区、缓冲区开展旅游和其他生产经营活动，禁止建设任何生产设施，禁止引进、放生外来物种，缓冲区从事科学研究、教学实习标本采集活动等，应避免对保护区生态环境产生不利影响，及时清除活动产生废弃物。</w:t>
                  </w:r>
                </w:p>
              </w:tc>
              <w:tc>
                <w:tcPr>
                  <w:tcW w:w="1523"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本项目</w:t>
                  </w:r>
                  <w:r>
                    <w:rPr>
                      <w:rFonts w:hint="default" w:ascii="Times New Roman" w:hAnsi="Times New Roman" w:cs="Times New Roman"/>
                      <w:color w:val="auto"/>
                      <w:lang w:val="en-US" w:eastAsia="zh-CN"/>
                    </w:rPr>
                    <w:t>为</w:t>
                  </w:r>
                  <w:r>
                    <w:rPr>
                      <w:rFonts w:hint="eastAsia" w:cs="Times New Roman"/>
                      <w:color w:val="auto"/>
                      <w:lang w:val="en-US" w:eastAsia="zh-CN"/>
                    </w:rPr>
                    <w:t>安置区建设</w:t>
                  </w:r>
                  <w:r>
                    <w:rPr>
                      <w:rFonts w:hint="default" w:ascii="Times New Roman" w:hAnsi="Times New Roman" w:cs="Times New Roman"/>
                      <w:color w:val="auto"/>
                      <w:lang w:val="en-US" w:eastAsia="zh-CN"/>
                    </w:rPr>
                    <w:t>工程属于民生</w:t>
                  </w:r>
                  <w:r>
                    <w:rPr>
                      <w:rFonts w:hint="default" w:ascii="Times New Roman" w:hAnsi="Times New Roman" w:cs="Times New Roman"/>
                      <w:color w:val="auto"/>
                    </w:rPr>
                    <w:t>工程</w:t>
                  </w:r>
                  <w:r>
                    <w:rPr>
                      <w:rFonts w:hint="default" w:ascii="Times New Roman" w:hAnsi="Times New Roman" w:cs="Times New Roman"/>
                      <w:color w:val="auto"/>
                      <w:lang w:val="en-US" w:eastAsia="zh-CN"/>
                    </w:rPr>
                    <w:t>，</w:t>
                  </w:r>
                  <w:r>
                    <w:rPr>
                      <w:rFonts w:hint="default" w:ascii="Times New Roman" w:hAnsi="Times New Roman" w:cs="Times New Roman"/>
                      <w:color w:val="auto"/>
                    </w:rPr>
                    <w:t>不涉及渔业、畜禽养殖、秸秆焚烧</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采砂、污水处理</w:t>
                  </w:r>
                  <w:r>
                    <w:rPr>
                      <w:rFonts w:hint="default" w:ascii="Times New Roman" w:hAnsi="Times New Roman" w:cs="Times New Roman"/>
                      <w:color w:val="auto"/>
                    </w:rPr>
                    <w:t>等行业</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项目位于</w:t>
                  </w:r>
                  <w:r>
                    <w:rPr>
                      <w:rFonts w:hint="eastAsia" w:cs="Times New Roman"/>
                      <w:color w:val="auto"/>
                      <w:lang w:val="en-US" w:eastAsia="zh-CN"/>
                    </w:rPr>
                    <w:t>团洲乡</w:t>
                  </w:r>
                  <w:r>
                    <w:rPr>
                      <w:rFonts w:hint="default" w:ascii="Times New Roman" w:hAnsi="Times New Roman" w:cs="Times New Roman"/>
                      <w:color w:val="auto"/>
                      <w:lang w:val="en-US" w:eastAsia="zh-CN"/>
                    </w:rPr>
                    <w:t>镇域范围内（</w:t>
                  </w:r>
                  <w:r>
                    <w:rPr>
                      <w:rFonts w:hint="eastAsia" w:cs="Times New Roman"/>
                      <w:color w:val="auto"/>
                      <w:lang w:val="en-US" w:eastAsia="zh-CN"/>
                    </w:rPr>
                    <w:t>位于</w:t>
                  </w:r>
                  <w:r>
                    <w:rPr>
                      <w:rFonts w:hint="default" w:ascii="Times New Roman" w:hAnsi="Times New Roman" w:cs="Times New Roman"/>
                      <w:color w:val="auto"/>
                      <w:lang w:val="en-US" w:eastAsia="zh-CN"/>
                    </w:rPr>
                    <w:t>湖南</w:t>
                  </w:r>
                  <w:r>
                    <w:rPr>
                      <w:rFonts w:hint="eastAsia" w:cs="Times New Roman"/>
                      <w:color w:val="auto"/>
                      <w:lang w:val="en-US" w:eastAsia="zh-CN"/>
                    </w:rPr>
                    <w:t>东洞庭湖国家级自然保护实验区范围内</w:t>
                  </w:r>
                  <w:r>
                    <w:rPr>
                      <w:rFonts w:hint="default" w:ascii="Times New Roman" w:hAnsi="Times New Roman" w:cs="Times New Roman"/>
                      <w:color w:val="auto"/>
                      <w:lang w:val="en-US" w:eastAsia="zh-CN"/>
                    </w:rPr>
                    <w:t>），不属于自然保护区核心区、缓冲区</w:t>
                  </w:r>
                </w:p>
              </w:tc>
              <w:tc>
                <w:tcPr>
                  <w:tcW w:w="483" w:type="pct"/>
                  <w:tcBorders>
                    <w:tl2br w:val="nil"/>
                    <w:tr2bl w:val="nil"/>
                  </w:tcBorders>
                  <w:shd w:val="clear" w:color="auto" w:fill="auto"/>
                  <w:noWrap w:val="0"/>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污染物排放管控</w:t>
                  </w:r>
                </w:p>
              </w:tc>
              <w:tc>
                <w:tcPr>
                  <w:tcW w:w="2188"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（2.1）废气：强化建筑施工、道路及裸土扬尘污染治理，有效防尘降尘；严禁秸秆、垃圾露天焚烧，推进餐饮油烟污染治理，深化餐饮油烟专项整治。</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（2.2）废水：</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2.2.1）加快建设完善城镇生活污水收集管网，更新修复老旧破损管网；推进农村生活污水治理，推进农村户用厕所建设和改造，强化农户生活污水分类处理处置；加速城乡黑臭水体整治，2025年底基本消除农村较大面积黑臭水体。</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2.2.2）按水功能区划和水体纳污能力及洞庭湖总磷控制和削减要求，从严控制新增入河（湖）排污口的数量，严格落实总磷等重点污染物特别排放限值和总量指标。落实水质管控要求，外排废水特别是枯水期外排水质总磷浓度必须达标排放。</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（2.3）固体废物：完善城乡一体化垃圾收集转运和处置体系建设，强化提升运维水平；以乡镇为单元统筹推进农村生活垃圾分类收集，加快推进农村生活垃圾源头分类减量，减少来及出村量。</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2.4）畜禽养殖：畜禽养殖场（专业户）按养殖规模配套建设相应粪便污水贮存、处理、利用设施，杜绝外排粪污。全面推动畜禽养殖废弃物资源化利用。推进水产养殖尾水治理和综合利用，加强水产养殖尾水监测，规范工厂化水产养殖尾水排污口设置。</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（2.5）农业面源：深入推进化肥农药减量增效，依法落实化肥使用总量控制，科学用药提高农药利用率。</w:t>
                  </w:r>
                </w:p>
              </w:tc>
              <w:tc>
                <w:tcPr>
                  <w:tcW w:w="1523"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2.1本次评价要求建设单位严格落实本次环评提出各项环保措施</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项目的建设不会对周边大气环境造成大的影响。</w:t>
                  </w:r>
                </w:p>
                <w:p>
                  <w:pPr>
                    <w:pStyle w:val="70"/>
                    <w:keepNext w:val="0"/>
                    <w:keepLines w:val="0"/>
                    <w:pageBreakBefore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auto"/>
                      <w:highlight w:val="yellow"/>
                      <w:lang w:eastAsia="zh-CN"/>
                    </w:rPr>
                  </w:pPr>
                  <w:r>
                    <w:rPr>
                      <w:rFonts w:hint="default" w:ascii="Times New Roman" w:hAnsi="Times New Roman" w:cs="Times New Roman"/>
                      <w:color w:val="auto"/>
                    </w:rPr>
                    <w:t>2.</w:t>
                  </w:r>
                  <w:r>
                    <w:rPr>
                      <w:rFonts w:hint="default" w:ascii="Times New Roman" w:hAnsi="Times New Roman" w:cs="Times New Roman"/>
                      <w:color w:val="auto"/>
                      <w:highlight w:val="none"/>
                    </w:rPr>
                    <w:t>2项目废水可得到妥善处置，根据本次评价分析，本项目</w:t>
                  </w:r>
                  <w:r>
                    <w:rPr>
                      <w:rFonts w:hint="default" w:ascii="Times New Roman" w:hAnsi="Times New Roman" w:cs="Times New Roman"/>
                      <w:color w:val="auto"/>
                      <w:highlight w:val="none"/>
                      <w:lang w:val="en-US" w:eastAsia="zh-CN"/>
                    </w:rPr>
                    <w:t>废水均</w:t>
                  </w:r>
                  <w:r>
                    <w:rPr>
                      <w:rFonts w:hint="eastAsia" w:cs="Times New Roman"/>
                      <w:color w:val="auto"/>
                      <w:highlight w:val="none"/>
                      <w:lang w:val="en-US" w:eastAsia="zh-CN"/>
                    </w:rPr>
                    <w:t>有效收集处理达标后外排</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废水不会导致外环境地表水环境功能级别的降低</w:t>
                  </w:r>
                  <w:r>
                    <w:rPr>
                      <w:rFonts w:hint="eastAsia" w:cs="Times New Roman"/>
                      <w:color w:val="auto"/>
                      <w:highlight w:val="none"/>
                      <w:lang w:eastAsia="zh-CN"/>
                    </w:rPr>
                    <w:t>。</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2.3本项目施工期生活垃圾分类收集后委托环卫部门处置</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2.4不涉及</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2.5不涉及</w:t>
                  </w:r>
                </w:p>
              </w:tc>
              <w:tc>
                <w:tcPr>
                  <w:tcW w:w="483" w:type="pct"/>
                  <w:tcBorders>
                    <w:tl2br w:val="nil"/>
                    <w:tr2bl w:val="nil"/>
                  </w:tcBorders>
                  <w:shd w:val="clear" w:color="auto" w:fill="auto"/>
                  <w:noWrap w:val="0"/>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环境风险防控</w:t>
                  </w:r>
                </w:p>
              </w:tc>
              <w:tc>
                <w:tcPr>
                  <w:tcW w:w="2188"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（3.1）加强在产企业土壤和地下水污染源头管控，加强地下水环境监测监管能力，推进地下水污染预防、风险管控与修复试点，加强地下水型饮用水水源安全保障。</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（3.2）加强枯水期饮用水安全保障，保障农村集中式和分散供水用水，加密饮用水水源水质监测频次，监控水质变化，防止水污染事件。</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（3.3）严格分类管理受污染耕地，确保受污染耕地安全利用率。</w:t>
                  </w:r>
                </w:p>
              </w:tc>
              <w:tc>
                <w:tcPr>
                  <w:tcW w:w="1523"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3.1</w:t>
                  </w:r>
                  <w:r>
                    <w:rPr>
                      <w:rFonts w:hint="default" w:ascii="Times New Roman" w:hAnsi="Times New Roman" w:cs="Times New Roman"/>
                      <w:color w:val="auto"/>
                      <w:highlight w:val="none"/>
                    </w:rPr>
                    <w:t>本项目</w:t>
                  </w:r>
                  <w:r>
                    <w:rPr>
                      <w:rFonts w:hint="default" w:ascii="Times New Roman" w:hAnsi="Times New Roman" w:cs="Times New Roman"/>
                      <w:color w:val="auto"/>
                      <w:highlight w:val="none"/>
                      <w:lang w:val="en-US" w:eastAsia="zh-CN"/>
                    </w:rPr>
                    <w:t>为</w:t>
                  </w:r>
                  <w:r>
                    <w:rPr>
                      <w:rFonts w:hint="eastAsia" w:cs="Times New Roman"/>
                      <w:color w:val="auto"/>
                      <w:highlight w:val="none"/>
                      <w:lang w:val="en-US" w:eastAsia="zh-CN"/>
                    </w:rPr>
                    <w:t>安置区建设</w:t>
                  </w:r>
                  <w:r>
                    <w:rPr>
                      <w:rFonts w:hint="default" w:ascii="Times New Roman" w:hAnsi="Times New Roman" w:cs="Times New Roman"/>
                      <w:color w:val="auto"/>
                      <w:highlight w:val="none"/>
                      <w:lang w:val="en-US" w:eastAsia="zh-CN"/>
                    </w:rPr>
                    <w:t>工程，不属于工业项目，不涉及土壤和地下水污染存在；项目</w:t>
                  </w:r>
                  <w:r>
                    <w:rPr>
                      <w:rFonts w:hint="eastAsia" w:cs="Times New Roman"/>
                      <w:color w:val="auto"/>
                      <w:highlight w:val="none"/>
                      <w:lang w:val="en-US" w:eastAsia="zh-CN"/>
                    </w:rPr>
                    <w:t>不</w:t>
                  </w:r>
                  <w:r>
                    <w:rPr>
                      <w:rFonts w:hint="default" w:ascii="Times New Roman" w:hAnsi="Times New Roman" w:cs="Times New Roman"/>
                      <w:color w:val="auto"/>
                      <w:highlight w:val="none"/>
                      <w:lang w:val="en-US" w:eastAsia="zh-CN"/>
                    </w:rPr>
                    <w:t>涉及地下取水</w:t>
                  </w:r>
                  <w:r>
                    <w:rPr>
                      <w:rFonts w:hint="default" w:ascii="Times New Roman" w:hAnsi="Times New Roman" w:cs="Times New Roman"/>
                      <w:color w:val="auto"/>
                      <w:szCs w:val="21"/>
                      <w:highlight w:val="none"/>
                      <w:lang w:eastAsia="zh-CN"/>
                    </w:rPr>
                    <w:t>。</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3.2</w:t>
                  </w:r>
                  <w:r>
                    <w:rPr>
                      <w:rFonts w:hint="eastAsia" w:cs="Times New Roman"/>
                      <w:color w:val="auto"/>
                      <w:highlight w:val="none"/>
                      <w:lang w:val="en-US" w:eastAsia="zh-CN"/>
                    </w:rPr>
                    <w:t>不涉及</w:t>
                  </w:r>
                  <w:r>
                    <w:rPr>
                      <w:rFonts w:hint="default" w:ascii="Times New Roman" w:hAnsi="Times New Roman" w:cs="Times New Roman"/>
                      <w:color w:val="auto"/>
                      <w:szCs w:val="21"/>
                      <w:highlight w:val="none"/>
                      <w:lang w:eastAsia="zh-CN"/>
                    </w:rPr>
                    <w:t>。</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3.3</w:t>
                  </w:r>
                  <w:r>
                    <w:rPr>
                      <w:rFonts w:hint="eastAsia" w:cs="Times New Roman"/>
                      <w:color w:val="auto"/>
                      <w:lang w:val="en-US" w:eastAsia="zh-CN"/>
                    </w:rPr>
                    <w:t>不涉及</w:t>
                  </w:r>
                  <w:r>
                    <w:rPr>
                      <w:rFonts w:hint="default" w:ascii="Times New Roman" w:hAnsi="Times New Roman" w:cs="Times New Roman"/>
                      <w:color w:val="auto"/>
                      <w:lang w:val="en-US" w:eastAsia="zh-CN"/>
                    </w:rPr>
                    <w:t>。</w:t>
                  </w:r>
                </w:p>
              </w:tc>
              <w:tc>
                <w:tcPr>
                  <w:tcW w:w="483" w:type="pct"/>
                  <w:tcBorders>
                    <w:tl2br w:val="nil"/>
                    <w:tr2bl w:val="nil"/>
                  </w:tcBorders>
                  <w:shd w:val="clear" w:color="auto" w:fill="auto"/>
                  <w:noWrap w:val="0"/>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0" w:type="dxa"/>
                  <w:bottom w:w="28" w:type="dxa"/>
                  <w:right w:w="0" w:type="dxa"/>
                </w:tblCellMar>
              </w:tblPrEx>
              <w:trPr>
                <w:trHeight w:val="4051" w:hRule="atLeast"/>
                <w:jc w:val="center"/>
              </w:trPr>
              <w:tc>
                <w:tcPr>
                  <w:tcW w:w="804"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kern w:val="0"/>
                      <w:szCs w:val="21"/>
                    </w:rPr>
                    <w:t>资源开发效率要求</w:t>
                  </w:r>
                </w:p>
              </w:tc>
              <w:tc>
                <w:tcPr>
                  <w:tcW w:w="2188"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（4.1）水资源：2025年华容县用水总量4.10亿立方米，万元地区生产总值用水量比2020年下降16.31%，万元工业增加值用水量比2020年下降17.67%，农田灌溉水有效利用系数0.555。</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（4.2）能源：华容县“十四五”时期能耗强度降低基本目标16%，激励目标16.5%。</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（4.3）土地资源：</w:t>
                  </w:r>
                </w:p>
                <w:p>
                  <w:pPr>
                    <w:pStyle w:val="70"/>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插旗镇：耕地保有量3337.17公顷，基本农田保护面积2904.79公顷，生态保护红线面积172.75公顷，城镇开发边界规模83.80公顷，村庄建设用地510.05公顷。</w:t>
                  </w:r>
                </w:p>
              </w:tc>
              <w:tc>
                <w:tcPr>
                  <w:tcW w:w="1523" w:type="pct"/>
                  <w:tcBorders>
                    <w:tl2br w:val="nil"/>
                    <w:tr2bl w:val="nil"/>
                  </w:tcBorders>
                  <w:shd w:val="clear" w:color="auto" w:fill="auto"/>
                  <w:noWrap w:val="0"/>
                  <w:tcMar>
                    <w:left w:w="108" w:type="dxa"/>
                    <w:right w:w="108" w:type="dxa"/>
                  </w:tcMar>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4.1本项目属于</w:t>
                  </w:r>
                  <w:r>
                    <w:rPr>
                      <w:rFonts w:hint="eastAsia" w:cs="Times New Roman"/>
                      <w:color w:val="auto"/>
                      <w:lang w:val="en-US" w:eastAsia="zh-CN"/>
                    </w:rPr>
                    <w:t>民生</w:t>
                  </w:r>
                  <w:r>
                    <w:rPr>
                      <w:rFonts w:hint="default" w:ascii="Times New Roman" w:hAnsi="Times New Roman" w:cs="Times New Roman"/>
                      <w:color w:val="auto"/>
                      <w:lang w:val="en-US" w:eastAsia="zh-CN"/>
                    </w:rPr>
                    <w:t>工程</w:t>
                  </w:r>
                  <w:r>
                    <w:rPr>
                      <w:rFonts w:hint="eastAsia" w:cs="Times New Roman"/>
                      <w:color w:val="auto"/>
                      <w:lang w:val="en-US" w:eastAsia="zh-CN"/>
                    </w:rPr>
                    <w:t>，不涉及工业生产，用水量均为居民日常用水，用水量较少</w:t>
                  </w:r>
                  <w:r>
                    <w:rPr>
                      <w:rFonts w:hint="default" w:ascii="Times New Roman" w:hAnsi="Times New Roman" w:cs="Times New Roman"/>
                      <w:color w:val="auto"/>
                    </w:rPr>
                    <w:t>；</w:t>
                  </w:r>
                </w:p>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4.2本项目运营期能耗主要为电能，能耗量较低；</w:t>
                  </w:r>
                </w:p>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4.3本项目永久用地</w:t>
                  </w:r>
                  <w:r>
                    <w:rPr>
                      <w:rFonts w:hint="default" w:ascii="Times New Roman" w:hAnsi="Times New Roman" w:cs="Times New Roman"/>
                      <w:color w:val="auto"/>
                      <w:lang w:val="en-US" w:eastAsia="zh-CN"/>
                    </w:rPr>
                    <w:t>位于城镇建设用地范围内</w:t>
                  </w:r>
                  <w:r>
                    <w:rPr>
                      <w:rFonts w:hint="default" w:ascii="Times New Roman" w:hAnsi="Times New Roman" w:cs="Times New Roman"/>
                      <w:color w:val="auto"/>
                    </w:rPr>
                    <w:t>，</w:t>
                  </w:r>
                  <w:r>
                    <w:rPr>
                      <w:rFonts w:hint="eastAsia" w:cs="Times New Roman"/>
                      <w:color w:val="auto"/>
                      <w:lang w:val="en-US" w:eastAsia="zh-CN"/>
                    </w:rPr>
                    <w:t>涉及</w:t>
                  </w:r>
                  <w:r>
                    <w:rPr>
                      <w:rFonts w:hint="default" w:ascii="Times New Roman" w:hAnsi="Times New Roman" w:cs="Times New Roman"/>
                      <w:color w:val="auto"/>
                    </w:rPr>
                    <w:t>不涉及</w:t>
                  </w:r>
                  <w:r>
                    <w:rPr>
                      <w:rFonts w:hint="default" w:ascii="Times New Roman" w:hAnsi="Times New Roman" w:cs="Times New Roman"/>
                      <w:color w:val="auto"/>
                      <w:lang w:val="en-US" w:eastAsia="zh-CN"/>
                    </w:rPr>
                    <w:t>永久占用基本农田、生态红线等敏感地区</w:t>
                  </w:r>
                  <w:r>
                    <w:rPr>
                      <w:rFonts w:hint="eastAsia" w:ascii="Times New Roman" w:hAnsi="Times New Roman" w:cs="Times New Roman"/>
                      <w:color w:val="auto"/>
                      <w:lang w:val="en-US" w:eastAsia="zh-CN"/>
                    </w:rPr>
                    <w:t>，项目用地已取得《建设项目用地预审与选址意见书》</w:t>
                  </w:r>
                </w:p>
              </w:tc>
              <w:tc>
                <w:tcPr>
                  <w:tcW w:w="483" w:type="pct"/>
                  <w:tcBorders>
                    <w:tl2br w:val="nil"/>
                    <w:tr2bl w:val="nil"/>
                  </w:tcBorders>
                  <w:shd w:val="clear" w:color="auto" w:fill="auto"/>
                  <w:noWrap w:val="0"/>
                  <w:vAlign w:val="center"/>
                </w:tcPr>
                <w:p>
                  <w:pPr>
                    <w:pStyle w:val="70"/>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bl>
          <w:p>
            <w:pPr>
              <w:pStyle w:val="68"/>
              <w:ind w:firstLine="480"/>
              <w:rPr>
                <w:rFonts w:hint="default" w:ascii="Times New Roman" w:hAnsi="Times New Roman" w:cs="Times New Roman"/>
                <w:color w:val="auto"/>
              </w:rPr>
            </w:pPr>
            <w:r>
              <w:rPr>
                <w:rFonts w:hint="default" w:ascii="Times New Roman" w:hAnsi="Times New Roman" w:cs="Times New Roman"/>
                <w:color w:val="auto"/>
              </w:rPr>
              <w:t>由上表可知，本项目与空间布局约束各项管控要求不相冲突。本项目与污染物排放管控要求不相冲突。本项目所在地非污染地块，满足环境风险防控要求。总体而言，本项目污染排放可控、不需开发自然资源、项目用地无遗留污染、不涉及管控要求中的相关禁止项，符合当地“三线一单”分区管控要求。</w:t>
            </w:r>
          </w:p>
          <w:p>
            <w:pPr>
              <w:pStyle w:val="68"/>
              <w:numPr>
                <w:ilvl w:val="0"/>
                <w:numId w:val="0"/>
              </w:numPr>
              <w:ind w:leftChars="200"/>
              <w:rPr>
                <w:rFonts w:hint="default" w:ascii="Times New Roman" w:hAnsi="Times New Roman" w:cs="Times New Roman"/>
                <w:b/>
                <w:bCs/>
                <w:color w:val="auto"/>
                <w:lang w:val="en-US" w:eastAsia="zh-CN"/>
              </w:rPr>
            </w:pPr>
            <w:r>
              <w:rPr>
                <w:rFonts w:hint="eastAsia" w:cs="Times New Roman"/>
                <w:b/>
                <w:bCs/>
                <w:color w:val="auto"/>
                <w:lang w:val="en-US" w:eastAsia="zh-CN"/>
              </w:rPr>
              <w:t>（5）</w:t>
            </w:r>
            <w:r>
              <w:rPr>
                <w:rFonts w:hint="default" w:ascii="Times New Roman" w:hAnsi="Times New Roman" w:cs="Times New Roman"/>
                <w:b/>
                <w:bCs/>
                <w:color w:val="auto"/>
                <w:lang w:val="en-US" w:eastAsia="zh-CN"/>
              </w:rPr>
              <w:t>与《中华人民共和国长江保护法》符合性分析</w:t>
            </w:r>
          </w:p>
          <w:p>
            <w:pPr>
              <w:pStyle w:val="68"/>
              <w:ind w:firstLine="48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本项目建设内容与《中华人民共和国长江保护法》相关要求对比分析 见下表。</w:t>
            </w:r>
          </w:p>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表</w:t>
            </w:r>
            <w:r>
              <w:rPr>
                <w:rFonts w:hint="default" w:ascii="Times New Roman" w:hAnsi="Times New Roman" w:eastAsia="宋体" w:cs="Times New Roman"/>
                <w:color w:val="auto"/>
              </w:rPr>
              <w:t>1-</w:t>
            </w:r>
            <w:r>
              <w:rPr>
                <w:rFonts w:hint="eastAsia" w:cs="Times New Roman"/>
                <w:color w:val="auto"/>
                <w:lang w:val="en-US" w:eastAsia="zh-CN"/>
              </w:rPr>
              <w:t>2</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与《中华人民共和国长江保护法》符合性分析一览表</w:t>
            </w:r>
          </w:p>
          <w:tbl>
            <w:tblPr>
              <w:tblStyle w:val="23"/>
              <w:tblW w:w="765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28" w:type="dxa"/>
                <w:left w:w="11" w:type="dxa"/>
                <w:bottom w:w="28" w:type="dxa"/>
                <w:right w:w="11" w:type="dxa"/>
              </w:tblCellMar>
            </w:tblPr>
            <w:tblGrid>
              <w:gridCol w:w="397"/>
              <w:gridCol w:w="4618"/>
              <w:gridCol w:w="2145"/>
              <w:gridCol w:w="4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525" w:hRule="atLeast"/>
                <w:jc w:val="center"/>
              </w:trPr>
              <w:tc>
                <w:tcPr>
                  <w:tcW w:w="368"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序号</w:t>
                  </w:r>
                </w:p>
              </w:tc>
              <w:tc>
                <w:tcPr>
                  <w:tcW w:w="427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要求内容</w:t>
                  </w:r>
                </w:p>
              </w:tc>
              <w:tc>
                <w:tcPr>
                  <w:tcW w:w="198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本项目情况</w:t>
                  </w:r>
                </w:p>
              </w:tc>
              <w:tc>
                <w:tcPr>
                  <w:tcW w:w="4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符合</w:t>
                  </w:r>
                </w:p>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930" w:hRule="atLeast"/>
                <w:jc w:val="center"/>
              </w:trPr>
              <w:tc>
                <w:tcPr>
                  <w:tcW w:w="368"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p>
              </w:tc>
              <w:tc>
                <w:tcPr>
                  <w:tcW w:w="427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第二十九条 长江流域水资源保护与利用，应当根据流域综合规划，优先满足城乡居民生活用水，保障基本生态用水，并统筹农业、工业用水以及航运等需要。</w:t>
                  </w:r>
                </w:p>
              </w:tc>
              <w:tc>
                <w:tcPr>
                  <w:tcW w:w="198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w:t>
                  </w:r>
                  <w:r>
                    <w:rPr>
                      <w:rFonts w:hint="eastAsia" w:cs="Times New Roman"/>
                      <w:color w:val="auto"/>
                      <w:lang w:val="en-US" w:eastAsia="zh-CN"/>
                    </w:rPr>
                    <w:t>用水来</w:t>
                  </w:r>
                  <w:r>
                    <w:rPr>
                      <w:rFonts w:hint="default" w:ascii="Times New Roman" w:hAnsi="Times New Roman" w:eastAsia="宋体" w:cs="Times New Roman"/>
                      <w:color w:val="auto"/>
                      <w:lang w:val="en-US" w:eastAsia="zh-CN"/>
                    </w:rPr>
                    <w:t>自于</w:t>
                  </w:r>
                  <w:r>
                    <w:rPr>
                      <w:rFonts w:hint="eastAsia" w:cs="Times New Roman"/>
                      <w:color w:val="auto"/>
                      <w:lang w:val="en-US" w:eastAsia="zh-CN"/>
                    </w:rPr>
                    <w:t>幸福水厂</w:t>
                  </w:r>
                  <w:r>
                    <w:rPr>
                      <w:rFonts w:hint="default" w:ascii="Times New Roman" w:hAnsi="Times New Roman" w:eastAsia="宋体" w:cs="Times New Roman"/>
                      <w:color w:val="auto"/>
                      <w:lang w:val="en-US" w:eastAsia="zh-CN"/>
                    </w:rPr>
                    <w:t>，</w:t>
                  </w:r>
                  <w:r>
                    <w:rPr>
                      <w:rFonts w:hint="eastAsia" w:cs="Times New Roman"/>
                      <w:color w:val="auto"/>
                      <w:lang w:val="en-US" w:eastAsia="zh-CN"/>
                    </w:rPr>
                    <w:t>水厂取水来自于地下水，</w:t>
                  </w:r>
                  <w:r>
                    <w:rPr>
                      <w:rFonts w:hint="default" w:ascii="Times New Roman" w:hAnsi="Times New Roman" w:eastAsia="宋体" w:cs="Times New Roman"/>
                      <w:color w:val="auto"/>
                      <w:lang w:val="en-US" w:eastAsia="zh-CN"/>
                    </w:rPr>
                    <w:t>不涉及从长江取水</w:t>
                  </w:r>
                </w:p>
              </w:tc>
              <w:tc>
                <w:tcPr>
                  <w:tcW w:w="4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90" w:hRule="atLeast"/>
                <w:jc w:val="center"/>
              </w:trPr>
              <w:tc>
                <w:tcPr>
                  <w:tcW w:w="368"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p>
              </w:tc>
              <w:tc>
                <w:tcPr>
                  <w:tcW w:w="427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第四十七条 在长江流域江河、湖泊新设、改设或者扩大排污口，应当按照国家有关规定报经有管辖权的生态环境主管部门或者长江流域生态场境监督管理机构同意。对未达到水质目标的水功能区，除污水集中处理设施排污口外，应当严格控制新设，改设或者扩大排污口。</w:t>
                  </w:r>
                </w:p>
              </w:tc>
              <w:tc>
                <w:tcPr>
                  <w:tcW w:w="198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本项目未在长江流域江河、湖泊新设、改设或者扩大排污口</w:t>
                  </w:r>
                </w:p>
              </w:tc>
              <w:tc>
                <w:tcPr>
                  <w:tcW w:w="4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90" w:hRule="atLeast"/>
                <w:jc w:val="center"/>
              </w:trPr>
              <w:tc>
                <w:tcPr>
                  <w:tcW w:w="368"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w:t>
                  </w:r>
                </w:p>
              </w:tc>
              <w:tc>
                <w:tcPr>
                  <w:tcW w:w="427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第五十条 长江流域县级以上地方人民政府应当组织对沿河湖垃圾填埋场、加油站、矿山、尾矿库、危险废物处置场、化工园区和化工项目等地下水重点污染源及周边地下水环境风险隐患开展调查评估，并采取相应风险防范和整治措施。</w:t>
                  </w:r>
                </w:p>
              </w:tc>
              <w:tc>
                <w:tcPr>
                  <w:tcW w:w="198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本项目不属于垃圾填埋场、加油站、矿山、尾矿库、危险废物处置场、化工园区和化工项目等</w:t>
                  </w:r>
                </w:p>
              </w:tc>
              <w:tc>
                <w:tcPr>
                  <w:tcW w:w="4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bl>
          <w:p>
            <w:pPr>
              <w:pStyle w:val="68"/>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综上，项目与《中华人民共和国长江保护法》中相关条款并不冲突。</w:t>
            </w:r>
          </w:p>
          <w:p>
            <w:pPr>
              <w:pStyle w:val="68"/>
              <w:ind w:firstLine="482"/>
              <w:rPr>
                <w:rFonts w:hint="default" w:ascii="Times New Roman" w:hAnsi="Times New Roman" w:cs="Times New Roman"/>
                <w:b/>
                <w:bCs/>
                <w:color w:val="auto"/>
              </w:rPr>
            </w:pPr>
            <w:r>
              <w:rPr>
                <w:rFonts w:hint="eastAsia" w:cs="Times New Roman"/>
                <w:b/>
                <w:bCs/>
                <w:color w:val="auto"/>
                <w:lang w:eastAsia="zh-CN"/>
              </w:rPr>
              <w:t>（</w:t>
            </w:r>
            <w:r>
              <w:rPr>
                <w:rFonts w:hint="eastAsia" w:cs="Times New Roman"/>
                <w:b/>
                <w:bCs/>
                <w:color w:val="auto"/>
                <w:lang w:val="en-US" w:eastAsia="zh-CN"/>
              </w:rPr>
              <w:t>6</w:t>
            </w:r>
            <w:r>
              <w:rPr>
                <w:rFonts w:hint="eastAsia" w:cs="Times New Roman"/>
                <w:b/>
                <w:bCs/>
                <w:color w:val="auto"/>
                <w:lang w:eastAsia="zh-CN"/>
              </w:rPr>
              <w:t>）</w:t>
            </w:r>
            <w:r>
              <w:rPr>
                <w:rFonts w:hint="default" w:ascii="Times New Roman" w:hAnsi="Times New Roman" w:cs="Times New Roman"/>
                <w:b/>
                <w:bCs/>
                <w:color w:val="auto"/>
              </w:rPr>
              <w:t>与《湖南省长江经济带发展负面清单实施细则（试行，2022年版）》的符合性分析</w:t>
            </w:r>
          </w:p>
          <w:p>
            <w:pPr>
              <w:pStyle w:val="68"/>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2022年6月30日湖南省推动长江经济带发展领导小组办公室发布第70号文件《湖南省长江经济带发展负面清单实施细则（试行，2022年版）》，本项目与其相关要求对比分析情况详见下表：</w:t>
            </w:r>
          </w:p>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表1-</w:t>
            </w:r>
            <w:r>
              <w:rPr>
                <w:rFonts w:hint="eastAsia" w:cs="Times New Roman"/>
                <w:color w:val="auto"/>
                <w:lang w:val="en-US" w:eastAsia="zh-CN"/>
              </w:rPr>
              <w:t>3</w:t>
            </w:r>
            <w:r>
              <w:rPr>
                <w:rFonts w:hint="default" w:ascii="Times New Roman" w:hAnsi="Times New Roman" w:eastAsia="宋体" w:cs="Times New Roman"/>
                <w:color w:val="auto"/>
                <w:lang w:val="en-US" w:eastAsia="zh-CN"/>
              </w:rPr>
              <w:t xml:space="preserve">   与《湖南省长江经济带发展负面清单实施细则（试行，2022 年版）》符合性分析一览表</w:t>
            </w:r>
          </w:p>
          <w:tbl>
            <w:tblPr>
              <w:tblStyle w:val="23"/>
              <w:tblW w:w="765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28" w:type="dxa"/>
                <w:left w:w="11" w:type="dxa"/>
                <w:bottom w:w="28" w:type="dxa"/>
                <w:right w:w="11" w:type="dxa"/>
              </w:tblCellMar>
            </w:tblPr>
            <w:tblGrid>
              <w:gridCol w:w="361"/>
              <w:gridCol w:w="5036"/>
              <w:gridCol w:w="1815"/>
              <w:gridCol w:w="44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序号</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要求内容</w:t>
                  </w:r>
                </w:p>
              </w:tc>
              <w:tc>
                <w:tcPr>
                  <w:tcW w:w="184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本项目情况</w:t>
                  </w: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符合</w:t>
                  </w:r>
                </w:p>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第三条 禁止建设不符合全国和省级港口布局规划以及港口总体规划的码头项目。对不符合港口总体规划的新建、改建和扩建的码头工程（含装码头工程）及其同时建设的配套设施、防波堤、锚地、护岸等工程，投资主管部门不得审批或核准。码头工程建设项目需要使用港口岸线的，项目单位应当按照国省港口岸线使用的管理规定办理港口岸线使用手续。未取得岸线使用批准文件或者岸线使用意见的，不得开工建设。禁止建设不符合《长江千线过江通道布局规划（2020-2035年）》的过长江通道项目。</w:t>
                  </w:r>
                </w:p>
              </w:tc>
              <w:tc>
                <w:tcPr>
                  <w:tcW w:w="184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项目不属于码头项目，不属于长江通道项目。</w:t>
                  </w: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禁止在自然保护区核心区、缓冲区的岸线和河段范围内投资建设以下项目：（一）高尔夫球场开发、房地产开发、索道建设、会所建设等项目：（二）光伏发电、风力发电、火力发电建设项目：（三）社会资金进行商业性探矿勘查，以及不属于国家紧缺矿种资源的基础地质调查和矿产远景调查等公益性工作的设施建设：（四）野生动物驯养繁殖、展览基地建设项目：（五）污染环境、破坏自然资源或自然景观的建设设施：（六）对自然保护区主要保护对象产生重大影响、改变自然生态系统完整性、原真性、破坏自然景观的设施：（七）其他不符合自然保护区主体功能定位和国家禁止的设施。</w:t>
                  </w:r>
                </w:p>
              </w:tc>
              <w:tc>
                <w:tcPr>
                  <w:tcW w:w="184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本项目不在自然保护区核心区、缓冲区的岸线和河段范围。</w:t>
                  </w: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第六条 禁止违反风景名胜区规划，在风景名胜区内设立各类开发区和在核心景区内建设宾馆，招待所，培训中心、疗养院以及与风景名胜资源保护无关的其他建筑物：已经建设的，应当按照风景名胜区规划，逐步迁出。</w:t>
                  </w:r>
                </w:p>
              </w:tc>
              <w:tc>
                <w:tcPr>
                  <w:tcW w:w="184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本项目不在风景名胜区内。</w:t>
                  </w: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242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第七条 饮用水水源一级保护区内禁止新建、改建，扩建与供水设施和保护水源无关的建设项日：禁止向水域排放污水，已设置的排污口必须拆除：不得设置与供水需要无关的码头。禁止停靠船舶；禁止堆置和存放工业废渣、城市垃圾、粪便和其它废弃物；禁止设置油库：禁止使用含磷洗涤剂、化肥、农药；禁止建设养殖场、禁止网箱养殖、旅游等可能污染饮用水水体的投资建设项目。</w:t>
                  </w:r>
                </w:p>
              </w:tc>
              <w:tc>
                <w:tcPr>
                  <w:tcW w:w="1842"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w:t>
                  </w:r>
                  <w:r>
                    <w:rPr>
                      <w:rFonts w:hint="eastAsia" w:cs="Times New Roman"/>
                      <w:color w:val="auto"/>
                      <w:lang w:val="en-US" w:eastAsia="zh-CN"/>
                    </w:rPr>
                    <w:t>不涉及</w:t>
                  </w:r>
                  <w:r>
                    <w:rPr>
                      <w:rFonts w:hint="default" w:ascii="Times New Roman" w:hAnsi="Times New Roman" w:eastAsia="宋体" w:cs="Times New Roman"/>
                      <w:color w:val="auto"/>
                      <w:lang w:val="en-US" w:eastAsia="zh-CN"/>
                    </w:rPr>
                    <w:t>饮用水水源保护区。</w:t>
                  </w: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第八条 饮用水水源二级保护区内禁止新建、改建、扩建向水体排放污染物的投资建设项目。原有排污口依法拆除或关闭。禁止设立装卸垃圾、粪便、油类和有毒物品的码头。</w:t>
                  </w:r>
                </w:p>
              </w:tc>
              <w:tc>
                <w:tcPr>
                  <w:tcW w:w="1842"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第九条 禁止在水产种质资源保护区内新建排污口、从事围湖造田造地等投资建设项目。</w:t>
                  </w:r>
                </w:p>
              </w:tc>
              <w:tc>
                <w:tcPr>
                  <w:tcW w:w="184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本项目不在水产种质资源保护区内。</w:t>
                  </w:r>
                  <w:r>
                    <w:rPr>
                      <w:rFonts w:hint="eastAsia" w:cs="Times New Roman"/>
                      <w:color w:val="auto"/>
                      <w:lang w:val="en-US" w:eastAsia="zh-CN"/>
                    </w:rPr>
                    <w:t>污水依托市政污水管网及市政污水处理站，不新增排污口。</w:t>
                  </w: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7</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第十条 除《中华人民共和国防洪法》规定的紧急防汛期采取的紧急措施外，禁止在国家湿地公园的岸线和河段范围内、挖沙、采矿等不符合主体功能定位的行为和活动。</w:t>
                  </w:r>
                </w:p>
              </w:tc>
              <w:tc>
                <w:tcPr>
                  <w:tcW w:w="184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本项目用地不在国家湿地公园的岸线和河段范围内。</w:t>
                  </w: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8</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第十一条 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w:t>
                  </w:r>
                </w:p>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禁止填湖造地、围湖造田及非法围垦河道，禁止非法建设矮围网围，填理湿地等段占河湖水域或者违法利用，古用河湖岸线的行为。</w:t>
                  </w:r>
                </w:p>
              </w:tc>
              <w:tc>
                <w:tcPr>
                  <w:tcW w:w="184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本项目未利用、占用长江流域河湖岸线。本项目未填湖造地、围湖造田及非法围垦河道。</w:t>
                  </w: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9</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第十二条 禁止在《全国重要江河湖泊水功能区划》划定的河段及湖泊保护区、保留区内投资建设不利于水资源及自然生态保护的项目。</w:t>
                  </w:r>
                </w:p>
              </w:tc>
              <w:tc>
                <w:tcPr>
                  <w:tcW w:w="184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本项目不在《全国重要江河湖泊水功能区划》划定的河段及湖泊保护区、保留区内。</w:t>
                  </w: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10</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第十三条 禁止未经许可在长江干支流及湖泊新设、改设或扩大排污口。</w:t>
                  </w:r>
                </w:p>
              </w:tc>
              <w:tc>
                <w:tcPr>
                  <w:tcW w:w="184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本项目未在长江干支流及湖泊新设、改设或扩大排污口。</w:t>
                  </w: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11</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第十四条 禁止在洞庭湖、湘江、资江、沅江、遭水干流和45个水生生物保护区开展生产性捕捞。在相关自然保护区域和禁猎（渔）区、禁猎（渔）期内，禁止猎捕以及其他妨碍野生动物生息繁衍的活动，但法律法规另有规定的除外。</w:t>
                  </w:r>
                </w:p>
              </w:tc>
              <w:tc>
                <w:tcPr>
                  <w:tcW w:w="184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本项目未开展生产性捕捞。</w:t>
                  </w: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12</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第十五条 禁止在长江湖南段和洞庭湖、湘江、资江、沅江，遭水干流岸线一公里范围内新建、扩建化工园区和化工项目。禁止在长江湖南段岸线二公里范围内和湘江、资江、沅江遭水岸线一公里范围内新建、改建、扩建尾矿库、冶炼渣库和磷石膏库，以提升安全，生态环境保护水平为目的的改建除外。</w:t>
                  </w:r>
                </w:p>
              </w:tc>
              <w:tc>
                <w:tcPr>
                  <w:tcW w:w="184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本项目不属于化工园区和化工项目：本项目不属于尾矿库、冶炼渣库和磷右膏库。</w:t>
                  </w: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13</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第十六条 禁止在合规园区外新建、扩建钢铁、石化、化工、焦化、建材、有色、制浆造纸等高污染项目。高污染项目严格按照生态环境部《环境保护综合名录（2021年版）》有关要求执行。</w:t>
                  </w:r>
                </w:p>
              </w:tc>
              <w:tc>
                <w:tcPr>
                  <w:tcW w:w="184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本项目不属于钢铁、石化、化工、焦化、建材、有色、制浆造纸等高污染项目。</w:t>
                  </w: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14</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第十七条 禁止新建、扩建不符合国家石化、现代煤化工等产业布局规划的项目。未通过认定的化工园区，不得新建改扩建化工项目（安全、环保、节能和智能化改造项目除外）。</w:t>
                  </w:r>
                </w:p>
              </w:tc>
              <w:tc>
                <w:tcPr>
                  <w:tcW w:w="184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本项目不属于石化、现代煤化工等项目。</w:t>
                  </w: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15</w:t>
                  </w:r>
                </w:p>
              </w:tc>
              <w:tc>
                <w:tcPr>
                  <w:tcW w:w="511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第十八条 禁止新建、扩建法律法规和相关政策明令禁止的落后产能项目：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p>
              </w:tc>
              <w:tc>
                <w:tcPr>
                  <w:tcW w:w="1842"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本项目不属于落后产能项目，不属于严重过剩产能行业，不属于高耗能高排放项目。</w:t>
                  </w:r>
                </w:p>
              </w:tc>
              <w:tc>
                <w:tcPr>
                  <w:tcW w:w="44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符合</w:t>
                  </w:r>
                </w:p>
              </w:tc>
            </w:tr>
          </w:tbl>
          <w:p>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综上，</w:t>
            </w:r>
            <w:r>
              <w:rPr>
                <w:rFonts w:hint="default" w:ascii="Times New Roman" w:hAnsi="Times New Roman" w:cs="Times New Roman"/>
                <w:color w:val="auto"/>
                <w:sz w:val="24"/>
                <w:szCs w:val="24"/>
              </w:rPr>
              <w:t>本项目不涉及</w:t>
            </w:r>
            <w:r>
              <w:rPr>
                <w:rFonts w:hint="eastAsia" w:cs="Times New Roman"/>
                <w:color w:val="auto"/>
                <w:sz w:val="24"/>
                <w:szCs w:val="24"/>
                <w:lang w:val="en-US" w:eastAsia="zh-CN"/>
              </w:rPr>
              <w:t>上述表格</w:t>
            </w:r>
            <w:r>
              <w:rPr>
                <w:rFonts w:hint="default" w:ascii="Times New Roman" w:hAnsi="Times New Roman" w:cs="Times New Roman"/>
                <w:color w:val="auto"/>
                <w:sz w:val="24"/>
                <w:szCs w:val="24"/>
              </w:rPr>
              <w:t>相关保护区域、野生动物迁徙洄游通道，项目为</w:t>
            </w:r>
            <w:r>
              <w:rPr>
                <w:rFonts w:hint="default" w:ascii="Times New Roman" w:hAnsi="Times New Roman" w:cs="Times New Roman"/>
                <w:color w:val="auto"/>
                <w:sz w:val="24"/>
                <w:szCs w:val="24"/>
                <w:lang w:val="en-US" w:eastAsia="zh-CN"/>
              </w:rPr>
              <w:t>民生工程，主要建设</w:t>
            </w:r>
            <w:r>
              <w:rPr>
                <w:rFonts w:hint="eastAsia" w:ascii="Times New Roman" w:hAnsi="Times New Roman" w:cs="Times New Roman"/>
                <w:color w:val="auto"/>
                <w:sz w:val="24"/>
                <w:szCs w:val="24"/>
                <w:lang w:val="en-US" w:eastAsia="zh-CN"/>
              </w:rPr>
              <w:t>安置区</w:t>
            </w:r>
            <w:r>
              <w:rPr>
                <w:rFonts w:hint="default" w:ascii="Times New Roman" w:hAnsi="Times New Roman" w:cs="Times New Roman"/>
                <w:color w:val="auto"/>
                <w:sz w:val="24"/>
                <w:szCs w:val="24"/>
              </w:rPr>
              <w:t>，不属于新建排污口、非法围垦河道和围湖造田造地等投资建设项目、不开展生产线捕捞</w:t>
            </w:r>
            <w:r>
              <w:rPr>
                <w:rFonts w:hint="default" w:ascii="Times New Roman" w:hAnsi="Times New Roman" w:cs="Times New Roman"/>
                <w:color w:val="auto"/>
                <w:sz w:val="24"/>
                <w:szCs w:val="24"/>
                <w:lang w:val="en-US" w:eastAsia="zh-CN"/>
              </w:rPr>
              <w:t>等</w:t>
            </w:r>
            <w:r>
              <w:rPr>
                <w:rFonts w:hint="default" w:ascii="Times New Roman" w:hAnsi="Times New Roman" w:cs="Times New Roman"/>
                <w:color w:val="auto"/>
                <w:sz w:val="24"/>
                <w:szCs w:val="24"/>
              </w:rPr>
              <w:t>。因此，本项目符合《湖南省长江经济带发展负面清单实施细则（试行，2022年版）》的要求。</w:t>
            </w:r>
          </w:p>
          <w:p>
            <w:pPr>
              <w:pStyle w:val="2"/>
              <w:rPr>
                <w:rFonts w:hint="default" w:ascii="Times New Roman" w:hAnsi="Times New Roman" w:cs="Times New Roman"/>
                <w:color w:val="auto"/>
                <w:sz w:val="24"/>
                <w:szCs w:val="24"/>
              </w:rPr>
            </w:pPr>
          </w:p>
          <w:p>
            <w:pPr>
              <w:pStyle w:val="2"/>
              <w:rPr>
                <w:rFonts w:hint="default" w:ascii="Times New Roman" w:hAnsi="Times New Roman" w:cs="Times New Roman"/>
                <w:color w:val="auto"/>
                <w:sz w:val="24"/>
                <w:szCs w:val="24"/>
              </w:rPr>
            </w:pPr>
          </w:p>
          <w:p>
            <w:pPr>
              <w:pStyle w:val="2"/>
              <w:rPr>
                <w:rFonts w:hint="default" w:ascii="Times New Roman" w:hAnsi="Times New Roman" w:cs="Times New Roman"/>
                <w:color w:val="auto"/>
                <w:sz w:val="24"/>
                <w:szCs w:val="24"/>
              </w:rPr>
            </w:pPr>
          </w:p>
          <w:p>
            <w:pPr>
              <w:pStyle w:val="2"/>
              <w:rPr>
                <w:rFonts w:hint="default" w:ascii="Times New Roman" w:hAnsi="Times New Roman" w:cs="Times New Roman"/>
                <w:color w:val="auto"/>
                <w:sz w:val="24"/>
                <w:szCs w:val="24"/>
              </w:rPr>
            </w:pPr>
          </w:p>
          <w:p>
            <w:pPr>
              <w:pStyle w:val="2"/>
              <w:rPr>
                <w:rFonts w:hint="default" w:ascii="Times New Roman" w:hAnsi="Times New Roman" w:cs="Times New Roman"/>
                <w:color w:val="auto"/>
                <w:sz w:val="24"/>
                <w:szCs w:val="24"/>
              </w:rPr>
            </w:pPr>
          </w:p>
          <w:p>
            <w:pPr>
              <w:pStyle w:val="2"/>
              <w:rPr>
                <w:rFonts w:hint="default" w:ascii="Times New Roman" w:hAnsi="Times New Roman" w:cs="Times New Roman"/>
                <w:color w:val="auto"/>
                <w:sz w:val="24"/>
                <w:szCs w:val="24"/>
              </w:rPr>
            </w:pPr>
          </w:p>
          <w:p>
            <w:pPr>
              <w:pStyle w:val="2"/>
              <w:rPr>
                <w:rFonts w:hint="default" w:ascii="Times New Roman" w:hAnsi="Times New Roman" w:cs="Times New Roman"/>
                <w:color w:val="auto"/>
                <w:sz w:val="24"/>
                <w:szCs w:val="24"/>
              </w:rPr>
            </w:pPr>
          </w:p>
          <w:p>
            <w:pPr>
              <w:pStyle w:val="2"/>
              <w:rPr>
                <w:rFonts w:hint="default" w:ascii="Times New Roman" w:hAnsi="Times New Roman" w:cs="Times New Roman"/>
                <w:color w:val="auto"/>
                <w:sz w:val="24"/>
                <w:szCs w:val="24"/>
              </w:rPr>
            </w:pPr>
          </w:p>
          <w:p>
            <w:pPr>
              <w:pStyle w:val="2"/>
              <w:rPr>
                <w:rFonts w:hint="default" w:ascii="Times New Roman" w:hAnsi="Times New Roman" w:cs="Times New Roman"/>
                <w:color w:val="auto"/>
                <w:sz w:val="24"/>
                <w:szCs w:val="24"/>
              </w:rPr>
            </w:pPr>
          </w:p>
          <w:p>
            <w:pPr>
              <w:pStyle w:val="2"/>
              <w:rPr>
                <w:rFonts w:hint="default" w:ascii="Times New Roman" w:hAnsi="Times New Roman" w:cs="Times New Roman"/>
                <w:color w:val="auto"/>
                <w:sz w:val="24"/>
                <w:szCs w:val="24"/>
              </w:rPr>
            </w:pPr>
          </w:p>
          <w:p>
            <w:pPr>
              <w:pStyle w:val="2"/>
              <w:rPr>
                <w:rFonts w:hint="default" w:ascii="Times New Roman" w:hAnsi="Times New Roman" w:cs="Times New Roman"/>
                <w:color w:val="auto"/>
                <w:sz w:val="24"/>
                <w:szCs w:val="24"/>
              </w:rPr>
            </w:pPr>
          </w:p>
        </w:tc>
      </w:tr>
    </w:tbl>
    <w:p>
      <w:pPr>
        <w:spacing w:line="360" w:lineRule="auto"/>
        <w:outlineLvl w:val="0"/>
        <w:rPr>
          <w:rFonts w:eastAsia="黑体"/>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pPr>
        <w:pStyle w:val="20"/>
        <w:jc w:val="center"/>
        <w:outlineLvl w:val="0"/>
        <w:rPr>
          <w:rFonts w:hint="default" w:ascii="黑体" w:hAnsi="黑体" w:eastAsia="黑体"/>
          <w:snapToGrid w:val="0"/>
          <w:color w:val="auto"/>
          <w:sz w:val="30"/>
          <w:szCs w:val="30"/>
          <w:lang w:val="en-US" w:eastAsia="zh-CN"/>
        </w:rPr>
      </w:pPr>
      <w:bookmarkStart w:id="9" w:name="_Toc27846"/>
      <w:bookmarkStart w:id="10" w:name="_Toc16308"/>
      <w:r>
        <w:rPr>
          <w:rFonts w:hint="eastAsia" w:ascii="黑体" w:hAnsi="黑体" w:eastAsia="黑体"/>
          <w:snapToGrid w:val="0"/>
          <w:color w:val="auto"/>
          <w:sz w:val="30"/>
          <w:szCs w:val="30"/>
        </w:rPr>
        <w:t>二、</w:t>
      </w:r>
      <w:bookmarkEnd w:id="9"/>
      <w:r>
        <w:rPr>
          <w:rFonts w:hint="eastAsia" w:ascii="黑体" w:hAnsi="黑体" w:eastAsia="黑体"/>
          <w:snapToGrid w:val="0"/>
          <w:color w:val="auto"/>
          <w:sz w:val="30"/>
          <w:szCs w:val="30"/>
          <w:lang w:val="en-US" w:eastAsia="zh-CN"/>
        </w:rPr>
        <w:t>建设内容</w:t>
      </w:r>
      <w:bookmarkEnd w:id="10"/>
    </w:p>
    <w:tbl>
      <w:tblPr>
        <w:tblStyle w:val="23"/>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3" w:type="dxa"/>
            <w:vAlign w:val="center"/>
          </w:tcPr>
          <w:p>
            <w:pPr>
              <w:pStyle w:val="20"/>
              <w:adjustRightInd w:val="0"/>
              <w:snapToGrid w:val="0"/>
              <w:spacing w:before="0" w:beforeAutospacing="0" w:after="0" w:afterAutospacing="0"/>
              <w:jc w:val="center"/>
              <w:rPr>
                <w:rFonts w:hint="eastAsia" w:ascii="Times New Roman" w:hAnsi="Times New Roman" w:cs="宋体"/>
                <w:color w:val="auto"/>
                <w:szCs w:val="21"/>
                <w:lang w:val="en-US" w:eastAsia="zh-CN"/>
              </w:rPr>
            </w:pPr>
            <w:r>
              <w:rPr>
                <w:rFonts w:hint="eastAsia" w:ascii="Times New Roman" w:hAnsi="Times New Roman" w:cs="宋体"/>
                <w:color w:val="auto"/>
                <w:szCs w:val="21"/>
                <w:lang w:val="en-US" w:eastAsia="zh-CN"/>
              </w:rPr>
              <w:t>地理位置</w:t>
            </w:r>
          </w:p>
        </w:tc>
        <w:tc>
          <w:tcPr>
            <w:tcW w:w="8161" w:type="dxa"/>
          </w:tcPr>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本项目为团洲垸灾后重建安置房建设项目</w:t>
            </w:r>
            <w:r>
              <w:rPr>
                <w:rFonts w:hint="eastAsia" w:cs="宋体"/>
                <w:bCs/>
                <w:color w:val="auto"/>
                <w:sz w:val="24"/>
                <w:szCs w:val="21"/>
                <w:lang w:val="en-US" w:eastAsia="zh-CN"/>
              </w:rPr>
              <w:t>，主要建设内容包括</w:t>
            </w:r>
            <w:r>
              <w:rPr>
                <w:rFonts w:hint="eastAsia" w:ascii="Times New Roman" w:hAnsi="Times New Roman" w:eastAsia="宋体" w:cs="Times New Roman"/>
                <w:color w:val="auto"/>
                <w:kern w:val="0"/>
                <w:sz w:val="24"/>
                <w:lang w:val="en-US" w:eastAsia="zh-CN"/>
              </w:rPr>
              <w:t>安置区安置房</w:t>
            </w:r>
            <w:r>
              <w:rPr>
                <w:rFonts w:hint="eastAsia" w:cs="Times New Roman"/>
                <w:color w:val="auto"/>
                <w:kern w:val="0"/>
                <w:sz w:val="24"/>
                <w:lang w:val="en-US" w:eastAsia="zh-CN"/>
              </w:rPr>
              <w:t>一期、二期、三期及配套的基础设施（含污水处理厂）</w:t>
            </w:r>
            <w:r>
              <w:rPr>
                <w:rFonts w:hint="eastAsia" w:ascii="Times New Roman" w:hAnsi="Times New Roman" w:eastAsia="宋体" w:cs="宋体"/>
                <w:bCs/>
                <w:color w:val="auto"/>
                <w:sz w:val="24"/>
                <w:szCs w:val="21"/>
                <w:lang w:val="en-US" w:eastAsia="zh-CN"/>
              </w:rPr>
              <w:t>，建设地点</w:t>
            </w:r>
            <w:r>
              <w:rPr>
                <w:rFonts w:hint="eastAsia" w:cs="宋体"/>
                <w:bCs/>
                <w:color w:val="auto"/>
                <w:sz w:val="24"/>
                <w:szCs w:val="21"/>
                <w:lang w:val="en-US" w:eastAsia="zh-CN"/>
              </w:rPr>
              <w:t>整体</w:t>
            </w:r>
            <w:r>
              <w:rPr>
                <w:rFonts w:hint="eastAsia" w:ascii="Times New Roman" w:hAnsi="Times New Roman" w:eastAsia="宋体" w:cs="宋体"/>
                <w:bCs/>
                <w:color w:val="auto"/>
                <w:sz w:val="24"/>
                <w:szCs w:val="21"/>
                <w:lang w:val="en-US" w:eastAsia="zh-CN"/>
              </w:rPr>
              <w:t>位于华容县团洲安全垸内团洲花园小区东侧，南电排渠西侧。</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宋体"/>
                <w:bCs/>
                <w:color w:val="auto"/>
                <w:sz w:val="24"/>
                <w:szCs w:val="21"/>
                <w:lang w:val="en-US" w:eastAsia="zh-CN"/>
              </w:rPr>
            </w:pPr>
            <w:r>
              <w:rPr>
                <w:rFonts w:ascii="Times New Roman" w:hAnsi="Times New Roman" w:eastAsia="仿宋_GB2312" w:cs="Times New Roman"/>
                <w:snapToGrid w:val="0"/>
                <w:color w:val="auto"/>
                <w:spacing w:val="0"/>
                <w:kern w:val="0"/>
                <w:position w:val="0"/>
                <w:sz w:val="28"/>
                <w:szCs w:val="28"/>
                <w:lang w:val="en-US" w:eastAsia="en-US" w:bidi="ar-SA"/>
              </w:rPr>
              <w:drawing>
                <wp:inline distT="0" distB="0" distL="114300" distR="114300">
                  <wp:extent cx="4897120" cy="3481070"/>
                  <wp:effectExtent l="19050" t="19050" r="36830" b="2413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22"/>
                          <a:stretch>
                            <a:fillRect/>
                          </a:stretch>
                        </pic:blipFill>
                        <pic:spPr>
                          <a:xfrm>
                            <a:off x="0" y="0"/>
                            <a:ext cx="4897120" cy="3481070"/>
                          </a:xfrm>
                          <a:prstGeom prst="rect">
                            <a:avLst/>
                          </a:prstGeom>
                          <a:noFill/>
                          <a:ln w="19050" cmpd="sng">
                            <a:solidFill>
                              <a:schemeClr val="tx1"/>
                            </a:solidFill>
                            <a:prstDash val="solid"/>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color w:val="auto"/>
                <w:lang w:val="en-US" w:eastAsia="zh-CN"/>
              </w:rPr>
            </w:pPr>
            <w:r>
              <w:rPr>
                <w:rFonts w:hint="default" w:ascii="Times New Roman" w:hAnsi="Times New Roman" w:eastAsia="宋体" w:cs="Times New Roman"/>
                <w:b/>
                <w:bCs/>
                <w:color w:val="auto"/>
                <w:sz w:val="24"/>
                <w:szCs w:val="24"/>
                <w:lang w:val="en-US" w:eastAsia="zh-CN"/>
              </w:rPr>
              <w:t>图2.1   项目地理位置示意图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3" w:type="dxa"/>
            <w:vAlign w:val="center"/>
          </w:tcPr>
          <w:p>
            <w:pPr>
              <w:pStyle w:val="20"/>
              <w:adjustRightInd w:val="0"/>
              <w:snapToGrid w:val="0"/>
              <w:spacing w:before="0" w:beforeAutospacing="0" w:after="0" w:afterAutospacing="0"/>
              <w:jc w:val="center"/>
              <w:rPr>
                <w:rFonts w:hint="eastAsia" w:ascii="Times New Roman" w:hAnsi="Times New Roman" w:eastAsia="宋体" w:cs="宋体"/>
                <w:color w:val="auto"/>
                <w:szCs w:val="21"/>
                <w:lang w:eastAsia="zh-CN"/>
              </w:rPr>
            </w:pPr>
            <w:r>
              <w:rPr>
                <w:rFonts w:hint="default" w:ascii="Times New Roman" w:hAnsi="Times New Roman" w:cs="Times New Roman"/>
                <w:color w:val="auto"/>
              </w:rPr>
              <w:t>项目组成及规模</w:t>
            </w:r>
          </w:p>
        </w:tc>
        <w:tc>
          <w:tcPr>
            <w:tcW w:w="8161" w:type="dxa"/>
          </w:tcPr>
          <w:p>
            <w:pPr>
              <w:pStyle w:val="68"/>
              <w:ind w:left="0" w:leftChars="0" w:firstLine="0" w:firstLineChars="0"/>
              <w:rPr>
                <w:rFonts w:hint="default" w:ascii="Times New Roman" w:hAnsi="Times New Roman" w:cs="Times New Roman"/>
                <w:b/>
                <w:bCs/>
                <w:color w:val="auto"/>
              </w:rPr>
            </w:pPr>
            <w:r>
              <w:rPr>
                <w:rFonts w:hint="default" w:ascii="Times New Roman" w:hAnsi="Times New Roman" w:cs="Times New Roman"/>
                <w:b/>
                <w:bCs/>
                <w:color w:val="auto"/>
              </w:rPr>
              <w:t>1、项目建设背景</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2024年7月5日下午，团洲乡团北村团洲垸洞庭湖一线堤防发生堤坝决口，团洲垸92.5%的面积被淹，平均水深约5m，遭受了严重的洪涝灾害，对农业生产造成了严重影响。此次灾害是由于持续强降雨和长江水位暴涨导致的，降雨量大幅超出往年同期，致使多个堤防和河道水位超过警戒线。团洲乡地处平原，地势低洼，水流排泄不畅，导致全乡多个村庄遭受了洪水袭击，形成大面积积水。</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团洲乡大面积农田被洪水浸泡，水稻、玉米、大豆等农作物几乎绝收，农业生产受到严重打击；部分村庄的房屋被洪水侵入，泥石流和积水导致墙体倒塌或基础损坏，部分居民不得不转移至安全地点；多条乡村道路因洪水被冲毁或严重积水，交通受阻，物资运输和救援工作难以展开；供水、电力等基础设施受到破坏，部分村庄出现停水停电的情况，生活生产受到极大影响，部分村民被迫撤离，安置点紧急搭建，提供基本生活保障；此次洪涝灾害给团洲乡带来了巨大的经济损失，农业生产和居民生活均受到严重冲击，后续需要大规模的灾后重建工作。</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在收到上级批复后，华容县迅速组织了前期研究、选址、规划等工作。项目的选址考虑了洪水灾害的影响因素，确保新建安置房地势较高，避开低洼易涝区域。同时，相关配套基础设施的规划设计也已经完成，包括供水、排水、电力、消防和道路系统，确保新建安置点具备良好的居住和生活条件。团洲垸此次洪涝灾害波及范围广、影响深远，造成了大面积农田绝收、基础设施损毁和居民房屋倒塌。受灾居民被迫转移，生活受到严重影响。为尽快恢复正常生产生活秩序，华容县政府决定启动团洲垸灾后重建安置房建设项目。</w:t>
            </w:r>
          </w:p>
          <w:p>
            <w:pPr>
              <w:numPr>
                <w:ilvl w:val="0"/>
                <w:numId w:val="0"/>
              </w:numPr>
              <w:adjustRightInd w:val="0"/>
              <w:snapToGrid w:val="0"/>
              <w:spacing w:line="360" w:lineRule="auto"/>
              <w:jc w:val="left"/>
              <w:rPr>
                <w:rFonts w:cs="宋体"/>
                <w:b/>
                <w:color w:val="auto"/>
                <w:sz w:val="24"/>
                <w:szCs w:val="21"/>
              </w:rPr>
            </w:pPr>
            <w:r>
              <w:rPr>
                <w:rFonts w:hint="eastAsia" w:cs="宋体"/>
                <w:b/>
                <w:color w:val="auto"/>
                <w:sz w:val="24"/>
                <w:szCs w:val="21"/>
                <w:lang w:val="en-US" w:eastAsia="zh-CN"/>
              </w:rPr>
              <w:t>2、</w:t>
            </w:r>
            <w:r>
              <w:rPr>
                <w:rFonts w:hint="eastAsia" w:cs="宋体"/>
                <w:b/>
                <w:color w:val="auto"/>
                <w:sz w:val="24"/>
                <w:szCs w:val="21"/>
              </w:rPr>
              <w:t>工程规模及内容</w:t>
            </w:r>
          </w:p>
          <w:p>
            <w:pPr>
              <w:adjustRightInd w:val="0"/>
              <w:snapToGrid w:val="0"/>
              <w:spacing w:line="360" w:lineRule="auto"/>
              <w:ind w:firstLine="482" w:firstLineChars="200"/>
              <w:jc w:val="left"/>
              <w:rPr>
                <w:rFonts w:cs="宋体"/>
                <w:b/>
                <w:color w:val="auto"/>
                <w:sz w:val="24"/>
                <w:szCs w:val="21"/>
              </w:rPr>
            </w:pPr>
            <w:r>
              <w:rPr>
                <w:rFonts w:hint="eastAsia" w:cs="宋体"/>
                <w:b/>
                <w:color w:val="auto"/>
                <w:sz w:val="24"/>
                <w:szCs w:val="21"/>
                <w:lang w:val="en-US" w:eastAsia="zh-CN"/>
              </w:rPr>
              <w:t>2</w:t>
            </w:r>
            <w:r>
              <w:rPr>
                <w:rFonts w:hint="eastAsia" w:cs="宋体"/>
                <w:b/>
                <w:color w:val="auto"/>
                <w:sz w:val="24"/>
                <w:szCs w:val="21"/>
              </w:rPr>
              <w:t>.1 项目基本情况</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eastAsia" w:ascii="仿宋" w:hAnsi="仿宋" w:eastAsia="仿宋" w:cs="仿宋"/>
                <w:b w:val="0"/>
                <w:bCs w:val="0"/>
                <w:color w:val="auto"/>
                <w:spacing w:val="0"/>
                <w:kern w:val="0"/>
                <w:sz w:val="28"/>
                <w:szCs w:val="28"/>
                <w:lang w:val="en-US" w:eastAsia="zh-CN" w:bidi="ar"/>
              </w:rPr>
            </w:pPr>
            <w:r>
              <w:rPr>
                <w:rFonts w:hint="eastAsia" w:cs="宋体"/>
                <w:bCs/>
                <w:color w:val="auto"/>
                <w:sz w:val="24"/>
                <w:szCs w:val="21"/>
              </w:rPr>
              <w:t>项目名称：</w:t>
            </w:r>
            <w:r>
              <w:rPr>
                <w:rFonts w:hint="eastAsia" w:ascii="Times New Roman" w:hAnsi="Times New Roman" w:eastAsia="宋体" w:cs="宋体"/>
                <w:bCs/>
                <w:color w:val="auto"/>
                <w:sz w:val="24"/>
                <w:szCs w:val="21"/>
                <w:lang w:val="en-US" w:eastAsia="zh-CN"/>
              </w:rPr>
              <w:t>华容县团洲垸灾后重建安置房建设项目</w:t>
            </w:r>
            <w:r>
              <w:rPr>
                <w:rFonts w:hint="eastAsia" w:cs="宋体"/>
                <w:bCs/>
                <w:color w:val="auto"/>
                <w:sz w:val="24"/>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s="宋体"/>
                <w:bCs/>
                <w:color w:val="auto"/>
                <w:sz w:val="24"/>
                <w:szCs w:val="21"/>
                <w:lang w:eastAsia="zh-CN"/>
              </w:rPr>
            </w:pPr>
            <w:r>
              <w:rPr>
                <w:rFonts w:hint="eastAsia" w:cs="宋体"/>
                <w:bCs/>
                <w:color w:val="auto"/>
                <w:sz w:val="24"/>
                <w:szCs w:val="21"/>
              </w:rPr>
              <w:t>建设性质：新建</w:t>
            </w:r>
            <w:r>
              <w:rPr>
                <w:rFonts w:hint="eastAsia" w:cs="宋体"/>
                <w:bCs/>
                <w:color w:val="auto"/>
                <w:sz w:val="24"/>
                <w:szCs w:val="21"/>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eastAsia="宋体" w:cs="宋体"/>
                <w:bCs/>
                <w:color w:val="auto"/>
                <w:sz w:val="24"/>
                <w:szCs w:val="21"/>
                <w:lang w:val="en-US" w:eastAsia="zh-CN"/>
              </w:rPr>
            </w:pPr>
            <w:r>
              <w:rPr>
                <w:rFonts w:hint="eastAsia" w:cs="宋体"/>
                <w:bCs/>
                <w:color w:val="auto"/>
                <w:sz w:val="24"/>
                <w:szCs w:val="21"/>
              </w:rPr>
              <w:t>建设</w:t>
            </w:r>
            <w:r>
              <w:rPr>
                <w:rFonts w:hint="eastAsia" w:ascii="Times New Roman" w:hAnsi="Times New Roman" w:eastAsia="宋体" w:cs="宋体"/>
                <w:bCs/>
                <w:color w:val="auto"/>
                <w:sz w:val="24"/>
                <w:szCs w:val="21"/>
              </w:rPr>
              <w:t>单位：</w:t>
            </w:r>
            <w:r>
              <w:rPr>
                <w:rFonts w:hint="eastAsia" w:ascii="Times New Roman" w:hAnsi="Times New Roman" w:eastAsia="宋体" w:cs="宋体"/>
                <w:bCs/>
                <w:color w:val="auto"/>
                <w:sz w:val="24"/>
                <w:szCs w:val="21"/>
                <w:lang w:val="en-US" w:eastAsia="zh-CN"/>
              </w:rPr>
              <w:t>华容县住房和城乡建设局</w:t>
            </w:r>
            <w:r>
              <w:rPr>
                <w:rFonts w:hint="eastAsia" w:cs="宋体"/>
                <w:bCs/>
                <w:color w:val="auto"/>
                <w:sz w:val="24"/>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cs="宋体"/>
                <w:bCs/>
                <w:color w:val="auto"/>
                <w:sz w:val="24"/>
                <w:szCs w:val="21"/>
              </w:rPr>
              <w:t>建设地点：</w:t>
            </w:r>
            <w:r>
              <w:rPr>
                <w:rFonts w:hint="eastAsia" w:ascii="Times New Roman" w:hAnsi="Times New Roman" w:eastAsia="宋体" w:cs="宋体"/>
                <w:bCs/>
                <w:color w:val="auto"/>
                <w:sz w:val="24"/>
                <w:szCs w:val="21"/>
                <w:lang w:val="en-US" w:eastAsia="zh-CN"/>
              </w:rPr>
              <w:t>项目建设地点位于华容县团洲安全垸内团洲花园小区</w:t>
            </w:r>
            <w:r>
              <w:rPr>
                <w:rFonts w:hint="eastAsia" w:cs="宋体"/>
                <w:bCs/>
                <w:color w:val="auto"/>
                <w:sz w:val="24"/>
                <w:szCs w:val="21"/>
                <w:lang w:val="en-US" w:eastAsia="zh-CN"/>
              </w:rPr>
              <w:t>东侧，南电排渠西侧。</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s="宋体"/>
                <w:bCs/>
                <w:color w:val="auto"/>
                <w:sz w:val="24"/>
                <w:szCs w:val="21"/>
                <w:lang w:eastAsia="zh-CN"/>
              </w:rPr>
            </w:pPr>
            <w:r>
              <w:rPr>
                <w:rFonts w:hint="eastAsia" w:ascii="Times New Roman" w:hAnsi="Times New Roman" w:eastAsia="宋体" w:cs="宋体"/>
                <w:bCs/>
                <w:color w:val="auto"/>
                <w:sz w:val="24"/>
                <w:szCs w:val="21"/>
                <w:lang w:val="en-US" w:eastAsia="zh-CN"/>
              </w:rPr>
              <w:t>中心坐标：东经 112.79805</w:t>
            </w:r>
            <w:r>
              <w:rPr>
                <w:rFonts w:hint="eastAsia" w:cs="宋体"/>
                <w:bCs/>
                <w:color w:val="auto"/>
                <w:sz w:val="24"/>
                <w:szCs w:val="21"/>
                <w:lang w:val="en-US" w:eastAsia="zh-CN"/>
              </w:rPr>
              <w:t>5</w:t>
            </w:r>
            <w:r>
              <w:rPr>
                <w:rFonts w:hint="eastAsia" w:ascii="Times New Roman" w:hAnsi="Times New Roman" w:eastAsia="宋体" w:cs="宋体"/>
                <w:bCs/>
                <w:color w:val="auto"/>
                <w:sz w:val="24"/>
                <w:szCs w:val="21"/>
                <w:lang w:val="en-US" w:eastAsia="zh-CN"/>
              </w:rPr>
              <w:t>；</w:t>
            </w:r>
            <w:r>
              <w:rPr>
                <w:rFonts w:hint="eastAsia" w:cs="宋体"/>
                <w:bCs/>
                <w:color w:val="auto"/>
                <w:sz w:val="24"/>
                <w:szCs w:val="21"/>
              </w:rPr>
              <w:t>北纬</w:t>
            </w:r>
            <w:r>
              <w:rPr>
                <w:rFonts w:hint="eastAsia" w:ascii="Times New Roman" w:hAnsi="Times New Roman" w:eastAsia="宋体" w:cs="宋体"/>
                <w:bCs/>
                <w:color w:val="auto"/>
                <w:sz w:val="24"/>
                <w:szCs w:val="21"/>
                <w:lang w:val="en-US" w:eastAsia="zh-CN"/>
              </w:rPr>
              <w:t>29.33525</w:t>
            </w:r>
            <w:r>
              <w:rPr>
                <w:rFonts w:hint="eastAsia" w:cs="宋体"/>
                <w:bCs/>
                <w:color w:val="auto"/>
                <w:sz w:val="24"/>
                <w:szCs w:val="21"/>
                <w:lang w:val="en-US" w:eastAsia="zh-CN"/>
              </w:rPr>
              <w:t>8</w:t>
            </w:r>
            <w:r>
              <w:rPr>
                <w:rFonts w:hint="eastAsia" w:cs="宋体"/>
                <w:bCs/>
                <w:color w:val="auto"/>
                <w:sz w:val="24"/>
                <w:szCs w:val="21"/>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highlight w:val="none"/>
                <w:lang w:val="en-US" w:eastAsia="zh-CN"/>
              </w:rPr>
            </w:pPr>
            <w:r>
              <w:rPr>
                <w:rFonts w:hint="eastAsia" w:cs="宋体"/>
                <w:bCs/>
                <w:color w:val="auto"/>
                <w:sz w:val="24"/>
                <w:szCs w:val="21"/>
              </w:rPr>
              <w:t>项目投资：总投</w:t>
            </w:r>
            <w:r>
              <w:rPr>
                <w:rFonts w:hint="eastAsia" w:ascii="Times New Roman" w:hAnsi="Times New Roman" w:eastAsia="宋体" w:cs="宋体"/>
                <w:bCs/>
                <w:color w:val="auto"/>
                <w:sz w:val="24"/>
                <w:szCs w:val="21"/>
                <w:lang w:val="en-US" w:eastAsia="zh-CN"/>
              </w:rPr>
              <w:t>资</w:t>
            </w:r>
            <w:r>
              <w:rPr>
                <w:rFonts w:hint="eastAsia" w:cs="宋体"/>
                <w:bCs/>
                <w:color w:val="auto"/>
                <w:sz w:val="24"/>
                <w:szCs w:val="21"/>
                <w:lang w:val="en-US" w:eastAsia="zh-CN"/>
              </w:rPr>
              <w:t>89555</w:t>
            </w:r>
            <w:r>
              <w:rPr>
                <w:rFonts w:hint="eastAsia" w:ascii="Times New Roman" w:hAnsi="Times New Roman" w:eastAsia="宋体" w:cs="宋体"/>
                <w:bCs/>
                <w:color w:val="auto"/>
                <w:sz w:val="24"/>
                <w:szCs w:val="21"/>
                <w:lang w:val="en-US" w:eastAsia="zh-CN"/>
              </w:rPr>
              <w:t>万元，其中环保投资</w:t>
            </w:r>
            <w:r>
              <w:rPr>
                <w:rFonts w:hint="eastAsia" w:cs="宋体"/>
                <w:bCs/>
                <w:color w:val="auto"/>
                <w:sz w:val="24"/>
                <w:szCs w:val="21"/>
                <w:lang w:val="en-US" w:eastAsia="zh-CN"/>
              </w:rPr>
              <w:t>620</w:t>
            </w:r>
            <w:r>
              <w:rPr>
                <w:rFonts w:hint="eastAsia" w:ascii="Times New Roman" w:hAnsi="Times New Roman" w:eastAsia="宋体" w:cs="宋体"/>
                <w:bCs/>
                <w:color w:val="auto"/>
                <w:sz w:val="24"/>
                <w:szCs w:val="21"/>
                <w:highlight w:val="none"/>
                <w:lang w:val="en-US" w:eastAsia="zh-CN"/>
              </w:rPr>
              <w:t>万元，占总投资的</w:t>
            </w:r>
            <w:r>
              <w:rPr>
                <w:rFonts w:hint="eastAsia" w:cs="宋体"/>
                <w:bCs/>
                <w:color w:val="auto"/>
                <w:sz w:val="24"/>
                <w:szCs w:val="21"/>
                <w:highlight w:val="none"/>
                <w:lang w:val="en-US" w:eastAsia="zh-CN"/>
              </w:rPr>
              <w:t>0.69</w:t>
            </w:r>
            <w:r>
              <w:rPr>
                <w:rFonts w:hint="eastAsia" w:ascii="Times New Roman" w:hAnsi="Times New Roman" w:eastAsia="宋体" w:cs="宋体"/>
                <w:bCs/>
                <w:color w:val="auto"/>
                <w:sz w:val="24"/>
                <w:szCs w:val="21"/>
                <w:highlight w:val="none"/>
                <w:lang w:val="en-US" w:eastAsia="zh-CN"/>
              </w:rPr>
              <w:t>%，</w:t>
            </w:r>
            <w:r>
              <w:rPr>
                <w:rFonts w:hint="eastAsia" w:ascii="Times New Roman" w:hAnsi="Times New Roman" w:eastAsia="宋体" w:cs="宋体"/>
                <w:bCs/>
                <w:color w:val="auto"/>
                <w:sz w:val="24"/>
                <w:szCs w:val="21"/>
                <w:lang w:val="en-US" w:eastAsia="zh-CN"/>
              </w:rPr>
              <w:t>资金来源：县财政整</w:t>
            </w:r>
            <w:r>
              <w:rPr>
                <w:rFonts w:hint="eastAsia" w:ascii="Times New Roman" w:hAnsi="Times New Roman" w:eastAsia="宋体" w:cs="宋体"/>
                <w:bCs/>
                <w:color w:val="auto"/>
                <w:sz w:val="24"/>
                <w:szCs w:val="21"/>
                <w:highlight w:val="none"/>
                <w:lang w:val="en-US" w:eastAsia="zh-CN"/>
              </w:rPr>
              <w:t xml:space="preserve">合相关救灾补助资金、危房改造项目资金、社 </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cs="宋体"/>
                <w:bCs/>
                <w:color w:val="auto"/>
                <w:sz w:val="24"/>
                <w:szCs w:val="21"/>
                <w:highlight w:val="none"/>
              </w:rPr>
            </w:pPr>
            <w:r>
              <w:rPr>
                <w:rFonts w:hint="eastAsia" w:ascii="Times New Roman" w:hAnsi="Times New Roman" w:eastAsia="宋体" w:cs="宋体"/>
                <w:bCs/>
                <w:color w:val="auto"/>
                <w:sz w:val="24"/>
                <w:szCs w:val="21"/>
                <w:highlight w:val="none"/>
                <w:lang w:val="en-US" w:eastAsia="zh-CN"/>
              </w:rPr>
              <w:t>会捐赠资金和受灾群众部分自筹。</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s="宋体"/>
                <w:bCs/>
                <w:color w:val="auto"/>
                <w:sz w:val="24"/>
                <w:szCs w:val="21"/>
                <w:lang w:eastAsia="zh-CN"/>
              </w:rPr>
            </w:pPr>
            <w:r>
              <w:rPr>
                <w:rFonts w:hint="eastAsia" w:cs="宋体"/>
                <w:bCs/>
                <w:color w:val="auto"/>
                <w:sz w:val="24"/>
                <w:szCs w:val="21"/>
              </w:rPr>
              <w:t>占地面积：约</w:t>
            </w:r>
            <w:r>
              <w:rPr>
                <w:rFonts w:hint="eastAsia" w:cs="宋体"/>
                <w:bCs/>
                <w:color w:val="auto"/>
                <w:sz w:val="24"/>
                <w:szCs w:val="21"/>
                <w:lang w:val="en-US" w:eastAsia="zh-CN"/>
              </w:rPr>
              <w:t>276905</w:t>
            </w:r>
            <w:r>
              <w:rPr>
                <w:rFonts w:hint="eastAsia" w:cs="宋体"/>
                <w:bCs/>
                <w:color w:val="auto"/>
                <w:sz w:val="24"/>
                <w:szCs w:val="21"/>
              </w:rPr>
              <w:t>m</w:t>
            </w:r>
            <w:r>
              <w:rPr>
                <w:rFonts w:hint="eastAsia" w:cs="宋体"/>
                <w:bCs/>
                <w:color w:val="auto"/>
                <w:sz w:val="24"/>
                <w:szCs w:val="28"/>
                <w:vertAlign w:val="superscript"/>
              </w:rPr>
              <w:t>2</w:t>
            </w:r>
            <w:r>
              <w:rPr>
                <w:rFonts w:hint="eastAsia" w:cs="宋体"/>
                <w:bCs/>
                <w:color w:val="auto"/>
                <w:sz w:val="24"/>
                <w:szCs w:val="28"/>
                <w:vertAlign w:val="baseline"/>
                <w:lang w:eastAsia="zh-CN"/>
              </w:rPr>
              <w:t>。</w:t>
            </w:r>
          </w:p>
          <w:p>
            <w:pPr>
              <w:adjustRightInd w:val="0"/>
              <w:snapToGrid w:val="0"/>
              <w:spacing w:line="360" w:lineRule="auto"/>
              <w:ind w:firstLine="482" w:firstLineChars="200"/>
              <w:jc w:val="left"/>
              <w:rPr>
                <w:rFonts w:cs="宋体"/>
                <w:b/>
                <w:color w:val="auto"/>
                <w:sz w:val="24"/>
                <w:szCs w:val="21"/>
              </w:rPr>
            </w:pPr>
            <w:r>
              <w:rPr>
                <w:rFonts w:hint="eastAsia" w:cs="宋体"/>
                <w:b/>
                <w:color w:val="auto"/>
                <w:sz w:val="24"/>
                <w:szCs w:val="21"/>
                <w:lang w:val="en-US" w:eastAsia="zh-CN"/>
              </w:rPr>
              <w:t>2.2</w:t>
            </w:r>
            <w:r>
              <w:rPr>
                <w:rFonts w:hint="eastAsia" w:cs="宋体"/>
                <w:b/>
                <w:color w:val="auto"/>
                <w:sz w:val="24"/>
                <w:szCs w:val="21"/>
              </w:rPr>
              <w:t>项目主要建设内容</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cs="宋体"/>
                <w:bCs/>
                <w:color w:val="auto"/>
                <w:sz w:val="24"/>
                <w:szCs w:val="21"/>
                <w:lang w:val="en-US" w:eastAsia="zh-CN"/>
              </w:rPr>
              <w:t>（1）安置区一期</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规划总用地面积38630.38m(57.945亩)。主要包括新建14栋1+6F电梯住宅楼、1栋设备房、2栋门卫室和1栋物业管理用房，总户数 360户，停车位289个，总建筑面积为50076.83㎡、建筑密度18.44%、容积率1.23，绿化率25.1%；住宅楼均为坡屋面，建筑外立面为徽派建筑，外墙面为真石漆，建筑结构类型为砖混结构。</w:t>
            </w:r>
          </w:p>
          <w:p>
            <w:pPr>
              <w:adjustRightInd w:val="0"/>
              <w:snapToGrid w:val="0"/>
              <w:ind w:firstLine="482" w:firstLineChars="200"/>
              <w:jc w:val="center"/>
              <w:rPr>
                <w:b/>
                <w:color w:val="auto"/>
                <w:sz w:val="24"/>
                <w:szCs w:val="21"/>
              </w:rPr>
            </w:pPr>
            <w:r>
              <w:rPr>
                <w:b/>
                <w:color w:val="auto"/>
                <w:sz w:val="24"/>
                <w:szCs w:val="21"/>
              </w:rPr>
              <w:t>表</w:t>
            </w:r>
            <w:r>
              <w:rPr>
                <w:rFonts w:hint="eastAsia"/>
                <w:b/>
                <w:color w:val="auto"/>
                <w:sz w:val="24"/>
                <w:szCs w:val="21"/>
              </w:rPr>
              <w:t xml:space="preserve">2-1  </w:t>
            </w:r>
            <w:r>
              <w:rPr>
                <w:b/>
                <w:color w:val="auto"/>
                <w:sz w:val="24"/>
                <w:szCs w:val="21"/>
              </w:rPr>
              <w:t>项目主要建设内容一览表</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1937"/>
              <w:gridCol w:w="49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tcBorders>
                    <w:tl2br w:val="nil"/>
                    <w:tr2bl w:val="nil"/>
                  </w:tcBorders>
                  <w:shd w:val="clear" w:color="auto" w:fill="auto"/>
                  <w:vAlign w:val="center"/>
                </w:tcPr>
                <w:p>
                  <w:pPr>
                    <w:pStyle w:val="53"/>
                    <w:spacing w:before="0" w:beforeLines="0" w:after="0" w:afterLines="0"/>
                    <w:rPr>
                      <w:color w:val="auto"/>
                      <w:sz w:val="21"/>
                      <w:szCs w:val="18"/>
                    </w:rPr>
                  </w:pPr>
                  <w:r>
                    <w:rPr>
                      <w:color w:val="auto"/>
                      <w:sz w:val="21"/>
                      <w:szCs w:val="18"/>
                    </w:rPr>
                    <w:t>工程</w:t>
                  </w:r>
                </w:p>
              </w:tc>
              <w:tc>
                <w:tcPr>
                  <w:tcW w:w="1937" w:type="dxa"/>
                  <w:tcBorders>
                    <w:tl2br w:val="nil"/>
                    <w:tr2bl w:val="nil"/>
                  </w:tcBorders>
                  <w:shd w:val="clear" w:color="auto" w:fill="auto"/>
                  <w:vAlign w:val="center"/>
                </w:tcPr>
                <w:p>
                  <w:pPr>
                    <w:pStyle w:val="53"/>
                    <w:spacing w:before="0" w:beforeLines="0" w:after="0" w:afterLines="0"/>
                    <w:rPr>
                      <w:color w:val="auto"/>
                      <w:sz w:val="21"/>
                      <w:szCs w:val="18"/>
                    </w:rPr>
                  </w:pPr>
                  <w:r>
                    <w:rPr>
                      <w:color w:val="auto"/>
                      <w:sz w:val="21"/>
                      <w:szCs w:val="18"/>
                    </w:rPr>
                    <w:t>内容</w:t>
                  </w:r>
                </w:p>
              </w:tc>
              <w:tc>
                <w:tcPr>
                  <w:tcW w:w="4910" w:type="dxa"/>
                  <w:tcBorders>
                    <w:tl2br w:val="nil"/>
                    <w:tr2bl w:val="nil"/>
                  </w:tcBorders>
                  <w:shd w:val="clear" w:color="auto" w:fill="auto"/>
                  <w:vAlign w:val="center"/>
                </w:tcPr>
                <w:p>
                  <w:pPr>
                    <w:pStyle w:val="53"/>
                    <w:spacing w:before="0" w:beforeLines="0" w:after="0" w:afterLines="0"/>
                    <w:rPr>
                      <w:color w:val="auto"/>
                      <w:sz w:val="21"/>
                      <w:szCs w:val="18"/>
                    </w:rPr>
                  </w:pPr>
                  <w:r>
                    <w:rPr>
                      <w:color w:val="auto"/>
                      <w:sz w:val="21"/>
                      <w:szCs w:val="18"/>
                    </w:rPr>
                    <w:t>规模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主体工程</w:t>
                  </w:r>
                </w:p>
              </w:tc>
              <w:tc>
                <w:tcPr>
                  <w:tcW w:w="1937" w:type="dxa"/>
                  <w:tcBorders>
                    <w:tl2br w:val="nil"/>
                    <w:tr2bl w:val="nil"/>
                  </w:tcBorders>
                  <w:vAlign w:val="center"/>
                </w:tcPr>
                <w:p>
                  <w:pPr>
                    <w:pStyle w:val="53"/>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安置楼房</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1-14#栋1+6F电梯住宅楼，总建筑面积46260.51</w:t>
                  </w:r>
                  <w:r>
                    <w:rPr>
                      <w:rFonts w:hint="eastAsia" w:ascii="Times New Roman" w:hAnsi="Times New Roman" w:eastAsia="宋体" w:cs="Times New Roman"/>
                      <w:bCs/>
                      <w:color w:val="auto"/>
                      <w:sz w:val="21"/>
                      <w:szCs w:val="18"/>
                    </w:rPr>
                    <w:t>m</w:t>
                  </w:r>
                  <w:r>
                    <w:rPr>
                      <w:rFonts w:hint="eastAsia" w:ascii="Times New Roman" w:hAnsi="Times New Roman" w:eastAsia="宋体" w:cs="Times New Roman"/>
                      <w:bCs/>
                      <w:color w:val="auto"/>
                      <w:sz w:val="21"/>
                      <w:szCs w:val="18"/>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辅助工程</w:t>
                  </w:r>
                </w:p>
              </w:tc>
              <w:tc>
                <w:tcPr>
                  <w:tcW w:w="1937" w:type="dxa"/>
                  <w:tcBorders>
                    <w:tl2br w:val="nil"/>
                    <w:tr2bl w:val="nil"/>
                  </w:tcBorders>
                  <w:vAlign w:val="center"/>
                </w:tcPr>
                <w:p>
                  <w:pPr>
                    <w:pStyle w:val="53"/>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设备房</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cs="Times New Roman"/>
                      <w:bCs/>
                      <w:color w:val="auto"/>
                      <w:sz w:val="21"/>
                      <w:szCs w:val="18"/>
                      <w:lang w:val="en-US" w:eastAsia="zh-CN"/>
                    </w:rPr>
                    <w:t>主要为配电间用房，</w:t>
                  </w:r>
                  <w:r>
                    <w:rPr>
                      <w:rFonts w:hint="eastAsia" w:ascii="Times New Roman" w:hAnsi="Times New Roman" w:eastAsia="宋体" w:cs="Times New Roman"/>
                      <w:bCs/>
                      <w:color w:val="auto"/>
                      <w:sz w:val="21"/>
                      <w:szCs w:val="18"/>
                      <w:lang w:val="en-US" w:eastAsia="zh-CN"/>
                    </w:rPr>
                    <w:t>建筑</w:t>
                  </w:r>
                  <w:r>
                    <w:rPr>
                      <w:rFonts w:hint="eastAsia" w:cs="Times New Roman"/>
                      <w:bCs/>
                      <w:color w:val="auto"/>
                      <w:sz w:val="21"/>
                      <w:szCs w:val="18"/>
                      <w:lang w:val="en-US" w:eastAsia="zh-CN"/>
                    </w:rPr>
                    <w:t>面积30</w:t>
                  </w:r>
                  <w:r>
                    <w:rPr>
                      <w:rFonts w:hint="eastAsia" w:ascii="Times New Roman" w:hAnsi="Times New Roman" w:eastAsia="宋体" w:cs="Times New Roman"/>
                      <w:bCs/>
                      <w:color w:val="auto"/>
                      <w:sz w:val="21"/>
                      <w:szCs w:val="18"/>
                      <w:lang w:val="en-US" w:eastAsia="zh-CN"/>
                    </w:rPr>
                    <w:t>0</w:t>
                  </w:r>
                  <w:r>
                    <w:rPr>
                      <w:rFonts w:hint="eastAsia" w:ascii="Times New Roman" w:hAnsi="Times New Roman" w:eastAsia="宋体" w:cs="Times New Roman"/>
                      <w:bCs/>
                      <w:color w:val="auto"/>
                      <w:sz w:val="21"/>
                      <w:szCs w:val="18"/>
                    </w:rPr>
                    <w:t>m</w:t>
                  </w:r>
                  <w:r>
                    <w:rPr>
                      <w:rFonts w:hint="eastAsia" w:ascii="Times New Roman" w:hAnsi="Times New Roman" w:eastAsia="宋体" w:cs="Times New Roman"/>
                      <w:bCs/>
                      <w:color w:val="auto"/>
                      <w:sz w:val="21"/>
                      <w:szCs w:val="18"/>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物业用房</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rPr>
                  </w:pPr>
                  <w:r>
                    <w:rPr>
                      <w:rFonts w:hint="eastAsia" w:cs="Times New Roman"/>
                      <w:bCs/>
                      <w:color w:val="auto"/>
                      <w:sz w:val="21"/>
                      <w:szCs w:val="18"/>
                      <w:lang w:val="en-US" w:eastAsia="zh-CN"/>
                    </w:rPr>
                    <w:t>物业用房，</w:t>
                  </w:r>
                  <w:r>
                    <w:rPr>
                      <w:rFonts w:hint="eastAsia" w:ascii="Times New Roman" w:hAnsi="Times New Roman" w:eastAsia="宋体" w:cs="Times New Roman"/>
                      <w:bCs/>
                      <w:color w:val="auto"/>
                      <w:sz w:val="21"/>
                      <w:szCs w:val="18"/>
                      <w:lang w:val="en-US" w:eastAsia="zh-CN"/>
                    </w:rPr>
                    <w:t>建筑</w:t>
                  </w:r>
                  <w:r>
                    <w:rPr>
                      <w:rFonts w:hint="eastAsia" w:cs="Times New Roman"/>
                      <w:bCs/>
                      <w:color w:val="auto"/>
                      <w:sz w:val="21"/>
                      <w:szCs w:val="18"/>
                      <w:lang w:val="en-US" w:eastAsia="zh-CN"/>
                    </w:rPr>
                    <w:t>面积150</w:t>
                  </w:r>
                  <w:r>
                    <w:rPr>
                      <w:rFonts w:hint="eastAsia" w:ascii="Times New Roman" w:hAnsi="Times New Roman" w:eastAsia="宋体" w:cs="Times New Roman"/>
                      <w:bCs/>
                      <w:color w:val="auto"/>
                      <w:sz w:val="21"/>
                      <w:szCs w:val="18"/>
                    </w:rPr>
                    <w:t>m</w:t>
                  </w:r>
                  <w:r>
                    <w:rPr>
                      <w:rFonts w:hint="eastAsia" w:ascii="Times New Roman" w:hAnsi="Times New Roman" w:eastAsia="宋体" w:cs="Times New Roman"/>
                      <w:bCs/>
                      <w:color w:val="auto"/>
                      <w:sz w:val="21"/>
                      <w:szCs w:val="18"/>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rFonts w:hint="eastAsia" w:eastAsia="宋体"/>
                      <w:b w:val="0"/>
                      <w:bCs/>
                      <w:color w:val="auto"/>
                      <w:sz w:val="21"/>
                      <w:szCs w:val="18"/>
                      <w:lang w:eastAsia="zh-CN"/>
                    </w:rPr>
                  </w:pPr>
                  <w:r>
                    <w:rPr>
                      <w:rFonts w:hint="eastAsia"/>
                      <w:b w:val="0"/>
                      <w:bCs/>
                      <w:color w:val="auto"/>
                      <w:sz w:val="21"/>
                      <w:szCs w:val="18"/>
                      <w:lang w:val="en-US" w:eastAsia="zh-CN"/>
                    </w:rPr>
                    <w:t>门卫室</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cs="Times New Roman"/>
                      <w:bCs/>
                      <w:color w:val="auto"/>
                      <w:sz w:val="21"/>
                      <w:szCs w:val="18"/>
                      <w:lang w:val="en-US" w:eastAsia="zh-CN"/>
                    </w:rPr>
                    <w:t>2处，</w:t>
                  </w:r>
                  <w:r>
                    <w:rPr>
                      <w:rFonts w:hint="eastAsia" w:ascii="Times New Roman" w:hAnsi="Times New Roman" w:eastAsia="宋体" w:cs="Times New Roman"/>
                      <w:bCs/>
                      <w:color w:val="auto"/>
                      <w:sz w:val="21"/>
                      <w:szCs w:val="18"/>
                      <w:lang w:val="en-US" w:eastAsia="zh-CN"/>
                    </w:rPr>
                    <w:t>建筑</w:t>
                  </w:r>
                  <w:r>
                    <w:rPr>
                      <w:rFonts w:hint="eastAsia" w:cs="Times New Roman"/>
                      <w:bCs/>
                      <w:color w:val="auto"/>
                      <w:sz w:val="21"/>
                      <w:szCs w:val="18"/>
                      <w:lang w:val="en-US" w:eastAsia="zh-CN"/>
                    </w:rPr>
                    <w:t>面积100</w:t>
                  </w:r>
                  <w:r>
                    <w:rPr>
                      <w:rFonts w:hint="eastAsia" w:ascii="Times New Roman" w:hAnsi="Times New Roman" w:eastAsia="宋体" w:cs="Times New Roman"/>
                      <w:bCs/>
                      <w:color w:val="auto"/>
                      <w:sz w:val="21"/>
                      <w:szCs w:val="18"/>
                    </w:rPr>
                    <w:t>m</w:t>
                  </w:r>
                  <w:r>
                    <w:rPr>
                      <w:rFonts w:hint="eastAsia" w:ascii="Times New Roman" w:hAnsi="Times New Roman" w:eastAsia="宋体" w:cs="Times New Roman"/>
                      <w:bCs/>
                      <w:color w:val="auto"/>
                      <w:sz w:val="21"/>
                      <w:szCs w:val="18"/>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公用工程</w:t>
                  </w: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供水</w:t>
                  </w:r>
                </w:p>
              </w:tc>
              <w:tc>
                <w:tcPr>
                  <w:tcW w:w="4910" w:type="dxa"/>
                  <w:tcBorders>
                    <w:tl2br w:val="nil"/>
                    <w:tr2bl w:val="nil"/>
                  </w:tcBorders>
                  <w:vAlign w:val="center"/>
                </w:tcPr>
                <w:p>
                  <w:pPr>
                    <w:jc w:val="center"/>
                    <w:rPr>
                      <w:rFonts w:hint="eastAsia"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市政自来水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排水</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生活污水经收集后进入化粪池处理，处理达标后进入市政污水管网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供电</w:t>
                  </w:r>
                </w:p>
              </w:tc>
              <w:tc>
                <w:tcPr>
                  <w:tcW w:w="4910" w:type="dxa"/>
                  <w:tcBorders>
                    <w:tl2br w:val="nil"/>
                    <w:tr2bl w:val="nil"/>
                  </w:tcBorders>
                  <w:vAlign w:val="center"/>
                </w:tcPr>
                <w:p>
                  <w:pPr>
                    <w:jc w:val="center"/>
                    <w:rPr>
                      <w:rFonts w:hint="eastAsia"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当地电网供给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环保工程</w:t>
                  </w: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污水处理设施</w:t>
                  </w:r>
                </w:p>
              </w:tc>
              <w:tc>
                <w:tcPr>
                  <w:tcW w:w="4910" w:type="dxa"/>
                  <w:tcBorders>
                    <w:tl2br w:val="nil"/>
                    <w:tr2bl w:val="nil"/>
                  </w:tcBorders>
                  <w:vAlign w:val="center"/>
                </w:tcPr>
                <w:p>
                  <w:pPr>
                    <w:jc w:val="center"/>
                    <w:rPr>
                      <w:rFonts w:hint="eastAsia"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生活污水通过化粪池处理</w:t>
                  </w:r>
                  <w:r>
                    <w:rPr>
                      <w:rFonts w:hint="eastAsia" w:cs="Times New Roman"/>
                      <w:bCs/>
                      <w:color w:val="auto"/>
                      <w:sz w:val="21"/>
                      <w:szCs w:val="18"/>
                      <w:lang w:val="en-US" w:eastAsia="zh-CN"/>
                    </w:rPr>
                    <w:t>后外排市政污水管网</w:t>
                  </w:r>
                  <w:r>
                    <w:rPr>
                      <w:rFonts w:hint="eastAsia" w:ascii="Times New Roman" w:hAnsi="Times New Roman" w:eastAsia="宋体" w:cs="Times New Roman"/>
                      <w:bCs/>
                      <w:color w:val="auto"/>
                      <w:sz w:val="21"/>
                      <w:szCs w:val="18"/>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废气处理设施</w:t>
                  </w:r>
                </w:p>
              </w:tc>
              <w:tc>
                <w:tcPr>
                  <w:tcW w:w="4910" w:type="dxa"/>
                  <w:tcBorders>
                    <w:tl2br w:val="nil"/>
                    <w:tr2bl w:val="nil"/>
                  </w:tcBorders>
                  <w:vAlign w:val="center"/>
                </w:tcPr>
                <w:p>
                  <w:pPr>
                    <w:pStyle w:val="53"/>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油烟经油烟机处理后外排周边大气环境，汽车尾气以及垃圾桶恶臭产生量较小可通过加强管理减轻其影响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噪声处理设施</w:t>
                  </w:r>
                </w:p>
              </w:tc>
              <w:tc>
                <w:tcPr>
                  <w:tcW w:w="4910" w:type="dxa"/>
                  <w:tcBorders>
                    <w:tl2br w:val="nil"/>
                    <w:tr2bl w:val="nil"/>
                  </w:tcBorders>
                  <w:vAlign w:val="center"/>
                </w:tcPr>
                <w:p>
                  <w:pPr>
                    <w:pStyle w:val="53"/>
                    <w:spacing w:before="0" w:beforeLines="0" w:after="0" w:afterLines="0"/>
                    <w:rPr>
                      <w:rFonts w:hint="eastAsia"/>
                      <w:b w:val="0"/>
                      <w:bCs/>
                      <w:color w:val="auto"/>
                      <w:sz w:val="21"/>
                      <w:szCs w:val="18"/>
                      <w:lang w:val="en-US" w:eastAsia="zh-CN"/>
                    </w:rPr>
                  </w:pPr>
                  <w:r>
                    <w:rPr>
                      <w:rFonts w:hint="eastAsia"/>
                      <w:b w:val="0"/>
                      <w:bCs/>
                      <w:color w:val="auto"/>
                      <w:sz w:val="21"/>
                      <w:szCs w:val="18"/>
                      <w:lang w:val="en-US" w:eastAsia="zh-CN"/>
                    </w:rPr>
                    <w:t>配电房变压器位于密闭房间内切采用吸声、基础减震等措施；电梯机组位于密闭房间内我且设置有</w:t>
                  </w:r>
                  <w:r>
                    <w:rPr>
                      <w:b w:val="0"/>
                      <w:bCs/>
                      <w:color w:val="auto"/>
                      <w:sz w:val="21"/>
                      <w:szCs w:val="18"/>
                    </w:rPr>
                    <w:t>基础减振</w:t>
                  </w:r>
                  <w:r>
                    <w:rPr>
                      <w:rFonts w:hint="eastAsia"/>
                      <w:b w:val="0"/>
                      <w:bCs/>
                      <w:color w:val="auto"/>
                      <w:sz w:val="21"/>
                      <w:szCs w:val="18"/>
                      <w:lang w:val="en-US" w:eastAsia="zh-CN"/>
                    </w:rPr>
                    <w:t>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固体废物处理设施</w:t>
                  </w:r>
                </w:p>
              </w:tc>
              <w:tc>
                <w:tcPr>
                  <w:tcW w:w="4910"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生活垃圾经</w:t>
                  </w:r>
                  <w:r>
                    <w:rPr>
                      <w:rFonts w:hint="eastAsia"/>
                      <w:b w:val="0"/>
                      <w:bCs/>
                      <w:color w:val="auto"/>
                      <w:sz w:val="21"/>
                      <w:szCs w:val="18"/>
                      <w:lang w:val="en-US" w:eastAsia="zh-CN"/>
                    </w:rPr>
                    <w:t>分类收集</w:t>
                  </w:r>
                  <w:r>
                    <w:rPr>
                      <w:b w:val="0"/>
                      <w:bCs/>
                      <w:color w:val="auto"/>
                      <w:sz w:val="21"/>
                      <w:szCs w:val="18"/>
                    </w:rPr>
                    <w:t>垃圾桶收集后交由环卫部门处置</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240" w:lineRule="auto"/>
              <w:jc w:val="center"/>
              <w:textAlignment w:val="auto"/>
              <w:rPr>
                <w:rFonts w:hint="default" w:eastAsia="宋体" w:cs="宋体"/>
                <w:b/>
                <w:color w:val="auto"/>
                <w:sz w:val="24"/>
                <w:szCs w:val="21"/>
                <w:lang w:val="en-US" w:eastAsia="zh-CN"/>
              </w:rPr>
            </w:pPr>
            <w:r>
              <w:rPr>
                <w:b/>
                <w:color w:val="auto"/>
                <w:sz w:val="24"/>
                <w:szCs w:val="21"/>
              </w:rPr>
              <w:t>表</w:t>
            </w:r>
            <w:r>
              <w:rPr>
                <w:rFonts w:hint="eastAsia"/>
                <w:b/>
                <w:color w:val="auto"/>
                <w:sz w:val="24"/>
                <w:szCs w:val="21"/>
              </w:rPr>
              <w:t>2-</w:t>
            </w:r>
            <w:r>
              <w:rPr>
                <w:rFonts w:hint="eastAsia"/>
                <w:b/>
                <w:color w:val="auto"/>
                <w:sz w:val="24"/>
                <w:szCs w:val="21"/>
                <w:lang w:val="en-US" w:eastAsia="zh-CN"/>
              </w:rPr>
              <w:t xml:space="preserve">2  </w:t>
            </w:r>
            <w:r>
              <w:rPr>
                <w:rFonts w:hint="eastAsia" w:cs="宋体"/>
                <w:b/>
                <w:color w:val="auto"/>
                <w:sz w:val="24"/>
                <w:szCs w:val="21"/>
                <w:lang w:val="en-US" w:eastAsia="zh-CN"/>
              </w:rPr>
              <w:t>总综合经济技术指标表</w:t>
            </w:r>
          </w:p>
          <w:tbl>
            <w:tblPr>
              <w:tblStyle w:val="23"/>
              <w:tblW w:w="7937" w:type="dxa"/>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 w:type="dxa"/>
                <w:bottom w:w="0" w:type="dxa"/>
                <w:right w:w="10" w:type="dxa"/>
              </w:tblCellMar>
            </w:tblPr>
            <w:tblGrid>
              <w:gridCol w:w="732"/>
              <w:gridCol w:w="4226"/>
              <w:gridCol w:w="1984"/>
              <w:gridCol w:w="99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5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名称</w:t>
                  </w:r>
                </w:p>
              </w:tc>
              <w:tc>
                <w:tcPr>
                  <w:tcW w:w="198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数值</w:t>
                  </w:r>
                </w:p>
              </w:tc>
              <w:tc>
                <w:tcPr>
                  <w:tcW w:w="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5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规划总用地面积</w:t>
                  </w:r>
                </w:p>
              </w:tc>
              <w:tc>
                <w:tcPr>
                  <w:tcW w:w="198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38630.38</w:t>
                  </w:r>
                </w:p>
              </w:tc>
              <w:tc>
                <w:tcPr>
                  <w:tcW w:w="995"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5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总建筑面积</w:t>
                  </w:r>
                </w:p>
              </w:tc>
              <w:tc>
                <w:tcPr>
                  <w:tcW w:w="198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50076.83</w:t>
                  </w:r>
                </w:p>
              </w:tc>
              <w:tc>
                <w:tcPr>
                  <w:tcW w:w="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732" w:type="dxa"/>
                  <w:vMerge w:val="restart"/>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tc>
              <w:tc>
                <w:tcPr>
                  <w:tcW w:w="4226"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计容积率建筑面积</w:t>
                  </w:r>
                </w:p>
              </w:tc>
              <w:tc>
                <w:tcPr>
                  <w:tcW w:w="198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46810.51</w:t>
                  </w:r>
                </w:p>
              </w:tc>
              <w:tc>
                <w:tcPr>
                  <w:tcW w:w="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732"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422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不计容积率建筑面积</w:t>
                  </w:r>
                </w:p>
              </w:tc>
              <w:tc>
                <w:tcPr>
                  <w:tcW w:w="198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3266.32</w:t>
                  </w:r>
                </w:p>
              </w:tc>
              <w:tc>
                <w:tcPr>
                  <w:tcW w:w="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5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建筑基底面积</w:t>
                  </w:r>
                </w:p>
              </w:tc>
              <w:tc>
                <w:tcPr>
                  <w:tcW w:w="198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7122.97</w:t>
                  </w:r>
                </w:p>
              </w:tc>
              <w:tc>
                <w:tcPr>
                  <w:tcW w:w="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5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建筑密度</w:t>
                  </w:r>
                </w:p>
              </w:tc>
              <w:tc>
                <w:tcPr>
                  <w:tcW w:w="198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18.44</w:t>
                  </w:r>
                </w:p>
              </w:tc>
              <w:tc>
                <w:tcPr>
                  <w:tcW w:w="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58" w:type="dxa"/>
                  <w:gridSpan w:val="2"/>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cs="Times New Roman"/>
                      <w:b w:val="0"/>
                      <w:bCs/>
                      <w:color w:val="auto"/>
                      <w:sz w:val="21"/>
                      <w:szCs w:val="18"/>
                      <w:lang w:val="en-US" w:eastAsia="zh-CN"/>
                    </w:rPr>
                    <w:t>容积率</w:t>
                  </w:r>
                </w:p>
              </w:tc>
              <w:tc>
                <w:tcPr>
                  <w:tcW w:w="198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1.23</w:t>
                  </w:r>
                </w:p>
              </w:tc>
              <w:tc>
                <w:tcPr>
                  <w:tcW w:w="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5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绿地率</w:t>
                  </w:r>
                </w:p>
              </w:tc>
              <w:tc>
                <w:tcPr>
                  <w:tcW w:w="198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25.10</w:t>
                  </w:r>
                </w:p>
              </w:tc>
              <w:tc>
                <w:tcPr>
                  <w:tcW w:w="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5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总户数</w:t>
                  </w:r>
                </w:p>
              </w:tc>
              <w:tc>
                <w:tcPr>
                  <w:tcW w:w="198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360</w:t>
                  </w:r>
                </w:p>
              </w:tc>
              <w:tc>
                <w:tcPr>
                  <w:tcW w:w="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5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停车位</w:t>
                  </w:r>
                </w:p>
              </w:tc>
              <w:tc>
                <w:tcPr>
                  <w:tcW w:w="198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289</w:t>
                  </w:r>
                </w:p>
              </w:tc>
              <w:tc>
                <w:tcPr>
                  <w:tcW w:w="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7937" w:type="dxa"/>
                  <w:gridSpan w:val="4"/>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其中残疾人停车位3个，室外停车位1</w:t>
                  </w:r>
                  <w:r>
                    <w:rPr>
                      <w:rFonts w:hint="eastAsia" w:cs="Times New Roman"/>
                      <w:b w:val="0"/>
                      <w:bCs/>
                      <w:color w:val="auto"/>
                      <w:sz w:val="21"/>
                      <w:szCs w:val="18"/>
                      <w:lang w:val="en-US" w:eastAsia="zh-CN"/>
                    </w:rPr>
                    <w:t>8</w:t>
                  </w:r>
                  <w:r>
                    <w:rPr>
                      <w:rFonts w:hint="eastAsia" w:ascii="Times New Roman" w:hAnsi="Times New Roman" w:eastAsia="宋体" w:cs="Times New Roman"/>
                      <w:b w:val="0"/>
                      <w:bCs/>
                      <w:color w:val="auto"/>
                      <w:sz w:val="21"/>
                      <w:szCs w:val="18"/>
                      <w:lang w:val="en-US" w:eastAsia="zh-CN"/>
                    </w:rPr>
                    <w:t>6个（其中新能源70个），率库101个，电动摩托本停车位180个（其中充电桩90个）</w:t>
                  </w:r>
                </w:p>
              </w:tc>
            </w:tr>
          </w:tbl>
          <w:p>
            <w:pPr>
              <w:keepNext w:val="0"/>
              <w:keepLines w:val="0"/>
              <w:pageBreakBefore w:val="0"/>
              <w:widowControl w:val="0"/>
              <w:kinsoku/>
              <w:wordWrap/>
              <w:overflowPunct/>
              <w:topLinePunct w:val="0"/>
              <w:autoSpaceDE/>
              <w:autoSpaceDN/>
              <w:bidi w:val="0"/>
              <w:adjustRightInd w:val="0"/>
              <w:snapToGrid w:val="0"/>
              <w:spacing w:before="157" w:beforeLines="50"/>
              <w:ind w:firstLine="482" w:firstLineChars="200"/>
              <w:jc w:val="center"/>
              <w:textAlignment w:val="auto"/>
              <w:rPr>
                <w:rFonts w:hint="default" w:ascii="Times New Roman" w:hAnsi="Times New Roman" w:eastAsia="宋体" w:cs="Times New Roman"/>
                <w:b/>
                <w:color w:val="auto"/>
                <w:sz w:val="24"/>
                <w:szCs w:val="21"/>
                <w:lang w:val="en-US" w:eastAsia="zh-CN"/>
              </w:rPr>
            </w:pPr>
            <w:r>
              <w:rPr>
                <w:rFonts w:hint="eastAsia" w:ascii="Times New Roman" w:hAnsi="Times New Roman" w:eastAsia="宋体" w:cs="Times New Roman"/>
                <w:b/>
                <w:color w:val="auto"/>
                <w:sz w:val="24"/>
                <w:szCs w:val="21"/>
                <w:lang w:val="en-US" w:eastAsia="zh-CN"/>
              </w:rPr>
              <w:t>表2-3  一期综合经济技术指标表</w:t>
            </w:r>
          </w:p>
          <w:tbl>
            <w:tblPr>
              <w:tblStyle w:val="23"/>
              <w:tblW w:w="7937" w:type="dxa"/>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 w:type="dxa"/>
                <w:bottom w:w="0" w:type="dxa"/>
                <w:right w:w="10" w:type="dxa"/>
              </w:tblCellMar>
            </w:tblPr>
            <w:tblGrid>
              <w:gridCol w:w="691"/>
              <w:gridCol w:w="4212"/>
              <w:gridCol w:w="1995"/>
              <w:gridCol w:w="103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03"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名称</w:t>
                  </w:r>
                </w:p>
              </w:tc>
              <w:tc>
                <w:tcPr>
                  <w:tcW w:w="1995"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数值</w:t>
                  </w:r>
                </w:p>
              </w:tc>
              <w:tc>
                <w:tcPr>
                  <w:tcW w:w="1039"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03"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一期规划用地面积</w:t>
                  </w:r>
                </w:p>
              </w:tc>
              <w:tc>
                <w:tcPr>
                  <w:tcW w:w="1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24120.45</w:t>
                  </w:r>
                </w:p>
              </w:tc>
              <w:tc>
                <w:tcPr>
                  <w:tcW w:w="1039" w:type="dxa"/>
                  <w:tcBorders>
                    <w:tl2br w:val="nil"/>
                    <w:tr2bl w:val="nil"/>
                  </w:tcBorders>
                  <w:vAlign w:val="center"/>
                </w:tcPr>
                <w:p>
                  <w:pPr>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03"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一期总建筑面积</w:t>
                  </w:r>
                </w:p>
              </w:tc>
              <w:tc>
                <w:tcPr>
                  <w:tcW w:w="1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29872.42</w:t>
                  </w:r>
                </w:p>
              </w:tc>
              <w:tc>
                <w:tcPr>
                  <w:tcW w:w="1039" w:type="dxa"/>
                  <w:tcBorders>
                    <w:tl2br w:val="nil"/>
                    <w:tr2bl w:val="nil"/>
                  </w:tcBorders>
                  <w:vAlign w:val="center"/>
                </w:tcPr>
                <w:p>
                  <w:pPr>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03"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一期计容建筑画积</w:t>
                  </w:r>
                </w:p>
              </w:tc>
              <w:tc>
                <w:tcPr>
                  <w:tcW w:w="1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27927.18</w:t>
                  </w:r>
                </w:p>
              </w:tc>
              <w:tc>
                <w:tcPr>
                  <w:tcW w:w="1039" w:type="dxa"/>
                  <w:tcBorders>
                    <w:tl2br w:val="nil"/>
                    <w:tr2bl w:val="nil"/>
                  </w:tcBorders>
                  <w:vAlign w:val="center"/>
                </w:tcPr>
                <w:p>
                  <w:pPr>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91" w:type="dxa"/>
                  <w:vMerge w:val="restart"/>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tc>
              <w:tc>
                <w:tcPr>
                  <w:tcW w:w="421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1#2#3#4#5#7#（120户型）</w:t>
                  </w:r>
                </w:p>
              </w:tc>
              <w:tc>
                <w:tcPr>
                  <w:tcW w:w="1995" w:type="dxa"/>
                  <w:tcBorders>
                    <w:tl2br w:val="nil"/>
                    <w:tr2bl w:val="nil"/>
                  </w:tcBorders>
                  <w:vAlign w:val="center"/>
                </w:tcPr>
                <w:p>
                  <w:pPr>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19879.56</w:t>
                  </w:r>
                </w:p>
              </w:tc>
              <w:tc>
                <w:tcPr>
                  <w:tcW w:w="1039" w:type="dxa"/>
                  <w:tcBorders>
                    <w:tl2br w:val="nil"/>
                    <w:tr2bl w:val="nil"/>
                  </w:tcBorders>
                  <w:shd w:val="clear" w:color="auto" w:fill="auto"/>
                  <w:vAlign w:val="center"/>
                </w:tcPr>
                <w:p>
                  <w:pPr>
                    <w:spacing w:before="0" w:beforeLines="0" w:after="0" w:afterLines="0"/>
                    <w:jc w:val="center"/>
                    <w:rPr>
                      <w:rFonts w:hint="eastAsia" w:ascii="Times New Roman" w:hAnsi="Times New Roman" w:eastAsia="宋体" w:cs="Times New Roman"/>
                      <w:b w:val="0"/>
                      <w:bCs/>
                      <w:color w:val="auto"/>
                      <w:kern w:val="2"/>
                      <w:sz w:val="21"/>
                      <w:szCs w:val="18"/>
                      <w:lang w:val="en-US" w:eastAsia="zh-CN" w:bidi="ar-SA"/>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91"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421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8#（150户型）</w:t>
                  </w:r>
                </w:p>
              </w:tc>
              <w:tc>
                <w:tcPr>
                  <w:tcW w:w="1995" w:type="dxa"/>
                  <w:tcBorders>
                    <w:tl2br w:val="nil"/>
                    <w:tr2bl w:val="nil"/>
                  </w:tcBorders>
                  <w:vAlign w:val="center"/>
                </w:tcPr>
                <w:p>
                  <w:pPr>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4122.85</w:t>
                  </w:r>
                </w:p>
              </w:tc>
              <w:tc>
                <w:tcPr>
                  <w:tcW w:w="1039" w:type="dxa"/>
                  <w:tcBorders>
                    <w:tl2br w:val="nil"/>
                    <w:tr2bl w:val="nil"/>
                  </w:tcBorders>
                  <w:shd w:val="clear" w:color="auto" w:fill="auto"/>
                  <w:vAlign w:val="center"/>
                </w:tcPr>
                <w:p>
                  <w:pPr>
                    <w:spacing w:before="0" w:beforeLines="0" w:after="0" w:afterLines="0"/>
                    <w:jc w:val="center"/>
                    <w:rPr>
                      <w:rFonts w:hint="eastAsia" w:ascii="Times New Roman" w:hAnsi="Times New Roman" w:eastAsia="宋体" w:cs="Times New Roman"/>
                      <w:b w:val="0"/>
                      <w:bCs/>
                      <w:color w:val="auto"/>
                      <w:kern w:val="2"/>
                      <w:sz w:val="21"/>
                      <w:szCs w:val="18"/>
                      <w:lang w:val="en-US" w:eastAsia="zh-CN" w:bidi="ar-SA"/>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91"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421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6#（70户型）</w:t>
                  </w:r>
                </w:p>
              </w:tc>
              <w:tc>
                <w:tcPr>
                  <w:tcW w:w="1995" w:type="dxa"/>
                  <w:tcBorders>
                    <w:tl2br w:val="nil"/>
                    <w:tr2bl w:val="nil"/>
                  </w:tcBorders>
                  <w:vAlign w:val="center"/>
                </w:tcPr>
                <w:p>
                  <w:pPr>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955.93</w:t>
                  </w:r>
                </w:p>
              </w:tc>
              <w:tc>
                <w:tcPr>
                  <w:tcW w:w="1039" w:type="dxa"/>
                  <w:tcBorders>
                    <w:tl2br w:val="nil"/>
                    <w:tr2bl w:val="nil"/>
                  </w:tcBorders>
                  <w:shd w:val="clear" w:color="auto" w:fill="auto"/>
                  <w:vAlign w:val="center"/>
                </w:tcPr>
                <w:p>
                  <w:pPr>
                    <w:spacing w:before="0" w:beforeLines="0" w:after="0" w:afterLines="0"/>
                    <w:jc w:val="center"/>
                    <w:rPr>
                      <w:rFonts w:hint="eastAsia" w:ascii="Times New Roman" w:hAnsi="Times New Roman" w:eastAsia="宋体" w:cs="Times New Roman"/>
                      <w:b w:val="0"/>
                      <w:bCs/>
                      <w:color w:val="auto"/>
                      <w:kern w:val="2"/>
                      <w:sz w:val="21"/>
                      <w:szCs w:val="18"/>
                      <w:lang w:val="en-US" w:eastAsia="zh-CN" w:bidi="ar-SA"/>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91"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421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6#（90户型）</w:t>
                  </w:r>
                </w:p>
              </w:tc>
              <w:tc>
                <w:tcPr>
                  <w:tcW w:w="1995" w:type="dxa"/>
                  <w:tcBorders>
                    <w:tl2br w:val="nil"/>
                    <w:tr2bl w:val="nil"/>
                  </w:tcBorders>
                  <w:vAlign w:val="center"/>
                </w:tcPr>
                <w:p>
                  <w:pPr>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2468.64</w:t>
                  </w:r>
                </w:p>
              </w:tc>
              <w:tc>
                <w:tcPr>
                  <w:tcW w:w="1039" w:type="dxa"/>
                  <w:tcBorders>
                    <w:tl2br w:val="nil"/>
                    <w:tr2bl w:val="nil"/>
                  </w:tcBorders>
                  <w:shd w:val="clear" w:color="auto" w:fill="auto"/>
                  <w:vAlign w:val="center"/>
                </w:tcPr>
                <w:p>
                  <w:pPr>
                    <w:spacing w:before="0" w:beforeLines="0" w:after="0" w:afterLines="0"/>
                    <w:jc w:val="center"/>
                    <w:rPr>
                      <w:rFonts w:hint="eastAsia" w:ascii="Times New Roman" w:hAnsi="Times New Roman" w:eastAsia="宋体" w:cs="Times New Roman"/>
                      <w:b w:val="0"/>
                      <w:bCs/>
                      <w:color w:val="auto"/>
                      <w:kern w:val="2"/>
                      <w:sz w:val="21"/>
                      <w:szCs w:val="18"/>
                      <w:lang w:val="en-US" w:eastAsia="zh-CN" w:bidi="ar-SA"/>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91"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421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设备房</w:t>
                  </w:r>
                </w:p>
              </w:tc>
              <w:tc>
                <w:tcPr>
                  <w:tcW w:w="1995" w:type="dxa"/>
                  <w:tcBorders>
                    <w:tl2br w:val="nil"/>
                    <w:tr2bl w:val="nil"/>
                  </w:tcBorders>
                  <w:vAlign w:val="center"/>
                </w:tcPr>
                <w:p>
                  <w:pPr>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300</w:t>
                  </w:r>
                </w:p>
              </w:tc>
              <w:tc>
                <w:tcPr>
                  <w:tcW w:w="1039" w:type="dxa"/>
                  <w:tcBorders>
                    <w:tl2br w:val="nil"/>
                    <w:tr2bl w:val="nil"/>
                  </w:tcBorders>
                  <w:shd w:val="clear" w:color="auto" w:fill="auto"/>
                  <w:vAlign w:val="center"/>
                </w:tcPr>
                <w:p>
                  <w:pPr>
                    <w:spacing w:before="0" w:beforeLines="0" w:after="0" w:afterLines="0"/>
                    <w:jc w:val="center"/>
                    <w:rPr>
                      <w:rFonts w:hint="eastAsia" w:ascii="Times New Roman" w:hAnsi="Times New Roman" w:eastAsia="宋体" w:cs="Times New Roman"/>
                      <w:b w:val="0"/>
                      <w:bCs/>
                      <w:color w:val="auto"/>
                      <w:kern w:val="2"/>
                      <w:sz w:val="21"/>
                      <w:szCs w:val="18"/>
                      <w:lang w:val="en-US" w:eastAsia="zh-CN" w:bidi="ar-SA"/>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03"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物业用房/门卫室</w:t>
                  </w:r>
                </w:p>
              </w:tc>
              <w:tc>
                <w:tcPr>
                  <w:tcW w:w="1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200.00</w:t>
                  </w:r>
                </w:p>
              </w:tc>
              <w:tc>
                <w:tcPr>
                  <w:tcW w:w="1039" w:type="dxa"/>
                  <w:tcBorders>
                    <w:tl2br w:val="nil"/>
                    <w:tr2bl w:val="nil"/>
                  </w:tcBorders>
                  <w:vAlign w:val="center"/>
                </w:tcPr>
                <w:p>
                  <w:pPr>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03"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一期不计容积率建筑面积</w:t>
                  </w:r>
                </w:p>
              </w:tc>
              <w:tc>
                <w:tcPr>
                  <w:tcW w:w="1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1945.24</w:t>
                  </w:r>
                </w:p>
              </w:tc>
              <w:tc>
                <w:tcPr>
                  <w:tcW w:w="1039" w:type="dxa"/>
                  <w:tcBorders>
                    <w:tl2br w:val="nil"/>
                    <w:tr2bl w:val="nil"/>
                  </w:tcBorders>
                  <w:vAlign w:val="center"/>
                </w:tcPr>
                <w:p>
                  <w:pPr>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03"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一期建筑基底面积</w:t>
                  </w:r>
                </w:p>
              </w:tc>
              <w:tc>
                <w:tcPr>
                  <w:tcW w:w="1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4399.98</w:t>
                  </w:r>
                </w:p>
              </w:tc>
              <w:tc>
                <w:tcPr>
                  <w:tcW w:w="1039" w:type="dxa"/>
                  <w:tcBorders>
                    <w:tl2br w:val="nil"/>
                    <w:tr2bl w:val="nil"/>
                  </w:tcBorders>
                  <w:shd w:val="clear" w:color="auto" w:fill="auto"/>
                  <w:vAlign w:val="center"/>
                </w:tcPr>
                <w:p>
                  <w:pPr>
                    <w:spacing w:before="0" w:beforeLines="0" w:after="0" w:afterLines="0"/>
                    <w:jc w:val="center"/>
                    <w:rPr>
                      <w:rFonts w:hint="eastAsia" w:ascii="Times New Roman" w:hAnsi="Times New Roman" w:eastAsia="宋体" w:cs="Times New Roman"/>
                      <w:b w:val="0"/>
                      <w:bCs/>
                      <w:color w:val="auto"/>
                      <w:kern w:val="2"/>
                      <w:sz w:val="21"/>
                      <w:szCs w:val="18"/>
                      <w:lang w:val="en-US" w:eastAsia="zh-CN" w:bidi="ar-SA"/>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03"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一期建筑密度</w:t>
                  </w:r>
                </w:p>
              </w:tc>
              <w:tc>
                <w:tcPr>
                  <w:tcW w:w="1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18.24</w:t>
                  </w:r>
                </w:p>
              </w:tc>
              <w:tc>
                <w:tcPr>
                  <w:tcW w:w="1039" w:type="dxa"/>
                  <w:tcBorders>
                    <w:tl2br w:val="nil"/>
                    <w:tr2bl w:val="nil"/>
                  </w:tcBorders>
                  <w:shd w:val="clear" w:color="auto" w:fill="auto"/>
                  <w:vAlign w:val="center"/>
                </w:tcPr>
                <w:p>
                  <w:pPr>
                    <w:spacing w:before="0" w:beforeLines="0" w:after="0" w:afterLines="0"/>
                    <w:jc w:val="center"/>
                    <w:rPr>
                      <w:rFonts w:hint="eastAsia" w:ascii="Times New Roman" w:hAnsi="Times New Roman" w:eastAsia="宋体" w:cs="Times New Roman"/>
                      <w:b w:val="0"/>
                      <w:bCs/>
                      <w:color w:val="auto"/>
                      <w:kern w:val="2"/>
                      <w:sz w:val="21"/>
                      <w:szCs w:val="18"/>
                      <w:lang w:val="en-US" w:eastAsia="zh-CN" w:bidi="ar-SA"/>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03"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一期容积率</w:t>
                  </w:r>
                </w:p>
              </w:tc>
              <w:tc>
                <w:tcPr>
                  <w:tcW w:w="1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1.167</w:t>
                  </w:r>
                </w:p>
              </w:tc>
              <w:tc>
                <w:tcPr>
                  <w:tcW w:w="1039" w:type="dxa"/>
                  <w:tcBorders>
                    <w:tl2br w:val="nil"/>
                    <w:tr2bl w:val="nil"/>
                  </w:tcBorders>
                  <w:shd w:val="clear" w:color="auto" w:fill="auto"/>
                  <w:vAlign w:val="center"/>
                </w:tcPr>
                <w:p>
                  <w:pPr>
                    <w:spacing w:before="0" w:beforeLines="0" w:after="0" w:afterLines="0"/>
                    <w:jc w:val="center"/>
                    <w:rPr>
                      <w:rFonts w:hint="eastAsia" w:ascii="Times New Roman" w:hAnsi="Times New Roman" w:eastAsia="宋体" w:cs="Times New Roman"/>
                      <w:b w:val="0"/>
                      <w:bCs/>
                      <w:color w:val="auto"/>
                      <w:kern w:val="2"/>
                      <w:sz w:val="21"/>
                      <w:szCs w:val="18"/>
                      <w:lang w:val="en-US" w:eastAsia="zh-CN" w:bidi="ar-SA"/>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03"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一期绿地率</w:t>
                  </w:r>
                </w:p>
              </w:tc>
              <w:tc>
                <w:tcPr>
                  <w:tcW w:w="1995"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25.30</w:t>
                  </w:r>
                </w:p>
              </w:tc>
              <w:tc>
                <w:tcPr>
                  <w:tcW w:w="1039" w:type="dxa"/>
                  <w:tcBorders>
                    <w:tl2br w:val="nil"/>
                    <w:tr2bl w:val="nil"/>
                  </w:tcBorders>
                  <w:shd w:val="clear" w:color="auto" w:fill="auto"/>
                  <w:vAlign w:val="center"/>
                </w:tcPr>
                <w:p>
                  <w:pPr>
                    <w:spacing w:before="0" w:beforeLines="0" w:after="0" w:afterLines="0"/>
                    <w:jc w:val="center"/>
                    <w:rPr>
                      <w:rFonts w:hint="eastAsia" w:ascii="Times New Roman" w:hAnsi="Times New Roman" w:eastAsia="宋体" w:cs="Times New Roman"/>
                      <w:b w:val="0"/>
                      <w:bCs/>
                      <w:color w:val="auto"/>
                      <w:kern w:val="2"/>
                      <w:sz w:val="21"/>
                      <w:szCs w:val="18"/>
                      <w:lang w:val="en-US" w:eastAsia="zh-CN" w:bidi="ar-SA"/>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03" w:type="dxa"/>
                  <w:gridSpan w:val="2"/>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一期总户数</w:t>
                  </w:r>
                </w:p>
              </w:tc>
              <w:tc>
                <w:tcPr>
                  <w:tcW w:w="1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204</w:t>
                  </w:r>
                </w:p>
              </w:tc>
              <w:tc>
                <w:tcPr>
                  <w:tcW w:w="1039" w:type="dxa"/>
                  <w:tcBorders>
                    <w:tl2br w:val="nil"/>
                    <w:tr2bl w:val="nil"/>
                  </w:tcBorders>
                  <w:shd w:val="clear" w:color="auto" w:fill="auto"/>
                  <w:vAlign w:val="center"/>
                </w:tcPr>
                <w:p>
                  <w:pPr>
                    <w:spacing w:before="0" w:beforeLines="0" w:after="0" w:afterLines="0"/>
                    <w:jc w:val="center"/>
                    <w:rPr>
                      <w:rFonts w:hint="eastAsia" w:ascii="Times New Roman" w:hAnsi="Times New Roman" w:eastAsia="宋体" w:cs="Times New Roman"/>
                      <w:b w:val="0"/>
                      <w:bCs/>
                      <w:color w:val="auto"/>
                      <w:kern w:val="2"/>
                      <w:sz w:val="21"/>
                      <w:szCs w:val="18"/>
                      <w:lang w:val="en-US" w:eastAsia="zh-CN" w:bidi="ar-SA"/>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03"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1#2#34#5#7#（120户型）</w:t>
                  </w:r>
                </w:p>
              </w:tc>
              <w:tc>
                <w:tcPr>
                  <w:tcW w:w="1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144</w:t>
                  </w:r>
                </w:p>
              </w:tc>
              <w:tc>
                <w:tcPr>
                  <w:tcW w:w="1039"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91" w:type="dxa"/>
                  <w:vMerge w:val="restart"/>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tc>
              <w:tc>
                <w:tcPr>
                  <w:tcW w:w="421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8#（150户型）</w:t>
                  </w:r>
                </w:p>
              </w:tc>
              <w:tc>
                <w:tcPr>
                  <w:tcW w:w="1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24</w:t>
                  </w:r>
                </w:p>
              </w:tc>
              <w:tc>
                <w:tcPr>
                  <w:tcW w:w="1039"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91"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4212"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6#70户型</w:t>
                  </w:r>
                </w:p>
              </w:tc>
              <w:tc>
                <w:tcPr>
                  <w:tcW w:w="1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12</w:t>
                  </w:r>
                </w:p>
              </w:tc>
              <w:tc>
                <w:tcPr>
                  <w:tcW w:w="1039"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91" w:type="dxa"/>
                  <w:vMerge w:val="continue"/>
                  <w:tcBorders>
                    <w:bottom w:val="single" w:color="auto" w:sz="4" w:space="0"/>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421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6#90户型</w:t>
                  </w:r>
                </w:p>
              </w:tc>
              <w:tc>
                <w:tcPr>
                  <w:tcW w:w="199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24</w:t>
                  </w:r>
                </w:p>
              </w:tc>
              <w:tc>
                <w:tcPr>
                  <w:tcW w:w="1039"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4903" w:type="dxa"/>
                  <w:gridSpan w:val="2"/>
                  <w:tcBorders>
                    <w:top w:val="single" w:color="auto" w:sz="4" w:space="0"/>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一期停车位</w:t>
                  </w:r>
                </w:p>
              </w:tc>
              <w:tc>
                <w:tcPr>
                  <w:tcW w:w="1995"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165</w:t>
                  </w:r>
                </w:p>
              </w:tc>
              <w:tc>
                <w:tcPr>
                  <w:tcW w:w="1039"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7937" w:type="dxa"/>
                  <w:gridSpan w:val="4"/>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残疾停车位2个，室外停车</w:t>
                  </w:r>
                  <w:r>
                    <w:rPr>
                      <w:rFonts w:hint="eastAsia" w:cs="Times New Roman"/>
                      <w:b w:val="0"/>
                      <w:bCs/>
                      <w:color w:val="auto"/>
                      <w:sz w:val="21"/>
                      <w:szCs w:val="18"/>
                      <w:lang w:val="en-US" w:eastAsia="zh-CN"/>
                    </w:rPr>
                    <w:t>位</w:t>
                  </w:r>
                  <w:r>
                    <w:rPr>
                      <w:rFonts w:hint="eastAsia" w:ascii="Times New Roman" w:hAnsi="Times New Roman" w:eastAsia="宋体" w:cs="Times New Roman"/>
                      <w:b w:val="0"/>
                      <w:bCs/>
                      <w:color w:val="auto"/>
                      <w:sz w:val="21"/>
                      <w:szCs w:val="18"/>
                      <w:lang w:val="en-US" w:eastAsia="zh-CN"/>
                    </w:rPr>
                    <w:t>118个（其中新能源41个），车库50个，电电动摩托车停车位102个（其中充电桩51个）</w:t>
                  </w:r>
                </w:p>
              </w:tc>
            </w:tr>
          </w:tbl>
          <w:p>
            <w:pPr>
              <w:keepNext w:val="0"/>
              <w:keepLines w:val="0"/>
              <w:pageBreakBefore w:val="0"/>
              <w:widowControl w:val="0"/>
              <w:kinsoku/>
              <w:wordWrap/>
              <w:overflowPunct/>
              <w:topLinePunct w:val="0"/>
              <w:autoSpaceDE/>
              <w:autoSpaceDN/>
              <w:bidi w:val="0"/>
              <w:adjustRightInd w:val="0"/>
              <w:snapToGrid w:val="0"/>
              <w:spacing w:before="157" w:beforeLines="50"/>
              <w:ind w:firstLine="482" w:firstLineChars="200"/>
              <w:jc w:val="center"/>
              <w:textAlignment w:val="auto"/>
              <w:rPr>
                <w:rFonts w:hint="default" w:ascii="Times New Roman" w:hAnsi="Times New Roman" w:eastAsia="宋体" w:cs="Times New Roman"/>
                <w:b/>
                <w:color w:val="auto"/>
                <w:sz w:val="24"/>
                <w:szCs w:val="21"/>
                <w:lang w:val="en-US" w:eastAsia="zh-CN"/>
              </w:rPr>
            </w:pPr>
            <w:r>
              <w:rPr>
                <w:rFonts w:hint="eastAsia" w:ascii="Times New Roman" w:hAnsi="Times New Roman" w:eastAsia="宋体" w:cs="Times New Roman"/>
                <w:b/>
                <w:color w:val="auto"/>
                <w:sz w:val="24"/>
                <w:szCs w:val="21"/>
                <w:lang w:val="en-US" w:eastAsia="zh-CN"/>
              </w:rPr>
              <w:t>表2-4  二期综合经济技术指标表</w:t>
            </w:r>
          </w:p>
          <w:tbl>
            <w:tblPr>
              <w:tblStyle w:val="23"/>
              <w:tblW w:w="79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 w:type="dxa"/>
                <w:bottom w:w="0" w:type="dxa"/>
                <w:right w:w="10" w:type="dxa"/>
              </w:tblCellMar>
            </w:tblPr>
            <w:tblGrid>
              <w:gridCol w:w="765"/>
              <w:gridCol w:w="4124"/>
              <w:gridCol w:w="1957"/>
              <w:gridCol w:w="109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4889"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名称</w:t>
                  </w:r>
                </w:p>
              </w:tc>
              <w:tc>
                <w:tcPr>
                  <w:tcW w:w="1957"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数值</w:t>
                  </w:r>
                </w:p>
              </w:tc>
              <w:tc>
                <w:tcPr>
                  <w:tcW w:w="1091"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4889"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二期规划用地面积</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14509.93</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4889"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二鹕总建筑画軹</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20204.41</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4889"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二期计客建筑面积</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16883.33</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765" w:type="dxa"/>
                  <w:vMerge w:val="restart"/>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tc>
              <w:tc>
                <w:tcPr>
                  <w:tcW w:w="412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9# （150户型）</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4122.86</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765"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412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10#11#（120户型）</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6626.52</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765"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412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12#（90户型）</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3703.26</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765"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412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13#（90户型）</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2468.84</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765"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412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14#（70户里）</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1911.86</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765"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412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门卫室</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50.00</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4889"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二期不计容积率建筑面积</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1321.08</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4889"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二期建筑基底画积</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2722.99</w:t>
                  </w:r>
                </w:p>
              </w:tc>
              <w:tc>
                <w:tcPr>
                  <w:tcW w:w="1091"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m</w:t>
                  </w:r>
                  <w:r>
                    <w:rPr>
                      <w:rFonts w:hint="eastAsia" w:ascii="Times New Roman" w:hAnsi="Times New Roman" w:eastAsia="宋体" w:cs="Times New Roman"/>
                      <w:b w:val="0"/>
                      <w:bCs/>
                      <w:color w:val="auto"/>
                      <w:sz w:val="21"/>
                      <w:szCs w:val="18"/>
                      <w:vertAlign w:val="superscript"/>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4889"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二期建筑密度</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18.77</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4889" w:type="dxa"/>
                  <w:gridSpan w:val="2"/>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二期容积率</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1.32</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4889"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二期绿地率</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25.10</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4889" w:type="dxa"/>
                  <w:gridSpan w:val="2"/>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二期总户数</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156</w:t>
                  </w:r>
                </w:p>
              </w:tc>
              <w:tc>
                <w:tcPr>
                  <w:tcW w:w="1091"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765" w:type="dxa"/>
                  <w:vMerge w:val="restart"/>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tc>
              <w:tc>
                <w:tcPr>
                  <w:tcW w:w="412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9#（150户型）</w:t>
                  </w:r>
                </w:p>
              </w:tc>
              <w:tc>
                <w:tcPr>
                  <w:tcW w:w="1957"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24</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765" w:type="dxa"/>
                  <w:vMerge w:val="continue"/>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tc>
              <w:tc>
                <w:tcPr>
                  <w:tcW w:w="412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10#11#（120户型）</w:t>
                  </w:r>
                </w:p>
              </w:tc>
              <w:tc>
                <w:tcPr>
                  <w:tcW w:w="1957"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48</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765"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412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12#（90户型）</w:t>
                  </w:r>
                </w:p>
              </w:tc>
              <w:tc>
                <w:tcPr>
                  <w:tcW w:w="1957"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36</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765"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412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13#（90户型）</w:t>
                  </w:r>
                </w:p>
              </w:tc>
              <w:tc>
                <w:tcPr>
                  <w:tcW w:w="1957"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24</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765"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412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14#（70户型）</w:t>
                  </w:r>
                </w:p>
              </w:tc>
              <w:tc>
                <w:tcPr>
                  <w:tcW w:w="1957"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24</w:t>
                  </w:r>
                </w:p>
              </w:tc>
              <w:tc>
                <w:tcPr>
                  <w:tcW w:w="1091"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4889" w:type="dxa"/>
                  <w:gridSpan w:val="2"/>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二期停车位</w:t>
                  </w:r>
                </w:p>
              </w:tc>
              <w:tc>
                <w:tcPr>
                  <w:tcW w:w="1957"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124</w:t>
                  </w:r>
                </w:p>
              </w:tc>
              <w:tc>
                <w:tcPr>
                  <w:tcW w:w="1091" w:type="dxa"/>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jc w:val="center"/>
              </w:trPr>
              <w:tc>
                <w:tcPr>
                  <w:tcW w:w="7937" w:type="dxa"/>
                  <w:gridSpan w:val="4"/>
                  <w:tcBorders>
                    <w:tl2br w:val="nil"/>
                    <w:tr2bl w:val="nil"/>
                  </w:tcBorders>
                  <w:vAlign w:val="center"/>
                </w:tcPr>
                <w:p>
                  <w:pPr>
                    <w:wordWrap w:val="0"/>
                    <w:spacing w:before="0" w:after="0" w:line="384" w:lineRule="auto"/>
                    <w:ind w:firstLine="0"/>
                    <w:jc w:val="center"/>
                    <w:rPr>
                      <w:rFonts w:hint="eastAsia" w:ascii="宋体" w:hAnsi="宋体" w:eastAsia="宋体"/>
                      <w:color w:val="auto"/>
                      <w:sz w:val="21"/>
                    </w:rPr>
                  </w:pPr>
                </w:p>
              </w:tc>
            </w:tr>
          </w:tbl>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left"/>
              <w:textAlignment w:val="auto"/>
              <w:rPr>
                <w:rFonts w:hint="default" w:cs="宋体"/>
                <w:bCs/>
                <w:color w:val="auto"/>
                <w:sz w:val="24"/>
                <w:szCs w:val="21"/>
                <w:lang w:val="en-US" w:eastAsia="zh-CN"/>
              </w:rPr>
            </w:pPr>
            <w:r>
              <w:rPr>
                <w:rFonts w:hint="eastAsia" w:cs="宋体"/>
                <w:bCs/>
                <w:color w:val="auto"/>
                <w:sz w:val="24"/>
                <w:szCs w:val="21"/>
                <w:lang w:val="en-US" w:eastAsia="zh-CN"/>
              </w:rPr>
              <w:t>（2）安置区二期</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cs="宋体"/>
                <w:bCs/>
                <w:color w:val="auto"/>
                <w:sz w:val="24"/>
                <w:szCs w:val="21"/>
                <w:lang w:val="en-US" w:eastAsia="zh-CN"/>
              </w:rPr>
              <w:t>本项目二期规划住宅用地面积 57672平方米，新建22栋1+6F电梯住宅楼，3个门卫室，总建筑面积为79862.49平方米，容积率1.35，建筑密度 19.41%，绿地率20.10%，停车位508个。总户数636户，其中70户型120套，105户型336套，140户型180套。红线外临时施工道路三条，总长810 米，宽11米。住宅楼均为坡屋面，建筑外立面为徽派建筑，外墙面为真石漆，建筑结构类型为砖混结构，并配套建设绿化、消防、给排水、供配电等基础设施</w:t>
            </w:r>
            <w:r>
              <w:rPr>
                <w:rFonts w:hint="eastAsia" w:ascii="Times New Roman" w:hAnsi="Times New Roman" w:eastAsia="宋体" w:cs="宋体"/>
                <w:bCs/>
                <w:color w:val="auto"/>
                <w:sz w:val="24"/>
                <w:szCs w:val="21"/>
                <w:lang w:val="en-US" w:eastAsia="zh-CN"/>
              </w:rPr>
              <w:t>。</w:t>
            </w:r>
          </w:p>
          <w:p>
            <w:pPr>
              <w:adjustRightInd w:val="0"/>
              <w:snapToGrid w:val="0"/>
              <w:ind w:firstLine="482" w:firstLineChars="200"/>
              <w:jc w:val="center"/>
              <w:rPr>
                <w:b/>
                <w:color w:val="auto"/>
                <w:sz w:val="24"/>
                <w:szCs w:val="21"/>
              </w:rPr>
            </w:pPr>
            <w:r>
              <w:rPr>
                <w:b/>
                <w:color w:val="auto"/>
                <w:sz w:val="24"/>
                <w:szCs w:val="21"/>
              </w:rPr>
              <w:t>表</w:t>
            </w:r>
            <w:r>
              <w:rPr>
                <w:rFonts w:hint="eastAsia"/>
                <w:b/>
                <w:color w:val="auto"/>
                <w:sz w:val="24"/>
                <w:szCs w:val="21"/>
              </w:rPr>
              <w:t>2-</w:t>
            </w:r>
            <w:r>
              <w:rPr>
                <w:rFonts w:hint="eastAsia"/>
                <w:b/>
                <w:color w:val="auto"/>
                <w:sz w:val="24"/>
                <w:szCs w:val="21"/>
                <w:lang w:val="en-US" w:eastAsia="zh-CN"/>
              </w:rPr>
              <w:t>5</w:t>
            </w:r>
            <w:r>
              <w:rPr>
                <w:rFonts w:hint="eastAsia"/>
                <w:b/>
                <w:color w:val="auto"/>
                <w:sz w:val="24"/>
                <w:szCs w:val="21"/>
              </w:rPr>
              <w:t xml:space="preserve">  </w:t>
            </w:r>
            <w:r>
              <w:rPr>
                <w:b/>
                <w:color w:val="auto"/>
                <w:sz w:val="24"/>
                <w:szCs w:val="21"/>
              </w:rPr>
              <w:t>项目主要建设内容一览表</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1937"/>
              <w:gridCol w:w="49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tcBorders>
                    <w:tl2br w:val="nil"/>
                    <w:tr2bl w:val="nil"/>
                  </w:tcBorders>
                  <w:shd w:val="clear" w:color="auto" w:fill="auto"/>
                  <w:vAlign w:val="center"/>
                </w:tcPr>
                <w:p>
                  <w:pPr>
                    <w:pStyle w:val="53"/>
                    <w:spacing w:before="0" w:beforeLines="0" w:after="0" w:afterLines="0"/>
                    <w:rPr>
                      <w:color w:val="auto"/>
                      <w:sz w:val="21"/>
                      <w:szCs w:val="18"/>
                    </w:rPr>
                  </w:pPr>
                  <w:r>
                    <w:rPr>
                      <w:color w:val="auto"/>
                      <w:sz w:val="21"/>
                      <w:szCs w:val="18"/>
                    </w:rPr>
                    <w:t>工程</w:t>
                  </w:r>
                </w:p>
              </w:tc>
              <w:tc>
                <w:tcPr>
                  <w:tcW w:w="1937" w:type="dxa"/>
                  <w:tcBorders>
                    <w:tl2br w:val="nil"/>
                    <w:tr2bl w:val="nil"/>
                  </w:tcBorders>
                  <w:shd w:val="clear" w:color="auto" w:fill="auto"/>
                  <w:vAlign w:val="center"/>
                </w:tcPr>
                <w:p>
                  <w:pPr>
                    <w:pStyle w:val="53"/>
                    <w:spacing w:before="0" w:beforeLines="0" w:after="0" w:afterLines="0"/>
                    <w:rPr>
                      <w:color w:val="auto"/>
                      <w:sz w:val="21"/>
                      <w:szCs w:val="18"/>
                    </w:rPr>
                  </w:pPr>
                  <w:r>
                    <w:rPr>
                      <w:color w:val="auto"/>
                      <w:sz w:val="21"/>
                      <w:szCs w:val="18"/>
                    </w:rPr>
                    <w:t>内容</w:t>
                  </w:r>
                </w:p>
              </w:tc>
              <w:tc>
                <w:tcPr>
                  <w:tcW w:w="4910" w:type="dxa"/>
                  <w:tcBorders>
                    <w:tl2br w:val="nil"/>
                    <w:tr2bl w:val="nil"/>
                  </w:tcBorders>
                  <w:shd w:val="clear" w:color="auto" w:fill="auto"/>
                  <w:vAlign w:val="center"/>
                </w:tcPr>
                <w:p>
                  <w:pPr>
                    <w:pStyle w:val="53"/>
                    <w:spacing w:before="0" w:beforeLines="0" w:after="0" w:afterLines="0"/>
                    <w:rPr>
                      <w:color w:val="auto"/>
                      <w:sz w:val="21"/>
                      <w:szCs w:val="18"/>
                    </w:rPr>
                  </w:pPr>
                  <w:r>
                    <w:rPr>
                      <w:color w:val="auto"/>
                      <w:sz w:val="21"/>
                      <w:szCs w:val="18"/>
                    </w:rPr>
                    <w:t>规模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主体工程</w:t>
                  </w:r>
                </w:p>
              </w:tc>
              <w:tc>
                <w:tcPr>
                  <w:tcW w:w="1937" w:type="dxa"/>
                  <w:tcBorders>
                    <w:tl2br w:val="nil"/>
                    <w:tr2bl w:val="nil"/>
                  </w:tcBorders>
                  <w:vAlign w:val="center"/>
                </w:tcPr>
                <w:p>
                  <w:pPr>
                    <w:pStyle w:val="53"/>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安置楼房</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1-</w:t>
                  </w:r>
                  <w:r>
                    <w:rPr>
                      <w:rFonts w:hint="eastAsia" w:cs="Times New Roman"/>
                      <w:bCs/>
                      <w:color w:val="auto"/>
                      <w:sz w:val="21"/>
                      <w:szCs w:val="18"/>
                      <w:lang w:val="en-US" w:eastAsia="zh-CN"/>
                    </w:rPr>
                    <w:t>22</w:t>
                  </w:r>
                  <w:r>
                    <w:rPr>
                      <w:rFonts w:hint="eastAsia" w:ascii="Times New Roman" w:hAnsi="Times New Roman" w:eastAsia="宋体" w:cs="Times New Roman"/>
                      <w:bCs/>
                      <w:color w:val="auto"/>
                      <w:sz w:val="21"/>
                      <w:szCs w:val="18"/>
                      <w:lang w:val="en-US" w:eastAsia="zh-CN"/>
                    </w:rPr>
                    <w:t>#栋1+6F电梯住宅楼，</w:t>
                  </w:r>
                  <w:r>
                    <w:rPr>
                      <w:rFonts w:hint="eastAsia" w:ascii="Times New Roman" w:hAnsi="Times New Roman" w:eastAsia="宋体" w:cs="Times New Roman"/>
                      <w:bCs/>
                      <w:color w:val="auto"/>
                      <w:sz w:val="21"/>
                      <w:szCs w:val="18"/>
                      <w:highlight w:val="none"/>
                      <w:lang w:val="en-US" w:eastAsia="zh-CN"/>
                    </w:rPr>
                    <w:t>总建筑面积</w:t>
                  </w:r>
                  <w:r>
                    <w:rPr>
                      <w:rFonts w:hint="eastAsia" w:cs="Times New Roman"/>
                      <w:bCs/>
                      <w:color w:val="auto"/>
                      <w:sz w:val="21"/>
                      <w:szCs w:val="18"/>
                      <w:highlight w:val="none"/>
                      <w:lang w:val="en-US" w:eastAsia="zh-CN"/>
                    </w:rPr>
                    <w:t>77162.52</w:t>
                  </w:r>
                  <w:r>
                    <w:rPr>
                      <w:rFonts w:hint="eastAsia" w:ascii="Times New Roman" w:hAnsi="Times New Roman" w:eastAsia="宋体" w:cs="Times New Roman"/>
                      <w:bCs/>
                      <w:color w:val="auto"/>
                      <w:sz w:val="21"/>
                      <w:szCs w:val="18"/>
                      <w:highlight w:val="none"/>
                    </w:rPr>
                    <w:t>m</w:t>
                  </w:r>
                  <w:r>
                    <w:rPr>
                      <w:rFonts w:hint="eastAsia" w:ascii="Times New Roman" w:hAnsi="Times New Roman" w:eastAsia="宋体" w:cs="Times New Roman"/>
                      <w:bCs/>
                      <w:color w:val="auto"/>
                      <w:sz w:val="21"/>
                      <w:szCs w:val="18"/>
                      <w:highlight w:val="none"/>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辅助工程</w:t>
                  </w:r>
                </w:p>
              </w:tc>
              <w:tc>
                <w:tcPr>
                  <w:tcW w:w="1937" w:type="dxa"/>
                  <w:tcBorders>
                    <w:tl2br w:val="nil"/>
                    <w:tr2bl w:val="nil"/>
                  </w:tcBorders>
                  <w:vAlign w:val="center"/>
                </w:tcPr>
                <w:p>
                  <w:pPr>
                    <w:pStyle w:val="53"/>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设备房</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cs="Times New Roman"/>
                      <w:bCs/>
                      <w:color w:val="auto"/>
                      <w:sz w:val="21"/>
                      <w:szCs w:val="18"/>
                      <w:lang w:val="en-US" w:eastAsia="zh-CN"/>
                    </w:rPr>
                    <w:t>主要为配电间用房，</w:t>
                  </w:r>
                  <w:r>
                    <w:rPr>
                      <w:rFonts w:hint="eastAsia" w:ascii="Times New Roman" w:hAnsi="Times New Roman" w:eastAsia="宋体" w:cs="Times New Roman"/>
                      <w:bCs/>
                      <w:color w:val="auto"/>
                      <w:sz w:val="21"/>
                      <w:szCs w:val="18"/>
                      <w:lang w:val="en-US" w:eastAsia="zh-CN"/>
                    </w:rPr>
                    <w:t>建筑</w:t>
                  </w:r>
                  <w:r>
                    <w:rPr>
                      <w:rFonts w:hint="eastAsia" w:cs="Times New Roman"/>
                      <w:bCs/>
                      <w:color w:val="auto"/>
                      <w:sz w:val="21"/>
                      <w:szCs w:val="18"/>
                      <w:lang w:val="en-US" w:eastAsia="zh-CN"/>
                    </w:rPr>
                    <w:t>面积30</w:t>
                  </w:r>
                  <w:r>
                    <w:rPr>
                      <w:rFonts w:hint="eastAsia" w:ascii="Times New Roman" w:hAnsi="Times New Roman" w:eastAsia="宋体" w:cs="Times New Roman"/>
                      <w:bCs/>
                      <w:color w:val="auto"/>
                      <w:sz w:val="21"/>
                      <w:szCs w:val="18"/>
                      <w:lang w:val="en-US" w:eastAsia="zh-CN"/>
                    </w:rPr>
                    <w:t>0</w:t>
                  </w:r>
                  <w:r>
                    <w:rPr>
                      <w:rFonts w:hint="eastAsia" w:ascii="Times New Roman" w:hAnsi="Times New Roman" w:eastAsia="宋体" w:cs="Times New Roman"/>
                      <w:bCs/>
                      <w:color w:val="auto"/>
                      <w:sz w:val="21"/>
                      <w:szCs w:val="18"/>
                    </w:rPr>
                    <w:t>m</w:t>
                  </w:r>
                  <w:r>
                    <w:rPr>
                      <w:rFonts w:hint="eastAsia" w:ascii="Times New Roman" w:hAnsi="Times New Roman" w:eastAsia="宋体" w:cs="Times New Roman"/>
                      <w:bCs/>
                      <w:color w:val="auto"/>
                      <w:sz w:val="21"/>
                      <w:szCs w:val="18"/>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物业用房寄门卫室</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rPr>
                  </w:pPr>
                  <w:r>
                    <w:rPr>
                      <w:rFonts w:hint="eastAsia" w:cs="Times New Roman"/>
                      <w:bCs/>
                      <w:color w:val="auto"/>
                      <w:sz w:val="21"/>
                      <w:szCs w:val="18"/>
                      <w:lang w:val="en-US" w:eastAsia="zh-CN"/>
                    </w:rPr>
                    <w:t>物业用房，</w:t>
                  </w:r>
                  <w:r>
                    <w:rPr>
                      <w:rFonts w:hint="eastAsia" w:ascii="Times New Roman" w:hAnsi="Times New Roman" w:eastAsia="宋体" w:cs="Times New Roman"/>
                      <w:bCs/>
                      <w:color w:val="auto"/>
                      <w:sz w:val="21"/>
                      <w:szCs w:val="18"/>
                      <w:lang w:val="en-US" w:eastAsia="zh-CN"/>
                    </w:rPr>
                    <w:t>建筑</w:t>
                  </w:r>
                  <w:r>
                    <w:rPr>
                      <w:rFonts w:hint="eastAsia" w:cs="Times New Roman"/>
                      <w:bCs/>
                      <w:color w:val="auto"/>
                      <w:sz w:val="21"/>
                      <w:szCs w:val="18"/>
                      <w:lang w:val="en-US" w:eastAsia="zh-CN"/>
                    </w:rPr>
                    <w:t>面积300</w:t>
                  </w:r>
                  <w:r>
                    <w:rPr>
                      <w:rFonts w:hint="eastAsia" w:ascii="Times New Roman" w:hAnsi="Times New Roman" w:eastAsia="宋体" w:cs="Times New Roman"/>
                      <w:bCs/>
                      <w:color w:val="auto"/>
                      <w:sz w:val="21"/>
                      <w:szCs w:val="18"/>
                    </w:rPr>
                    <w:t>m</w:t>
                  </w:r>
                  <w:r>
                    <w:rPr>
                      <w:rFonts w:hint="eastAsia" w:ascii="Times New Roman" w:hAnsi="Times New Roman" w:eastAsia="宋体" w:cs="Times New Roman"/>
                      <w:bCs/>
                      <w:color w:val="auto"/>
                      <w:sz w:val="21"/>
                      <w:szCs w:val="18"/>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公用工程</w:t>
                  </w: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供水</w:t>
                  </w:r>
                </w:p>
              </w:tc>
              <w:tc>
                <w:tcPr>
                  <w:tcW w:w="4910" w:type="dxa"/>
                  <w:tcBorders>
                    <w:tl2br w:val="nil"/>
                    <w:tr2bl w:val="nil"/>
                  </w:tcBorders>
                  <w:vAlign w:val="center"/>
                </w:tcPr>
                <w:p>
                  <w:pPr>
                    <w:jc w:val="center"/>
                    <w:rPr>
                      <w:rFonts w:hint="eastAsia"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市政自来水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排水</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生活污水经收集后进入化粪池处理，处理达标后进入市政污水管网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供电</w:t>
                  </w:r>
                </w:p>
              </w:tc>
              <w:tc>
                <w:tcPr>
                  <w:tcW w:w="4910" w:type="dxa"/>
                  <w:tcBorders>
                    <w:tl2br w:val="nil"/>
                    <w:tr2bl w:val="nil"/>
                  </w:tcBorders>
                  <w:vAlign w:val="center"/>
                </w:tcPr>
                <w:p>
                  <w:pPr>
                    <w:jc w:val="center"/>
                    <w:rPr>
                      <w:rFonts w:hint="eastAsia"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当地电网供给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环保工程</w:t>
                  </w: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污水处理设施</w:t>
                  </w:r>
                </w:p>
              </w:tc>
              <w:tc>
                <w:tcPr>
                  <w:tcW w:w="4910" w:type="dxa"/>
                  <w:tcBorders>
                    <w:tl2br w:val="nil"/>
                    <w:tr2bl w:val="nil"/>
                  </w:tcBorders>
                  <w:vAlign w:val="center"/>
                </w:tcPr>
                <w:p>
                  <w:pPr>
                    <w:jc w:val="center"/>
                    <w:rPr>
                      <w:rFonts w:hint="eastAsia"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生活污水通过化粪池处理</w:t>
                  </w:r>
                  <w:r>
                    <w:rPr>
                      <w:rFonts w:hint="eastAsia" w:cs="Times New Roman"/>
                      <w:bCs/>
                      <w:color w:val="auto"/>
                      <w:sz w:val="21"/>
                      <w:szCs w:val="18"/>
                      <w:lang w:val="en-US" w:eastAsia="zh-CN"/>
                    </w:rPr>
                    <w:t>后外排市政污水管网</w:t>
                  </w:r>
                  <w:r>
                    <w:rPr>
                      <w:rFonts w:hint="eastAsia" w:ascii="Times New Roman" w:hAnsi="Times New Roman" w:eastAsia="宋体" w:cs="Times New Roman"/>
                      <w:bCs/>
                      <w:color w:val="auto"/>
                      <w:sz w:val="21"/>
                      <w:szCs w:val="18"/>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废气处理设施</w:t>
                  </w:r>
                </w:p>
              </w:tc>
              <w:tc>
                <w:tcPr>
                  <w:tcW w:w="4910" w:type="dxa"/>
                  <w:tcBorders>
                    <w:tl2br w:val="nil"/>
                    <w:tr2bl w:val="nil"/>
                  </w:tcBorders>
                  <w:vAlign w:val="center"/>
                </w:tcPr>
                <w:p>
                  <w:pPr>
                    <w:pStyle w:val="53"/>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油烟经油烟机处理后外排周边大气环境，汽车尾气以及垃圾桶恶臭产生量较小可通过加强管理减轻其影响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噪声处理设施</w:t>
                  </w:r>
                </w:p>
              </w:tc>
              <w:tc>
                <w:tcPr>
                  <w:tcW w:w="4910" w:type="dxa"/>
                  <w:tcBorders>
                    <w:tl2br w:val="nil"/>
                    <w:tr2bl w:val="nil"/>
                  </w:tcBorders>
                  <w:vAlign w:val="center"/>
                </w:tcPr>
                <w:p>
                  <w:pPr>
                    <w:pStyle w:val="53"/>
                    <w:spacing w:before="0" w:beforeLines="0" w:after="0" w:afterLines="0"/>
                    <w:rPr>
                      <w:rFonts w:hint="eastAsia" w:eastAsia="宋体"/>
                      <w:b w:val="0"/>
                      <w:bCs/>
                      <w:color w:val="auto"/>
                      <w:sz w:val="21"/>
                      <w:szCs w:val="18"/>
                      <w:u w:val="single"/>
                      <w:lang w:val="en-US" w:eastAsia="zh-CN"/>
                    </w:rPr>
                  </w:pPr>
                  <w:r>
                    <w:rPr>
                      <w:rFonts w:hint="eastAsia"/>
                      <w:b w:val="0"/>
                      <w:bCs/>
                      <w:color w:val="auto"/>
                      <w:sz w:val="21"/>
                      <w:szCs w:val="18"/>
                      <w:lang w:val="en-US" w:eastAsia="zh-CN"/>
                    </w:rPr>
                    <w:t>配电房变压器位于密闭房间内切采用吸声、基础减震等措施；电梯机组位于密闭房间内我且设置有</w:t>
                  </w:r>
                  <w:r>
                    <w:rPr>
                      <w:b w:val="0"/>
                      <w:bCs/>
                      <w:color w:val="auto"/>
                      <w:sz w:val="21"/>
                      <w:szCs w:val="18"/>
                    </w:rPr>
                    <w:t>基础减振</w:t>
                  </w:r>
                  <w:r>
                    <w:rPr>
                      <w:rFonts w:hint="eastAsia"/>
                      <w:b w:val="0"/>
                      <w:bCs/>
                      <w:color w:val="auto"/>
                      <w:sz w:val="21"/>
                      <w:szCs w:val="18"/>
                      <w:lang w:val="en-US" w:eastAsia="zh-CN"/>
                    </w:rPr>
                    <w:t>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固体废物处理设施</w:t>
                  </w:r>
                </w:p>
              </w:tc>
              <w:tc>
                <w:tcPr>
                  <w:tcW w:w="4910" w:type="dxa"/>
                  <w:tcBorders>
                    <w:tl2br w:val="nil"/>
                    <w:tr2bl w:val="nil"/>
                  </w:tcBorders>
                  <w:vAlign w:val="center"/>
                </w:tcPr>
                <w:p>
                  <w:pPr>
                    <w:pStyle w:val="53"/>
                    <w:spacing w:before="0" w:beforeLines="0" w:after="0" w:afterLines="0"/>
                    <w:rPr>
                      <w:bCs/>
                      <w:color w:val="auto"/>
                      <w:sz w:val="21"/>
                      <w:szCs w:val="18"/>
                    </w:rPr>
                  </w:pPr>
                  <w:r>
                    <w:rPr>
                      <w:b w:val="0"/>
                      <w:bCs/>
                      <w:color w:val="auto"/>
                      <w:sz w:val="21"/>
                      <w:szCs w:val="18"/>
                    </w:rPr>
                    <w:t>生活垃圾经</w:t>
                  </w:r>
                  <w:r>
                    <w:rPr>
                      <w:rFonts w:hint="eastAsia"/>
                      <w:b w:val="0"/>
                      <w:bCs/>
                      <w:color w:val="auto"/>
                      <w:sz w:val="21"/>
                      <w:szCs w:val="18"/>
                      <w:lang w:val="en-US" w:eastAsia="zh-CN"/>
                    </w:rPr>
                    <w:t>分类收集</w:t>
                  </w:r>
                  <w:r>
                    <w:rPr>
                      <w:b w:val="0"/>
                      <w:bCs/>
                      <w:color w:val="auto"/>
                      <w:sz w:val="21"/>
                      <w:szCs w:val="18"/>
                    </w:rPr>
                    <w:t>垃圾桶收集后交由环卫部门处置</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240" w:lineRule="auto"/>
              <w:jc w:val="center"/>
              <w:textAlignment w:val="auto"/>
              <w:rPr>
                <w:rFonts w:hint="eastAsia" w:cs="宋体"/>
                <w:b/>
                <w:color w:val="auto"/>
                <w:sz w:val="24"/>
                <w:szCs w:val="21"/>
                <w:lang w:val="en-US" w:eastAsia="zh-CN"/>
              </w:rPr>
            </w:pPr>
            <w:r>
              <w:rPr>
                <w:b/>
                <w:color w:val="auto"/>
                <w:sz w:val="24"/>
                <w:szCs w:val="21"/>
              </w:rPr>
              <w:t>表</w:t>
            </w:r>
            <w:r>
              <w:rPr>
                <w:rFonts w:hint="eastAsia"/>
                <w:b/>
                <w:color w:val="auto"/>
                <w:sz w:val="24"/>
                <w:szCs w:val="21"/>
              </w:rPr>
              <w:t>2-</w:t>
            </w:r>
            <w:r>
              <w:rPr>
                <w:rFonts w:hint="eastAsia"/>
                <w:b/>
                <w:color w:val="auto"/>
                <w:sz w:val="24"/>
                <w:szCs w:val="21"/>
                <w:lang w:val="en-US" w:eastAsia="zh-CN"/>
              </w:rPr>
              <w:t xml:space="preserve">6  </w:t>
            </w:r>
            <w:r>
              <w:rPr>
                <w:rFonts w:hint="eastAsia" w:cs="宋体"/>
                <w:b/>
                <w:color w:val="auto"/>
                <w:sz w:val="24"/>
                <w:szCs w:val="21"/>
                <w:lang w:val="en-US" w:eastAsia="zh-CN"/>
              </w:rPr>
              <w:t>综合经济技术指标表</w:t>
            </w:r>
          </w:p>
          <w:tbl>
            <w:tblPr>
              <w:tblStyle w:val="23"/>
              <w:tblW w:w="7937" w:type="dxa"/>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 w:type="dxa"/>
                <w:bottom w:w="0" w:type="dxa"/>
                <w:right w:w="10" w:type="dxa"/>
              </w:tblCellMar>
            </w:tblPr>
            <w:tblGrid>
              <w:gridCol w:w="614"/>
              <w:gridCol w:w="3074"/>
              <w:gridCol w:w="2603"/>
              <w:gridCol w:w="164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7937" w:type="dxa"/>
                  <w:gridSpan w:val="4"/>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二期综合经济技术指标表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名称</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数值</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规划用地面积</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57672.98</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368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总建筑面积</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79862.49</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计容建筑面积</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77462.52</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14" w:type="dxa"/>
                  <w:vMerge w:val="restart"/>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tc>
              <w:tc>
                <w:tcPr>
                  <w:tcW w:w="307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70户型（3栋）</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9124.6</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614"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7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105户型（12栋）</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39666.62</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14"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7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140户型（7栋）</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28371.3</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14"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7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物业用房/门卫室</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300</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368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不计容积率建筑面积</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2399.97</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368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建筑基底面积</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11196.39</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建筑密度</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19.41</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容积率</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1.35</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绿地率</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20.10</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368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总户数</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636</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14" w:type="dxa"/>
                  <w:vMerge w:val="restart"/>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tc>
              <w:tc>
                <w:tcPr>
                  <w:tcW w:w="307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70户型</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120</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614"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7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105户型</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336</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14"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7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140户型</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180</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停车位</w:t>
                  </w:r>
                </w:p>
              </w:tc>
              <w:tc>
                <w:tcPr>
                  <w:tcW w:w="2603"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508</w:t>
                  </w:r>
                </w:p>
              </w:tc>
              <w:tc>
                <w:tcPr>
                  <w:tcW w:w="164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个</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7937" w:type="dxa"/>
                  <w:gridSpan w:val="4"/>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r>
                    <w:rPr>
                      <w:rFonts w:hint="eastAsia" w:cs="Times New Roman"/>
                      <w:b w:val="0"/>
                      <w:bCs/>
                      <w:color w:val="auto"/>
                      <w:sz w:val="21"/>
                      <w:szCs w:val="18"/>
                      <w:lang w:val="en-US" w:eastAsia="zh-CN"/>
                    </w:rPr>
                    <w:t>：</w:t>
                  </w:r>
                  <w:r>
                    <w:rPr>
                      <w:rFonts w:hint="eastAsia" w:ascii="Times New Roman" w:hAnsi="Times New Roman" w:eastAsia="宋体" w:cs="Times New Roman"/>
                      <w:b w:val="0"/>
                      <w:bCs/>
                      <w:color w:val="auto"/>
                      <w:sz w:val="21"/>
                      <w:szCs w:val="18"/>
                      <w:lang w:val="en-US" w:eastAsia="zh-CN"/>
                    </w:rPr>
                    <w:t>室外停车位443个，（其中无障碍停车位11个），车库停车位65个，（其中新能源停车位51个）非机动停车位306个（充电桩153个）</w:t>
                  </w:r>
                </w:p>
              </w:tc>
            </w:tr>
          </w:tbl>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left"/>
              <w:textAlignment w:val="auto"/>
              <w:rPr>
                <w:rFonts w:hint="default" w:cs="宋体"/>
                <w:bCs/>
                <w:color w:val="auto"/>
                <w:sz w:val="24"/>
                <w:szCs w:val="21"/>
                <w:lang w:val="en-US" w:eastAsia="zh-CN"/>
              </w:rPr>
            </w:pPr>
            <w:r>
              <w:rPr>
                <w:rFonts w:hint="eastAsia" w:cs="宋体"/>
                <w:bCs/>
                <w:color w:val="auto"/>
                <w:sz w:val="24"/>
                <w:szCs w:val="21"/>
                <w:lang w:val="en-US" w:eastAsia="zh-CN"/>
              </w:rPr>
              <w:t>（3）安置区三期</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本项目规划总住宅用地面积112978.16平方米、总建筑面积148,885.76 平方米。主要内容为地块一规划住宅用地面积60377.36平方米，新建19栋 1+6F电梯住宅楼，总建筑面积为76020.54平方米，容积率1.22，建筑密度 17.66%，绿地率20.20%，停车位535个，总户数668户；地块二规划住宅用地面积52600.80平方米，新建17栋1+6F电梯住宅楼，总建筑面积为72865.22 平方米，容积率1.35，建筑密度19.55%，绿地率20.10%，停车位458个，总户数572户。住宅楼均为坡屋面，建筑外立面为徽派建筑，外墙面为真石漆，建筑结构类型为砖混结构。并配套建设绿化、消防、给排水、供配电等基础设施。</w:t>
            </w:r>
          </w:p>
          <w:p>
            <w:pPr>
              <w:adjustRightInd w:val="0"/>
              <w:snapToGrid w:val="0"/>
              <w:ind w:firstLine="482" w:firstLineChars="200"/>
              <w:jc w:val="center"/>
              <w:rPr>
                <w:b/>
                <w:color w:val="auto"/>
                <w:sz w:val="24"/>
                <w:szCs w:val="21"/>
              </w:rPr>
            </w:pPr>
            <w:r>
              <w:rPr>
                <w:b/>
                <w:color w:val="auto"/>
                <w:sz w:val="24"/>
                <w:szCs w:val="21"/>
              </w:rPr>
              <w:t>表</w:t>
            </w:r>
            <w:r>
              <w:rPr>
                <w:rFonts w:hint="eastAsia"/>
                <w:b/>
                <w:color w:val="auto"/>
                <w:sz w:val="24"/>
                <w:szCs w:val="21"/>
              </w:rPr>
              <w:t>2-</w:t>
            </w:r>
            <w:r>
              <w:rPr>
                <w:rFonts w:hint="eastAsia"/>
                <w:b/>
                <w:color w:val="auto"/>
                <w:sz w:val="24"/>
                <w:szCs w:val="21"/>
                <w:lang w:val="en-US" w:eastAsia="zh-CN"/>
              </w:rPr>
              <w:t>7</w:t>
            </w:r>
            <w:r>
              <w:rPr>
                <w:rFonts w:hint="eastAsia"/>
                <w:b/>
                <w:color w:val="auto"/>
                <w:sz w:val="24"/>
                <w:szCs w:val="21"/>
              </w:rPr>
              <w:t xml:space="preserve">  </w:t>
            </w:r>
            <w:r>
              <w:rPr>
                <w:b/>
                <w:color w:val="auto"/>
                <w:sz w:val="24"/>
                <w:szCs w:val="21"/>
              </w:rPr>
              <w:t>项目主要建设内容一览表</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1937"/>
              <w:gridCol w:w="49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tcBorders>
                    <w:tl2br w:val="nil"/>
                    <w:tr2bl w:val="nil"/>
                  </w:tcBorders>
                  <w:shd w:val="clear" w:color="auto" w:fill="auto"/>
                  <w:vAlign w:val="center"/>
                </w:tcPr>
                <w:p>
                  <w:pPr>
                    <w:pStyle w:val="53"/>
                    <w:spacing w:before="0" w:beforeLines="0" w:after="0" w:afterLines="0"/>
                    <w:rPr>
                      <w:color w:val="auto"/>
                      <w:sz w:val="21"/>
                      <w:szCs w:val="18"/>
                    </w:rPr>
                  </w:pPr>
                  <w:r>
                    <w:rPr>
                      <w:color w:val="auto"/>
                      <w:sz w:val="21"/>
                      <w:szCs w:val="18"/>
                    </w:rPr>
                    <w:t>工程</w:t>
                  </w:r>
                </w:p>
              </w:tc>
              <w:tc>
                <w:tcPr>
                  <w:tcW w:w="1937" w:type="dxa"/>
                  <w:tcBorders>
                    <w:tl2br w:val="nil"/>
                    <w:tr2bl w:val="nil"/>
                  </w:tcBorders>
                  <w:shd w:val="clear" w:color="auto" w:fill="auto"/>
                  <w:vAlign w:val="center"/>
                </w:tcPr>
                <w:p>
                  <w:pPr>
                    <w:pStyle w:val="53"/>
                    <w:spacing w:before="0" w:beforeLines="0" w:after="0" w:afterLines="0"/>
                    <w:rPr>
                      <w:color w:val="auto"/>
                      <w:sz w:val="21"/>
                      <w:szCs w:val="18"/>
                    </w:rPr>
                  </w:pPr>
                  <w:r>
                    <w:rPr>
                      <w:color w:val="auto"/>
                      <w:sz w:val="21"/>
                      <w:szCs w:val="18"/>
                    </w:rPr>
                    <w:t>内容</w:t>
                  </w:r>
                </w:p>
              </w:tc>
              <w:tc>
                <w:tcPr>
                  <w:tcW w:w="4910" w:type="dxa"/>
                  <w:tcBorders>
                    <w:tl2br w:val="nil"/>
                    <w:tr2bl w:val="nil"/>
                  </w:tcBorders>
                  <w:shd w:val="clear" w:color="auto" w:fill="auto"/>
                  <w:vAlign w:val="center"/>
                </w:tcPr>
                <w:p>
                  <w:pPr>
                    <w:pStyle w:val="53"/>
                    <w:spacing w:before="0" w:beforeLines="0" w:after="0" w:afterLines="0"/>
                    <w:rPr>
                      <w:color w:val="auto"/>
                      <w:sz w:val="21"/>
                      <w:szCs w:val="18"/>
                    </w:rPr>
                  </w:pPr>
                  <w:r>
                    <w:rPr>
                      <w:color w:val="auto"/>
                      <w:sz w:val="21"/>
                      <w:szCs w:val="18"/>
                    </w:rPr>
                    <w:t>规模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主体工程</w:t>
                  </w:r>
                </w:p>
              </w:tc>
              <w:tc>
                <w:tcPr>
                  <w:tcW w:w="1937" w:type="dxa"/>
                  <w:tcBorders>
                    <w:tl2br w:val="nil"/>
                    <w:tr2bl w:val="nil"/>
                  </w:tcBorders>
                  <w:vAlign w:val="center"/>
                </w:tcPr>
                <w:p>
                  <w:pPr>
                    <w:pStyle w:val="53"/>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安置楼房</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1-</w:t>
                  </w:r>
                  <w:r>
                    <w:rPr>
                      <w:rFonts w:hint="eastAsia" w:cs="Times New Roman"/>
                      <w:bCs/>
                      <w:color w:val="auto"/>
                      <w:sz w:val="21"/>
                      <w:szCs w:val="18"/>
                      <w:lang w:val="en-US" w:eastAsia="zh-CN"/>
                    </w:rPr>
                    <w:t>36</w:t>
                  </w:r>
                  <w:r>
                    <w:rPr>
                      <w:rFonts w:hint="eastAsia" w:ascii="Times New Roman" w:hAnsi="Times New Roman" w:eastAsia="宋体" w:cs="Times New Roman"/>
                      <w:bCs/>
                      <w:color w:val="auto"/>
                      <w:sz w:val="21"/>
                      <w:szCs w:val="18"/>
                      <w:lang w:val="en-US" w:eastAsia="zh-CN"/>
                    </w:rPr>
                    <w:t>#栋1+6F电梯住宅楼，总建筑面积</w:t>
                  </w:r>
                  <w:r>
                    <w:rPr>
                      <w:rFonts w:hint="eastAsia" w:cs="Times New Roman"/>
                      <w:bCs/>
                      <w:color w:val="auto"/>
                      <w:sz w:val="21"/>
                      <w:szCs w:val="18"/>
                      <w:lang w:val="en-US" w:eastAsia="zh-CN"/>
                    </w:rPr>
                    <w:t>143960.15</w:t>
                  </w:r>
                  <w:r>
                    <w:rPr>
                      <w:rFonts w:hint="eastAsia" w:ascii="Times New Roman" w:hAnsi="Times New Roman" w:eastAsia="宋体" w:cs="Times New Roman"/>
                      <w:bCs/>
                      <w:color w:val="auto"/>
                      <w:sz w:val="21"/>
                      <w:szCs w:val="18"/>
                    </w:rPr>
                    <w:t>m</w:t>
                  </w:r>
                  <w:r>
                    <w:rPr>
                      <w:rFonts w:hint="eastAsia" w:ascii="Times New Roman" w:hAnsi="Times New Roman" w:eastAsia="宋体" w:cs="Times New Roman"/>
                      <w:bCs/>
                      <w:color w:val="auto"/>
                      <w:sz w:val="21"/>
                      <w:szCs w:val="18"/>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辅助工程</w:t>
                  </w:r>
                </w:p>
              </w:tc>
              <w:tc>
                <w:tcPr>
                  <w:tcW w:w="1937" w:type="dxa"/>
                  <w:tcBorders>
                    <w:tl2br w:val="nil"/>
                    <w:tr2bl w:val="nil"/>
                  </w:tcBorders>
                  <w:vAlign w:val="center"/>
                </w:tcPr>
                <w:p>
                  <w:pPr>
                    <w:pStyle w:val="53"/>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设备房</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cs="Times New Roman"/>
                      <w:bCs/>
                      <w:color w:val="auto"/>
                      <w:sz w:val="21"/>
                      <w:szCs w:val="18"/>
                      <w:lang w:val="en-US" w:eastAsia="zh-CN"/>
                    </w:rPr>
                    <w:t>主要为配电间用房，</w:t>
                  </w:r>
                  <w:r>
                    <w:rPr>
                      <w:rFonts w:hint="eastAsia" w:ascii="Times New Roman" w:hAnsi="Times New Roman" w:eastAsia="宋体" w:cs="Times New Roman"/>
                      <w:bCs/>
                      <w:color w:val="auto"/>
                      <w:sz w:val="21"/>
                      <w:szCs w:val="18"/>
                      <w:lang w:val="en-US" w:eastAsia="zh-CN"/>
                    </w:rPr>
                    <w:t>建筑</w:t>
                  </w:r>
                  <w:r>
                    <w:rPr>
                      <w:rFonts w:hint="eastAsia" w:cs="Times New Roman"/>
                      <w:bCs/>
                      <w:color w:val="auto"/>
                      <w:sz w:val="21"/>
                      <w:szCs w:val="18"/>
                      <w:lang w:val="en-US" w:eastAsia="zh-CN"/>
                    </w:rPr>
                    <w:t>面积30</w:t>
                  </w:r>
                  <w:r>
                    <w:rPr>
                      <w:rFonts w:hint="eastAsia" w:ascii="Times New Roman" w:hAnsi="Times New Roman" w:eastAsia="宋体" w:cs="Times New Roman"/>
                      <w:bCs/>
                      <w:color w:val="auto"/>
                      <w:sz w:val="21"/>
                      <w:szCs w:val="18"/>
                      <w:lang w:val="en-US" w:eastAsia="zh-CN"/>
                    </w:rPr>
                    <w:t>0</w:t>
                  </w:r>
                  <w:r>
                    <w:rPr>
                      <w:rFonts w:hint="eastAsia" w:ascii="Times New Roman" w:hAnsi="Times New Roman" w:eastAsia="宋体" w:cs="Times New Roman"/>
                      <w:bCs/>
                      <w:color w:val="auto"/>
                      <w:sz w:val="21"/>
                      <w:szCs w:val="18"/>
                    </w:rPr>
                    <w:t>m</w:t>
                  </w:r>
                  <w:r>
                    <w:rPr>
                      <w:rFonts w:hint="eastAsia" w:ascii="Times New Roman" w:hAnsi="Times New Roman" w:eastAsia="宋体" w:cs="Times New Roman"/>
                      <w:bCs/>
                      <w:color w:val="auto"/>
                      <w:sz w:val="21"/>
                      <w:szCs w:val="18"/>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物业用房及门卫室</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rPr>
                  </w:pPr>
                  <w:r>
                    <w:rPr>
                      <w:rFonts w:hint="eastAsia" w:cs="Times New Roman"/>
                      <w:bCs/>
                      <w:color w:val="auto"/>
                      <w:sz w:val="21"/>
                      <w:szCs w:val="18"/>
                      <w:lang w:val="en-US" w:eastAsia="zh-CN"/>
                    </w:rPr>
                    <w:t>物业用房，</w:t>
                  </w:r>
                  <w:r>
                    <w:rPr>
                      <w:rFonts w:hint="eastAsia" w:ascii="Times New Roman" w:hAnsi="Times New Roman" w:eastAsia="宋体" w:cs="Times New Roman"/>
                      <w:bCs/>
                      <w:color w:val="auto"/>
                      <w:sz w:val="21"/>
                      <w:szCs w:val="18"/>
                      <w:lang w:val="en-US" w:eastAsia="zh-CN"/>
                    </w:rPr>
                    <w:t>建筑</w:t>
                  </w:r>
                  <w:r>
                    <w:rPr>
                      <w:rFonts w:hint="eastAsia" w:cs="Times New Roman"/>
                      <w:bCs/>
                      <w:color w:val="auto"/>
                      <w:sz w:val="21"/>
                      <w:szCs w:val="18"/>
                      <w:lang w:val="en-US" w:eastAsia="zh-CN"/>
                    </w:rPr>
                    <w:t>面积400</w:t>
                  </w:r>
                  <w:r>
                    <w:rPr>
                      <w:rFonts w:hint="eastAsia" w:ascii="Times New Roman" w:hAnsi="Times New Roman" w:eastAsia="宋体" w:cs="Times New Roman"/>
                      <w:bCs/>
                      <w:color w:val="auto"/>
                      <w:sz w:val="21"/>
                      <w:szCs w:val="18"/>
                    </w:rPr>
                    <w:t>m</w:t>
                  </w:r>
                  <w:r>
                    <w:rPr>
                      <w:rFonts w:hint="eastAsia" w:ascii="Times New Roman" w:hAnsi="Times New Roman" w:eastAsia="宋体" w:cs="Times New Roman"/>
                      <w:bCs/>
                      <w:color w:val="auto"/>
                      <w:sz w:val="21"/>
                      <w:szCs w:val="18"/>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公用工程</w:t>
                  </w: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供水</w:t>
                  </w:r>
                </w:p>
              </w:tc>
              <w:tc>
                <w:tcPr>
                  <w:tcW w:w="4910" w:type="dxa"/>
                  <w:tcBorders>
                    <w:tl2br w:val="nil"/>
                    <w:tr2bl w:val="nil"/>
                  </w:tcBorders>
                  <w:vAlign w:val="center"/>
                </w:tcPr>
                <w:p>
                  <w:pPr>
                    <w:jc w:val="center"/>
                    <w:rPr>
                      <w:rFonts w:hint="eastAsia"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市政自来水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排水</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生活污水经收集后进入化粪池处理，处理达标后进入市政污水管网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供电</w:t>
                  </w:r>
                </w:p>
              </w:tc>
              <w:tc>
                <w:tcPr>
                  <w:tcW w:w="4910" w:type="dxa"/>
                  <w:tcBorders>
                    <w:tl2br w:val="nil"/>
                    <w:tr2bl w:val="nil"/>
                  </w:tcBorders>
                  <w:vAlign w:val="center"/>
                </w:tcPr>
                <w:p>
                  <w:pPr>
                    <w:jc w:val="center"/>
                    <w:rPr>
                      <w:rFonts w:hint="eastAsia"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当地电网供给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环保工程</w:t>
                  </w: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污水处理设施</w:t>
                  </w:r>
                </w:p>
              </w:tc>
              <w:tc>
                <w:tcPr>
                  <w:tcW w:w="4910" w:type="dxa"/>
                  <w:tcBorders>
                    <w:tl2br w:val="nil"/>
                    <w:tr2bl w:val="nil"/>
                  </w:tcBorders>
                  <w:vAlign w:val="center"/>
                </w:tcPr>
                <w:p>
                  <w:pPr>
                    <w:jc w:val="center"/>
                    <w:rPr>
                      <w:rFonts w:hint="eastAsia"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生活污水通过化粪池处理</w:t>
                  </w:r>
                  <w:r>
                    <w:rPr>
                      <w:rFonts w:hint="eastAsia" w:cs="Times New Roman"/>
                      <w:bCs/>
                      <w:color w:val="auto"/>
                      <w:sz w:val="21"/>
                      <w:szCs w:val="18"/>
                      <w:lang w:val="en-US" w:eastAsia="zh-CN"/>
                    </w:rPr>
                    <w:t>后外排市政污水管网</w:t>
                  </w:r>
                  <w:r>
                    <w:rPr>
                      <w:rFonts w:hint="eastAsia" w:ascii="Times New Roman" w:hAnsi="Times New Roman" w:eastAsia="宋体" w:cs="Times New Roman"/>
                      <w:bCs/>
                      <w:color w:val="auto"/>
                      <w:sz w:val="21"/>
                      <w:szCs w:val="18"/>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废气处理设施</w:t>
                  </w:r>
                </w:p>
              </w:tc>
              <w:tc>
                <w:tcPr>
                  <w:tcW w:w="4910" w:type="dxa"/>
                  <w:tcBorders>
                    <w:tl2br w:val="nil"/>
                    <w:tr2bl w:val="nil"/>
                  </w:tcBorders>
                  <w:vAlign w:val="center"/>
                </w:tcPr>
                <w:p>
                  <w:pPr>
                    <w:pStyle w:val="53"/>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油烟经油烟机处理后外排周边大气环境，汽车尾气以及垃圾桶恶臭产生量较小可通过加强管理减轻其影响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噪声处理设施</w:t>
                  </w:r>
                </w:p>
              </w:tc>
              <w:tc>
                <w:tcPr>
                  <w:tcW w:w="4910" w:type="dxa"/>
                  <w:tcBorders>
                    <w:tl2br w:val="nil"/>
                    <w:tr2bl w:val="nil"/>
                  </w:tcBorders>
                  <w:vAlign w:val="center"/>
                </w:tcPr>
                <w:p>
                  <w:pPr>
                    <w:pStyle w:val="53"/>
                    <w:spacing w:before="0" w:beforeLines="0" w:after="0" w:afterLines="0"/>
                    <w:rPr>
                      <w:rFonts w:hint="eastAsia" w:eastAsia="宋体"/>
                      <w:b w:val="0"/>
                      <w:bCs/>
                      <w:color w:val="auto"/>
                      <w:sz w:val="21"/>
                      <w:szCs w:val="18"/>
                      <w:u w:val="single"/>
                      <w:lang w:val="en-US" w:eastAsia="zh-CN"/>
                    </w:rPr>
                  </w:pPr>
                  <w:r>
                    <w:rPr>
                      <w:rFonts w:hint="eastAsia"/>
                      <w:b w:val="0"/>
                      <w:bCs/>
                      <w:color w:val="auto"/>
                      <w:sz w:val="21"/>
                      <w:szCs w:val="18"/>
                      <w:lang w:val="en-US" w:eastAsia="zh-CN"/>
                    </w:rPr>
                    <w:t>配电房变压器位于密闭房间内切采用吸声、基础减震等措施；电梯机组位于密闭房间内我且设置有</w:t>
                  </w:r>
                  <w:r>
                    <w:rPr>
                      <w:b w:val="0"/>
                      <w:bCs/>
                      <w:color w:val="auto"/>
                      <w:sz w:val="21"/>
                      <w:szCs w:val="18"/>
                    </w:rPr>
                    <w:t>基础减振</w:t>
                  </w:r>
                  <w:r>
                    <w:rPr>
                      <w:rFonts w:hint="eastAsia"/>
                      <w:b w:val="0"/>
                      <w:bCs/>
                      <w:color w:val="auto"/>
                      <w:sz w:val="21"/>
                      <w:szCs w:val="18"/>
                      <w:lang w:val="en-US" w:eastAsia="zh-CN"/>
                    </w:rPr>
                    <w:t>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3"/>
                    <w:spacing w:before="0" w:beforeLines="0" w:after="0" w:afterLines="0"/>
                    <w:rPr>
                      <w:b w:val="0"/>
                      <w:bCs/>
                      <w:color w:val="auto"/>
                      <w:sz w:val="21"/>
                      <w:szCs w:val="18"/>
                    </w:rPr>
                  </w:pPr>
                </w:p>
              </w:tc>
              <w:tc>
                <w:tcPr>
                  <w:tcW w:w="1937" w:type="dxa"/>
                  <w:tcBorders>
                    <w:tl2br w:val="nil"/>
                    <w:tr2bl w:val="nil"/>
                  </w:tcBorders>
                  <w:vAlign w:val="center"/>
                </w:tcPr>
                <w:p>
                  <w:pPr>
                    <w:pStyle w:val="53"/>
                    <w:spacing w:before="0" w:beforeLines="0" w:after="0" w:afterLines="0"/>
                    <w:rPr>
                      <w:b w:val="0"/>
                      <w:bCs/>
                      <w:color w:val="auto"/>
                      <w:sz w:val="21"/>
                      <w:szCs w:val="18"/>
                    </w:rPr>
                  </w:pPr>
                  <w:r>
                    <w:rPr>
                      <w:b w:val="0"/>
                      <w:bCs/>
                      <w:color w:val="auto"/>
                      <w:sz w:val="21"/>
                      <w:szCs w:val="18"/>
                    </w:rPr>
                    <w:t>固体废物处理设施</w:t>
                  </w:r>
                </w:p>
              </w:tc>
              <w:tc>
                <w:tcPr>
                  <w:tcW w:w="4910" w:type="dxa"/>
                  <w:tcBorders>
                    <w:tl2br w:val="nil"/>
                    <w:tr2bl w:val="nil"/>
                  </w:tcBorders>
                  <w:vAlign w:val="center"/>
                </w:tcPr>
                <w:p>
                  <w:pPr>
                    <w:pStyle w:val="53"/>
                    <w:spacing w:before="0" w:beforeLines="0" w:after="0" w:afterLines="0"/>
                    <w:rPr>
                      <w:bCs/>
                      <w:color w:val="auto"/>
                      <w:sz w:val="21"/>
                      <w:szCs w:val="18"/>
                    </w:rPr>
                  </w:pPr>
                  <w:r>
                    <w:rPr>
                      <w:b w:val="0"/>
                      <w:bCs/>
                      <w:color w:val="auto"/>
                      <w:sz w:val="21"/>
                      <w:szCs w:val="18"/>
                    </w:rPr>
                    <w:t>生活垃圾经</w:t>
                  </w:r>
                  <w:r>
                    <w:rPr>
                      <w:rFonts w:hint="eastAsia"/>
                      <w:b w:val="0"/>
                      <w:bCs/>
                      <w:color w:val="auto"/>
                      <w:sz w:val="21"/>
                      <w:szCs w:val="18"/>
                      <w:lang w:val="en-US" w:eastAsia="zh-CN"/>
                    </w:rPr>
                    <w:t>分类收集</w:t>
                  </w:r>
                  <w:r>
                    <w:rPr>
                      <w:b w:val="0"/>
                      <w:bCs/>
                      <w:color w:val="auto"/>
                      <w:sz w:val="21"/>
                      <w:szCs w:val="18"/>
                    </w:rPr>
                    <w:t>垃圾桶收集后交由环卫部门处置</w:t>
                  </w:r>
                </w:p>
              </w:tc>
            </w:tr>
          </w:tbl>
          <w:p>
            <w:pPr>
              <w:keepNext w:val="0"/>
              <w:keepLines w:val="0"/>
              <w:pageBreakBefore w:val="0"/>
              <w:widowControl w:val="0"/>
              <w:kinsoku/>
              <w:wordWrap/>
              <w:overflowPunct/>
              <w:topLinePunct w:val="0"/>
              <w:autoSpaceDE/>
              <w:autoSpaceDN/>
              <w:bidi w:val="0"/>
              <w:adjustRightInd w:val="0"/>
              <w:snapToGrid w:val="0"/>
              <w:spacing w:before="157" w:beforeLines="50"/>
              <w:ind w:firstLine="482" w:firstLineChars="200"/>
              <w:jc w:val="center"/>
              <w:textAlignment w:val="auto"/>
              <w:rPr>
                <w:rFonts w:hint="default" w:ascii="Times New Roman" w:hAnsi="Times New Roman" w:eastAsia="宋体" w:cs="Times New Roman"/>
                <w:b/>
                <w:color w:val="auto"/>
                <w:sz w:val="24"/>
                <w:szCs w:val="21"/>
                <w:lang w:val="en-US" w:eastAsia="zh-CN"/>
              </w:rPr>
            </w:pPr>
            <w:r>
              <w:rPr>
                <w:rFonts w:hint="eastAsia" w:ascii="Times New Roman" w:hAnsi="Times New Roman" w:eastAsia="宋体" w:cs="Times New Roman"/>
                <w:b/>
                <w:color w:val="auto"/>
                <w:sz w:val="24"/>
                <w:szCs w:val="21"/>
                <w:lang w:val="en-US" w:eastAsia="zh-CN"/>
              </w:rPr>
              <w:t>表2-</w:t>
            </w:r>
            <w:r>
              <w:rPr>
                <w:rFonts w:hint="eastAsia" w:cs="Times New Roman"/>
                <w:b/>
                <w:color w:val="auto"/>
                <w:sz w:val="24"/>
                <w:szCs w:val="21"/>
                <w:lang w:val="en-US" w:eastAsia="zh-CN"/>
              </w:rPr>
              <w:t>8</w:t>
            </w:r>
            <w:r>
              <w:rPr>
                <w:rFonts w:hint="eastAsia" w:ascii="Times New Roman" w:hAnsi="Times New Roman" w:eastAsia="宋体" w:cs="Times New Roman"/>
                <w:b/>
                <w:color w:val="auto"/>
                <w:sz w:val="24"/>
                <w:szCs w:val="21"/>
                <w:lang w:val="en-US" w:eastAsia="zh-CN"/>
              </w:rPr>
              <w:t xml:space="preserve">  地块一综合经济技术指标表</w:t>
            </w:r>
          </w:p>
          <w:tbl>
            <w:tblPr>
              <w:tblStyle w:val="23"/>
              <w:tblW w:w="7937" w:type="dxa"/>
              <w:tblInd w:w="1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 w:type="dxa"/>
                <w:bottom w:w="0" w:type="dxa"/>
                <w:right w:w="10" w:type="dxa"/>
              </w:tblCellMar>
            </w:tblPr>
            <w:tblGrid>
              <w:gridCol w:w="645"/>
              <w:gridCol w:w="3080"/>
              <w:gridCol w:w="2578"/>
              <w:gridCol w:w="163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7937" w:type="dxa"/>
                  <w:gridSpan w:val="4"/>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 xml:space="preserve">    三期地块一综合经济技术指标表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名称</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数值</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 xml:space="preserve">规划用地面积 </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60377.36</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总建筑面积</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76020.54</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计容建筑面积</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73651.31</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restart"/>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70户型（5栋）</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15511.82</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105户型（12栋）</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48205.85</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140户型（1栋）</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5674.26</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175户型（1栋）</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4059.38</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645"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物业用房/门卫室</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200.00</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3725"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不计容积率建筑面积</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2369.23</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建筑基底面积</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10662.46</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建筑密度</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17.66</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容积率</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1.22</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绿地率</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20.2</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总户数</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668</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restart"/>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tc>
              <w:tc>
                <w:tcPr>
                  <w:tcW w:w="3080"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70户型</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204</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105户型</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408</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140户型</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36</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45"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80"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175户型</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25"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停车位</w:t>
                  </w:r>
                </w:p>
              </w:tc>
              <w:tc>
                <w:tcPr>
                  <w:tcW w:w="2578"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535</w:t>
                  </w:r>
                </w:p>
              </w:tc>
              <w:tc>
                <w:tcPr>
                  <w:tcW w:w="1634"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个</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7937" w:type="dxa"/>
                  <w:gridSpan w:val="4"/>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室外停车位471个。（其中无博焊停车位11个）车库停车位64个，（其中新能源停车位54个）T机动停车位334个（充电桩167个）</w:t>
                  </w:r>
                </w:p>
              </w:tc>
            </w:tr>
          </w:tbl>
          <w:p>
            <w:pPr>
              <w:keepNext w:val="0"/>
              <w:keepLines w:val="0"/>
              <w:pageBreakBefore w:val="0"/>
              <w:widowControl w:val="0"/>
              <w:kinsoku/>
              <w:wordWrap/>
              <w:overflowPunct/>
              <w:topLinePunct w:val="0"/>
              <w:autoSpaceDE/>
              <w:autoSpaceDN/>
              <w:bidi w:val="0"/>
              <w:adjustRightInd w:val="0"/>
              <w:snapToGrid w:val="0"/>
              <w:spacing w:before="157" w:beforeLines="50"/>
              <w:ind w:firstLine="482" w:firstLineChars="200"/>
              <w:jc w:val="center"/>
              <w:textAlignment w:val="auto"/>
              <w:rPr>
                <w:rFonts w:hint="default" w:ascii="Times New Roman" w:hAnsi="Times New Roman" w:eastAsia="宋体" w:cs="Times New Roman"/>
                <w:b/>
                <w:color w:val="auto"/>
                <w:sz w:val="24"/>
                <w:szCs w:val="21"/>
                <w:lang w:val="en-US" w:eastAsia="zh-CN"/>
              </w:rPr>
            </w:pPr>
            <w:r>
              <w:rPr>
                <w:rFonts w:hint="eastAsia" w:ascii="Times New Roman" w:hAnsi="Times New Roman" w:eastAsia="宋体" w:cs="Times New Roman"/>
                <w:b/>
                <w:color w:val="auto"/>
                <w:sz w:val="24"/>
                <w:szCs w:val="21"/>
                <w:lang w:val="en-US" w:eastAsia="zh-CN"/>
              </w:rPr>
              <w:t>表2-</w:t>
            </w:r>
            <w:r>
              <w:rPr>
                <w:rFonts w:hint="eastAsia" w:cs="Times New Roman"/>
                <w:b/>
                <w:color w:val="auto"/>
                <w:sz w:val="24"/>
                <w:szCs w:val="21"/>
                <w:lang w:val="en-US" w:eastAsia="zh-CN"/>
              </w:rPr>
              <w:t>9</w:t>
            </w:r>
            <w:r>
              <w:rPr>
                <w:rFonts w:hint="eastAsia" w:ascii="Times New Roman" w:hAnsi="Times New Roman" w:eastAsia="宋体" w:cs="Times New Roman"/>
                <w:b/>
                <w:color w:val="auto"/>
                <w:sz w:val="24"/>
                <w:szCs w:val="21"/>
                <w:lang w:val="en-US" w:eastAsia="zh-CN"/>
              </w:rPr>
              <w:t xml:space="preserve"> 地块二综合经济技术指标表</w:t>
            </w:r>
          </w:p>
          <w:tbl>
            <w:tblPr>
              <w:tblStyle w:val="23"/>
              <w:tblW w:w="7937" w:type="dxa"/>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 w:type="dxa"/>
                <w:bottom w:w="0" w:type="dxa"/>
                <w:right w:w="10" w:type="dxa"/>
              </w:tblCellMar>
            </w:tblPr>
            <w:tblGrid>
              <w:gridCol w:w="588"/>
              <w:gridCol w:w="76"/>
              <w:gridCol w:w="3075"/>
              <w:gridCol w:w="2556"/>
              <w:gridCol w:w="164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7937" w:type="dxa"/>
                  <w:gridSpan w:val="5"/>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三期块地二综合经济技术指标表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名称</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数值</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规划用地面积</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52600.80</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总建筑面积</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72865.22</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计容建筑面积</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70708.84</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588" w:type="dxa"/>
                  <w:vMerge w:val="restart"/>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tc>
              <w:tc>
                <w:tcPr>
                  <w:tcW w:w="3151"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35户型（1栋）</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2062.8</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588"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151"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105户型（9栋）</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36833.29</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588"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151"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140户型（7栋）</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31612.75</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588" w:type="dxa"/>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151" w:type="dxa"/>
                  <w:gridSpan w:val="2"/>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物业用房/门卫室</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200.00</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不计容积率建筑面积</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2156.38</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建筑基底面积</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10281.98</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建筑密度</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19.55</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容积率</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1.35</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绿地率</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20.1</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总户数</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572</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64" w:type="dxa"/>
                  <w:gridSpan w:val="2"/>
                  <w:vMerge w:val="restart"/>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tc>
              <w:tc>
                <w:tcPr>
                  <w:tcW w:w="307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35户型</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60</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64" w:type="dxa"/>
                  <w:gridSpan w:val="2"/>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7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105户型</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312</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664" w:type="dxa"/>
                  <w:gridSpan w:val="2"/>
                  <w:vMerge w:val="continue"/>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75"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140户型</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200</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739" w:type="dxa"/>
                  <w:gridSpan w:val="3"/>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停车位</w:t>
                  </w:r>
                </w:p>
              </w:tc>
              <w:tc>
                <w:tcPr>
                  <w:tcW w:w="2556"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458</w:t>
                  </w:r>
                </w:p>
              </w:tc>
              <w:tc>
                <w:tcPr>
                  <w:tcW w:w="1642" w:type="dxa"/>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个</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7937" w:type="dxa"/>
                  <w:gridSpan w:val="5"/>
                  <w:tcBorders>
                    <w:tl2br w:val="nil"/>
                    <w:tr2bl w:val="nil"/>
                  </w:tcBorders>
                  <w:vAlign w:val="center"/>
                </w:tcPr>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p>
                  <w:pPr>
                    <w:pStyle w:val="53"/>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率外停车位400个，（其中无障碍停车位10个）车库停车位58个，（其中新能源停车位46个）非机动停车位286个（充电桥143个）</w:t>
                  </w:r>
                </w:p>
              </w:tc>
            </w:tr>
          </w:tbl>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cs="宋体"/>
                <w:bCs/>
                <w:color w:val="auto"/>
                <w:sz w:val="24"/>
                <w:szCs w:val="21"/>
                <w:lang w:val="en-US" w:eastAsia="zh-CN"/>
              </w:rPr>
              <w:t>（4）</w:t>
            </w:r>
            <w:r>
              <w:rPr>
                <w:rFonts w:hint="eastAsia" w:ascii="Times New Roman" w:hAnsi="Times New Roman" w:eastAsia="宋体" w:cs="宋体"/>
                <w:bCs/>
                <w:color w:val="auto"/>
                <w:sz w:val="24"/>
                <w:szCs w:val="21"/>
                <w:lang w:val="en-US" w:eastAsia="zh-CN"/>
              </w:rPr>
              <w:t>污水处理厂</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本项目拟在华容县团洲乡安置房小区建设一座日处理能力为300吨/天的污水处理厂，主要处理该乡镇居民日常生活和生产活动产生的污水。污水处理 厂建设内容包括：主体处理设施（如调节池、生化池、沉淀池、污泥处 理系统等）、配套综合用房（管理办公区、控制室、设备间等）、道路 及围墙（厂区道路、场地硬化、安全防护措施）、绿化工程（厂区绿化带、美化环境措施）、其他附属设施（如供水、供电、污水回用系统等）。</w:t>
            </w:r>
          </w:p>
          <w:p>
            <w:pPr>
              <w:keepNext w:val="0"/>
              <w:keepLines w:val="0"/>
              <w:pageBreakBefore w:val="0"/>
              <w:widowControl w:val="0"/>
              <w:kinsoku/>
              <w:wordWrap/>
              <w:overflowPunct/>
              <w:topLinePunct w:val="0"/>
              <w:autoSpaceDE/>
              <w:autoSpaceDN/>
              <w:bidi w:val="0"/>
              <w:adjustRightInd w:val="0"/>
              <w:snapToGrid w:val="0"/>
              <w:ind w:firstLine="482" w:firstLineChars="200"/>
              <w:jc w:val="center"/>
              <w:textAlignment w:val="auto"/>
              <w:rPr>
                <w:rFonts w:hint="default" w:ascii="Times New Roman" w:hAnsi="Times New Roman" w:eastAsia="宋体" w:cs="Times New Roman"/>
                <w:b/>
                <w:color w:val="auto"/>
                <w:sz w:val="24"/>
                <w:szCs w:val="21"/>
                <w:lang w:val="en-US" w:eastAsia="zh-CN"/>
              </w:rPr>
            </w:pPr>
            <w:r>
              <w:rPr>
                <w:rFonts w:hint="eastAsia" w:cs="Times New Roman"/>
                <w:b/>
                <w:color w:val="auto"/>
                <w:sz w:val="24"/>
                <w:szCs w:val="21"/>
                <w:lang w:val="en-US" w:eastAsia="zh-CN"/>
              </w:rPr>
              <w:t xml:space="preserve">表2-10  </w:t>
            </w:r>
            <w:r>
              <w:rPr>
                <w:rFonts w:hint="eastAsia" w:ascii="Times New Roman" w:hAnsi="Times New Roman" w:eastAsia="宋体" w:cs="Times New Roman"/>
                <w:b/>
                <w:color w:val="auto"/>
                <w:sz w:val="24"/>
                <w:szCs w:val="21"/>
                <w:lang w:val="en-US" w:eastAsia="zh-CN"/>
              </w:rPr>
              <w:t>团洲新村污水处理厂建设经济技术指标表</w:t>
            </w:r>
          </w:p>
          <w:tbl>
            <w:tblPr>
              <w:tblStyle w:val="72"/>
              <w:tblW w:w="788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446"/>
              <w:gridCol w:w="3688"/>
              <w:gridCol w:w="900"/>
              <w:gridCol w:w="184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bCs w:val="0"/>
                      <w:color w:val="auto"/>
                      <w:sz w:val="21"/>
                      <w:szCs w:val="18"/>
                      <w:lang w:val="en-US" w:eastAsia="zh-CN"/>
                    </w:rPr>
                  </w:pPr>
                  <w:r>
                    <w:rPr>
                      <w:rFonts w:hint="default" w:ascii="Times New Roman" w:hAnsi="Times New Roman" w:eastAsia="宋体" w:cs="Times New Roman"/>
                      <w:b/>
                      <w:bCs w:val="0"/>
                      <w:color w:val="auto"/>
                      <w:sz w:val="21"/>
                      <w:szCs w:val="18"/>
                      <w:lang w:val="en-US" w:eastAsia="zh-CN"/>
                    </w:rPr>
                    <w:t>序号</w:t>
                  </w:r>
                </w:p>
              </w:tc>
              <w:tc>
                <w:tcPr>
                  <w:tcW w:w="3688" w:type="dxa"/>
                  <w:vAlign w:val="center"/>
                </w:tcPr>
                <w:p>
                  <w:pPr>
                    <w:pStyle w:val="53"/>
                    <w:spacing w:before="0" w:beforeLines="0" w:after="0" w:afterLines="0"/>
                    <w:jc w:val="center"/>
                    <w:rPr>
                      <w:rFonts w:hint="default" w:ascii="Times New Roman" w:hAnsi="Times New Roman" w:eastAsia="宋体" w:cs="Times New Roman"/>
                      <w:b/>
                      <w:bCs w:val="0"/>
                      <w:color w:val="auto"/>
                      <w:sz w:val="21"/>
                      <w:szCs w:val="18"/>
                      <w:lang w:val="en-US" w:eastAsia="zh-CN"/>
                    </w:rPr>
                  </w:pPr>
                  <w:r>
                    <w:rPr>
                      <w:rFonts w:hint="default" w:ascii="Times New Roman" w:hAnsi="Times New Roman" w:eastAsia="宋体" w:cs="Times New Roman"/>
                      <w:b/>
                      <w:bCs w:val="0"/>
                      <w:color w:val="auto"/>
                      <w:sz w:val="21"/>
                      <w:szCs w:val="18"/>
                      <w:lang w:val="en-US" w:eastAsia="zh-CN"/>
                    </w:rPr>
                    <w:t>项目名称</w:t>
                  </w:r>
                </w:p>
              </w:tc>
              <w:tc>
                <w:tcPr>
                  <w:tcW w:w="900" w:type="dxa"/>
                  <w:vAlign w:val="center"/>
                </w:tcPr>
                <w:p>
                  <w:pPr>
                    <w:pStyle w:val="53"/>
                    <w:spacing w:before="0" w:beforeLines="0" w:after="0" w:afterLines="0"/>
                    <w:jc w:val="center"/>
                    <w:rPr>
                      <w:rFonts w:hint="default" w:ascii="Times New Roman" w:hAnsi="Times New Roman" w:eastAsia="宋体" w:cs="Times New Roman"/>
                      <w:b/>
                      <w:bCs w:val="0"/>
                      <w:color w:val="auto"/>
                      <w:sz w:val="21"/>
                      <w:szCs w:val="18"/>
                      <w:lang w:val="en-US" w:eastAsia="zh-CN"/>
                    </w:rPr>
                  </w:pPr>
                  <w:r>
                    <w:rPr>
                      <w:rFonts w:hint="default" w:ascii="Times New Roman" w:hAnsi="Times New Roman" w:eastAsia="宋体" w:cs="Times New Roman"/>
                      <w:b/>
                      <w:bCs w:val="0"/>
                      <w:color w:val="auto"/>
                      <w:sz w:val="21"/>
                      <w:szCs w:val="18"/>
                      <w:lang w:val="en-US" w:eastAsia="zh-CN"/>
                    </w:rPr>
                    <w:t>单位</w:t>
                  </w:r>
                </w:p>
              </w:tc>
              <w:tc>
                <w:tcPr>
                  <w:tcW w:w="1846" w:type="dxa"/>
                  <w:vAlign w:val="center"/>
                </w:tcPr>
                <w:p>
                  <w:pPr>
                    <w:pStyle w:val="53"/>
                    <w:spacing w:before="0" w:beforeLines="0" w:after="0" w:afterLines="0"/>
                    <w:jc w:val="center"/>
                    <w:rPr>
                      <w:rFonts w:hint="default" w:ascii="Times New Roman" w:hAnsi="Times New Roman" w:eastAsia="宋体" w:cs="Times New Roman"/>
                      <w:b/>
                      <w:bCs w:val="0"/>
                      <w:color w:val="auto"/>
                      <w:sz w:val="21"/>
                      <w:szCs w:val="18"/>
                      <w:lang w:val="en-US" w:eastAsia="zh-CN"/>
                    </w:rPr>
                  </w:pPr>
                  <w:r>
                    <w:rPr>
                      <w:rFonts w:hint="default" w:ascii="Times New Roman" w:hAnsi="Times New Roman" w:eastAsia="宋体" w:cs="Times New Roman"/>
                      <w:b/>
                      <w:bCs w:val="0"/>
                      <w:color w:val="auto"/>
                      <w:sz w:val="21"/>
                      <w:szCs w:val="18"/>
                      <w:lang w:val="en-US" w:eastAsia="zh-CN"/>
                    </w:rPr>
                    <w:t>指标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第一部分</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主要建设内容</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一</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主体建筑</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1.1</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调节池</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w:t>
                  </w: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180.6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1.2</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生产辅助用房</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w:t>
                  </w: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115.3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二</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公用工程</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2.1</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强弱电工程</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w:t>
                  </w: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115.3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2.2</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消防工程</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w:t>
                  </w: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115.3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2.3</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通风工程</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w:t>
                  </w: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115.3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三</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配套设备</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3.1</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MBT一体化设备</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项</w:t>
                  </w: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3.2</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标注化排污口</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项</w:t>
                  </w: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3.3</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厂区大门</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项</w:t>
                  </w: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四</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围墙</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p>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m</w:t>
                  </w: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82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五</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绿化工程</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w:t>
                  </w: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110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六</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道路广场</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w:t>
                  </w: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82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七</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场外道路</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w:t>
                  </w: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321.65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第二部分</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建设期</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月</w:t>
                  </w: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第三部分</w:t>
                  </w:r>
                </w:p>
              </w:tc>
              <w:tc>
                <w:tcPr>
                  <w:tcW w:w="3688"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投资估算</w:t>
                  </w:r>
                </w:p>
              </w:tc>
              <w:tc>
                <w:tcPr>
                  <w:tcW w:w="900"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万元</w:t>
                  </w:r>
                </w:p>
              </w:tc>
              <w:tc>
                <w:tcPr>
                  <w:tcW w:w="1846" w:type="dxa"/>
                  <w:vAlign w:val="center"/>
                </w:tcPr>
                <w:p>
                  <w:pPr>
                    <w:pStyle w:val="53"/>
                    <w:spacing w:before="0" w:beforeLines="0" w:after="0" w:afterLines="0"/>
                    <w:jc w:val="center"/>
                    <w:rPr>
                      <w:rFonts w:hint="default" w:ascii="Times New Roman" w:hAnsi="Times New Roman" w:eastAsia="宋体" w:cs="Times New Roman"/>
                      <w:b w:val="0"/>
                      <w:bCs/>
                      <w:color w:val="auto"/>
                      <w:sz w:val="21"/>
                      <w:szCs w:val="18"/>
                      <w:lang w:val="en-US" w:eastAsia="zh-CN"/>
                    </w:rPr>
                  </w:pPr>
                  <w:r>
                    <w:rPr>
                      <w:rFonts w:hint="default" w:ascii="Times New Roman" w:hAnsi="Times New Roman" w:eastAsia="宋体" w:cs="Times New Roman"/>
                      <w:b w:val="0"/>
                      <w:bCs/>
                      <w:color w:val="auto"/>
                      <w:sz w:val="21"/>
                      <w:szCs w:val="18"/>
                      <w:lang w:val="en-US" w:eastAsia="zh-CN"/>
                    </w:rPr>
                    <w:t>390.00</w:t>
                  </w:r>
                </w:p>
              </w:tc>
            </w:tr>
          </w:tbl>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left"/>
              <w:textAlignment w:val="auto"/>
              <w:rPr>
                <w:rFonts w:hint="default" w:cs="宋体"/>
                <w:bCs/>
                <w:color w:val="auto"/>
                <w:sz w:val="24"/>
                <w:szCs w:val="21"/>
                <w:lang w:val="en-US" w:eastAsia="zh-CN"/>
              </w:rPr>
            </w:pPr>
            <w:r>
              <w:rPr>
                <w:rFonts w:hint="eastAsia" w:cs="宋体"/>
                <w:bCs/>
                <w:color w:val="auto"/>
                <w:sz w:val="24"/>
                <w:szCs w:val="21"/>
                <w:lang w:val="en-US" w:eastAsia="zh-CN"/>
              </w:rPr>
              <w:t>（5）其他配套基础设施</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建设内容和规模：</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月牙湖大道及团洲花园铺设一组DN600双壁波纹管污水管道1100.8m，新建检查井35座，新建化粪池11座，更换PVC落水管364m，接入原有污水主管网。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团洲花园内铺设一组DN600双壁波纹管雨水管道652.67m，及DN200一级钢筋混凝土雨水支管394.856m，新建检查井22，新建雨水口43座，更换落水管196m，接入月牙湖大道雨水主管网。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月牙湖大道原混凝土路面修补及黑化7331.57㎡，道路总长520.8m，宽 12.5m。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月牙湖大道原破损人行道拆除重建，北侧宽5m，南侧宽2.5m，合计2407.6㎡，树池拆除重建149座。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团洲花园内道路拆除重建沥青混凝土道路合计5395.48平方米。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团洲花园内景观及铺装拆除重建。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安置房小区外建设市政道路2774.615m，并配套安置房小区外绿化人行道两侧行道树925棵，树池草皮2081.3㎡。建设DN800雨水管5110.6m，DN300雨水管1171m，DN800污水管5110.6m，铺设2400m给水管，燃气</w:t>
            </w:r>
            <w:r>
              <w:rPr>
                <w:rFonts w:hint="eastAsia" w:cs="宋体"/>
                <w:bCs/>
                <w:color w:val="auto"/>
                <w:sz w:val="24"/>
                <w:szCs w:val="21"/>
                <w:lang w:val="en-US" w:eastAsia="zh-CN"/>
              </w:rPr>
              <w:t>管220</w:t>
            </w:r>
            <w:r>
              <w:rPr>
                <w:rFonts w:hint="eastAsia" w:ascii="Times New Roman" w:hAnsi="Times New Roman" w:eastAsia="宋体" w:cs="宋体"/>
                <w:bCs/>
                <w:color w:val="auto"/>
                <w:sz w:val="24"/>
                <w:szCs w:val="21"/>
                <w:lang w:val="en-US" w:eastAsia="zh-CN"/>
              </w:rPr>
              <w:t>0m，并配套建设照明、供配电、监控及标识标牌等基础设施。</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Times New Roman"/>
                <w:b/>
                <w:color w:val="auto"/>
                <w:sz w:val="24"/>
                <w:szCs w:val="21"/>
                <w:lang w:val="en-US" w:eastAsia="zh-CN"/>
              </w:rPr>
              <w:t>表2-</w:t>
            </w:r>
            <w:r>
              <w:rPr>
                <w:rFonts w:hint="eastAsia" w:cs="Times New Roman"/>
                <w:b/>
                <w:color w:val="auto"/>
                <w:sz w:val="24"/>
                <w:szCs w:val="21"/>
                <w:lang w:val="en-US" w:eastAsia="zh-CN"/>
              </w:rPr>
              <w:t>11</w:t>
            </w:r>
            <w:r>
              <w:rPr>
                <w:rFonts w:hint="eastAsia" w:ascii="Times New Roman" w:hAnsi="Times New Roman" w:eastAsia="宋体" w:cs="Times New Roman"/>
                <w:b/>
                <w:color w:val="auto"/>
                <w:sz w:val="24"/>
                <w:szCs w:val="21"/>
                <w:lang w:val="en-US" w:eastAsia="zh-CN"/>
              </w:rPr>
              <w:t xml:space="preserve"> </w:t>
            </w:r>
            <w:r>
              <w:rPr>
                <w:rFonts w:hint="eastAsia" w:cs="Times New Roman"/>
                <w:b/>
                <w:color w:val="auto"/>
                <w:sz w:val="24"/>
                <w:szCs w:val="21"/>
                <w:lang w:val="en-US" w:eastAsia="zh-CN"/>
              </w:rPr>
              <w:t>基础设施</w:t>
            </w:r>
            <w:r>
              <w:rPr>
                <w:rFonts w:hint="eastAsia" w:ascii="Times New Roman" w:hAnsi="Times New Roman" w:eastAsia="宋体" w:cs="Times New Roman"/>
                <w:b/>
                <w:color w:val="auto"/>
                <w:sz w:val="24"/>
                <w:szCs w:val="21"/>
                <w:lang w:val="en-US" w:eastAsia="zh-CN"/>
              </w:rPr>
              <w:t>经济技术指标表</w:t>
            </w:r>
          </w:p>
          <w:tbl>
            <w:tblPr>
              <w:tblStyle w:val="72"/>
              <w:tblW w:w="7994" w:type="dxa"/>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165"/>
              <w:gridCol w:w="2972"/>
              <w:gridCol w:w="725"/>
              <w:gridCol w:w="1160"/>
              <w:gridCol w:w="197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rPr>
                  </w:pPr>
                  <w:r>
                    <w:rPr>
                      <w:rFonts w:hint="default" w:ascii="Times New Roman" w:hAnsi="Times New Roman" w:cs="Times New Roman"/>
                      <w:b/>
                      <w:bCs/>
                      <w:spacing w:val="2"/>
                    </w:rPr>
                    <w:t>序号</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sz w:val="22"/>
                      <w:szCs w:val="22"/>
                    </w:rPr>
                  </w:pPr>
                  <w:r>
                    <w:rPr>
                      <w:rFonts w:hint="default" w:ascii="Times New Roman" w:hAnsi="Times New Roman" w:cs="Times New Roman"/>
                      <w:b/>
                      <w:bCs/>
                      <w:spacing w:val="-4"/>
                      <w:sz w:val="22"/>
                      <w:szCs w:val="22"/>
                    </w:rPr>
                    <w:t>项目名称</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sz w:val="22"/>
                      <w:szCs w:val="22"/>
                    </w:rPr>
                  </w:pPr>
                  <w:r>
                    <w:rPr>
                      <w:rFonts w:hint="default" w:ascii="Times New Roman" w:hAnsi="Times New Roman" w:cs="Times New Roman"/>
                      <w:b/>
                      <w:bCs/>
                      <w:spacing w:val="-9"/>
                      <w:sz w:val="22"/>
                      <w:szCs w:val="22"/>
                    </w:rPr>
                    <w:t>单位</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sz w:val="22"/>
                      <w:szCs w:val="22"/>
                    </w:rPr>
                  </w:pPr>
                  <w:r>
                    <w:rPr>
                      <w:rFonts w:hint="default" w:ascii="Times New Roman" w:hAnsi="Times New Roman" w:cs="Times New Roman"/>
                      <w:b/>
                      <w:bCs/>
                      <w:spacing w:val="-7"/>
                      <w:sz w:val="22"/>
                      <w:szCs w:val="22"/>
                    </w:rPr>
                    <w:t>指标</w:t>
                  </w:r>
                </w:p>
              </w:tc>
              <w:tc>
                <w:tcPr>
                  <w:tcW w:w="2084"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sz w:val="22"/>
                      <w:szCs w:val="22"/>
                    </w:rPr>
                  </w:pPr>
                  <w:r>
                    <w:rPr>
                      <w:rFonts w:hint="default" w:ascii="Times New Roman" w:hAnsi="Times New Roman" w:cs="Times New Roman"/>
                      <w:b/>
                      <w:bCs/>
                      <w:spacing w:val="-8"/>
                      <w:sz w:val="22"/>
                      <w:szCs w:val="22"/>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b/>
                      <w:bCs/>
                      <w:spacing w:val="2"/>
                    </w:rPr>
                    <w:t>第一部分</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b/>
                      <w:bCs/>
                      <w:spacing w:val="-5"/>
                      <w:sz w:val="22"/>
                      <w:szCs w:val="22"/>
                    </w:rPr>
                    <w:t>主要建设内容</w:t>
                  </w:r>
                </w:p>
              </w:tc>
              <w:tc>
                <w:tcPr>
                  <w:tcW w:w="7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122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position w:val="-3"/>
                    </w:rPr>
                    <w:t>一</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6"/>
                    </w:rPr>
                    <w:t>污水管网工程</w:t>
                  </w:r>
                </w:p>
              </w:tc>
              <w:tc>
                <w:tcPr>
                  <w:tcW w:w="7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122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1.1</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rPr>
                    <w:t>管道铺设</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position w:val="4"/>
                    </w:rPr>
                    <w:t>m</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1100.80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1.2</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6"/>
                    </w:rPr>
                    <w:t>检查井建设</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座</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position w:val="1"/>
                    </w:rPr>
                    <w:t>35.00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1.3</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6"/>
                    </w:rPr>
                    <w:t>化粪池建设</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座</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position w:val="1"/>
                    </w:rPr>
                    <w:t>11.00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1.4</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5"/>
                    </w:rPr>
                    <w:t>落水管更换</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position w:val="4"/>
                    </w:rPr>
                    <w:t>m</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364.00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二</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7"/>
                    </w:rPr>
                    <w:t>雨水管网工程</w:t>
                  </w:r>
                </w:p>
              </w:tc>
              <w:tc>
                <w:tcPr>
                  <w:tcW w:w="7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122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2.1</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8"/>
                    </w:rPr>
                    <w:t>雨水主管和支管铺设</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position w:val="4"/>
                    </w:rPr>
                    <w:t>m</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1047.53</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2.2</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7"/>
                    </w:rPr>
                    <w:t>雨水口建设</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座</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65.00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2.3</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5"/>
                    </w:rPr>
                    <w:t>落水管更换</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position w:val="4"/>
                    </w:rPr>
                    <w:t>m</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196.00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三</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5"/>
                    </w:rPr>
                    <w:t>道路工程</w:t>
                  </w:r>
                </w:p>
              </w:tc>
              <w:tc>
                <w:tcPr>
                  <w:tcW w:w="7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122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3.1</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8"/>
                    </w:rPr>
                    <w:t>路面修补与黑化</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position w:val="1"/>
                    </w:rPr>
                    <w:t>㎡</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7331.57</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3.2</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6"/>
                    </w:rPr>
                    <w:t>人行道重建</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position w:val="1"/>
                    </w:rPr>
                    <w:t>㎡</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2407.61</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3.3</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6"/>
                    </w:rPr>
                    <w:t>树池改造</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座</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149.00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3.4</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7"/>
                    </w:rPr>
                    <w:t>团洲花园内道路拆除旧路面并</w:t>
                  </w:r>
                  <w:r>
                    <w:rPr>
                      <w:rFonts w:hint="default" w:ascii="Times New Roman" w:hAnsi="Times New Roman" w:cs="Times New Roman"/>
                      <w:spacing w:val="4"/>
                    </w:rPr>
                    <w:t>重新铺设</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position w:val="1"/>
                    </w:rPr>
                    <w:t>㎡</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5395.48</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position w:val="1"/>
                    </w:rPr>
                    <w:t>四</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8"/>
                    </w:rPr>
                    <w:t>景观及零星配套工程</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项</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1.00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五</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7"/>
                    </w:rPr>
                    <w:t>小区外配套工程</w:t>
                  </w:r>
                </w:p>
              </w:tc>
              <w:tc>
                <w:tcPr>
                  <w:tcW w:w="7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122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5.1</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5"/>
                    </w:rPr>
                    <w:t>道路工程</w:t>
                  </w:r>
                </w:p>
              </w:tc>
              <w:tc>
                <w:tcPr>
                  <w:tcW w:w="7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122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position w:val="1"/>
                    </w:rPr>
                    <w:t>5.1.1</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4"/>
                    </w:rPr>
                    <w:t>市政道路</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米</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2774.61</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position w:val="1"/>
                    </w:rPr>
                    <w:t>5.1.2</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rPr>
                    <w:t>人行道</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rPr>
                    <w:t>平方</w:t>
                  </w:r>
                  <w:r>
                    <w:rPr>
                      <w:rFonts w:hint="default" w:ascii="Times New Roman" w:hAnsi="Times New Roman" w:cs="Times New Roman"/>
                    </w:rPr>
                    <w:t xml:space="preserve"> 米</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9864.00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5.2</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5"/>
                    </w:rPr>
                    <w:t>绿化工程</w:t>
                  </w:r>
                </w:p>
              </w:tc>
              <w:tc>
                <w:tcPr>
                  <w:tcW w:w="7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122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position w:val="1"/>
                    </w:rPr>
                    <w:t>5.2.1</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树</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颗</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925.00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position w:val="1"/>
                    </w:rPr>
                    <w:t>5.2.2</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6"/>
                    </w:rPr>
                    <w:t>树池草皮</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rPr>
                    <w:t>平方</w:t>
                  </w:r>
                  <w:r>
                    <w:rPr>
                      <w:rFonts w:hint="default" w:ascii="Times New Roman" w:hAnsi="Times New Roman" w:cs="Times New Roman"/>
                    </w:rPr>
                    <w:t>米</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2081.30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5.3</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6"/>
                    </w:rPr>
                    <w:t>供配电工程</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项</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1.00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5.4</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5"/>
                    </w:rPr>
                    <w:t>燃气工程</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米</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2200.00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2"/>
                    </w:rPr>
                    <w:t>5.5</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4"/>
                    </w:rPr>
                    <w:t>照明工程</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项</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1.00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5.6</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4"/>
                    </w:rPr>
                    <w:t>交通工程</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项</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1.00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2"/>
                    </w:rPr>
                    <w:t>5.7</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7"/>
                    </w:rPr>
                    <w:t>雨水管道工程</w:t>
                  </w:r>
                </w:p>
              </w:tc>
              <w:tc>
                <w:tcPr>
                  <w:tcW w:w="7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122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position w:val="1"/>
                    </w:rPr>
                    <w:t>5.7.1</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7"/>
                    </w:rPr>
                    <w:t>雨水管建设</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米</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6281.60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position w:val="1"/>
                    </w:rPr>
                    <w:t>5.7.2</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6"/>
                    </w:rPr>
                    <w:t>污水管铺设</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米</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3"/>
                      <w:position w:val="1"/>
                    </w:rPr>
                    <w:t>5110.6</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position w:val="1"/>
                    </w:rPr>
                    <w:t>5.7.3</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7"/>
                    </w:rPr>
                    <w:t>铺设给水管</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米</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position w:val="1"/>
                    </w:rPr>
                    <w:t>2400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六</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5"/>
                    </w:rPr>
                    <w:t>配套设施</w:t>
                  </w:r>
                </w:p>
              </w:tc>
              <w:tc>
                <w:tcPr>
                  <w:tcW w:w="7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122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position w:val="1"/>
                    </w:rPr>
                    <w:t>6.1</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4"/>
                    </w:rPr>
                    <w:t>监控设施</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项</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1.00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2"/>
                      <w:position w:val="1"/>
                    </w:rPr>
                    <w:t>6.2</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6"/>
                    </w:rPr>
                    <w:t>标识标牌</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rPr>
                    <w:t>项</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spacing w:val="-1"/>
                      <w:position w:val="1"/>
                    </w:rPr>
                    <w:t>1.00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b/>
                      <w:bCs/>
                      <w:spacing w:val="2"/>
                    </w:rPr>
                    <w:t>第二部分</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b/>
                      <w:bCs/>
                      <w:spacing w:val="3"/>
                    </w:rPr>
                    <w:t>建设期</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b/>
                      <w:bCs/>
                      <w:spacing w:val="-3"/>
                      <w:sz w:val="22"/>
                      <w:szCs w:val="22"/>
                    </w:rPr>
                    <w:t>月</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b/>
                      <w:bCs/>
                      <w:spacing w:val="-3"/>
                      <w:position w:val="2"/>
                    </w:rPr>
                    <w:t>5</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trPr>
              <w:tc>
                <w:tcPr>
                  <w:tcW w:w="1231"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b/>
                      <w:bCs/>
                      <w:spacing w:val="2"/>
                    </w:rPr>
                    <w:t>第三部分</w:t>
                  </w:r>
                </w:p>
              </w:tc>
              <w:tc>
                <w:tcPr>
                  <w:tcW w:w="3142"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b/>
                      <w:bCs/>
                      <w:spacing w:val="5"/>
                    </w:rPr>
                    <w:t>投资估算</w:t>
                  </w:r>
                </w:p>
              </w:tc>
              <w:tc>
                <w:tcPr>
                  <w:tcW w:w="76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b/>
                      <w:bCs/>
                      <w:spacing w:val="-10"/>
                      <w:sz w:val="22"/>
                      <w:szCs w:val="22"/>
                    </w:rPr>
                    <w:t>万元</w:t>
                  </w:r>
                </w:p>
              </w:tc>
              <w:tc>
                <w:tcPr>
                  <w:tcW w:w="1226" w:type="dxa"/>
                  <w:tcBorders>
                    <w:tl2br w:val="nil"/>
                    <w:tr2bl w:val="nil"/>
                  </w:tcBorders>
                  <w:vAlign w:val="center"/>
                </w:tcPr>
                <w:p>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b/>
                      <w:bCs/>
                      <w:spacing w:val="1"/>
                      <w:position w:val="1"/>
                    </w:rPr>
                    <w:t>7792.80</w:t>
                  </w:r>
                </w:p>
              </w:tc>
              <w:tc>
                <w:tcPr>
                  <w:tcW w:w="208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z w:val="21"/>
                    </w:rPr>
                  </w:pPr>
                </w:p>
              </w:tc>
            </w:tr>
          </w:tbl>
          <w:p>
            <w:pPr>
              <w:numPr>
                <w:ilvl w:val="0"/>
                <w:numId w:val="0"/>
              </w:numPr>
              <w:adjustRightInd w:val="0"/>
              <w:snapToGrid w:val="0"/>
              <w:spacing w:line="360" w:lineRule="auto"/>
              <w:jc w:val="left"/>
              <w:rPr>
                <w:rFonts w:cs="宋体"/>
                <w:b/>
                <w:color w:val="auto"/>
                <w:sz w:val="24"/>
                <w:szCs w:val="21"/>
              </w:rPr>
            </w:pPr>
            <w:r>
              <w:rPr>
                <w:rFonts w:hint="eastAsia" w:cs="宋体"/>
                <w:b/>
                <w:color w:val="auto"/>
                <w:sz w:val="24"/>
                <w:szCs w:val="21"/>
                <w:lang w:val="en-US" w:eastAsia="zh-CN"/>
              </w:rPr>
              <w:t>3、</w:t>
            </w:r>
            <w:r>
              <w:rPr>
                <w:rFonts w:hint="eastAsia" w:cs="宋体"/>
                <w:b/>
                <w:color w:val="auto"/>
                <w:sz w:val="24"/>
                <w:szCs w:val="21"/>
              </w:rPr>
              <w:t>公用工程</w:t>
            </w:r>
          </w:p>
          <w:p>
            <w:pPr>
              <w:adjustRightInd w:val="0"/>
              <w:snapToGrid w:val="0"/>
              <w:spacing w:line="360" w:lineRule="auto"/>
              <w:ind w:firstLine="480" w:firstLineChars="200"/>
              <w:jc w:val="left"/>
              <w:rPr>
                <w:rFonts w:cs="宋体"/>
                <w:bCs/>
                <w:color w:val="auto"/>
                <w:sz w:val="24"/>
                <w:szCs w:val="21"/>
              </w:rPr>
            </w:pPr>
            <w:r>
              <w:rPr>
                <w:rFonts w:hint="eastAsia" w:cs="宋体"/>
                <w:bCs/>
                <w:color w:val="auto"/>
                <w:sz w:val="24"/>
                <w:szCs w:val="21"/>
              </w:rPr>
              <w:t>（1）给水</w:t>
            </w:r>
          </w:p>
          <w:p>
            <w:pPr>
              <w:adjustRightInd w:val="0"/>
              <w:snapToGrid w:val="0"/>
              <w:spacing w:line="360" w:lineRule="auto"/>
              <w:ind w:firstLine="560" w:firstLineChars="200"/>
              <w:jc w:val="left"/>
              <w:rPr>
                <w:rFonts w:hint="eastAsia" w:ascii="Times New Roman" w:hAnsi="Times New Roman" w:eastAsia="宋体" w:cs="宋体"/>
                <w:bCs/>
                <w:color w:val="auto"/>
                <w:sz w:val="24"/>
                <w:szCs w:val="21"/>
                <w:lang w:val="en-US" w:eastAsia="zh-CN"/>
              </w:rPr>
            </w:pPr>
            <w:r>
              <w:rPr>
                <w:rFonts w:hint="eastAsia" w:ascii="仿宋" w:hAnsi="仿宋" w:eastAsia="仿宋" w:cs="仿宋"/>
                <w:bCs w:val="0"/>
                <w:snapToGrid w:val="0"/>
                <w:color w:val="auto"/>
                <w:spacing w:val="0"/>
                <w:kern w:val="0"/>
                <w:position w:val="0"/>
                <w:sz w:val="28"/>
                <w:szCs w:val="28"/>
                <w:highlight w:val="none"/>
                <w:u w:val="none"/>
                <w:lang w:val="en-US" w:eastAsia="zh-CN" w:bidi="ar-SA"/>
              </w:rPr>
              <w:t>1</w:t>
            </w:r>
            <w:r>
              <w:rPr>
                <w:rFonts w:hint="eastAsia" w:ascii="Times New Roman" w:hAnsi="Times New Roman" w:eastAsia="宋体" w:cs="宋体"/>
                <w:bCs/>
                <w:color w:val="auto"/>
                <w:sz w:val="24"/>
                <w:szCs w:val="21"/>
                <w:lang w:val="en-US" w:eastAsia="zh-CN"/>
              </w:rPr>
              <w:t>）水源</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工程小区外南侧055乡道，东侧团结北路市政道路有连接成环的市政给水管，市政给水厂有不少测量点两条输水干管向市政给水管网输水，南侧055乡道紧邻项目用地红线给水管网供水压力0.35MPa(道路地面标高28.23)管径DN150；东侧团结北路紧邻项目用地红线给水管网供水压力0.35 MPa，测量点道路地面标高，管径DN150。从055乡道及团结北路市政络水管网上名接DN150引入管，经总术表和倒流防止器(地上安装)后，供应小区生活用水及室外消火栓用水，供水水质符合国家标准《生活饮用水卫生标准》GB5749 2022相关要求。</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rPr>
            </w:pPr>
            <w:r>
              <w:rPr>
                <w:rFonts w:hint="eastAsia" w:ascii="Times New Roman" w:hAnsi="Times New Roman" w:eastAsia="宋体" w:cs="宋体"/>
                <w:bCs/>
                <w:color w:val="auto"/>
                <w:sz w:val="24"/>
                <w:szCs w:val="21"/>
              </w:rPr>
              <w:t>本项目员工生活用水由市政自来水管道供水，用水主要为生活用水。项目</w:t>
            </w:r>
            <w:r>
              <w:rPr>
                <w:rFonts w:hint="eastAsia" w:cs="宋体"/>
                <w:bCs/>
                <w:color w:val="auto"/>
                <w:sz w:val="24"/>
                <w:szCs w:val="21"/>
                <w:lang w:val="en-US" w:eastAsia="zh-CN"/>
              </w:rPr>
              <w:t>设计</w:t>
            </w:r>
            <w:r>
              <w:rPr>
                <w:rFonts w:hint="eastAsia" w:ascii="Times New Roman" w:hAnsi="Times New Roman" w:eastAsia="宋体" w:cs="宋体"/>
                <w:bCs/>
                <w:color w:val="auto"/>
                <w:sz w:val="24"/>
                <w:szCs w:val="21"/>
                <w:lang w:val="en-US" w:eastAsia="zh-CN"/>
              </w:rPr>
              <w:t>住户数</w:t>
            </w:r>
            <w:r>
              <w:rPr>
                <w:rFonts w:hint="eastAsia" w:cs="宋体"/>
                <w:bCs/>
                <w:color w:val="auto"/>
                <w:sz w:val="24"/>
                <w:szCs w:val="21"/>
                <w:lang w:val="en-US" w:eastAsia="zh-CN"/>
              </w:rPr>
              <w:t>2236</w:t>
            </w:r>
            <w:r>
              <w:rPr>
                <w:rFonts w:hint="eastAsia" w:ascii="Times New Roman" w:hAnsi="Times New Roman" w:eastAsia="宋体" w:cs="宋体"/>
                <w:bCs/>
                <w:color w:val="auto"/>
                <w:sz w:val="24"/>
                <w:szCs w:val="21"/>
                <w:lang w:val="en-US" w:eastAsia="zh-CN"/>
              </w:rPr>
              <w:t>户，</w:t>
            </w:r>
            <w:r>
              <w:rPr>
                <w:rFonts w:hint="eastAsia" w:cs="宋体"/>
                <w:bCs/>
                <w:color w:val="auto"/>
                <w:sz w:val="24"/>
                <w:szCs w:val="21"/>
                <w:lang w:val="en-US" w:eastAsia="zh-CN"/>
              </w:rPr>
              <w:t>根据华容县团洲乡实际情况，入住率按50%计，则</w:t>
            </w:r>
            <w:r>
              <w:rPr>
                <w:rFonts w:hint="eastAsia" w:ascii="Times New Roman" w:hAnsi="Times New Roman" w:eastAsia="宋体" w:cs="宋体"/>
                <w:bCs/>
                <w:color w:val="auto"/>
                <w:sz w:val="24"/>
                <w:szCs w:val="21"/>
                <w:lang w:val="en-US" w:eastAsia="zh-CN"/>
              </w:rPr>
              <w:t>预计总人口</w:t>
            </w:r>
            <w:r>
              <w:rPr>
                <w:rFonts w:hint="eastAsia" w:cs="宋体"/>
                <w:bCs/>
                <w:color w:val="auto"/>
                <w:sz w:val="24"/>
                <w:szCs w:val="21"/>
                <w:lang w:val="en-US" w:eastAsia="zh-CN"/>
              </w:rPr>
              <w:t>3500</w:t>
            </w:r>
            <w:r>
              <w:rPr>
                <w:rFonts w:hint="eastAsia" w:ascii="Times New Roman" w:hAnsi="Times New Roman" w:eastAsia="宋体" w:cs="宋体"/>
                <w:bCs/>
                <w:color w:val="auto"/>
                <w:sz w:val="24"/>
                <w:szCs w:val="21"/>
                <w:lang w:val="en-US" w:eastAsia="zh-CN"/>
              </w:rPr>
              <w:t>人</w:t>
            </w:r>
            <w:r>
              <w:rPr>
                <w:rFonts w:hint="eastAsia" w:ascii="Times New Roman" w:hAnsi="Times New Roman" w:eastAsia="宋体" w:cs="宋体"/>
                <w:bCs/>
                <w:color w:val="auto"/>
                <w:sz w:val="24"/>
                <w:szCs w:val="21"/>
              </w:rPr>
              <w:t>。生活用水量参考《湖南省用水定额》（DB43/T388</w:t>
            </w:r>
            <w:r>
              <w:rPr>
                <w:rFonts w:hint="eastAsia" w:ascii="Times New Roman" w:hAnsi="Times New Roman" w:eastAsia="宋体" w:cs="宋体"/>
                <w:bCs/>
                <w:color w:val="auto"/>
                <w:sz w:val="24"/>
                <w:szCs w:val="21"/>
                <w:lang w:val="en-US" w:eastAsia="zh-CN"/>
              </w:rPr>
              <w:t xml:space="preserve"> </w:t>
            </w:r>
            <w:r>
              <w:rPr>
                <w:rFonts w:hint="eastAsia" w:ascii="Times New Roman" w:hAnsi="Times New Roman" w:eastAsia="宋体" w:cs="宋体"/>
                <w:bCs/>
                <w:color w:val="auto"/>
                <w:sz w:val="24"/>
                <w:szCs w:val="21"/>
              </w:rPr>
              <w:t>-2020）</w:t>
            </w:r>
            <w:r>
              <w:rPr>
                <w:rFonts w:hint="eastAsia" w:cs="宋体"/>
                <w:bCs/>
                <w:color w:val="auto"/>
                <w:sz w:val="24"/>
                <w:szCs w:val="21"/>
                <w:lang w:val="en-US" w:eastAsia="zh-CN"/>
              </w:rPr>
              <w:t>并结合当地人用水习惯，</w:t>
            </w:r>
            <w:r>
              <w:rPr>
                <w:rFonts w:hint="eastAsia" w:ascii="Times New Roman" w:hAnsi="Times New Roman" w:eastAsia="宋体" w:cs="宋体"/>
                <w:bCs/>
                <w:color w:val="auto"/>
                <w:sz w:val="24"/>
                <w:szCs w:val="21"/>
              </w:rPr>
              <w:t>每人</w:t>
            </w:r>
            <w:r>
              <w:rPr>
                <w:rFonts w:hint="eastAsia" w:cs="宋体"/>
                <w:bCs/>
                <w:color w:val="auto"/>
                <w:sz w:val="24"/>
                <w:szCs w:val="21"/>
                <w:lang w:val="en-US" w:eastAsia="zh-CN"/>
              </w:rPr>
              <w:t>10</w:t>
            </w:r>
            <w:r>
              <w:rPr>
                <w:rFonts w:hint="eastAsia" w:ascii="Times New Roman" w:hAnsi="Times New Roman" w:eastAsia="宋体" w:cs="宋体"/>
                <w:bCs/>
                <w:color w:val="auto"/>
                <w:sz w:val="24"/>
                <w:szCs w:val="21"/>
                <w:lang w:val="en-US" w:eastAsia="zh-CN"/>
              </w:rPr>
              <w:t>0</w:t>
            </w:r>
            <w:r>
              <w:rPr>
                <w:rFonts w:hint="eastAsia" w:ascii="Times New Roman" w:hAnsi="Times New Roman" w:eastAsia="宋体" w:cs="宋体"/>
                <w:bCs/>
                <w:color w:val="auto"/>
                <w:sz w:val="24"/>
                <w:szCs w:val="21"/>
              </w:rPr>
              <w:t>L/d计算，项目生活用水量为</w:t>
            </w:r>
            <w:r>
              <w:rPr>
                <w:rFonts w:hint="eastAsia" w:cs="宋体"/>
                <w:bCs/>
                <w:color w:val="auto"/>
                <w:sz w:val="24"/>
                <w:szCs w:val="21"/>
                <w:lang w:val="en-US" w:eastAsia="zh-CN"/>
              </w:rPr>
              <w:t>350</w:t>
            </w:r>
            <w:r>
              <w:rPr>
                <w:rFonts w:hint="eastAsia" w:ascii="Times New Roman" w:hAnsi="Times New Roman" w:eastAsia="宋体" w:cs="宋体"/>
                <w:bCs/>
                <w:color w:val="auto"/>
                <w:sz w:val="24"/>
                <w:szCs w:val="21"/>
              </w:rPr>
              <w:t>t/d，</w:t>
            </w:r>
            <w:r>
              <w:rPr>
                <w:rFonts w:hint="eastAsia" w:cs="宋体"/>
                <w:bCs/>
                <w:color w:val="auto"/>
                <w:sz w:val="24"/>
                <w:szCs w:val="21"/>
                <w:lang w:val="en-US" w:eastAsia="zh-CN"/>
              </w:rPr>
              <w:t xml:space="preserve">127750 </w:t>
            </w:r>
            <w:r>
              <w:rPr>
                <w:rFonts w:hint="eastAsia" w:ascii="Times New Roman" w:hAnsi="Times New Roman" w:eastAsia="宋体" w:cs="宋体"/>
                <w:bCs/>
                <w:color w:val="auto"/>
                <w:sz w:val="24"/>
                <w:szCs w:val="21"/>
              </w:rPr>
              <w:t>t/a。</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rPr>
            </w:pPr>
            <w:r>
              <w:rPr>
                <w:rFonts w:hint="eastAsia" w:ascii="Times New Roman" w:hAnsi="Times New Roman" w:eastAsia="宋体" w:cs="宋体"/>
                <w:bCs/>
                <w:color w:val="auto"/>
                <w:sz w:val="24"/>
                <w:szCs w:val="21"/>
              </w:rPr>
              <w:t>2）排水</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本项目排水系统采用雨污分流制。主干管排水系统连接市政排水系统，建筑内部按功能区划分，根据《民用建筑设计规范》布置排水系统。</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项目内部雨水管道由雨水口、雨水井及管道组成。楼层屋面雨水经天沟收集后由集水口流入排水管，通过雨水渠排入雨水口，雨水口的布置在道路的交汇处或建筑单元出入处附近、雨落管附近和建筑物前后空地，绿地低洼点等处。雨水口与雨水井连接在道路边沿，雨水井再与雨水干管上的检查井连接。雨水管径为DN400-DN600，安置点雨水通过雨水干管连接市政排水管道，经市政排水管道排入就近的河道。</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卫生间各污水管道均采用通气立管，生活污水分别经化粪池、隔污处理或沉淀处理，再由排污管和生活污水一道经市政污水管沿道路排到市政污水管，再送往</w:t>
            </w:r>
            <w:r>
              <w:rPr>
                <w:rFonts w:hint="eastAsia" w:cs="宋体"/>
                <w:bCs/>
                <w:color w:val="auto"/>
                <w:sz w:val="24"/>
                <w:szCs w:val="21"/>
                <w:lang w:val="en-US" w:eastAsia="zh-CN"/>
              </w:rPr>
              <w:t>市政</w:t>
            </w:r>
            <w:r>
              <w:rPr>
                <w:rFonts w:hint="eastAsia" w:ascii="Times New Roman" w:hAnsi="Times New Roman" w:eastAsia="宋体" w:cs="宋体"/>
                <w:bCs/>
                <w:color w:val="auto"/>
                <w:sz w:val="24"/>
                <w:szCs w:val="21"/>
                <w:lang w:val="en-US" w:eastAsia="zh-CN"/>
              </w:rPr>
              <w:t>污水处理厂进行处理</w:t>
            </w:r>
            <w:r>
              <w:rPr>
                <w:rFonts w:hint="eastAsia" w:cs="宋体"/>
                <w:bCs/>
                <w:color w:val="auto"/>
                <w:sz w:val="24"/>
                <w:szCs w:val="21"/>
                <w:lang w:val="en-US" w:eastAsia="zh-CN"/>
              </w:rPr>
              <w:t>（其中安置区一期排至华容县团洲乡污水处理厂，安置区二期及三期排至华容县团洲乡团洲新村污水处理厂）</w:t>
            </w:r>
            <w:r>
              <w:rPr>
                <w:rFonts w:hint="eastAsia" w:ascii="Times New Roman" w:hAnsi="Times New Roman" w:eastAsia="宋体" w:cs="宋体"/>
                <w:bCs/>
                <w:color w:val="auto"/>
                <w:sz w:val="24"/>
                <w:szCs w:val="21"/>
                <w:lang w:val="en-US" w:eastAsia="zh-CN"/>
              </w:rPr>
              <w:t>，污水经处理后回用于市政洒水及绿化。</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3）供电</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本项目电源从地块西南角接入一路10KV市政电力网，进户线采用YJV电缆穿钢管埋地引来，电压为220V，负荷等级为三级。</w:t>
            </w:r>
          </w:p>
          <w:p>
            <w:pPr>
              <w:adjustRightInd w:val="0"/>
              <w:snapToGrid w:val="0"/>
              <w:spacing w:line="360" w:lineRule="auto"/>
              <w:ind w:firstLine="480" w:firstLineChars="200"/>
              <w:jc w:val="left"/>
              <w:rPr>
                <w:rFonts w:hint="eastAsia" w:eastAsia="宋体" w:cs="宋体"/>
                <w:bCs/>
                <w:color w:val="auto"/>
                <w:sz w:val="24"/>
                <w:szCs w:val="21"/>
              </w:rPr>
            </w:pPr>
            <w:r>
              <w:rPr>
                <w:rFonts w:hint="eastAsia" w:eastAsia="宋体" w:cs="宋体"/>
                <w:bCs/>
                <w:color w:val="auto"/>
                <w:sz w:val="24"/>
                <w:szCs w:val="21"/>
                <w:lang w:val="en-US" w:eastAsia="zh-CN"/>
              </w:rPr>
              <w:t>4</w:t>
            </w:r>
            <w:r>
              <w:rPr>
                <w:rFonts w:hint="eastAsia" w:eastAsia="宋体" w:cs="宋体"/>
                <w:bCs/>
                <w:color w:val="auto"/>
                <w:sz w:val="24"/>
                <w:szCs w:val="21"/>
              </w:rPr>
              <w:t>）供暖通风</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eastAsia="宋体" w:cs="宋体"/>
                <w:bCs/>
                <w:color w:val="auto"/>
                <w:sz w:val="24"/>
                <w:szCs w:val="21"/>
              </w:rPr>
              <w:t>本项目不设置中央空调，</w:t>
            </w:r>
            <w:r>
              <w:rPr>
                <w:rFonts w:hint="eastAsia" w:cs="宋体"/>
                <w:bCs/>
                <w:color w:val="auto"/>
                <w:sz w:val="24"/>
                <w:szCs w:val="21"/>
                <w:lang w:val="en-US" w:eastAsia="zh-CN"/>
              </w:rPr>
              <w:t>住户可根据自身情况</w:t>
            </w:r>
            <w:r>
              <w:rPr>
                <w:rFonts w:hint="eastAsia" w:eastAsia="宋体" w:cs="宋体"/>
                <w:bCs/>
                <w:color w:val="auto"/>
                <w:sz w:val="24"/>
                <w:szCs w:val="21"/>
              </w:rPr>
              <w:t>设置室内空调机，按舒适性要</w:t>
            </w:r>
            <w:r>
              <w:rPr>
                <w:rFonts w:hint="eastAsia" w:ascii="Times New Roman" w:hAnsi="Times New Roman" w:eastAsia="宋体" w:cs="宋体"/>
                <w:bCs/>
                <w:color w:val="auto"/>
                <w:sz w:val="24"/>
                <w:szCs w:val="21"/>
                <w:lang w:val="en-US" w:eastAsia="zh-CN"/>
              </w:rPr>
              <w:t>求进行温度调控。</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5）区内道路工程</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小区内道路采用沥青路面，结构层为土路基、10cm厚级配碎石、15cm厚C30水泥混凝土路面、乳化沥青透层、5cm厚细粒式沥青混凝土路面AC-13，配合比设计应根据结构层次综合考虑功能性要求，上面层重点考虑抗车辙能力、抗滑性能、水稳定性兼顾密水性要求:中面层重点考虑渗水性、水稳定性、抗车撤能力、抗裂性能兼顾耐疲劳性能；下面层重点考虑耐疲劳性能、密水性能、抗裂性能兼顾抗车撤能力</w:t>
            </w:r>
          </w:p>
          <w:p>
            <w:pPr>
              <w:numPr>
                <w:ilvl w:val="0"/>
                <w:numId w:val="0"/>
              </w:numPr>
              <w:adjustRightInd w:val="0"/>
              <w:snapToGrid w:val="0"/>
              <w:spacing w:line="360" w:lineRule="auto"/>
              <w:jc w:val="center"/>
              <w:rPr>
                <w:color w:val="auto"/>
              </w:rPr>
            </w:pPr>
            <w:r>
              <w:rPr>
                <w:color w:val="auto"/>
              </w:rPr>
              <w:drawing>
                <wp:inline distT="0" distB="0" distL="114300" distR="114300">
                  <wp:extent cx="4681220" cy="252349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3"/>
                          <a:srcRect l="9055" t="1193"/>
                          <a:stretch>
                            <a:fillRect/>
                          </a:stretch>
                        </pic:blipFill>
                        <pic:spPr>
                          <a:xfrm>
                            <a:off x="0" y="0"/>
                            <a:ext cx="4681220" cy="252349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cs="宋体"/>
                <w:b/>
                <w:bCs/>
                <w:color w:val="auto"/>
                <w:spacing w:val="0"/>
                <w:position w:val="0"/>
                <w:sz w:val="24"/>
                <w:szCs w:val="24"/>
                <w:highlight w:val="none"/>
                <w:lang w:val="en-US" w:eastAsia="zh-CN"/>
              </w:rPr>
            </w:pPr>
            <w:r>
              <w:rPr>
                <w:rFonts w:hint="eastAsia" w:ascii="宋体" w:hAnsi="宋体" w:eastAsia="宋体" w:cs="宋体"/>
                <w:b/>
                <w:bCs/>
                <w:color w:val="auto"/>
                <w:spacing w:val="0"/>
                <w:position w:val="0"/>
                <w:sz w:val="24"/>
                <w:szCs w:val="24"/>
                <w:highlight w:val="none"/>
                <w:lang w:val="en-US" w:eastAsia="zh-CN"/>
              </w:rPr>
              <w:t>小区内道路结构图</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6）绿化设计</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zh-CN" w:eastAsia="zh-CN"/>
              </w:rPr>
            </w:pPr>
            <w:r>
              <w:rPr>
                <w:rFonts w:hint="eastAsia" w:ascii="Times New Roman" w:hAnsi="Times New Roman" w:eastAsia="宋体" w:cs="宋体"/>
                <w:bCs/>
                <w:color w:val="auto"/>
                <w:sz w:val="24"/>
                <w:szCs w:val="21"/>
                <w:lang w:val="en-US" w:eastAsia="zh-CN"/>
              </w:rPr>
              <w:t>华容县团洲垸灾后重建安置房建设项目</w:t>
            </w:r>
            <w:r>
              <w:rPr>
                <w:rFonts w:hint="eastAsia" w:ascii="Times New Roman" w:hAnsi="Times New Roman" w:eastAsia="宋体" w:cs="宋体"/>
                <w:bCs/>
                <w:color w:val="auto"/>
                <w:sz w:val="24"/>
                <w:szCs w:val="21"/>
                <w:lang w:val="zh-CN" w:eastAsia="zh-CN"/>
              </w:rPr>
              <w:t>全线经综合考虑，安置房院内新栽树选择采用红叶石楠球、桢楠、银杏、杜英及草坪等相结合的方式，栽植中注意对管线的合理避让，行道树种植间距按设计规范并按照冠幅要求和种植密度种植。</w:t>
            </w:r>
          </w:p>
          <w:p>
            <w:pPr>
              <w:numPr>
                <w:ilvl w:val="0"/>
                <w:numId w:val="0"/>
              </w:numPr>
              <w:adjustRightInd w:val="0"/>
              <w:snapToGrid w:val="0"/>
              <w:spacing w:line="360" w:lineRule="auto"/>
              <w:jc w:val="left"/>
              <w:rPr>
                <w:rFonts w:hint="eastAsia" w:ascii="Times New Roman" w:hAnsi="Times New Roman" w:eastAsia="宋体" w:cs="宋体"/>
                <w:b/>
                <w:color w:val="auto"/>
                <w:sz w:val="24"/>
                <w:szCs w:val="21"/>
                <w:lang w:val="en-US" w:eastAsia="zh-CN"/>
              </w:rPr>
            </w:pPr>
            <w:r>
              <w:rPr>
                <w:rFonts w:hint="eastAsia" w:cs="宋体"/>
                <w:b/>
                <w:color w:val="auto"/>
                <w:sz w:val="24"/>
                <w:szCs w:val="21"/>
                <w:lang w:val="en-US" w:eastAsia="zh-CN"/>
              </w:rPr>
              <w:t>4</w:t>
            </w:r>
            <w:r>
              <w:rPr>
                <w:rFonts w:hint="eastAsia" w:ascii="Times New Roman" w:hAnsi="Times New Roman" w:eastAsia="宋体" w:cs="宋体"/>
                <w:b/>
                <w:color w:val="auto"/>
                <w:sz w:val="24"/>
                <w:szCs w:val="21"/>
                <w:lang w:val="en-US" w:eastAsia="zh-CN"/>
              </w:rPr>
              <w:t>、用地征收补偿（安置）方案</w:t>
            </w:r>
          </w:p>
          <w:p>
            <w:pPr>
              <w:adjustRightInd w:val="0"/>
              <w:snapToGrid w:val="0"/>
              <w:spacing w:line="360" w:lineRule="auto"/>
              <w:ind w:firstLine="480" w:firstLineChars="200"/>
              <w:jc w:val="left"/>
              <w:rPr>
                <w:rFonts w:hint="default"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本项目为华容县团洲垸灾后重建安置房建设项目，本项目土地权属归属于华容县团洲乡团胜村的集体土地。为顺利开展项目建设，进行了征收补偿工作，</w:t>
            </w:r>
            <w:r>
              <w:rPr>
                <w:rFonts w:hint="eastAsia" w:cs="宋体"/>
                <w:bCs/>
                <w:color w:val="auto"/>
                <w:sz w:val="24"/>
                <w:szCs w:val="21"/>
                <w:lang w:val="en-US" w:eastAsia="zh-CN"/>
              </w:rPr>
              <w:t>其中安置房一期</w:t>
            </w:r>
            <w:r>
              <w:rPr>
                <w:rFonts w:hint="eastAsia" w:ascii="Times New Roman" w:hAnsi="Times New Roman" w:eastAsia="宋体" w:cs="宋体"/>
                <w:bCs/>
                <w:color w:val="auto"/>
                <w:sz w:val="24"/>
                <w:szCs w:val="21"/>
                <w:lang w:val="en-US" w:eastAsia="en-US"/>
              </w:rPr>
              <w:t>土地征收补偿费</w:t>
            </w:r>
            <w:r>
              <w:rPr>
                <w:rFonts w:hint="eastAsia" w:ascii="Times New Roman" w:hAnsi="Times New Roman" w:eastAsia="宋体" w:cs="宋体"/>
                <w:bCs/>
                <w:color w:val="auto"/>
                <w:sz w:val="24"/>
                <w:szCs w:val="21"/>
                <w:lang w:val="en-US" w:eastAsia="zh-CN"/>
              </w:rPr>
              <w:t>410.00万元，拆迁安置由政府部门负责。</w:t>
            </w:r>
            <w:r>
              <w:rPr>
                <w:rFonts w:hint="eastAsia" w:cs="宋体"/>
                <w:bCs/>
                <w:color w:val="auto"/>
                <w:sz w:val="24"/>
                <w:szCs w:val="21"/>
                <w:lang w:val="en-US" w:eastAsia="zh-CN"/>
              </w:rPr>
              <w:t>安置房二期</w:t>
            </w:r>
            <w:r>
              <w:rPr>
                <w:rFonts w:hint="eastAsia" w:ascii="Times New Roman" w:hAnsi="Times New Roman" w:eastAsia="宋体" w:cs="宋体"/>
                <w:bCs/>
                <w:color w:val="auto"/>
                <w:sz w:val="24"/>
                <w:szCs w:val="21"/>
                <w:lang w:val="en-US" w:eastAsia="zh-CN"/>
              </w:rPr>
              <w:t>土地征收补偿费670.86万元</w:t>
            </w:r>
            <w:r>
              <w:rPr>
                <w:rFonts w:hint="eastAsia" w:cs="宋体"/>
                <w:bCs/>
                <w:color w:val="auto"/>
                <w:sz w:val="24"/>
                <w:szCs w:val="21"/>
                <w:lang w:val="en-US" w:eastAsia="zh-CN"/>
              </w:rPr>
              <w:t>，</w:t>
            </w:r>
            <w:r>
              <w:rPr>
                <w:rFonts w:hint="eastAsia" w:ascii="Times New Roman" w:hAnsi="Times New Roman" w:eastAsia="宋体" w:cs="宋体"/>
                <w:bCs/>
                <w:color w:val="auto"/>
                <w:sz w:val="24"/>
                <w:szCs w:val="21"/>
                <w:lang w:val="en-US" w:eastAsia="zh-CN"/>
              </w:rPr>
              <w:t>拆迁安置由政府部门负责。</w:t>
            </w:r>
            <w:r>
              <w:rPr>
                <w:rFonts w:hint="eastAsia" w:cs="宋体"/>
                <w:bCs/>
                <w:color w:val="auto"/>
                <w:sz w:val="24"/>
                <w:szCs w:val="21"/>
                <w:lang w:val="en-US" w:eastAsia="zh-CN"/>
              </w:rPr>
              <w:t>安置房三期及污水处理站</w:t>
            </w:r>
            <w:r>
              <w:rPr>
                <w:rFonts w:hint="eastAsia" w:ascii="Times New Roman" w:hAnsi="Times New Roman" w:eastAsia="宋体" w:cs="宋体"/>
                <w:bCs/>
                <w:color w:val="auto"/>
                <w:sz w:val="24"/>
                <w:szCs w:val="21"/>
                <w:lang w:val="en-US" w:eastAsia="zh-CN"/>
              </w:rPr>
              <w:t>土地征收补偿费1200.00 万元。此项目对于团洲垸受灾群众的安置意义重大，将为他们提供安全、舒适的居住环境。拆迁安置由政府部门负责。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3" w:type="dxa"/>
            <w:vAlign w:val="center"/>
          </w:tcPr>
          <w:p>
            <w:pPr>
              <w:pStyle w:val="20"/>
              <w:adjustRightInd w:val="0"/>
              <w:snapToGrid w:val="0"/>
              <w:spacing w:before="0" w:beforeAutospacing="0" w:after="0" w:afterAutospacing="0"/>
              <w:jc w:val="center"/>
              <w:rPr>
                <w:rFonts w:ascii="Times New Roman" w:hAnsi="Times New Roman" w:cs="宋体"/>
                <w:color w:val="auto"/>
                <w:szCs w:val="21"/>
              </w:rPr>
            </w:pPr>
            <w:r>
              <w:rPr>
                <w:rFonts w:hint="default" w:ascii="Times New Roman" w:hAnsi="Times New Roman" w:cs="Times New Roman"/>
                <w:color w:val="auto"/>
              </w:rPr>
              <w:t>总平面及现场布置</w:t>
            </w:r>
          </w:p>
        </w:tc>
        <w:tc>
          <w:tcPr>
            <w:tcW w:w="8161" w:type="dxa"/>
          </w:tcPr>
          <w:p>
            <w:pPr>
              <w:adjustRightInd w:val="0"/>
              <w:snapToGrid w:val="0"/>
              <w:spacing w:line="360" w:lineRule="auto"/>
              <w:ind w:firstLine="480" w:firstLineChars="200"/>
              <w:jc w:val="left"/>
              <w:rPr>
                <w:rFonts w:hint="eastAsia"/>
                <w:color w:val="auto"/>
                <w:sz w:val="24"/>
                <w:lang w:val="en-US" w:eastAsia="zh-CN"/>
              </w:rPr>
            </w:pPr>
            <w:r>
              <w:rPr>
                <w:rFonts w:hint="eastAsia" w:eastAsia="宋体"/>
                <w:color w:val="auto"/>
                <w:sz w:val="24"/>
                <w:lang w:val="en-US" w:eastAsia="zh-CN"/>
              </w:rPr>
              <w:t>本项目</w:t>
            </w:r>
            <w:r>
              <w:rPr>
                <w:rFonts w:hint="eastAsia"/>
                <w:color w:val="auto"/>
                <w:sz w:val="24"/>
                <w:lang w:val="en-US" w:eastAsia="zh-CN"/>
              </w:rPr>
              <w:t>已建成</w:t>
            </w:r>
            <w:r>
              <w:rPr>
                <w:rFonts w:hint="eastAsia" w:eastAsia="宋体"/>
                <w:color w:val="auto"/>
                <w:sz w:val="24"/>
                <w:lang w:val="en-US" w:eastAsia="zh-CN"/>
              </w:rPr>
              <w:t>，施工期已结束，此处主要分析项目运营期总平面布置情况</w:t>
            </w:r>
            <w:r>
              <w:rPr>
                <w:rFonts w:hint="eastAsia"/>
                <w:color w:val="auto"/>
                <w:sz w:val="24"/>
                <w:lang w:val="en-US" w:eastAsia="zh-CN"/>
              </w:rPr>
              <w:t>。</w:t>
            </w:r>
          </w:p>
          <w:p>
            <w:pPr>
              <w:adjustRightInd w:val="0"/>
              <w:snapToGrid w:val="0"/>
              <w:spacing w:line="360" w:lineRule="auto"/>
              <w:ind w:firstLine="482" w:firstLineChars="200"/>
              <w:jc w:val="left"/>
              <w:rPr>
                <w:rFonts w:hint="eastAsia" w:eastAsia="宋体"/>
                <w:b/>
                <w:bCs/>
                <w:color w:val="auto"/>
                <w:sz w:val="24"/>
                <w:lang w:eastAsia="zh-CN"/>
              </w:rPr>
            </w:pPr>
            <w:r>
              <w:rPr>
                <w:rFonts w:hint="eastAsia"/>
                <w:b/>
                <w:bCs/>
                <w:color w:val="auto"/>
                <w:sz w:val="24"/>
              </w:rPr>
              <w:t>平面布置</w:t>
            </w:r>
            <w:r>
              <w:rPr>
                <w:rFonts w:hint="eastAsia"/>
                <w:b/>
                <w:bCs/>
                <w:color w:val="auto"/>
                <w:sz w:val="24"/>
                <w:lang w:val="en-US" w:eastAsia="zh-CN"/>
              </w:rPr>
              <w:t>及</w:t>
            </w:r>
            <w:r>
              <w:rPr>
                <w:rFonts w:hint="eastAsia"/>
                <w:b/>
                <w:bCs/>
                <w:color w:val="auto"/>
                <w:sz w:val="24"/>
              </w:rPr>
              <w:t>合理性分析</w:t>
            </w:r>
            <w:r>
              <w:rPr>
                <w:rFonts w:hint="eastAsia"/>
                <w:b/>
                <w:bCs/>
                <w:color w:val="auto"/>
                <w:sz w:val="24"/>
                <w:lang w:eastAsia="zh-CN"/>
              </w:rPr>
              <w:t>：</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尽管可利用土地资源丰富，但本着合理利用土地，节约能源，减少运营成本的原则，选址布局以满足日照、通风、消防和卫生为基本条件，以功能特性、交通流线特性等为布局条件，合理的进行基础配套设施、交通组织、绿化、消防、安防等的设计，实现资源利用最大化和集约化。</w:t>
            </w:r>
          </w:p>
          <w:p>
            <w:pPr>
              <w:spacing w:line="360" w:lineRule="auto"/>
              <w:ind w:firstLine="482" w:firstLineChars="200"/>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安置房一期：</w:t>
            </w:r>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安置房建设项目</w:t>
            </w:r>
            <w:r>
              <w:rPr>
                <w:rFonts w:hint="eastAsia" w:cs="Times New Roman"/>
                <w:color w:val="auto"/>
                <w:sz w:val="24"/>
                <w:szCs w:val="24"/>
                <w:lang w:val="en-US" w:eastAsia="zh-CN"/>
              </w:rPr>
              <w:t>一期</w:t>
            </w:r>
            <w:r>
              <w:rPr>
                <w:rFonts w:hint="eastAsia" w:ascii="Times New Roman" w:hAnsi="Times New Roman" w:eastAsia="宋体" w:cs="Times New Roman"/>
                <w:color w:val="auto"/>
                <w:sz w:val="24"/>
                <w:szCs w:val="24"/>
                <w:lang w:val="en-US" w:eastAsia="zh-CN"/>
              </w:rPr>
              <w:t>入口位置布置2个出入口，入口为安置房东南侧，地理位置位于华容县团洲安全垸内团洲乡中心小学东侧，团洲花园小区西侧。</w:t>
            </w:r>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规划总用地面积38630m(57.945亩)。主要包括新建14栋1+6F电梯住宅楼、1栋设备房、2栋门卫室和1栋物业管理用房，总户数360户，停车位289个，总建筑面积为50076.83</w:t>
            </w:r>
            <w:r>
              <w:rPr>
                <w:rFonts w:hint="eastAsia" w:eastAsia="宋体" w:cs="Times New Roman"/>
                <w:color w:val="auto"/>
                <w:sz w:val="24"/>
                <w:szCs w:val="24"/>
                <w:lang w:val="en-US" w:eastAsia="zh-CN"/>
              </w:rPr>
              <w:t>m</w:t>
            </w:r>
            <w:r>
              <w:rPr>
                <w:rFonts w:hint="eastAsia"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、建筑密度18.44%、容积率1.23，绿化率25.1%。</w:t>
            </w:r>
          </w:p>
          <w:p>
            <w:pPr>
              <w:spacing w:line="360" w:lineRule="auto"/>
              <w:ind w:firstLine="482" w:firstLineChars="200"/>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安置房二期：</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华容县团洲垸灾后重建安置房建设项目（二期）入口位置布置2个</w:t>
            </w:r>
            <w:r>
              <w:rPr>
                <w:rFonts w:hint="eastAsia" w:ascii="Times New Roman" w:hAnsi="Times New Roman" w:eastAsia="宋体" w:cs="Times New Roman"/>
                <w:color w:val="auto"/>
                <w:sz w:val="24"/>
                <w:szCs w:val="24"/>
                <w:lang w:val="en-US" w:eastAsia="zh-CN"/>
              </w:rPr>
              <w:t>出入口，入口为安置房月牙湖大道，地理位置位于华容县团洲安全垸内团洲乡中心小学东侧。</w:t>
            </w:r>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华容县团洲垸灾后重建安置房建设项目（二期）规划住宅用地面积 57672.98 </w:t>
            </w:r>
            <w:r>
              <w:rPr>
                <w:rFonts w:hint="eastAsia" w:cs="Times New Roman"/>
                <w:color w:val="auto"/>
                <w:sz w:val="24"/>
                <w:szCs w:val="24"/>
                <w:lang w:val="en-US" w:eastAsia="zh-CN"/>
              </w:rPr>
              <w:t>平方</w:t>
            </w:r>
            <w:r>
              <w:rPr>
                <w:rFonts w:hint="default" w:ascii="Times New Roman" w:hAnsi="Times New Roman" w:eastAsia="宋体" w:cs="Times New Roman"/>
                <w:color w:val="auto"/>
                <w:sz w:val="24"/>
                <w:szCs w:val="24"/>
                <w:lang w:val="en-US" w:eastAsia="zh-CN"/>
              </w:rPr>
              <w:t>米，新建22栋1+6F电</w:t>
            </w:r>
            <w:r>
              <w:rPr>
                <w:rFonts w:hint="eastAsia" w:ascii="Times New Roman" w:hAnsi="Times New Roman" w:eastAsia="宋体" w:cs="Times New Roman"/>
                <w:color w:val="auto"/>
                <w:sz w:val="24"/>
                <w:szCs w:val="24"/>
                <w:lang w:val="en-US" w:eastAsia="zh-CN"/>
              </w:rPr>
              <w:t>梯住宅楼，三个门卫室，总建筑面积为79862.49平方米，容积率1.35，建筑密度19.41%，绿地率20.10%。</w:t>
            </w:r>
          </w:p>
          <w:p>
            <w:pPr>
              <w:spacing w:line="360" w:lineRule="auto"/>
              <w:ind w:firstLine="482" w:firstLineChars="200"/>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安置房三期：</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本项目位于华容县团洲安全垸内，紧邻团洲乡中心小学东侧，共分为地块一和地块二，主要建设安置房小区，为受灾群众提供安全、舒适、功能完善的居住环境，帮助他们重建家园。</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地块一：用地面积52600m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，总建筑面积76020.54m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，容积率1.22，建筑密度17.66%，绿地率20.20%，停车位535个。规划住宅楼：共19栋，均为1+6F电梯住宅。</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地块二：用地面积60377m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，建筑总面积72000m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，容积率1.22，建筑密度17.66%，绿地率20.10%，停车位535个。 规划建设住宅楼：17 栋1+6F 电梯住宅。</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本项目共设立 6个出入口，其中： </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地块一：3个出入口，其中2个主出入口朝向团胜路，位于东侧，满足居民主要出行需求，另外1个辅助出入口优化通行流线，位于西侧，提高交通便利性。 </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地块二：3个出入口，其中2个主出入口朝向团胜路，位于西侧，主干道连接能力强，另1个辅助出入口有助于分流车流，位于东侧，减少交通拥堵。 </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此类布局有利于实现人车分流，减少主出入口交通压力，提高小区交通安全性。同时，所有出入口均考虑了紧急情况的通行需求，如消防、救护等特种车辆的快速通行通道，确保突发情况下的应急响应能力。</w:t>
            </w:r>
          </w:p>
          <w:p>
            <w:pPr>
              <w:spacing w:line="360" w:lineRule="auto"/>
              <w:ind w:firstLine="482" w:firstLineChars="200"/>
              <w:rPr>
                <w:rFonts w:hint="eastAsia" w:ascii="Times New Roman" w:hAnsi="Times New Roman" w:cs="宋体"/>
                <w:b/>
                <w:bCs/>
                <w:color w:val="auto"/>
                <w:sz w:val="24"/>
                <w:szCs w:val="21"/>
                <w:lang w:val="en-US" w:eastAsia="zh-CN"/>
              </w:rPr>
            </w:pPr>
            <w:r>
              <w:rPr>
                <w:rFonts w:hint="eastAsia" w:cs="宋体"/>
                <w:b/>
                <w:bCs/>
                <w:color w:val="auto"/>
                <w:sz w:val="24"/>
                <w:szCs w:val="21"/>
                <w:lang w:val="en-US" w:eastAsia="zh-CN"/>
              </w:rPr>
              <w:t>配套</w:t>
            </w:r>
            <w:r>
              <w:rPr>
                <w:rFonts w:hint="eastAsia" w:ascii="Times New Roman" w:hAnsi="Times New Roman" w:cs="宋体"/>
                <w:b/>
                <w:bCs/>
                <w:color w:val="auto"/>
                <w:sz w:val="24"/>
                <w:szCs w:val="21"/>
                <w:lang w:val="en-US" w:eastAsia="zh-CN"/>
              </w:rPr>
              <w:t>污水处理厂：</w:t>
            </w:r>
          </w:p>
          <w:p>
            <w:pPr>
              <w:spacing w:line="360" w:lineRule="auto"/>
              <w:ind w:firstLine="480" w:firstLineChars="200"/>
              <w:rPr>
                <w:rFonts w:hint="eastAsia" w:ascii="Times New Roman" w:hAnsi="Times New Roman" w:cs="宋体"/>
                <w:color w:val="auto"/>
                <w:sz w:val="24"/>
                <w:szCs w:val="21"/>
                <w:lang w:val="en-US" w:eastAsia="zh-CN"/>
              </w:rPr>
            </w:pPr>
            <w:r>
              <w:rPr>
                <w:rFonts w:hint="eastAsia" w:ascii="Times New Roman" w:hAnsi="Times New Roman" w:cs="宋体"/>
                <w:color w:val="auto"/>
                <w:sz w:val="24"/>
                <w:szCs w:val="21"/>
                <w:lang w:val="en-US" w:eastAsia="zh-CN"/>
              </w:rPr>
              <w:t>本项目位于华容县团洲乡团洲新村，场地选址综合考虑地形地势、地下水文、周边居民区和环境保护要求</w:t>
            </w:r>
            <w:r>
              <w:rPr>
                <w:rFonts w:hint="eastAsia" w:cs="宋体"/>
                <w:color w:val="auto"/>
                <w:sz w:val="24"/>
                <w:szCs w:val="21"/>
                <w:lang w:val="en-US" w:eastAsia="zh-CN"/>
              </w:rPr>
              <w:t>，选址位于</w:t>
            </w:r>
            <w:r>
              <w:rPr>
                <w:rFonts w:hint="eastAsia" w:cs="Times New Roman"/>
                <w:color w:val="auto"/>
                <w:sz w:val="24"/>
                <w:szCs w:val="24"/>
                <w:lang w:val="en-US" w:eastAsia="zh-CN"/>
              </w:rPr>
              <w:t>安置房三期的东南侧</w:t>
            </w:r>
            <w:r>
              <w:rPr>
                <w:rFonts w:hint="eastAsia" w:ascii="Times New Roman" w:hAnsi="Times New Roman" w:cs="宋体"/>
                <w:color w:val="auto"/>
                <w:sz w:val="24"/>
                <w:szCs w:val="21"/>
                <w:lang w:val="en-US" w:eastAsia="zh-CN"/>
              </w:rPr>
              <w:t>。总体布局遵循以下原则：</w:t>
            </w:r>
          </w:p>
          <w:p>
            <w:pPr>
              <w:spacing w:line="360" w:lineRule="auto"/>
              <w:ind w:firstLine="480" w:firstLineChars="200"/>
              <w:rPr>
                <w:rFonts w:hint="eastAsia" w:ascii="Times New Roman" w:hAnsi="Times New Roman" w:cs="宋体"/>
                <w:color w:val="auto"/>
                <w:sz w:val="24"/>
                <w:szCs w:val="21"/>
                <w:lang w:val="en-US" w:eastAsia="zh-CN"/>
              </w:rPr>
            </w:pPr>
            <w:r>
              <w:rPr>
                <w:rFonts w:hint="eastAsia" w:ascii="Times New Roman" w:hAnsi="Times New Roman" w:cs="宋体"/>
                <w:color w:val="auto"/>
                <w:sz w:val="24"/>
                <w:szCs w:val="21"/>
                <w:lang w:val="en-US" w:eastAsia="zh-CN"/>
              </w:rPr>
              <w:t>功能分区明确：生产区、辅助设施区、管理区合理划分；</w:t>
            </w:r>
          </w:p>
          <w:p>
            <w:pPr>
              <w:spacing w:line="360" w:lineRule="auto"/>
              <w:ind w:firstLine="480" w:firstLineChars="200"/>
              <w:rPr>
                <w:rFonts w:hint="eastAsia" w:ascii="Times New Roman" w:hAnsi="Times New Roman" w:cs="宋体"/>
                <w:color w:val="auto"/>
                <w:sz w:val="24"/>
                <w:szCs w:val="21"/>
                <w:lang w:val="en-US" w:eastAsia="zh-CN"/>
              </w:rPr>
            </w:pPr>
            <w:r>
              <w:rPr>
                <w:rFonts w:hint="eastAsia" w:ascii="Times New Roman" w:hAnsi="Times New Roman" w:cs="宋体"/>
                <w:color w:val="auto"/>
                <w:sz w:val="24"/>
                <w:szCs w:val="21"/>
                <w:lang w:val="en-US" w:eastAsia="zh-CN"/>
              </w:rPr>
              <mc:AlternateContent>
                <mc:Choice Requires="wps">
                  <w:drawing>
                    <wp:anchor distT="0" distB="0" distL="114300" distR="114300" simplePos="0" relativeHeight="251683840" behindDoc="0" locked="0" layoutInCell="0" allowOverlap="1">
                      <wp:simplePos x="0" y="0"/>
                      <wp:positionH relativeFrom="page">
                        <wp:posOffset>1141095</wp:posOffset>
                      </wp:positionH>
                      <wp:positionV relativeFrom="page">
                        <wp:posOffset>789940</wp:posOffset>
                      </wp:positionV>
                      <wp:extent cx="5278755" cy="6350"/>
                      <wp:effectExtent l="0" t="0" r="0" b="0"/>
                      <wp:wrapNone/>
                      <wp:docPr id="47" name="任意多边形 47"/>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62.2pt;height:0.5pt;width:415.65pt;mso-position-horizontal-relative:page;mso-position-vertical-relative:page;z-index:251683840;mso-width-relative:page;mso-height-relative:page;" fillcolor="#000000" filled="t" stroked="f" coordsize="8312,10" o:allowincell="f" o:gfxdata="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YWsnw1wAAAAwBAAAPAAAAAAAAAAEA&#10;IAAAACIAAABkcnMvZG93bnJldi54bWxQSwECFAAUAAAACACHTuJAnLLbAxACAAB7BAAADgAAAAAA&#10;AAABACAAAAAmAQAAZHJzL2Uyb0RvYy54bWxQSwUGAAAAAAYABgBZAQAAqAUAAAAA&#10;" path="m0,0l8312,0,8312,9,0,9,0,0xe">
                      <v:fill on="t" focussize="0,0"/>
                      <v:stroke on="f"/>
                      <v:imagedata o:title=""/>
                      <o:lock v:ext="edit" aspectratio="f"/>
                    </v:shape>
                  </w:pict>
                </mc:Fallback>
              </mc:AlternateContent>
            </w:r>
            <w:r>
              <w:rPr>
                <w:rFonts w:hint="eastAsia" w:ascii="Times New Roman" w:hAnsi="Times New Roman" w:cs="宋体"/>
                <w:color w:val="auto"/>
                <w:sz w:val="24"/>
                <w:szCs w:val="21"/>
                <w:lang w:val="en-US" w:eastAsia="zh-CN"/>
              </w:rPr>
              <w:t>厂区交通顺畅：设主干道及支路，满足运行及维护需求；</w:t>
            </w:r>
          </w:p>
          <w:p>
            <w:pPr>
              <w:spacing w:line="360" w:lineRule="auto"/>
              <w:ind w:firstLine="480" w:firstLineChars="200"/>
              <w:rPr>
                <w:rFonts w:hint="eastAsia" w:ascii="Times New Roman" w:hAnsi="Times New Roman" w:cs="宋体"/>
                <w:color w:val="auto"/>
                <w:sz w:val="24"/>
                <w:szCs w:val="21"/>
                <w:lang w:val="en-US" w:eastAsia="zh-CN"/>
              </w:rPr>
            </w:pPr>
            <w:r>
              <w:rPr>
                <w:rFonts w:hint="eastAsia" w:ascii="Times New Roman" w:hAnsi="Times New Roman" w:cs="宋体"/>
                <w:color w:val="auto"/>
                <w:sz w:val="24"/>
                <w:szCs w:val="21"/>
                <w:lang w:val="en-US" w:eastAsia="zh-CN"/>
              </w:rPr>
              <w:t>土地集约利用：合理安排各建筑物和构筑物，预留扩建空间；</w:t>
            </w:r>
          </w:p>
          <w:p>
            <w:pPr>
              <w:spacing w:line="360" w:lineRule="auto"/>
              <w:ind w:firstLine="480" w:firstLineChars="200"/>
              <w:rPr>
                <w:rFonts w:hint="default" w:ascii="Times New Roman" w:hAnsi="Times New Roman" w:cs="宋体"/>
                <w:color w:val="auto"/>
                <w:sz w:val="24"/>
                <w:szCs w:val="21"/>
                <w:lang w:val="en-US" w:eastAsia="zh-CN"/>
              </w:rPr>
            </w:pPr>
            <w:r>
              <w:rPr>
                <w:rFonts w:hint="eastAsia" w:ascii="Times New Roman" w:hAnsi="Times New Roman" w:cs="宋体"/>
                <w:color w:val="auto"/>
                <w:sz w:val="24"/>
                <w:szCs w:val="21"/>
                <w:lang w:val="en-US" w:eastAsia="zh-CN"/>
              </w:rPr>
              <w:t>生态友好：合理布局绿化区域，提高整体景观质量</w:t>
            </w:r>
          </w:p>
          <w:p>
            <w:pPr>
              <w:spacing w:line="360" w:lineRule="auto"/>
              <w:ind w:firstLine="482" w:firstLineChars="200"/>
              <w:rPr>
                <w:rFonts w:hint="default" w:ascii="Times New Roman" w:hAnsi="Times New Roman" w:cs="宋体"/>
                <w:b/>
                <w:bCs/>
                <w:color w:val="auto"/>
                <w:sz w:val="24"/>
                <w:szCs w:val="21"/>
                <w:lang w:val="en-US" w:eastAsia="zh-CN"/>
              </w:rPr>
            </w:pPr>
            <w:r>
              <w:rPr>
                <w:rFonts w:hint="eastAsia" w:ascii="Times New Roman" w:hAnsi="Times New Roman" w:cs="宋体"/>
                <w:b/>
                <w:bCs/>
                <w:color w:val="auto"/>
                <w:sz w:val="24"/>
                <w:szCs w:val="21"/>
                <w:lang w:val="en-US" w:eastAsia="zh-CN"/>
              </w:rPr>
              <w:t>其他配套基础设施：</w:t>
            </w:r>
          </w:p>
          <w:p>
            <w:pPr>
              <w:spacing w:line="360" w:lineRule="auto"/>
              <w:ind w:firstLine="480" w:firstLineChars="200"/>
              <w:rPr>
                <w:rFonts w:hint="eastAsia" w:ascii="Times New Roman" w:hAnsi="Times New Roman" w:cs="宋体"/>
                <w:color w:val="auto"/>
                <w:sz w:val="24"/>
                <w:szCs w:val="21"/>
                <w:lang w:val="en-US" w:eastAsia="zh-CN"/>
              </w:rPr>
            </w:pPr>
            <w:r>
              <w:rPr>
                <w:rFonts w:hint="eastAsia" w:ascii="Times New Roman" w:hAnsi="Times New Roman" w:cs="宋体"/>
                <w:color w:val="auto"/>
                <w:sz w:val="24"/>
                <w:szCs w:val="21"/>
                <w:lang w:val="en-US" w:eastAsia="zh-CN"/>
              </w:rPr>
              <w:t>项目规划充分考虑了当地的地形地貌、气候条件以及居民的实际需求，科学合理地布局了市政道路、给排水、供配电、绿化、消防等基础设施，确保了项目的可行性和实用性。</w:t>
            </w:r>
          </w:p>
          <w:p>
            <w:pPr>
              <w:spacing w:line="360" w:lineRule="auto"/>
              <w:ind w:firstLine="480" w:firstLineChars="200"/>
              <w:rPr>
                <w:rFonts w:hint="eastAsia" w:ascii="仿宋" w:hAnsi="仿宋" w:eastAsia="仿宋" w:cs="仿宋"/>
                <w:color w:val="000000"/>
                <w:kern w:val="0"/>
                <w:sz w:val="28"/>
                <w:szCs w:val="28"/>
                <w:lang w:val="en-US" w:eastAsia="zh-CN" w:bidi="ar"/>
              </w:rPr>
            </w:pPr>
            <w:r>
              <w:rPr>
                <w:rFonts w:hint="eastAsia" w:ascii="Times New Roman" w:hAnsi="Times New Roman" w:cs="宋体"/>
                <w:color w:val="auto"/>
                <w:sz w:val="24"/>
                <w:szCs w:val="21"/>
                <w:lang w:val="en-US" w:eastAsia="zh-CN"/>
              </w:rPr>
              <w:t>功能分区与土地利用：项目需要明确各个功能区的土地使用标准和建筑规范，合理规划绿化、排水、交通等设施的空间布局，避免过 度建设造成土地资源浪费</w:t>
            </w:r>
            <w:r>
              <w:rPr>
                <w:rFonts w:hint="eastAsia" w:ascii="仿宋" w:hAnsi="仿宋" w:eastAsia="仿宋" w:cs="仿宋"/>
                <w:color w:val="000000"/>
                <w:kern w:val="0"/>
                <w:sz w:val="28"/>
                <w:szCs w:val="28"/>
                <w:lang w:val="en-US" w:eastAsia="zh-CN" w:bidi="ar"/>
              </w:rPr>
              <w:t>。</w:t>
            </w:r>
          </w:p>
          <w:p>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华容县团洲垸灾后重建安置房建设项目本着相对集中、布置规划原则展开布局，同时有重点地保持足够的开敞空间，使建筑群落错落有致，疏密结合</w:t>
            </w:r>
            <w:r>
              <w:rPr>
                <w:rFonts w:hint="eastAsia" w:cs="Times New Roman"/>
                <w:color w:val="auto"/>
                <w:sz w:val="24"/>
                <w:szCs w:val="24"/>
                <w:lang w:val="en-US" w:eastAsia="zh-CN"/>
              </w:rPr>
              <w:t>，平面布局较为合理</w:t>
            </w:r>
            <w:r>
              <w:rPr>
                <w:rFonts w:hint="default" w:ascii="Times New Roman" w:hAnsi="Times New Roman" w:eastAsia="宋体"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3" w:type="dxa"/>
            <w:vAlign w:val="center"/>
          </w:tcPr>
          <w:p>
            <w:pPr>
              <w:pStyle w:val="20"/>
              <w:adjustRightInd w:val="0"/>
              <w:snapToGrid w:val="0"/>
              <w:spacing w:before="0" w:beforeAutospacing="0" w:after="0" w:afterAutospacing="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施工方案</w:t>
            </w:r>
          </w:p>
        </w:tc>
        <w:tc>
          <w:tcPr>
            <w:tcW w:w="8161" w:type="dxa"/>
            <w:vAlign w:val="center"/>
          </w:tcPr>
          <w:p>
            <w:pPr>
              <w:adjustRightInd w:val="0"/>
              <w:snapToGrid w:val="0"/>
              <w:spacing w:line="360" w:lineRule="auto"/>
              <w:ind w:firstLine="480" w:firstLineChars="200"/>
              <w:jc w:val="center"/>
              <w:rPr>
                <w:rFonts w:hint="default"/>
                <w:bCs/>
                <w:color w:val="auto"/>
                <w:sz w:val="24"/>
                <w:szCs w:val="21"/>
                <w:lang w:val="en-US"/>
              </w:rPr>
            </w:pPr>
            <w:r>
              <w:rPr>
                <w:rFonts w:hint="eastAsia" w:eastAsia="宋体"/>
                <w:color w:val="auto"/>
                <w:sz w:val="24"/>
                <w:lang w:val="en-US" w:eastAsia="zh-CN"/>
              </w:rPr>
              <w:t>本项目</w:t>
            </w:r>
            <w:r>
              <w:rPr>
                <w:rFonts w:hint="eastAsia"/>
                <w:color w:val="auto"/>
                <w:sz w:val="24"/>
                <w:lang w:val="en-US" w:eastAsia="zh-CN"/>
              </w:rPr>
              <w:t>已建成</w:t>
            </w:r>
            <w:r>
              <w:rPr>
                <w:rFonts w:hint="eastAsia" w:eastAsia="宋体"/>
                <w:color w:val="auto"/>
                <w:sz w:val="24"/>
                <w:lang w:val="en-US" w:eastAsia="zh-CN"/>
              </w:rPr>
              <w:t>，施工期已结束，无需再进行施工方案的分析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3" w:type="dxa"/>
            <w:vAlign w:val="center"/>
          </w:tcPr>
          <w:p>
            <w:pPr>
              <w:pStyle w:val="20"/>
              <w:adjustRightInd w:val="0"/>
              <w:snapToGrid w:val="0"/>
              <w:spacing w:before="0" w:beforeAutospacing="0" w:after="0" w:afterAutospacing="0"/>
              <w:jc w:val="center"/>
              <w:rPr>
                <w:rFonts w:hint="eastAsia" w:ascii="Times New Roman" w:hAnsi="Times New Roman" w:eastAsia="宋体" w:cs="宋体"/>
                <w:color w:val="auto"/>
                <w:szCs w:val="21"/>
                <w:lang w:eastAsia="zh-CN"/>
              </w:rPr>
            </w:pPr>
            <w:r>
              <w:rPr>
                <w:rFonts w:hint="eastAsia" w:ascii="Times New Roman" w:hAnsi="Times New Roman" w:cs="宋体"/>
                <w:bCs/>
                <w:color w:val="auto"/>
                <w:kern w:val="2"/>
                <w:szCs w:val="21"/>
                <w:lang w:val="en-US" w:eastAsia="zh-CN"/>
              </w:rPr>
              <w:t>其他</w:t>
            </w:r>
          </w:p>
        </w:tc>
        <w:tc>
          <w:tcPr>
            <w:tcW w:w="8161" w:type="dxa"/>
            <w:vAlign w:val="center"/>
          </w:tcPr>
          <w:p>
            <w:pPr>
              <w:pStyle w:val="31"/>
              <w:rPr>
                <w:rFonts w:hint="eastAsia" w:ascii="Times New Roman" w:hAnsi="Times New Roman" w:eastAsia="宋体" w:cs="宋体"/>
                <w:bCs/>
                <w:color w:val="auto"/>
                <w:sz w:val="24"/>
                <w:szCs w:val="21"/>
                <w:lang w:val="en-US" w:eastAsia="zh-CN"/>
              </w:rPr>
            </w:pPr>
          </w:p>
          <w:p>
            <w:pPr>
              <w:numPr>
                <w:ilvl w:val="0"/>
                <w:numId w:val="0"/>
              </w:numPr>
              <w:adjustRightInd w:val="0"/>
              <w:snapToGrid w:val="0"/>
              <w:spacing w:line="360" w:lineRule="auto"/>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1、项目选址</w:t>
            </w:r>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本项目选址已取得了华容县自然资源局出具的《建设项目用地预审与选址意见书》，且项目目前已</w:t>
            </w:r>
            <w:r>
              <w:rPr>
                <w:rFonts w:hint="eastAsia" w:cs="Times New Roman"/>
                <w:color w:val="auto"/>
                <w:sz w:val="24"/>
                <w:szCs w:val="24"/>
                <w:lang w:val="en-US" w:eastAsia="zh-CN"/>
              </w:rPr>
              <w:t>基本</w:t>
            </w:r>
            <w:r>
              <w:rPr>
                <w:rFonts w:hint="eastAsia" w:ascii="Times New Roman" w:hAnsi="Times New Roman" w:eastAsia="宋体" w:cs="Times New Roman"/>
                <w:color w:val="auto"/>
                <w:sz w:val="24"/>
                <w:szCs w:val="24"/>
                <w:lang w:val="en-US" w:eastAsia="zh-CN"/>
              </w:rPr>
              <w:t>建成，选址具有唯一性，无需进行选址方案的比选。</w:t>
            </w:r>
          </w:p>
          <w:p>
            <w:pPr>
              <w:numPr>
                <w:ilvl w:val="0"/>
                <w:numId w:val="2"/>
              </w:numPr>
              <w:adjustRightInd w:val="0"/>
              <w:snapToGrid w:val="0"/>
              <w:spacing w:line="360" w:lineRule="auto"/>
              <w:rPr>
                <w:rFonts w:hint="eastAsia"/>
                <w:b/>
                <w:bCs/>
                <w:color w:val="auto"/>
                <w:sz w:val="24"/>
                <w:lang w:val="en-US" w:eastAsia="zh-CN"/>
              </w:rPr>
            </w:pPr>
            <w:r>
              <w:rPr>
                <w:rFonts w:hint="eastAsia"/>
                <w:b/>
                <w:bCs/>
                <w:color w:val="auto"/>
                <w:sz w:val="24"/>
                <w:lang w:val="en-US" w:eastAsia="zh-CN"/>
              </w:rPr>
              <w:t>运营期</w:t>
            </w:r>
          </w:p>
          <w:p>
            <w:pPr>
              <w:adjustRightInd w:val="0"/>
              <w:snapToGrid w:val="0"/>
              <w:spacing w:line="360" w:lineRule="auto"/>
              <w:ind w:firstLine="482" w:firstLineChars="200"/>
              <w:jc w:val="left"/>
              <w:rPr>
                <w:rFonts w:hint="eastAsia"/>
                <w:b/>
                <w:bCs/>
                <w:color w:val="auto"/>
                <w:sz w:val="24"/>
                <w:lang w:val="en-US" w:eastAsia="zh-CN"/>
              </w:rPr>
            </w:pPr>
            <w:r>
              <w:rPr>
                <w:rFonts w:hint="eastAsia"/>
                <w:b/>
                <w:bCs/>
                <w:color w:val="auto"/>
                <w:sz w:val="24"/>
                <w:lang w:val="en-US" w:eastAsia="zh-CN"/>
              </w:rPr>
              <w:t>2.1</w:t>
            </w:r>
            <w:r>
              <w:rPr>
                <w:rFonts w:hint="eastAsia" w:eastAsia="宋体" w:cs="宋体"/>
                <w:b/>
                <w:color w:val="auto"/>
                <w:sz w:val="24"/>
                <w:szCs w:val="21"/>
              </w:rPr>
              <w:t>工艺流程</w:t>
            </w:r>
            <w:r>
              <w:rPr>
                <w:rFonts w:hint="eastAsia"/>
                <w:b/>
                <w:bCs/>
                <w:color w:val="auto"/>
                <w:sz w:val="24"/>
                <w:lang w:val="en-US" w:eastAsia="zh-CN"/>
              </w:rPr>
              <w:t>及产污环节分析</w:t>
            </w:r>
          </w:p>
          <w:p>
            <w:pPr>
              <w:pStyle w:val="5"/>
              <w:rPr>
                <w:rFonts w:hint="eastAsia"/>
                <w:bCs/>
                <w:color w:val="auto"/>
                <w:sz w:val="24"/>
                <w:szCs w:val="21"/>
              </w:rPr>
            </w:pPr>
            <w:r>
              <w:rPr>
                <w:color w:val="auto"/>
                <w:sz w:val="28"/>
              </w:rPr>
              <mc:AlternateContent>
                <mc:Choice Requires="wps">
                  <w:drawing>
                    <wp:anchor distT="0" distB="0" distL="114300" distR="114300" simplePos="0" relativeHeight="251673600" behindDoc="1" locked="0" layoutInCell="1" allowOverlap="1">
                      <wp:simplePos x="0" y="0"/>
                      <wp:positionH relativeFrom="column">
                        <wp:posOffset>1484630</wp:posOffset>
                      </wp:positionH>
                      <wp:positionV relativeFrom="paragraph">
                        <wp:posOffset>690245</wp:posOffset>
                      </wp:positionV>
                      <wp:extent cx="0" cy="431800"/>
                      <wp:effectExtent l="5080" t="0" r="13970" b="6350"/>
                      <wp:wrapTight wrapText="bothSides">
                        <wp:wrapPolygon>
                          <wp:start x="0" y="0"/>
                          <wp:lineTo x="0" y="20965"/>
                          <wp:lineTo x="0" y="20965"/>
                          <wp:lineTo x="0" y="0"/>
                        </wp:wrapPolygon>
                      </wp:wrapTight>
                      <wp:docPr id="94" name="直接箭头连接符 94"/>
                      <wp:cNvGraphicFramePr/>
                      <a:graphic xmlns:a="http://schemas.openxmlformats.org/drawingml/2006/main">
                        <a:graphicData uri="http://schemas.microsoft.com/office/word/2010/wordprocessingShape">
                          <wps:wsp>
                            <wps:cNvCnPr/>
                            <wps:spPr>
                              <a:xfrm>
                                <a:off x="2317750" y="5843905"/>
                                <a:ext cx="0" cy="4318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6.9pt;margin-top:54.35pt;height:34pt;width:0pt;mso-wrap-distance-left:9pt;mso-wrap-distance-right:9pt;z-index:-251642880;mso-width-relative:page;mso-height-relative:page;" filled="f" stroked="t" coordsize="21600,21600" wrapcoords="0 0 0 20965 0 20965 0 0" o:gfxdata="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iuFNdgAAAALAQAADwAAAAAAAAABACAA&#10;AAAiAAAAZHJzL2Rvd25yZXYueG1sUEsBAhQAFAAAAAgAh07iQKcshOMNAgAA+QMAAA4AAAAAAAAA&#10;AQAgAAAAJwEAAGRycy9lMm9Eb2MueG1sUEsFBgAAAAAGAAYAWQEAAKYFAAAAAA==&#10;">
                      <v:fill on="f" focussize="0,0"/>
                      <v:stroke color="#000000" joinstyle="round"/>
                      <v:imagedata o:title=""/>
                      <o:lock v:ext="edit" aspectratio="f"/>
                      <w10:wrap type="tight"/>
                    </v:shape>
                  </w:pict>
                </mc:Fallback>
              </mc:AlternateContent>
            </w:r>
            <w:r>
              <w:rPr>
                <w:color w:val="auto"/>
                <w:sz w:val="21"/>
              </w:rPr>
              <mc:AlternateContent>
                <mc:Choice Requires="wps">
                  <w:drawing>
                    <wp:anchor distT="0" distB="0" distL="114300" distR="114300" simplePos="0" relativeHeight="251677696" behindDoc="0" locked="0" layoutInCell="1" allowOverlap="1">
                      <wp:simplePos x="0" y="0"/>
                      <wp:positionH relativeFrom="column">
                        <wp:posOffset>2674620</wp:posOffset>
                      </wp:positionH>
                      <wp:positionV relativeFrom="paragraph">
                        <wp:posOffset>325755</wp:posOffset>
                      </wp:positionV>
                      <wp:extent cx="635" cy="360045"/>
                      <wp:effectExtent l="4445" t="0" r="13970" b="1905"/>
                      <wp:wrapNone/>
                      <wp:docPr id="108" name="直接连接符 108"/>
                      <wp:cNvGraphicFramePr/>
                      <a:graphic xmlns:a="http://schemas.openxmlformats.org/drawingml/2006/main">
                        <a:graphicData uri="http://schemas.microsoft.com/office/word/2010/wordprocessingShape">
                          <wps:wsp>
                            <wps:cNvCnPr/>
                            <wps:spPr>
                              <a:xfrm>
                                <a:off x="4193540" y="5279390"/>
                                <a:ext cx="635" cy="36004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0.6pt;margin-top:25.65pt;height:28.35pt;width:0.05pt;z-index:251677696;mso-width-relative:page;mso-height-relative:page;" filled="f" stroked="t" coordsize="21600,21600" o:gfxdata="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l9+cbWAAAACgEAAA8AAAAAAAAAAQAgAAAAIgAAAGRycy9k&#10;b3ducmV2LnhtbFBLAQIUABQAAAAIAIdO4kDAjIXoBAIAAPUDAAAOAAAAAAAAAAEAIAAAACUBAABk&#10;cnMvZTJvRG9jLnhtbFBLBQYAAAAABgAGAFkBAACbBQAAAAA=&#10;">
                      <v:fill on="f" focussize="0,0"/>
                      <v:stroke color="#000000" joinstyle="round"/>
                      <v:imagedata o:title=""/>
                      <o:lock v:ext="edit" aspectratio="f"/>
                    </v:line>
                  </w:pict>
                </mc:Fallback>
              </mc:AlternateContent>
            </w:r>
            <w:r>
              <w:rPr>
                <w:color w:val="auto"/>
              </w:rPr>
              <mc:AlternateContent>
                <mc:Choice Requires="wps">
                  <w:drawing>
                    <wp:anchor distT="0" distB="0" distL="114300" distR="114300" simplePos="0" relativeHeight="251672576" behindDoc="1" locked="0" layoutInCell="1" allowOverlap="1">
                      <wp:simplePos x="0" y="0"/>
                      <wp:positionH relativeFrom="column">
                        <wp:posOffset>2233930</wp:posOffset>
                      </wp:positionH>
                      <wp:positionV relativeFrom="paragraph">
                        <wp:posOffset>40640</wp:posOffset>
                      </wp:positionV>
                      <wp:extent cx="880745" cy="281940"/>
                      <wp:effectExtent l="4445" t="4445" r="10160" b="18415"/>
                      <wp:wrapTight wrapText="bothSides">
                        <wp:wrapPolygon>
                          <wp:start x="-109" y="-341"/>
                          <wp:lineTo x="-109" y="20773"/>
                          <wp:lineTo x="21382" y="20773"/>
                          <wp:lineTo x="21382" y="-341"/>
                          <wp:lineTo x="-109" y="-341"/>
                        </wp:wrapPolygon>
                      </wp:wrapTight>
                      <wp:docPr id="100" name="文本框 100"/>
                      <wp:cNvGraphicFramePr/>
                      <a:graphic xmlns:a="http://schemas.openxmlformats.org/drawingml/2006/main">
                        <a:graphicData uri="http://schemas.microsoft.com/office/word/2010/wordprocessingShape">
                          <wps:wsp>
                            <wps:cNvSpPr txBox="1"/>
                            <wps:spPr>
                              <a:xfrm>
                                <a:off x="1990090" y="360680"/>
                                <a:ext cx="915035" cy="2819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ascii="宋体" w:hAnsi="宋体" w:eastAsia="宋体" w:cs="宋体"/>
                                    </w:rPr>
                                  </w:pPr>
                                  <w:r>
                                    <w:rPr>
                                      <w:rFonts w:hint="eastAsia" w:ascii="宋体" w:hAnsi="宋体" w:eastAsia="宋体" w:cs="宋体"/>
                                    </w:rPr>
                                    <w:t>项目运营期</w:t>
                                  </w:r>
                                </w:p>
                              </w:txbxContent>
                            </wps:txbx>
                            <wps:bodyPr wrap="square" upright="1"/>
                          </wps:wsp>
                        </a:graphicData>
                      </a:graphic>
                    </wp:anchor>
                  </w:drawing>
                </mc:Choice>
                <mc:Fallback>
                  <w:pict>
                    <v:shape id="_x0000_s1026" o:spid="_x0000_s1026" o:spt="202" type="#_x0000_t202" style="position:absolute;left:0pt;margin-left:175.9pt;margin-top:3.2pt;height:22.2pt;width:69.35pt;mso-wrap-distance-left:9pt;mso-wrap-distance-right:9pt;z-index:-251643904;mso-width-relative:page;mso-height-relative:page;" fillcolor="#FFFFFF" filled="t" stroked="t" coordsize="21600,21600" wrapcoords="-109 -341 -109 20773 21382 20773 21382 -341 -109 -341" o:gfxdata="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7nwuDYAAAACAEAAA8AAAAAAAAAAQAgAAAAIgAAAGRycy9kb3ducmV2LnhtbFBLAQIUABQAAAAI&#10;AIdO4kDrO/UgJgIAAGAEAAAOAAAAAAAAAAEAIAAAACcBAABkcnMvZTJvRG9jLnhtbFBLBQYAAAAA&#10;BgAGAFkBAAC/BQAAAAA=&#10;">
                      <v:fill on="t" focussize="0,0"/>
                      <v:stroke color="#000000" joinstyle="miter"/>
                      <v:imagedata o:title=""/>
                      <o:lock v:ext="edit" aspectratio="f"/>
                      <v:textbox>
                        <w:txbxContent>
                          <w:p>
                            <w:pPr>
                              <w:rPr>
                                <w:rFonts w:hint="eastAsia" w:ascii="宋体" w:hAnsi="宋体" w:eastAsia="宋体" w:cs="宋体"/>
                              </w:rPr>
                            </w:pPr>
                            <w:r>
                              <w:rPr>
                                <w:rFonts w:hint="eastAsia" w:ascii="宋体" w:hAnsi="宋体" w:eastAsia="宋体" w:cs="宋体"/>
                              </w:rPr>
                              <w:t>项目运营期</w:t>
                            </w:r>
                          </w:p>
                        </w:txbxContent>
                      </v:textbox>
                      <w10:wrap type="tight"/>
                    </v:shape>
                  </w:pict>
                </mc:Fallback>
              </mc:AlternateContent>
            </w:r>
          </w:p>
          <w:p>
            <w:pPr>
              <w:pStyle w:val="31"/>
              <w:rPr>
                <w:rFonts w:hint="eastAsia"/>
                <w:bCs/>
                <w:color w:val="auto"/>
                <w:sz w:val="24"/>
                <w:szCs w:val="21"/>
              </w:rPr>
            </w:pPr>
            <w:r>
              <w:rPr>
                <w:color w:val="auto"/>
              </w:rPr>
              <mc:AlternateContent>
                <mc:Choice Requires="wps">
                  <w:drawing>
                    <wp:anchor distT="0" distB="0" distL="114300" distR="114300" simplePos="0" relativeHeight="251675648" behindDoc="1" locked="0" layoutInCell="1" allowOverlap="1">
                      <wp:simplePos x="0" y="0"/>
                      <wp:positionH relativeFrom="column">
                        <wp:posOffset>3451225</wp:posOffset>
                      </wp:positionH>
                      <wp:positionV relativeFrom="paragraph">
                        <wp:posOffset>27940</wp:posOffset>
                      </wp:positionV>
                      <wp:extent cx="780415" cy="329565"/>
                      <wp:effectExtent l="4445" t="4445" r="15240" b="8890"/>
                      <wp:wrapTight wrapText="bothSides">
                        <wp:wrapPolygon>
                          <wp:start x="-123" y="-291"/>
                          <wp:lineTo x="-123" y="20934"/>
                          <wp:lineTo x="20967" y="20934"/>
                          <wp:lineTo x="20967" y="-291"/>
                          <wp:lineTo x="-123" y="-291"/>
                        </wp:wrapPolygon>
                      </wp:wrapTight>
                      <wp:docPr id="96" name="文本框 96"/>
                      <wp:cNvGraphicFramePr/>
                      <a:graphic xmlns:a="http://schemas.openxmlformats.org/drawingml/2006/main">
                        <a:graphicData uri="http://schemas.microsoft.com/office/word/2010/wordprocessingShape">
                          <wps:wsp>
                            <wps:cNvSpPr txBox="1"/>
                            <wps:spPr>
                              <a:xfrm>
                                <a:off x="0" y="0"/>
                                <a:ext cx="780415" cy="3295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宋体" w:hAnsi="宋体" w:eastAsia="宋体" w:cs="宋体"/>
                                    </w:rPr>
                                  </w:pPr>
                                  <w:r>
                                    <w:rPr>
                                      <w:rFonts w:hint="eastAsia" w:ascii="宋体" w:hAnsi="宋体" w:eastAsia="宋体" w:cs="宋体"/>
                                    </w:rPr>
                                    <w:t>公辅设施</w:t>
                                  </w:r>
                                </w:p>
                              </w:txbxContent>
                            </wps:txbx>
                            <wps:bodyPr upright="1"/>
                          </wps:wsp>
                        </a:graphicData>
                      </a:graphic>
                    </wp:anchor>
                  </w:drawing>
                </mc:Choice>
                <mc:Fallback>
                  <w:pict>
                    <v:shape id="_x0000_s1026" o:spid="_x0000_s1026" o:spt="202" type="#_x0000_t202" style="position:absolute;left:0pt;margin-left:271.75pt;margin-top:2.2pt;height:25.95pt;width:61.45pt;mso-wrap-distance-left:9pt;mso-wrap-distance-right:9pt;z-index:-251640832;mso-width-relative:page;mso-height-relative:page;" fillcolor="#FFFFFF" filled="t" stroked="t" coordsize="21600,21600" wrapcoords="-123 -291 -123 20934 20967 20934 20967 -291 -123 -291" o:gfxdata="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kfvotcAAAAIAQAADwAAAAAAAAABACAAAAAi&#10;AAAAZHJzL2Rvd25yZXYueG1sUEsBAhQAFAAAAAgAh07iQKblfvQLAgAANwQAAA4AAAAAAAAAAQAg&#10;AAAAJgEAAGRycy9lMm9Eb2MueG1sUEsFBgAAAAAGAAYAWQEAAKMFAAAAAA==&#10;">
                      <v:fill on="t" focussize="0,0"/>
                      <v:stroke color="#000000" joinstyle="miter"/>
                      <v:imagedata o:title=""/>
                      <o:lock v:ext="edit" aspectratio="f"/>
                      <v:textbox>
                        <w:txbxContent>
                          <w:p>
                            <w:pPr>
                              <w:rPr>
                                <w:rFonts w:hint="eastAsia" w:ascii="宋体" w:hAnsi="宋体" w:eastAsia="宋体" w:cs="宋体"/>
                              </w:rPr>
                            </w:pPr>
                            <w:r>
                              <w:rPr>
                                <w:rFonts w:hint="eastAsia" w:ascii="宋体" w:hAnsi="宋体" w:eastAsia="宋体" w:cs="宋体"/>
                              </w:rPr>
                              <w:t>公辅设施</w:t>
                            </w:r>
                          </w:p>
                        </w:txbxContent>
                      </v:textbox>
                      <w10:wrap type="tight"/>
                    </v:shape>
                  </w:pict>
                </mc:Fallback>
              </mc:AlternateContent>
            </w:r>
            <w:r>
              <w:rPr>
                <w:color w:val="auto"/>
                <w:sz w:val="21"/>
              </w:rPr>
              <mc:AlternateContent>
                <mc:Choice Requires="wps">
                  <w:drawing>
                    <wp:anchor distT="0" distB="0" distL="114300" distR="114300" simplePos="0" relativeHeight="251676672" behindDoc="0" locked="0" layoutInCell="1" allowOverlap="1">
                      <wp:simplePos x="0" y="0"/>
                      <wp:positionH relativeFrom="column">
                        <wp:posOffset>1859915</wp:posOffset>
                      </wp:positionH>
                      <wp:positionV relativeFrom="paragraph">
                        <wp:posOffset>198120</wp:posOffset>
                      </wp:positionV>
                      <wp:extent cx="1548130" cy="635"/>
                      <wp:effectExtent l="0" t="0" r="0" b="0"/>
                      <wp:wrapNone/>
                      <wp:docPr id="107" name="直接连接符 107"/>
                      <wp:cNvGraphicFramePr/>
                      <a:graphic xmlns:a="http://schemas.openxmlformats.org/drawingml/2006/main">
                        <a:graphicData uri="http://schemas.microsoft.com/office/word/2010/wordprocessingShape">
                          <wps:wsp>
                            <wps:cNvCnPr/>
                            <wps:spPr>
                              <a:xfrm>
                                <a:off x="2178685" y="5749290"/>
                                <a:ext cx="154813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6.45pt;margin-top:15.6pt;height:0.05pt;width:121.9pt;z-index:251676672;mso-width-relative:page;mso-height-relative:page;" filled="f" stroked="t" coordsize="21600,21600" o:gfxdata="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Jq9qt1wAAAAkBAAAPAAAAAAAAAAEAIAAAACIAAABk&#10;cnMvZG93bnJldi54bWxQSwECFAAUAAAACACHTuJA7ATk7wcCAAD2AwAADgAAAAAAAAABACAAAAAm&#10;AQAAZHJzL2Uyb0RvYy54bWxQSwUGAAAAAAYABgBZAQAAnwUAAAAA&#10;">
                      <v:fill on="f" focussize="0,0"/>
                      <v:stroke color="#000000" joinstyle="round"/>
                      <v:imagedata o:title=""/>
                      <o:lock v:ext="edit" aspectratio="f"/>
                    </v:line>
                  </w:pict>
                </mc:Fallback>
              </mc:AlternateContent>
            </w:r>
            <w:r>
              <w:rPr>
                <w:color w:val="auto"/>
                <w:sz w:val="28"/>
              </w:rPr>
              <mc:AlternateContent>
                <mc:Choice Requires="wpg">
                  <w:drawing>
                    <wp:anchor distT="0" distB="0" distL="114300" distR="114300" simplePos="0" relativeHeight="251674624" behindDoc="1" locked="0" layoutInCell="1" allowOverlap="1">
                      <wp:simplePos x="0" y="0"/>
                      <wp:positionH relativeFrom="column">
                        <wp:posOffset>918845</wp:posOffset>
                      </wp:positionH>
                      <wp:positionV relativeFrom="paragraph">
                        <wp:posOffset>90805</wp:posOffset>
                      </wp:positionV>
                      <wp:extent cx="1089025" cy="1430655"/>
                      <wp:effectExtent l="5080" t="4445" r="10795" b="12700"/>
                      <wp:wrapTight wrapText="bothSides">
                        <wp:wrapPolygon>
                          <wp:start x="3300" y="-67"/>
                          <wp:lineTo x="3300" y="3672"/>
                          <wp:lineTo x="4433" y="4535"/>
                          <wp:lineTo x="10101" y="4535"/>
                          <wp:lineTo x="10101" y="9137"/>
                          <wp:lineTo x="-101" y="9137"/>
                          <wp:lineTo x="-101" y="21504"/>
                          <wp:lineTo x="21436" y="21504"/>
                          <wp:lineTo x="21436" y="9137"/>
                          <wp:lineTo x="11990" y="9137"/>
                          <wp:lineTo x="11612" y="4535"/>
                          <wp:lineTo x="18414" y="4535"/>
                          <wp:lineTo x="20303" y="3672"/>
                          <wp:lineTo x="19547" y="-67"/>
                          <wp:lineTo x="3300" y="-67"/>
                        </wp:wrapPolygon>
                      </wp:wrapTight>
                      <wp:docPr id="14" name="组合 14"/>
                      <wp:cNvGraphicFramePr/>
                      <a:graphic xmlns:a="http://schemas.openxmlformats.org/drawingml/2006/main">
                        <a:graphicData uri="http://schemas.microsoft.com/office/word/2010/wordprocessingGroup">
                          <wpg:wgp>
                            <wpg:cNvGrpSpPr/>
                            <wpg:grpSpPr>
                              <a:xfrm rot="0">
                                <a:off x="1751965" y="6396355"/>
                                <a:ext cx="1089025" cy="1430790"/>
                                <a:chOff x="18454" y="147324"/>
                                <a:chExt cx="1476" cy="2676"/>
                              </a:xfrm>
                            </wpg:grpSpPr>
                            <wps:wsp>
                              <wps:cNvPr id="92" name="文本框 92"/>
                              <wps:cNvSpPr txBox="1"/>
                              <wps:spPr>
                                <a:xfrm>
                                  <a:off x="18454" y="148523"/>
                                  <a:ext cx="1476" cy="147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Cs w:val="21"/>
                                        <w:lang w:eastAsia="zh-CN"/>
                                      </w:rPr>
                                    </w:pPr>
                                    <w:r>
                                      <w:rPr>
                                        <w:rFonts w:hint="eastAsia" w:ascii="宋体" w:hAnsi="宋体" w:eastAsia="宋体" w:cs="宋体"/>
                                      </w:rPr>
                                      <w:t>生活垃圾、</w:t>
                                    </w:r>
                                    <w:r>
                                      <w:rPr>
                                        <w:rFonts w:hint="eastAsia" w:ascii="宋体" w:hAnsi="宋体" w:eastAsia="宋体" w:cs="宋体"/>
                                        <w:szCs w:val="21"/>
                                        <w:lang w:eastAsia="zh-CN"/>
                                      </w:rPr>
                                      <w:t>生活废水</w:t>
                                    </w:r>
                                    <w:r>
                                      <w:rPr>
                                        <w:rFonts w:hint="eastAsia" w:ascii="宋体" w:hAnsi="宋体" w:eastAsia="宋体" w:cs="宋体"/>
                                        <w:szCs w:val="21"/>
                                      </w:rPr>
                                      <w:t>、</w:t>
                                    </w:r>
                                    <w:r>
                                      <w:rPr>
                                        <w:rFonts w:hint="eastAsia" w:ascii="宋体" w:hAnsi="宋体" w:eastAsia="宋体" w:cs="宋体"/>
                                        <w:szCs w:val="21"/>
                                        <w:lang w:eastAsia="zh-CN"/>
                                      </w:rPr>
                                      <w:t>食堂废水</w:t>
                                    </w:r>
                                    <w:r>
                                      <w:rPr>
                                        <w:rFonts w:hint="eastAsia" w:ascii="宋体" w:hAnsi="宋体" w:eastAsia="宋体" w:cs="宋体"/>
                                        <w:szCs w:val="21"/>
                                      </w:rPr>
                                      <w:t>、油烟废气、</w:t>
                                    </w:r>
                                    <w:r>
                                      <w:rPr>
                                        <w:rFonts w:hint="eastAsia" w:ascii="宋体" w:hAnsi="宋体" w:eastAsia="宋体" w:cs="宋体"/>
                                        <w:szCs w:val="21"/>
                                        <w:lang w:eastAsia="zh-CN"/>
                                      </w:rPr>
                                      <w:t>活动</w:t>
                                    </w:r>
                                    <w:r>
                                      <w:rPr>
                                        <w:rFonts w:hint="eastAsia" w:ascii="宋体" w:hAnsi="宋体" w:eastAsia="宋体" w:cs="宋体"/>
                                        <w:szCs w:val="21"/>
                                      </w:rPr>
                                      <w:t>噪声</w:t>
                                    </w:r>
                                    <w:r>
                                      <w:rPr>
                                        <w:rFonts w:hint="eastAsia" w:ascii="宋体" w:hAnsi="宋体" w:eastAsia="宋体" w:cs="宋体"/>
                                        <w:szCs w:val="21"/>
                                        <w:lang w:eastAsia="zh-CN"/>
                                      </w:rPr>
                                      <w:t>等</w:t>
                                    </w:r>
                                  </w:p>
                                </w:txbxContent>
                              </wps:txbx>
                              <wps:bodyPr upright="1"/>
                            </wps:wsp>
                            <wps:wsp>
                              <wps:cNvPr id="95" name="文本框 95"/>
                              <wps:cNvSpPr txBox="1"/>
                              <wps:spPr>
                                <a:xfrm>
                                  <a:off x="18744" y="147324"/>
                                  <a:ext cx="999" cy="51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宋体" w:hAnsi="宋体" w:eastAsia="宋体" w:cs="宋体"/>
                                      </w:rPr>
                                    </w:pPr>
                                    <w:r>
                                      <w:rPr>
                                        <w:rFonts w:hint="eastAsia" w:ascii="宋体" w:hAnsi="宋体" w:eastAsia="宋体" w:cs="宋体"/>
                                      </w:rPr>
                                      <w:t>生活区</w:t>
                                    </w:r>
                                  </w:p>
                                </w:txbxContent>
                              </wps:txbx>
                              <wps:bodyPr upright="1"/>
                            </wps:wsp>
                            <wps:wsp>
                              <wps:cNvPr id="93" name="直接连接符 93"/>
                              <wps:cNvCnPr/>
                              <wps:spPr>
                                <a:xfrm flipH="1">
                                  <a:off x="19220" y="147849"/>
                                  <a:ext cx="0" cy="664"/>
                                </a:xfrm>
                                <a:prstGeom prst="line">
                                  <a:avLst/>
                                </a:prstGeom>
                                <a:ln w="9525" cap="sq" cmpd="sng">
                                  <a:solidFill>
                                    <a:srgbClr val="000000"/>
                                  </a:solidFill>
                                  <a:prstDash val="sysDot"/>
                                  <a:headEnd type="none" w="med" len="med"/>
                                  <a:tailEnd type="triangle" w="med" len="med"/>
                                </a:ln>
                              </wps:spPr>
                              <wps:bodyPr upright="1"/>
                            </wps:wsp>
                          </wpg:wgp>
                        </a:graphicData>
                      </a:graphic>
                    </wp:anchor>
                  </w:drawing>
                </mc:Choice>
                <mc:Fallback>
                  <w:pict>
                    <v:group id="_x0000_s1026" o:spid="_x0000_s1026" o:spt="203" style="position:absolute;left:0pt;margin-left:72.35pt;margin-top:7.15pt;height:112.65pt;width:85.75pt;mso-wrap-distance-left:9pt;mso-wrap-distance-right:9pt;z-index:-251641856;mso-width-relative:page;mso-height-relative:page;" coordorigin="18454,147324" coordsize="1476,2676" wrapcoords="3300 -67 3300 3672 4433 4535 10101 4535 10101 9137 -101 9137 -101 21504 21436 21504 21436 9137 11990 9137 11612 4535 18414 4535 20303 3672 19547 -67 3300 -67" o:gfxdata="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M0V9oAAAAKAQAADwAAAAAAAAABACAAAAAiAAAAZHJzL2Rvd25yZXYueG1sUEsBAhQAFAAAAAgA&#10;h07iQGh7WthAAwAA/AkAAA4AAAAAAAAAAQAgAAAAKQEAAGRycy9lMm9Eb2MueG1sUEsFBgAAAAAG&#10;AAYAWQEAANsGAAAAAA==&#10;">
                      <o:lock v:ext="edit" aspectratio="f"/>
                      <v:shape id="_x0000_s1026" o:spid="_x0000_s1026" o:spt="202" type="#_x0000_t202" style="position:absolute;left:18454;top:148523;height:1477;width:1476;" fillcolor="#FFFFFF" filled="t" stroked="t" coordsize="21600,21600" o:gfxdata="UEsDBAoAAAAAAIdO4kAAAAAAAAAAAAAAAAAEAAAAZHJzL1BLAwQUAAAACACHTuJAiwnnb7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qE/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Ced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Cs w:val="21"/>
                                  <w:lang w:eastAsia="zh-CN"/>
                                </w:rPr>
                              </w:pPr>
                              <w:r>
                                <w:rPr>
                                  <w:rFonts w:hint="eastAsia" w:ascii="宋体" w:hAnsi="宋体" w:eastAsia="宋体" w:cs="宋体"/>
                                </w:rPr>
                                <w:t>生活垃圾、</w:t>
                              </w:r>
                              <w:r>
                                <w:rPr>
                                  <w:rFonts w:hint="eastAsia" w:ascii="宋体" w:hAnsi="宋体" w:eastAsia="宋体" w:cs="宋体"/>
                                  <w:szCs w:val="21"/>
                                  <w:lang w:eastAsia="zh-CN"/>
                                </w:rPr>
                                <w:t>生活废水</w:t>
                              </w:r>
                              <w:r>
                                <w:rPr>
                                  <w:rFonts w:hint="eastAsia" w:ascii="宋体" w:hAnsi="宋体" w:eastAsia="宋体" w:cs="宋体"/>
                                  <w:szCs w:val="21"/>
                                </w:rPr>
                                <w:t>、</w:t>
                              </w:r>
                              <w:r>
                                <w:rPr>
                                  <w:rFonts w:hint="eastAsia" w:ascii="宋体" w:hAnsi="宋体" w:eastAsia="宋体" w:cs="宋体"/>
                                  <w:szCs w:val="21"/>
                                  <w:lang w:eastAsia="zh-CN"/>
                                </w:rPr>
                                <w:t>食堂废水</w:t>
                              </w:r>
                              <w:r>
                                <w:rPr>
                                  <w:rFonts w:hint="eastAsia" w:ascii="宋体" w:hAnsi="宋体" w:eastAsia="宋体" w:cs="宋体"/>
                                  <w:szCs w:val="21"/>
                                </w:rPr>
                                <w:t>、油烟废气、</w:t>
                              </w:r>
                              <w:r>
                                <w:rPr>
                                  <w:rFonts w:hint="eastAsia" w:ascii="宋体" w:hAnsi="宋体" w:eastAsia="宋体" w:cs="宋体"/>
                                  <w:szCs w:val="21"/>
                                  <w:lang w:eastAsia="zh-CN"/>
                                </w:rPr>
                                <w:t>活动</w:t>
                              </w:r>
                              <w:r>
                                <w:rPr>
                                  <w:rFonts w:hint="eastAsia" w:ascii="宋体" w:hAnsi="宋体" w:eastAsia="宋体" w:cs="宋体"/>
                                  <w:szCs w:val="21"/>
                                </w:rPr>
                                <w:t>噪声</w:t>
                              </w:r>
                              <w:r>
                                <w:rPr>
                                  <w:rFonts w:hint="eastAsia" w:ascii="宋体" w:hAnsi="宋体" w:eastAsia="宋体" w:cs="宋体"/>
                                  <w:szCs w:val="21"/>
                                  <w:lang w:eastAsia="zh-CN"/>
                                </w:rPr>
                                <w:t>等</w:t>
                              </w:r>
                            </w:p>
                          </w:txbxContent>
                        </v:textbox>
                      </v:shape>
                      <v:shape id="_x0000_s1026" o:spid="_x0000_s1026" o:spt="202" type="#_x0000_t202" style="position:absolute;left:18744;top:147324;height:519;width:999;" fillcolor="#FFFFFF" filled="t" stroked="t" coordsize="21600,21600" o:gfxdata="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OB/G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ascii="宋体" w:hAnsi="宋体" w:eastAsia="宋体" w:cs="宋体"/>
                                </w:rPr>
                              </w:pPr>
                              <w:r>
                                <w:rPr>
                                  <w:rFonts w:hint="eastAsia" w:ascii="宋体" w:hAnsi="宋体" w:eastAsia="宋体" w:cs="宋体"/>
                                </w:rPr>
                                <w:t>生活区</w:t>
                              </w:r>
                            </w:p>
                          </w:txbxContent>
                        </v:textbox>
                      </v:shape>
                      <v:line id="_x0000_s1026" o:spid="_x0000_s1026" o:spt="20" style="position:absolute;left:19220;top:147849;flip:x;height:664;width:0;" filled="f" stroked="t" coordsize="21600,21600" o:gfxdata="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DSf+2/&#10;AAAA2wAAAA8AAAAAAAAAAQAgAAAAIgAAAGRycy9kb3ducmV2LnhtbFBLAQIUABQAAAAIAIdO4kAz&#10;LwWeOwAAADkAAAAQAAAAAAAAAAEAIAAAAA4BAABkcnMvc2hhcGV4bWwueG1sUEsFBgAAAAAGAAYA&#10;WwEAALgDAAAAAA==&#10;">
                        <v:fill on="f" focussize="0,0"/>
                        <v:stroke color="#000000" joinstyle="round" dashstyle="1 1" endcap="square" endarrow="block"/>
                        <v:imagedata o:title=""/>
                        <o:lock v:ext="edit" aspectratio="f"/>
                      </v:line>
                      <w10:wrap type="tight"/>
                    </v:group>
                  </w:pict>
                </mc:Fallback>
              </mc:AlternateContent>
            </w:r>
          </w:p>
          <w:p>
            <w:pPr>
              <w:pStyle w:val="31"/>
              <w:rPr>
                <w:rFonts w:hint="eastAsia"/>
                <w:bCs/>
                <w:color w:val="auto"/>
                <w:sz w:val="24"/>
                <w:szCs w:val="21"/>
              </w:rPr>
            </w:pPr>
            <w:r>
              <w:rPr>
                <w:color w:val="auto"/>
              </w:rPr>
              <mc:AlternateContent>
                <mc:Choice Requires="wps">
                  <w:drawing>
                    <wp:anchor distT="0" distB="0" distL="114300" distR="114300" simplePos="0" relativeHeight="251675648" behindDoc="1" locked="0" layoutInCell="1" allowOverlap="1">
                      <wp:simplePos x="0" y="0"/>
                      <wp:positionH relativeFrom="column">
                        <wp:posOffset>3873500</wp:posOffset>
                      </wp:positionH>
                      <wp:positionV relativeFrom="paragraph">
                        <wp:posOffset>168275</wp:posOffset>
                      </wp:positionV>
                      <wp:extent cx="0" cy="360045"/>
                      <wp:effectExtent l="38100" t="4445" r="38100" b="16510"/>
                      <wp:wrapTight wrapText="bothSides">
                        <wp:wrapPolygon>
                          <wp:start x="0" y="-267"/>
                          <wp:lineTo x="0" y="20305"/>
                          <wp:lineTo x="-2147483648" y="20305"/>
                          <wp:lineTo x="-2147483648" y="-267"/>
                          <wp:lineTo x="0" y="-267"/>
                        </wp:wrapPolygon>
                      </wp:wrapTight>
                      <wp:docPr id="91" name="直接连接符 91"/>
                      <wp:cNvGraphicFramePr/>
                      <a:graphic xmlns:a="http://schemas.openxmlformats.org/drawingml/2006/main">
                        <a:graphicData uri="http://schemas.microsoft.com/office/word/2010/wordprocessingShape">
                          <wps:wsp>
                            <wps:cNvCnPr/>
                            <wps:spPr>
                              <a:xfrm flipH="1">
                                <a:off x="0" y="0"/>
                                <a:ext cx="0" cy="360045"/>
                              </a:xfrm>
                              <a:prstGeom prst="line">
                                <a:avLst/>
                              </a:prstGeom>
                              <a:ln w="9525" cap="sq" cmpd="sng">
                                <a:solidFill>
                                  <a:srgbClr val="000000"/>
                                </a:solidFill>
                                <a:prstDash val="sysDot"/>
                                <a:headEnd type="none" w="med" len="med"/>
                                <a:tailEnd type="triangle" w="med" len="med"/>
                              </a:ln>
                            </wps:spPr>
                            <wps:bodyPr upright="1"/>
                          </wps:wsp>
                        </a:graphicData>
                      </a:graphic>
                    </wp:anchor>
                  </w:drawing>
                </mc:Choice>
                <mc:Fallback>
                  <w:pict>
                    <v:line id="_x0000_s1026" o:spid="_x0000_s1026" o:spt="20" style="position:absolute;left:0pt;flip:x;margin-left:305pt;margin-top:13.25pt;height:28.35pt;width:0pt;mso-wrap-distance-left:9pt;mso-wrap-distance-right:9pt;z-index:-251640832;mso-width-relative:page;mso-height-relative:page;" filled="f" stroked="t" coordsize="21600,21600" wrapcoords="0 -267 0 20305 -2147483648 20305 -2147483648 -267 0 -267" o:gfxdata="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ngWI9kAAAAJAQAADwAAAAAAAAABACAAAAAiAAAAZHJz&#10;L2Rvd25yZXYueG1sUEsBAhQAFAAAAAgAh07iQPLd8EADAgAA8gMAAA4AAAAAAAAAAQAgAAAAKAEA&#10;AGRycy9lMm9Eb2MueG1sUEsFBgAAAAAGAAYAWQEAAJ0FAAAAAA==&#10;">
                      <v:fill on="f" focussize="0,0"/>
                      <v:stroke color="#000000" joinstyle="round" dashstyle="1 1" endcap="square" endarrow="block"/>
                      <v:imagedata o:title=""/>
                      <o:lock v:ext="edit" aspectratio="f"/>
                      <w10:wrap type="tight"/>
                    </v:line>
                  </w:pict>
                </mc:Fallback>
              </mc:AlternateContent>
            </w:r>
          </w:p>
          <w:p>
            <w:pPr>
              <w:pStyle w:val="31"/>
              <w:rPr>
                <w:rFonts w:hint="eastAsia"/>
                <w:bCs/>
                <w:color w:val="auto"/>
                <w:sz w:val="24"/>
                <w:szCs w:val="21"/>
              </w:rPr>
            </w:pPr>
          </w:p>
          <w:p>
            <w:pPr>
              <w:pStyle w:val="31"/>
              <w:rPr>
                <w:rFonts w:hint="eastAsia"/>
                <w:bCs/>
                <w:color w:val="auto"/>
                <w:sz w:val="24"/>
                <w:szCs w:val="21"/>
              </w:rPr>
            </w:pPr>
            <w:r>
              <w:rPr>
                <w:color w:val="auto"/>
              </w:rPr>
              <mc:AlternateContent>
                <mc:Choice Requires="wps">
                  <w:drawing>
                    <wp:anchor distT="0" distB="0" distL="114300" distR="114300" simplePos="0" relativeHeight="251671552" behindDoc="1" locked="0" layoutInCell="1" allowOverlap="1">
                      <wp:simplePos x="0" y="0"/>
                      <wp:positionH relativeFrom="column">
                        <wp:posOffset>3289300</wp:posOffset>
                      </wp:positionH>
                      <wp:positionV relativeFrom="paragraph">
                        <wp:posOffset>79375</wp:posOffset>
                      </wp:positionV>
                      <wp:extent cx="1232535" cy="448310"/>
                      <wp:effectExtent l="4445" t="4445" r="20320" b="23495"/>
                      <wp:wrapTight wrapText="bothSides">
                        <wp:wrapPolygon>
                          <wp:start x="-78" y="-214"/>
                          <wp:lineTo x="-78" y="20896"/>
                          <wp:lineTo x="21288" y="20896"/>
                          <wp:lineTo x="21288" y="-214"/>
                          <wp:lineTo x="-78" y="-214"/>
                        </wp:wrapPolygon>
                      </wp:wrapTight>
                      <wp:docPr id="98" name="文本框 98"/>
                      <wp:cNvGraphicFramePr/>
                      <a:graphic xmlns:a="http://schemas.openxmlformats.org/drawingml/2006/main">
                        <a:graphicData uri="http://schemas.microsoft.com/office/word/2010/wordprocessingShape">
                          <wps:wsp>
                            <wps:cNvSpPr txBox="1"/>
                            <wps:spPr>
                              <a:xfrm>
                                <a:off x="0" y="0"/>
                                <a:ext cx="1232535" cy="4483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sz w:val="21"/>
                                      <w:lang w:val="en-US" w:eastAsia="zh-CN"/>
                                    </w:rPr>
                                  </w:pPr>
                                  <w:r>
                                    <w:rPr>
                                      <w:rFonts w:hint="eastAsia" w:ascii="宋体" w:hAnsi="宋体" w:eastAsia="宋体" w:cs="宋体"/>
                                      <w:sz w:val="21"/>
                                    </w:rPr>
                                    <w:t>汽车尾气、设备噪声</w:t>
                                  </w:r>
                                  <w:r>
                                    <w:rPr>
                                      <w:rFonts w:hint="eastAsia" w:ascii="宋体" w:hAnsi="宋体" w:cs="宋体"/>
                                      <w:sz w:val="21"/>
                                      <w:lang w:val="en-US" w:eastAsia="zh-CN"/>
                                    </w:rPr>
                                    <w:t>等</w:t>
                                  </w:r>
                                </w:p>
                              </w:txbxContent>
                            </wps:txbx>
                            <wps:bodyPr upright="1"/>
                          </wps:wsp>
                        </a:graphicData>
                      </a:graphic>
                    </wp:anchor>
                  </w:drawing>
                </mc:Choice>
                <mc:Fallback>
                  <w:pict>
                    <v:shape id="_x0000_s1026" o:spid="_x0000_s1026" o:spt="202" type="#_x0000_t202" style="position:absolute;left:0pt;margin-left:259pt;margin-top:6.25pt;height:35.3pt;width:97.05pt;mso-wrap-distance-left:9pt;mso-wrap-distance-right:9pt;z-index:-251644928;mso-width-relative:page;mso-height-relative:page;" fillcolor="#FFFFFF" filled="t" stroked="t" coordsize="21600,21600" wrapcoords="-78 -214 -78 20896 21288 20896 21288 -214 -78 -214" o:gfxdata="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NByqQtgAAAAJAQAADwAAAAAAAAABACAA&#10;AAAiAAAAZHJzL2Rvd25yZXYueG1sUEsBAhQAFAAAAAgAh07iQIPajTANAgAAOAQAAA4AAAAAAAAA&#10;AQAgAAAAJwEAAGRycy9lMm9Eb2MueG1sUEsFBgAAAAAGAAYAWQEAAKYFAAAAAA==&#10;">
                      <v:fill on="t" focussize="0,0"/>
                      <v:stroke color="#000000" joinstyle="miter"/>
                      <v:imagedata o:title=""/>
                      <o:lock v:ext="edit" aspectratio="f"/>
                      <v:textbox>
                        <w:txbxContent>
                          <w:p>
                            <w:pPr>
                              <w:pStyle w:val="7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sz w:val="21"/>
                                <w:lang w:val="en-US" w:eastAsia="zh-CN"/>
                              </w:rPr>
                            </w:pPr>
                            <w:r>
                              <w:rPr>
                                <w:rFonts w:hint="eastAsia" w:ascii="宋体" w:hAnsi="宋体" w:eastAsia="宋体" w:cs="宋体"/>
                                <w:sz w:val="21"/>
                              </w:rPr>
                              <w:t>汽车尾气、设备噪声</w:t>
                            </w:r>
                            <w:r>
                              <w:rPr>
                                <w:rFonts w:hint="eastAsia" w:ascii="宋体" w:hAnsi="宋体" w:cs="宋体"/>
                                <w:sz w:val="21"/>
                                <w:lang w:val="en-US" w:eastAsia="zh-CN"/>
                              </w:rPr>
                              <w:t>等</w:t>
                            </w:r>
                          </w:p>
                        </w:txbxContent>
                      </v:textbox>
                      <w10:wrap type="tight"/>
                    </v:shape>
                  </w:pict>
                </mc:Fallback>
              </mc:AlternateContent>
            </w:r>
          </w:p>
          <w:p>
            <w:pPr>
              <w:pStyle w:val="31"/>
              <w:rPr>
                <w:rFonts w:hint="eastAsia"/>
                <w:bCs/>
                <w:color w:val="auto"/>
                <w:sz w:val="24"/>
                <w:szCs w:val="21"/>
              </w:rPr>
            </w:pPr>
          </w:p>
          <w:p>
            <w:pPr>
              <w:pStyle w:val="31"/>
              <w:rPr>
                <w:rFonts w:hint="eastAsia"/>
                <w:bCs/>
                <w:color w:val="auto"/>
                <w:sz w:val="24"/>
                <w:szCs w:val="21"/>
              </w:rPr>
            </w:pP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eastAsia" w:ascii="Times New Roman" w:hAnsi="Times New Roman" w:eastAsia="宋体" w:cs="Times New Roman"/>
                <w:b/>
                <w:color w:val="auto"/>
                <w:sz w:val="24"/>
                <w:szCs w:val="21"/>
              </w:rPr>
            </w:pPr>
            <w:r>
              <w:rPr>
                <w:rFonts w:hint="eastAsia" w:ascii="Times New Roman" w:hAnsi="Times New Roman" w:eastAsia="宋体" w:cs="Times New Roman"/>
                <w:b/>
                <w:color w:val="auto"/>
                <w:sz w:val="24"/>
                <w:szCs w:val="21"/>
                <w:lang w:val="en-US" w:eastAsia="zh-CN"/>
              </w:rPr>
              <w:t xml:space="preserve">图2.1 </w:t>
            </w:r>
            <w:r>
              <w:rPr>
                <w:rFonts w:hint="default" w:ascii="Times New Roman" w:hAnsi="Times New Roman" w:eastAsia="宋体" w:cs="Times New Roman"/>
                <w:b/>
                <w:color w:val="auto"/>
                <w:sz w:val="24"/>
                <w:szCs w:val="21"/>
              </w:rPr>
              <w:t>营运期</w:t>
            </w:r>
            <w:r>
              <w:rPr>
                <w:rFonts w:hint="eastAsia" w:cs="Times New Roman"/>
                <w:b/>
                <w:color w:val="auto"/>
                <w:sz w:val="24"/>
                <w:szCs w:val="21"/>
                <w:lang w:val="en-US" w:eastAsia="zh-CN"/>
              </w:rPr>
              <w:t>安置区</w:t>
            </w:r>
            <w:r>
              <w:rPr>
                <w:rFonts w:hint="default" w:ascii="Times New Roman" w:hAnsi="Times New Roman" w:eastAsia="宋体" w:cs="Times New Roman"/>
                <w:b/>
                <w:color w:val="auto"/>
                <w:sz w:val="24"/>
                <w:szCs w:val="21"/>
              </w:rPr>
              <w:t>工艺流程及产污环节图</w:t>
            </w:r>
          </w:p>
          <w:p>
            <w:pPr>
              <w:jc w:val="center"/>
              <w:rPr>
                <w:color w:val="auto"/>
              </w:rPr>
            </w:pPr>
          </w:p>
          <w:p>
            <w:pPr>
              <w:adjustRightInd w:val="0"/>
              <w:snapToGrid w:val="0"/>
              <w:spacing w:line="360" w:lineRule="auto"/>
              <w:jc w:val="left"/>
              <w:rPr>
                <w:rFonts w:hint="eastAsia"/>
                <w:b/>
                <w:color w:val="auto"/>
                <w:sz w:val="24"/>
                <w:szCs w:val="21"/>
              </w:rPr>
            </w:pPr>
            <w:r>
              <w:rPr>
                <w:position w:val="-46"/>
              </w:rPr>
              <w:drawing>
                <wp:inline distT="0" distB="0" distL="0" distR="0">
                  <wp:extent cx="5274310" cy="1479550"/>
                  <wp:effectExtent l="0" t="0" r="2540" b="6350"/>
                  <wp:docPr id="74" name="IM 64"/>
                  <wp:cNvGraphicFramePr/>
                  <a:graphic xmlns:a="http://schemas.openxmlformats.org/drawingml/2006/main">
                    <a:graphicData uri="http://schemas.openxmlformats.org/drawingml/2006/picture">
                      <pic:pic xmlns:pic="http://schemas.openxmlformats.org/drawingml/2006/picture">
                        <pic:nvPicPr>
                          <pic:cNvPr id="74" name="IM 64"/>
                          <pic:cNvPicPr/>
                        </pic:nvPicPr>
                        <pic:blipFill>
                          <a:blip r:embed="rId24"/>
                          <a:stretch>
                            <a:fillRect/>
                          </a:stretch>
                        </pic:blipFill>
                        <pic:spPr>
                          <a:xfrm>
                            <a:off x="0" y="0"/>
                            <a:ext cx="5274563" cy="1479803"/>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eastAsia" w:ascii="Times New Roman" w:hAnsi="Times New Roman" w:eastAsia="宋体" w:cs="Times New Roman"/>
                <w:b/>
                <w:color w:val="auto"/>
                <w:sz w:val="24"/>
                <w:szCs w:val="21"/>
              </w:rPr>
            </w:pPr>
            <w:r>
              <w:rPr>
                <w:rFonts w:hint="eastAsia"/>
                <w:b/>
                <w:color w:val="auto"/>
                <w:sz w:val="24"/>
                <w:szCs w:val="21"/>
                <w:lang w:val="en-US" w:eastAsia="zh-CN"/>
              </w:rPr>
              <w:t>图2.2. 运营期配套污水处理厂</w:t>
            </w:r>
            <w:r>
              <w:rPr>
                <w:rFonts w:hint="default" w:ascii="Times New Roman" w:hAnsi="Times New Roman" w:eastAsia="宋体" w:cs="Times New Roman"/>
                <w:b/>
                <w:color w:val="auto"/>
                <w:sz w:val="24"/>
                <w:szCs w:val="21"/>
              </w:rPr>
              <w:t>工艺流程及产污环节图</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b/>
                <w:color w:val="auto"/>
                <w:sz w:val="24"/>
                <w:szCs w:val="21"/>
                <w:lang w:val="en-US" w:eastAsia="zh-CN"/>
              </w:rPr>
            </w:pPr>
            <w:r>
              <w:rPr>
                <w:rFonts w:hint="eastAsia" w:cs="Times New Roman"/>
                <w:b/>
                <w:color w:val="auto"/>
                <w:sz w:val="24"/>
                <w:szCs w:val="21"/>
                <w:lang w:val="en-US" w:eastAsia="zh-CN"/>
              </w:rPr>
              <w:t>标2-12  污水处理厂设计进出水水质</w:t>
            </w:r>
          </w:p>
          <w:tbl>
            <w:tblPr>
              <w:tblStyle w:val="72"/>
              <w:tblW w:w="7960" w:type="dxa"/>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796"/>
              <w:gridCol w:w="926"/>
              <w:gridCol w:w="793"/>
              <w:gridCol w:w="661"/>
              <w:gridCol w:w="1060"/>
              <w:gridCol w:w="926"/>
              <w:gridCol w:w="79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2997" w:type="dxa"/>
                  <w:tcBorders>
                    <w:tl2br w:val="nil"/>
                    <w:tr2bl w:val="nil"/>
                  </w:tcBorders>
                  <w:vAlign w:val="center"/>
                </w:tcPr>
                <w:p>
                  <w:pPr>
                    <w:spacing w:before="35" w:line="208" w:lineRule="auto"/>
                    <w:ind w:left="117"/>
                    <w:jc w:val="center"/>
                    <w:rPr>
                      <w:rFonts w:hint="default" w:ascii="Times New Roman" w:hAnsi="Times New Roman" w:eastAsia="宋体" w:cs="Times New Roman"/>
                      <w:b/>
                      <w:bCs/>
                      <w:sz w:val="22"/>
                      <w:szCs w:val="22"/>
                    </w:rPr>
                  </w:pPr>
                  <w:r>
                    <w:rPr>
                      <w:rFonts w:hint="default" w:ascii="Times New Roman" w:hAnsi="Times New Roman" w:eastAsia="宋体" w:cs="Times New Roman"/>
                      <w:b/>
                      <w:bCs/>
                      <w:spacing w:val="-2"/>
                      <w:sz w:val="22"/>
                      <w:szCs w:val="22"/>
                    </w:rPr>
                    <w:t>主要水质指标</w:t>
                  </w:r>
                </w:p>
              </w:tc>
              <w:tc>
                <w:tcPr>
                  <w:tcW w:w="992" w:type="dxa"/>
                  <w:tcBorders>
                    <w:tl2br w:val="nil"/>
                    <w:tr2bl w:val="nil"/>
                  </w:tcBorders>
                  <w:vAlign w:val="center"/>
                </w:tcPr>
                <w:p>
                  <w:pPr>
                    <w:spacing w:before="35" w:line="208" w:lineRule="auto"/>
                    <w:ind w:left="112"/>
                    <w:jc w:val="center"/>
                    <w:rPr>
                      <w:rFonts w:hint="default" w:ascii="Times New Roman" w:hAnsi="Times New Roman" w:eastAsia="宋体" w:cs="Times New Roman"/>
                      <w:sz w:val="22"/>
                      <w:szCs w:val="22"/>
                    </w:rPr>
                  </w:pPr>
                  <w:r>
                    <w:rPr>
                      <w:rFonts w:hint="default" w:ascii="Times New Roman" w:hAnsi="Times New Roman" w:eastAsia="宋体" w:cs="Times New Roman"/>
                      <w:spacing w:val="-2"/>
                      <w:sz w:val="22"/>
                      <w:szCs w:val="22"/>
                    </w:rPr>
                    <w:t>CODcr</w:t>
                  </w:r>
                </w:p>
              </w:tc>
              <w:tc>
                <w:tcPr>
                  <w:tcW w:w="850" w:type="dxa"/>
                  <w:tcBorders>
                    <w:tl2br w:val="nil"/>
                    <w:tr2bl w:val="nil"/>
                  </w:tcBorders>
                  <w:vAlign w:val="center"/>
                </w:tcPr>
                <w:p>
                  <w:pPr>
                    <w:spacing w:before="35" w:line="208" w:lineRule="auto"/>
                    <w:ind w:left="108"/>
                    <w:jc w:val="center"/>
                    <w:rPr>
                      <w:rFonts w:hint="default" w:ascii="Times New Roman" w:hAnsi="Times New Roman" w:eastAsia="宋体" w:cs="Times New Roman"/>
                      <w:sz w:val="22"/>
                      <w:szCs w:val="22"/>
                    </w:rPr>
                  </w:pPr>
                  <w:r>
                    <w:rPr>
                      <w:rFonts w:hint="default" w:ascii="Times New Roman" w:hAnsi="Times New Roman" w:eastAsia="宋体" w:cs="Times New Roman"/>
                      <w:spacing w:val="-1"/>
                      <w:sz w:val="22"/>
                      <w:szCs w:val="22"/>
                    </w:rPr>
                    <w:t>B0D</w:t>
                  </w:r>
                  <w:r>
                    <w:rPr>
                      <w:rFonts w:hint="default" w:ascii="Times New Roman" w:hAnsi="Times New Roman" w:eastAsia="宋体" w:cs="Times New Roman"/>
                      <w:spacing w:val="-1"/>
                      <w:sz w:val="22"/>
                      <w:szCs w:val="22"/>
                      <w:vertAlign w:val="subscript"/>
                    </w:rPr>
                    <w:t>5</w:t>
                  </w:r>
                </w:p>
              </w:tc>
              <w:tc>
                <w:tcPr>
                  <w:tcW w:w="708" w:type="dxa"/>
                  <w:tcBorders>
                    <w:tl2br w:val="nil"/>
                    <w:tr2bl w:val="nil"/>
                  </w:tcBorders>
                  <w:vAlign w:val="center"/>
                </w:tcPr>
                <w:p>
                  <w:pPr>
                    <w:spacing w:before="70" w:line="178" w:lineRule="auto"/>
                    <w:ind w:left="112"/>
                    <w:jc w:val="center"/>
                    <w:rPr>
                      <w:rFonts w:hint="default" w:ascii="Times New Roman" w:hAnsi="Times New Roman" w:eastAsia="宋体" w:cs="Times New Roman"/>
                      <w:sz w:val="22"/>
                      <w:szCs w:val="22"/>
                    </w:rPr>
                  </w:pPr>
                  <w:r>
                    <w:rPr>
                      <w:rFonts w:hint="default" w:ascii="Times New Roman" w:hAnsi="Times New Roman" w:eastAsia="宋体" w:cs="Times New Roman"/>
                      <w:spacing w:val="-3"/>
                      <w:sz w:val="22"/>
                      <w:szCs w:val="22"/>
                    </w:rPr>
                    <w:t>pH</w:t>
                  </w:r>
                </w:p>
              </w:tc>
              <w:tc>
                <w:tcPr>
                  <w:tcW w:w="1136" w:type="dxa"/>
                  <w:tcBorders>
                    <w:tl2br w:val="nil"/>
                    <w:tr2bl w:val="nil"/>
                  </w:tcBorders>
                  <w:vAlign w:val="center"/>
                </w:tcPr>
                <w:p>
                  <w:pPr>
                    <w:spacing w:before="35" w:line="208" w:lineRule="auto"/>
                    <w:ind w:left="108"/>
                    <w:jc w:val="center"/>
                    <w:rPr>
                      <w:rFonts w:hint="default" w:ascii="Times New Roman" w:hAnsi="Times New Roman" w:eastAsia="宋体" w:cs="Times New Roman"/>
                      <w:sz w:val="22"/>
                      <w:szCs w:val="22"/>
                    </w:rPr>
                  </w:pPr>
                  <w:r>
                    <w:rPr>
                      <w:rFonts w:hint="default" w:ascii="Times New Roman" w:hAnsi="Times New Roman" w:eastAsia="宋体" w:cs="Times New Roman"/>
                      <w:spacing w:val="-1"/>
                      <w:sz w:val="22"/>
                      <w:szCs w:val="22"/>
                    </w:rPr>
                    <w:t>NH</w:t>
                  </w:r>
                  <w:r>
                    <w:rPr>
                      <w:rFonts w:hint="default" w:ascii="Times New Roman" w:hAnsi="Times New Roman" w:eastAsia="宋体" w:cs="Times New Roman"/>
                      <w:spacing w:val="-1"/>
                      <w:sz w:val="22"/>
                      <w:szCs w:val="22"/>
                      <w:vertAlign w:val="subscript"/>
                    </w:rPr>
                    <w:t>3</w:t>
                  </w:r>
                  <w:r>
                    <w:rPr>
                      <w:rFonts w:hint="default" w:ascii="Times New Roman" w:hAnsi="Times New Roman" w:eastAsia="宋体" w:cs="Times New Roman"/>
                      <w:spacing w:val="-1"/>
                      <w:sz w:val="22"/>
                      <w:szCs w:val="22"/>
                    </w:rPr>
                    <w:t>-N</w:t>
                  </w:r>
                </w:p>
              </w:tc>
              <w:tc>
                <w:tcPr>
                  <w:tcW w:w="992" w:type="dxa"/>
                  <w:tcBorders>
                    <w:tl2br w:val="nil"/>
                    <w:tr2bl w:val="nil"/>
                  </w:tcBorders>
                  <w:vAlign w:val="center"/>
                </w:tcPr>
                <w:p>
                  <w:pPr>
                    <w:spacing w:before="70" w:line="178" w:lineRule="auto"/>
                    <w:ind w:left="111"/>
                    <w:jc w:val="center"/>
                    <w:rPr>
                      <w:rFonts w:hint="default" w:ascii="Times New Roman" w:hAnsi="Times New Roman" w:eastAsia="宋体" w:cs="Times New Roman"/>
                      <w:sz w:val="22"/>
                      <w:szCs w:val="22"/>
                    </w:rPr>
                  </w:pPr>
                  <w:r>
                    <w:rPr>
                      <w:rFonts w:hint="default" w:ascii="Times New Roman" w:hAnsi="Times New Roman" w:eastAsia="宋体" w:cs="Times New Roman"/>
                      <w:spacing w:val="-3"/>
                      <w:sz w:val="22"/>
                      <w:szCs w:val="22"/>
                    </w:rPr>
                    <w:t>TP</w:t>
                  </w:r>
                </w:p>
              </w:tc>
              <w:tc>
                <w:tcPr>
                  <w:tcW w:w="854" w:type="dxa"/>
                  <w:tcBorders>
                    <w:tl2br w:val="nil"/>
                    <w:tr2bl w:val="nil"/>
                  </w:tcBorders>
                  <w:vAlign w:val="center"/>
                </w:tcPr>
                <w:p>
                  <w:pPr>
                    <w:spacing w:before="69" w:line="179" w:lineRule="auto"/>
                    <w:ind w:left="117"/>
                    <w:jc w:val="center"/>
                    <w:rPr>
                      <w:rFonts w:hint="default" w:ascii="Times New Roman" w:hAnsi="Times New Roman" w:eastAsia="宋体" w:cs="Times New Roman"/>
                      <w:sz w:val="22"/>
                      <w:szCs w:val="22"/>
                    </w:rPr>
                  </w:pPr>
                  <w:r>
                    <w:rPr>
                      <w:rFonts w:hint="default" w:ascii="Times New Roman" w:hAnsi="Times New Roman" w:eastAsia="宋体" w:cs="Times New Roman"/>
                      <w:spacing w:val="-5"/>
                      <w:sz w:val="22"/>
                      <w:szCs w:val="22"/>
                    </w:rPr>
                    <w:t>SS</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2997" w:type="dxa"/>
                  <w:tcBorders>
                    <w:tl2br w:val="nil"/>
                    <w:tr2bl w:val="nil"/>
                  </w:tcBorders>
                  <w:vAlign w:val="center"/>
                </w:tcPr>
                <w:p>
                  <w:pPr>
                    <w:spacing w:before="34" w:line="204" w:lineRule="auto"/>
                    <w:ind w:left="119"/>
                    <w:jc w:val="center"/>
                    <w:rPr>
                      <w:rFonts w:hint="default" w:ascii="Times New Roman" w:hAnsi="Times New Roman" w:eastAsia="宋体" w:cs="Times New Roman"/>
                      <w:b/>
                      <w:bCs/>
                      <w:sz w:val="22"/>
                      <w:szCs w:val="22"/>
                    </w:rPr>
                  </w:pPr>
                  <w:r>
                    <w:rPr>
                      <w:rFonts w:hint="default" w:ascii="Times New Roman" w:hAnsi="Times New Roman" w:eastAsia="宋体" w:cs="Times New Roman"/>
                      <w:b/>
                      <w:bCs/>
                      <w:spacing w:val="-1"/>
                      <w:sz w:val="22"/>
                      <w:szCs w:val="22"/>
                    </w:rPr>
                    <w:t>设计进水水质(mg/L）</w:t>
                  </w:r>
                </w:p>
              </w:tc>
              <w:tc>
                <w:tcPr>
                  <w:tcW w:w="992" w:type="dxa"/>
                  <w:tcBorders>
                    <w:tl2br w:val="nil"/>
                    <w:tr2bl w:val="nil"/>
                  </w:tcBorders>
                  <w:vAlign w:val="center"/>
                </w:tcPr>
                <w:p>
                  <w:pPr>
                    <w:spacing w:before="34" w:line="204" w:lineRule="auto"/>
                    <w:ind w:left="118"/>
                    <w:jc w:val="center"/>
                    <w:rPr>
                      <w:rFonts w:hint="default" w:ascii="Times New Roman" w:hAnsi="Times New Roman" w:eastAsia="宋体" w:cs="Times New Roman"/>
                      <w:sz w:val="22"/>
                      <w:szCs w:val="22"/>
                    </w:rPr>
                  </w:pPr>
                  <w:r>
                    <w:rPr>
                      <w:rFonts w:hint="default" w:ascii="Times New Roman" w:hAnsi="Times New Roman" w:eastAsia="宋体" w:cs="Times New Roman"/>
                      <w:spacing w:val="-4"/>
                      <w:sz w:val="22"/>
                      <w:szCs w:val="22"/>
                    </w:rPr>
                    <w:t>350</w:t>
                  </w:r>
                </w:p>
              </w:tc>
              <w:tc>
                <w:tcPr>
                  <w:tcW w:w="850" w:type="dxa"/>
                  <w:tcBorders>
                    <w:tl2br w:val="nil"/>
                    <w:tr2bl w:val="nil"/>
                  </w:tcBorders>
                  <w:vAlign w:val="center"/>
                </w:tcPr>
                <w:p>
                  <w:pPr>
                    <w:spacing w:before="34" w:line="204" w:lineRule="auto"/>
                    <w:ind w:left="129"/>
                    <w:jc w:val="center"/>
                    <w:rPr>
                      <w:rFonts w:hint="default" w:ascii="Times New Roman" w:hAnsi="Times New Roman" w:eastAsia="宋体" w:cs="Times New Roman"/>
                      <w:sz w:val="22"/>
                      <w:szCs w:val="22"/>
                    </w:rPr>
                  </w:pPr>
                  <w:r>
                    <w:rPr>
                      <w:rFonts w:hint="default" w:ascii="Times New Roman" w:hAnsi="Times New Roman" w:eastAsia="宋体" w:cs="Times New Roman"/>
                      <w:spacing w:val="-8"/>
                      <w:sz w:val="22"/>
                      <w:szCs w:val="22"/>
                    </w:rPr>
                    <w:t>180</w:t>
                  </w:r>
                </w:p>
              </w:tc>
              <w:tc>
                <w:tcPr>
                  <w:tcW w:w="708" w:type="dxa"/>
                  <w:tcBorders>
                    <w:tl2br w:val="nil"/>
                    <w:tr2bl w:val="nil"/>
                  </w:tcBorders>
                  <w:vAlign w:val="center"/>
                </w:tcPr>
                <w:p>
                  <w:pPr>
                    <w:spacing w:before="34" w:line="204" w:lineRule="auto"/>
                    <w:ind w:left="117"/>
                    <w:jc w:val="center"/>
                    <w:rPr>
                      <w:rFonts w:hint="default" w:ascii="Times New Roman" w:hAnsi="Times New Roman" w:eastAsia="宋体" w:cs="Times New Roman"/>
                      <w:sz w:val="22"/>
                      <w:szCs w:val="22"/>
                    </w:rPr>
                  </w:pPr>
                  <w:r>
                    <w:rPr>
                      <w:rFonts w:hint="default" w:ascii="Times New Roman" w:hAnsi="Times New Roman" w:eastAsia="宋体" w:cs="Times New Roman"/>
                      <w:spacing w:val="-4"/>
                      <w:sz w:val="22"/>
                      <w:szCs w:val="22"/>
                    </w:rPr>
                    <w:t>6~9</w:t>
                  </w:r>
                </w:p>
              </w:tc>
              <w:tc>
                <w:tcPr>
                  <w:tcW w:w="1136" w:type="dxa"/>
                  <w:tcBorders>
                    <w:tl2br w:val="nil"/>
                    <w:tr2bl w:val="nil"/>
                  </w:tcBorders>
                  <w:vAlign w:val="center"/>
                </w:tcPr>
                <w:p>
                  <w:pPr>
                    <w:spacing w:before="34" w:line="204" w:lineRule="auto"/>
                    <w:ind w:left="119"/>
                    <w:jc w:val="center"/>
                    <w:rPr>
                      <w:rFonts w:hint="default" w:ascii="Times New Roman" w:hAnsi="Times New Roman" w:eastAsia="宋体" w:cs="Times New Roman"/>
                      <w:sz w:val="22"/>
                      <w:szCs w:val="22"/>
                    </w:rPr>
                  </w:pPr>
                  <w:r>
                    <w:rPr>
                      <w:rFonts w:hint="default" w:ascii="Times New Roman" w:hAnsi="Times New Roman" w:eastAsia="宋体" w:cs="Times New Roman"/>
                      <w:spacing w:val="-7"/>
                      <w:sz w:val="22"/>
                      <w:szCs w:val="22"/>
                    </w:rPr>
                    <w:t>30</w:t>
                  </w:r>
                </w:p>
              </w:tc>
              <w:tc>
                <w:tcPr>
                  <w:tcW w:w="992" w:type="dxa"/>
                  <w:tcBorders>
                    <w:tl2br w:val="nil"/>
                    <w:tr2bl w:val="nil"/>
                  </w:tcBorders>
                  <w:vAlign w:val="center"/>
                </w:tcPr>
                <w:p>
                  <w:pPr>
                    <w:spacing w:before="34" w:line="204" w:lineRule="auto"/>
                    <w:ind w:left="116"/>
                    <w:jc w:val="center"/>
                    <w:rPr>
                      <w:rFonts w:hint="default" w:ascii="Times New Roman" w:hAnsi="Times New Roman" w:eastAsia="宋体" w:cs="Times New Roman"/>
                      <w:sz w:val="22"/>
                      <w:szCs w:val="22"/>
                    </w:rPr>
                  </w:pPr>
                  <w:r>
                    <w:rPr>
                      <w:rFonts w:hint="default" w:ascii="Times New Roman" w:hAnsi="Times New Roman" w:eastAsia="宋体" w:cs="Times New Roman"/>
                      <w:sz w:val="22"/>
                      <w:szCs w:val="22"/>
                    </w:rPr>
                    <w:t>6</w:t>
                  </w:r>
                </w:p>
              </w:tc>
              <w:tc>
                <w:tcPr>
                  <w:tcW w:w="854" w:type="dxa"/>
                  <w:tcBorders>
                    <w:tl2br w:val="nil"/>
                    <w:tr2bl w:val="nil"/>
                  </w:tcBorders>
                  <w:vAlign w:val="center"/>
                </w:tcPr>
                <w:p>
                  <w:pPr>
                    <w:spacing w:before="34" w:line="204" w:lineRule="auto"/>
                    <w:ind w:left="132"/>
                    <w:jc w:val="center"/>
                    <w:rPr>
                      <w:rFonts w:hint="default" w:ascii="Times New Roman" w:hAnsi="Times New Roman" w:eastAsia="宋体" w:cs="Times New Roman"/>
                      <w:sz w:val="22"/>
                      <w:szCs w:val="22"/>
                    </w:rPr>
                  </w:pPr>
                  <w:r>
                    <w:rPr>
                      <w:rFonts w:hint="default" w:ascii="Times New Roman" w:hAnsi="Times New Roman" w:eastAsia="宋体" w:cs="Times New Roman"/>
                      <w:spacing w:val="-8"/>
                      <w:sz w:val="22"/>
                      <w:szCs w:val="22"/>
                    </w:rPr>
                    <w:t>150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2997" w:type="dxa"/>
                  <w:tcBorders>
                    <w:tl2br w:val="nil"/>
                    <w:tr2bl w:val="nil"/>
                  </w:tcBorders>
                  <w:vAlign w:val="center"/>
                </w:tcPr>
                <w:p>
                  <w:pPr>
                    <w:spacing w:before="37" w:line="207" w:lineRule="auto"/>
                    <w:ind w:left="119"/>
                    <w:jc w:val="center"/>
                    <w:rPr>
                      <w:rFonts w:hint="default" w:ascii="Times New Roman" w:hAnsi="Times New Roman" w:eastAsia="宋体" w:cs="Times New Roman"/>
                      <w:b/>
                      <w:bCs/>
                      <w:sz w:val="22"/>
                      <w:szCs w:val="22"/>
                    </w:rPr>
                  </w:pPr>
                  <w:r>
                    <w:rPr>
                      <w:rFonts w:hint="default" w:ascii="Times New Roman" w:hAnsi="Times New Roman" w:eastAsia="宋体" w:cs="Times New Roman"/>
                      <w:b/>
                      <w:bCs/>
                      <w:spacing w:val="-1"/>
                      <w:sz w:val="22"/>
                      <w:szCs w:val="22"/>
                    </w:rPr>
                    <w:t>设计出水水质(mg/L)</w:t>
                  </w:r>
                </w:p>
              </w:tc>
              <w:tc>
                <w:tcPr>
                  <w:tcW w:w="992" w:type="dxa"/>
                  <w:tcBorders>
                    <w:tl2br w:val="nil"/>
                    <w:tr2bl w:val="nil"/>
                  </w:tcBorders>
                  <w:vAlign w:val="center"/>
                </w:tcPr>
                <w:p>
                  <w:pPr>
                    <w:spacing w:before="37" w:line="207" w:lineRule="auto"/>
                    <w:ind w:left="129"/>
                    <w:jc w:val="center"/>
                    <w:rPr>
                      <w:rFonts w:hint="default" w:ascii="Times New Roman" w:hAnsi="Times New Roman" w:eastAsia="宋体" w:cs="Times New Roman"/>
                      <w:sz w:val="22"/>
                      <w:szCs w:val="22"/>
                    </w:rPr>
                  </w:pPr>
                  <w:r>
                    <w:rPr>
                      <w:rFonts w:hint="default" w:ascii="Times New Roman" w:hAnsi="Times New Roman" w:eastAsia="宋体" w:cs="Times New Roman"/>
                      <w:spacing w:val="-9"/>
                      <w:sz w:val="22"/>
                      <w:szCs w:val="22"/>
                    </w:rPr>
                    <w:t>≤50</w:t>
                  </w:r>
                </w:p>
              </w:tc>
              <w:tc>
                <w:tcPr>
                  <w:tcW w:w="850" w:type="dxa"/>
                  <w:tcBorders>
                    <w:tl2br w:val="nil"/>
                    <w:tr2bl w:val="nil"/>
                  </w:tcBorders>
                  <w:vAlign w:val="center"/>
                </w:tcPr>
                <w:p>
                  <w:pPr>
                    <w:spacing w:before="37" w:line="207" w:lineRule="auto"/>
                    <w:ind w:left="128"/>
                    <w:jc w:val="center"/>
                    <w:rPr>
                      <w:rFonts w:hint="default" w:ascii="Times New Roman" w:hAnsi="Times New Roman" w:eastAsia="宋体" w:cs="Times New Roman"/>
                      <w:sz w:val="22"/>
                      <w:szCs w:val="22"/>
                    </w:rPr>
                  </w:pPr>
                  <w:r>
                    <w:rPr>
                      <w:rFonts w:hint="default" w:ascii="Times New Roman" w:hAnsi="Times New Roman" w:eastAsia="宋体" w:cs="Times New Roman"/>
                      <w:spacing w:val="-8"/>
                      <w:sz w:val="22"/>
                      <w:szCs w:val="22"/>
                    </w:rPr>
                    <w:t>≤10</w:t>
                  </w:r>
                </w:p>
              </w:tc>
              <w:tc>
                <w:tcPr>
                  <w:tcW w:w="708" w:type="dxa"/>
                  <w:tcBorders>
                    <w:tl2br w:val="nil"/>
                    <w:tr2bl w:val="nil"/>
                  </w:tcBorders>
                  <w:vAlign w:val="center"/>
                </w:tcPr>
                <w:p>
                  <w:pPr>
                    <w:spacing w:before="37" w:line="207" w:lineRule="auto"/>
                    <w:ind w:left="117"/>
                    <w:jc w:val="center"/>
                    <w:rPr>
                      <w:rFonts w:hint="default" w:ascii="Times New Roman" w:hAnsi="Times New Roman" w:eastAsia="宋体" w:cs="Times New Roman"/>
                      <w:sz w:val="22"/>
                      <w:szCs w:val="22"/>
                    </w:rPr>
                  </w:pPr>
                  <w:r>
                    <w:rPr>
                      <w:rFonts w:hint="default" w:ascii="Times New Roman" w:hAnsi="Times New Roman" w:eastAsia="宋体" w:cs="Times New Roman"/>
                      <w:spacing w:val="-4"/>
                      <w:sz w:val="22"/>
                      <w:szCs w:val="22"/>
                    </w:rPr>
                    <w:t>6~9</w:t>
                  </w:r>
                </w:p>
              </w:tc>
              <w:tc>
                <w:tcPr>
                  <w:tcW w:w="1136" w:type="dxa"/>
                  <w:tcBorders>
                    <w:tl2br w:val="nil"/>
                    <w:tr2bl w:val="nil"/>
                  </w:tcBorders>
                  <w:vAlign w:val="center"/>
                </w:tcPr>
                <w:p>
                  <w:pPr>
                    <w:spacing w:before="37" w:line="207" w:lineRule="auto"/>
                    <w:ind w:left="130"/>
                    <w:jc w:val="center"/>
                    <w:rPr>
                      <w:rFonts w:hint="default" w:ascii="Times New Roman" w:hAnsi="Times New Roman" w:eastAsia="宋体" w:cs="Times New Roman"/>
                      <w:sz w:val="22"/>
                      <w:szCs w:val="22"/>
                    </w:rPr>
                  </w:pPr>
                  <w:r>
                    <w:rPr>
                      <w:rFonts w:hint="default" w:ascii="Times New Roman" w:hAnsi="Times New Roman" w:eastAsia="宋体" w:cs="Times New Roman"/>
                      <w:spacing w:val="-5"/>
                      <w:sz w:val="22"/>
                      <w:szCs w:val="22"/>
                    </w:rPr>
                    <w:t>≤5(8)</w:t>
                  </w:r>
                </w:p>
              </w:tc>
              <w:tc>
                <w:tcPr>
                  <w:tcW w:w="992" w:type="dxa"/>
                  <w:tcBorders>
                    <w:tl2br w:val="nil"/>
                    <w:tr2bl w:val="nil"/>
                  </w:tcBorders>
                  <w:vAlign w:val="center"/>
                </w:tcPr>
                <w:p>
                  <w:pPr>
                    <w:spacing w:before="37" w:line="207" w:lineRule="auto"/>
                    <w:ind w:left="130"/>
                    <w:jc w:val="center"/>
                    <w:rPr>
                      <w:rFonts w:hint="default" w:ascii="Times New Roman" w:hAnsi="Times New Roman" w:eastAsia="宋体" w:cs="Times New Roman"/>
                      <w:sz w:val="22"/>
                      <w:szCs w:val="22"/>
                    </w:rPr>
                  </w:pPr>
                  <w:r>
                    <w:rPr>
                      <w:rFonts w:hint="default" w:ascii="Times New Roman" w:hAnsi="Times New Roman" w:eastAsia="宋体" w:cs="Times New Roman"/>
                      <w:spacing w:val="-6"/>
                      <w:sz w:val="22"/>
                      <w:szCs w:val="22"/>
                    </w:rPr>
                    <w:t>≤0.5</w:t>
                  </w:r>
                </w:p>
              </w:tc>
              <w:tc>
                <w:tcPr>
                  <w:tcW w:w="854" w:type="dxa"/>
                  <w:tcBorders>
                    <w:tl2br w:val="nil"/>
                    <w:tr2bl w:val="nil"/>
                  </w:tcBorders>
                  <w:vAlign w:val="center"/>
                </w:tcPr>
                <w:p>
                  <w:pPr>
                    <w:spacing w:before="37" w:line="207" w:lineRule="auto"/>
                    <w:ind w:left="131"/>
                    <w:jc w:val="center"/>
                    <w:rPr>
                      <w:rFonts w:hint="default" w:ascii="Times New Roman" w:hAnsi="Times New Roman" w:eastAsia="宋体" w:cs="Times New Roman"/>
                      <w:sz w:val="22"/>
                      <w:szCs w:val="22"/>
                    </w:rPr>
                  </w:pPr>
                  <w:r>
                    <w:rPr>
                      <w:rFonts w:hint="default" w:ascii="Times New Roman" w:hAnsi="Times New Roman" w:eastAsia="宋体" w:cs="Times New Roman"/>
                      <w:spacing w:val="-8"/>
                      <w:sz w:val="22"/>
                      <w:szCs w:val="22"/>
                    </w:rPr>
                    <w:t>≤10</w:t>
                  </w:r>
                </w:p>
              </w:tc>
            </w:tr>
          </w:tbl>
          <w:p>
            <w:pPr>
              <w:spacing w:line="360" w:lineRule="auto"/>
              <w:ind w:firstLine="484" w:firstLineChars="20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为了确保污水处理质量，该厂拟采用“预处理+生化处理（A²/O或SBR工艺）+深度处理（砂滤、消毒）”的工艺流程，确保出水水质达到排放要求。此外，为了增强设施的可持续性，本项目还配备污水回用系统，用于</w:t>
            </w:r>
            <w:r>
              <w:rPr>
                <w:rFonts w:hint="eastAsia" w:ascii="Times New Roman" w:hAnsi="Times New Roman" w:eastAsia="宋体" w:cs="Times New Roman"/>
                <w:color w:val="auto"/>
                <w:sz w:val="24"/>
                <w:lang w:val="en-US" w:eastAsia="zh-CN"/>
              </w:rPr>
              <w:t>周边</w:t>
            </w:r>
            <w:r>
              <w:rPr>
                <w:rFonts w:hint="default" w:ascii="Times New Roman" w:hAnsi="Times New Roman" w:eastAsia="宋体" w:cs="Times New Roman"/>
                <w:color w:val="auto"/>
                <w:sz w:val="24"/>
              </w:rPr>
              <w:t>绿化灌溉或道路冲洗，提高水资源利用率。</w:t>
            </w:r>
          </w:p>
          <w:p>
            <w:pPr>
              <w:spacing w:line="360" w:lineRule="auto"/>
              <w:ind w:firstLine="484" w:firstLineChars="202"/>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污水处理厂主要工艺流程简介：</w:t>
            </w:r>
          </w:p>
          <w:p>
            <w:pPr>
              <w:spacing w:line="360" w:lineRule="auto"/>
              <w:ind w:firstLine="484" w:firstLineChars="202"/>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1</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细格栅：主要去除水中漂浮物保证后续工艺设备的正常运行。</w:t>
            </w:r>
          </w:p>
          <w:p>
            <w:pPr>
              <w:spacing w:line="360" w:lineRule="auto"/>
              <w:ind w:firstLine="484" w:firstLineChars="202"/>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2</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调节池：来水水量和水质都是随时间变化的，为保证后续处理系统的正常运行，降低运行负荷，需要对污水的水量和水质进行调节，因此在进入生物处理系统前设置调节池。调节池的主要作用是调节水量和均化水质，其设计停留时间为8小时。调节</w:t>
            </w:r>
            <w:r>
              <w:rPr>
                <w:rFonts w:hint="default" w:ascii="Times New Roman" w:hAnsi="Times New Roman" w:eastAsia="宋体" w:cs="Times New Roman"/>
                <w:color w:val="auto"/>
                <w:sz w:val="24"/>
              </w:rPr>
              <mc:AlternateContent>
                <mc:Choice Requires="wps">
                  <w:drawing>
                    <wp:anchor distT="0" distB="0" distL="114300" distR="114300" simplePos="0" relativeHeight="251684864" behindDoc="0" locked="0" layoutInCell="0" allowOverlap="1">
                      <wp:simplePos x="0" y="0"/>
                      <wp:positionH relativeFrom="page">
                        <wp:posOffset>1141095</wp:posOffset>
                      </wp:positionH>
                      <wp:positionV relativeFrom="page">
                        <wp:posOffset>789940</wp:posOffset>
                      </wp:positionV>
                      <wp:extent cx="5278755" cy="6350"/>
                      <wp:effectExtent l="0" t="0" r="0" b="0"/>
                      <wp:wrapNone/>
                      <wp:docPr id="11" name="任意多边形 11"/>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62.2pt;height:0.5pt;width:415.65pt;mso-position-horizontal-relative:page;mso-position-vertical-relative:page;z-index:251684864;mso-width-relative:page;mso-height-relative:page;" fillcolor="#000000" filled="t" stroked="f" coordsize="8312,10" o:allowincell="f" o:gfxdata="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hayfDXAAAADAEAAA8AAAAAAAAAAQAg&#10;AAAAIgAAAGRycy9kb3ducmV2LnhtbFBLAQIUABQAAAAIAIdO4kBdLXRVDwIAAHsEAAAOAAAAAAAA&#10;AAEAIAAAACYBAABkcnMvZTJvRG9jLnhtbFBLBQYAAAAABgAGAFkBAACnBQAAAAA=&#10;" path="m0,0l8312,0,8312,9,0,9,0,0xe">
                      <v:fill on="t" focussize="0,0"/>
                      <v:stroke on="f"/>
                      <v:imagedata o:title=""/>
                      <o:lock v:ext="edit" aspectratio="f"/>
                    </v:shape>
                  </w:pict>
                </mc:Fallback>
              </mc:AlternateContent>
            </w:r>
            <w:r>
              <w:rPr>
                <w:rFonts w:hint="default" w:ascii="Times New Roman" w:hAnsi="Times New Roman" w:eastAsia="宋体" w:cs="Times New Roman"/>
                <w:color w:val="auto"/>
                <w:sz w:val="24"/>
              </w:rPr>
              <w:t>池内设置提升泵，以额定流量将污水提升至后续处理单元。</w:t>
            </w:r>
          </w:p>
          <w:p>
            <w:pPr>
              <w:spacing w:line="360" w:lineRule="auto"/>
              <w:ind w:firstLine="484" w:firstLineChars="202"/>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3</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配置2台水泵。潜水泵在涡壳上装配机械式冲洗间</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每次水泵启动时机械式冲洗阀产生高速射流对泵坑底部进行冲洗</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减少调节池中的沉淀和浮渣</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冲洗间采用机械控制方式,可以设定10~400秒冲洗时间</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潜污泵采用清位自动控制</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4个控制液位分别为停泵水位、单泵启动水位、双泵启动水位和报警水位。</w:t>
            </w:r>
          </w:p>
          <w:p>
            <w:pPr>
              <w:spacing w:line="360" w:lineRule="auto"/>
              <w:ind w:firstLine="484" w:firstLineChars="202"/>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4</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A</w:t>
            </w:r>
            <w:r>
              <w:rPr>
                <w:rFonts w:hint="default" w:ascii="Times New Roman" w:hAnsi="Times New Roman" w:eastAsia="宋体" w:cs="Times New Roman"/>
                <w:color w:val="auto"/>
                <w:sz w:val="24"/>
                <w:vertAlign w:val="superscript"/>
              </w:rPr>
              <w:t>2</w:t>
            </w:r>
            <w:r>
              <w:rPr>
                <w:rFonts w:hint="default" w:ascii="Times New Roman" w:hAnsi="Times New Roman" w:eastAsia="宋体" w:cs="Times New Roman"/>
                <w:color w:val="auto"/>
                <w:sz w:val="24"/>
              </w:rPr>
              <w:t>+O+一体化设备</w:t>
            </w:r>
            <w:r>
              <w:rPr>
                <w:rFonts w:hint="eastAsia" w:ascii="Times New Roman" w:hAnsi="Times New Roman" w:eastAsia="宋体" w:cs="Times New Roman"/>
                <w:color w:val="auto"/>
                <w:sz w:val="24"/>
                <w:lang w:eastAsia="zh-CN"/>
              </w:rPr>
              <w:t>：</w:t>
            </w:r>
          </w:p>
          <w:p>
            <w:pPr>
              <w:spacing w:line="360" w:lineRule="auto"/>
              <w:ind w:firstLine="484" w:firstLineChars="202"/>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厌</w:t>
            </w:r>
            <w:r>
              <w:rPr>
                <w:rFonts w:hint="default" w:ascii="Times New Roman" w:hAnsi="Times New Roman" w:eastAsia="宋体" w:cs="Times New Roman"/>
                <w:color w:val="auto"/>
                <w:sz w:val="24"/>
              </w:rPr>
              <w:t>氧池</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好氧区的污泥回流。厌氧池内利用</w:t>
            </w:r>
            <w:r>
              <w:rPr>
                <w:rFonts w:hint="eastAsia" w:ascii="Times New Roman" w:hAnsi="Times New Roman" w:eastAsia="宋体" w:cs="Times New Roman"/>
                <w:color w:val="auto"/>
                <w:sz w:val="24"/>
                <w:lang w:val="en-US" w:eastAsia="zh-CN"/>
              </w:rPr>
              <w:t>厌</w:t>
            </w:r>
            <w:r>
              <w:rPr>
                <w:rFonts w:hint="default" w:ascii="Times New Roman" w:hAnsi="Times New Roman" w:eastAsia="宋体" w:cs="Times New Roman"/>
                <w:color w:val="auto"/>
                <w:sz w:val="24"/>
              </w:rPr>
              <w:t>氧菌的作用</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使有机物发生水解、酸化和甲烷化</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去除废水中的有机物</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并提高污水的可生化性</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有利于后续的好氧处理。</w:t>
            </w:r>
          </w:p>
          <w:p>
            <w:pPr>
              <w:spacing w:line="360" w:lineRule="auto"/>
              <w:ind w:firstLine="484" w:firstLineChars="20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缺氧池</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污好氧区的回流混合液。反硝化菌在缺氧的环境下</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利用污水中的有机污染物作为碳源</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将回流混合液中大量的硝态</w:t>
            </w:r>
            <w:r>
              <w:rPr>
                <w:rFonts w:hint="eastAsia" w:ascii="Times New Roman" w:hAnsi="Times New Roman" w:eastAsia="宋体" w:cs="Times New Roman"/>
                <w:color w:val="auto"/>
                <w:sz w:val="24"/>
                <w:lang w:val="en-US" w:eastAsia="zh-CN"/>
              </w:rPr>
              <w:t>氮</w:t>
            </w:r>
            <w:r>
              <w:rPr>
                <w:rFonts w:hint="default" w:ascii="Times New Roman" w:hAnsi="Times New Roman" w:eastAsia="宋体" w:cs="Times New Roman"/>
                <w:color w:val="auto"/>
                <w:sz w:val="24"/>
              </w:rPr>
              <w:t>还原成氨气完成脱氮过程。与此同时</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BOD浓度下降。</w:t>
            </w:r>
          </w:p>
          <w:p>
            <w:pPr>
              <w:spacing w:line="360" w:lineRule="auto"/>
              <w:ind w:firstLine="484" w:firstLineChars="20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好氧/MBR膜池</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缺氧区出水进入好氧池</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同时进入的还有膜池的回流污泥。好氧区中大量繁殖的活性污泥微生物</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降解和吸附水中有机污染物质</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以达到净化水质的目的。在好氧阶段投通过化学除磷保证出水总磷的达标。MBR膜为系统的主体部分</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利用膜实现泥水</w:t>
            </w:r>
            <w:r>
              <w:rPr>
                <w:rFonts w:hint="eastAsia" w:ascii="Times New Roman" w:hAnsi="Times New Roman" w:eastAsia="宋体" w:cs="Times New Roman"/>
                <w:color w:val="auto"/>
                <w:sz w:val="24"/>
                <w:lang w:val="en-US" w:eastAsia="zh-CN"/>
              </w:rPr>
              <w:t>分离</w:t>
            </w:r>
            <w:r>
              <w:rPr>
                <w:rFonts w:hint="default" w:ascii="Times New Roman" w:hAnsi="Times New Roman" w:eastAsia="宋体" w:cs="Times New Roman"/>
                <w:color w:val="auto"/>
                <w:sz w:val="24"/>
              </w:rPr>
              <w:t>。一方面截留反应池中的微生物</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使池中活性污泥浓度大</w:t>
            </w:r>
            <w:r>
              <w:rPr>
                <w:rFonts w:hint="default" w:ascii="Times New Roman" w:hAnsi="Times New Roman" w:eastAsia="宋体" w:cs="Times New Roman"/>
                <w:color w:val="auto"/>
                <w:sz w:val="24"/>
              </w:rPr>
              <mc:AlternateContent>
                <mc:Choice Requires="wps">
                  <w:drawing>
                    <wp:anchor distT="0" distB="0" distL="114300" distR="114300" simplePos="0" relativeHeight="251685888" behindDoc="0" locked="0" layoutInCell="0" allowOverlap="1">
                      <wp:simplePos x="0" y="0"/>
                      <wp:positionH relativeFrom="page">
                        <wp:posOffset>1141095</wp:posOffset>
                      </wp:positionH>
                      <wp:positionV relativeFrom="page">
                        <wp:posOffset>789940</wp:posOffset>
                      </wp:positionV>
                      <wp:extent cx="5278755" cy="6350"/>
                      <wp:effectExtent l="0" t="0" r="0" b="0"/>
                      <wp:wrapNone/>
                      <wp:docPr id="13" name="任意多边形 13"/>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62.2pt;height:0.5pt;width:415.65pt;mso-position-horizontal-relative:page;mso-position-vertical-relative:page;z-index:251685888;mso-width-relative:page;mso-height-relative:page;" fillcolor="#000000" filled="t" stroked="f" coordsize="8312,10" o:allowincell="f" o:gfxdata="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hayfDXAAAADAEAAA8AAAAAAAAAAQAg&#10;AAAAIgAAAGRycy9kb3ducmV2LnhtbFBLAQIUABQAAAAIAIdO4kAM7mUuDwIAAHsEAAAOAAAAAAAA&#10;AAEAIAAAACYBAABkcnMvZTJvRG9jLnhtbFBLBQYAAAAABgAGAFkBAACnBQAAAAA=&#10;" path="m0,0l8312,0,8312,9,0,9,0,0xe">
                      <v:fill on="t" focussize="0,0"/>
                      <v:stroke on="f"/>
                      <v:imagedata o:title=""/>
                      <o:lock v:ext="edit" aspectratio="f"/>
                    </v:shape>
                  </w:pict>
                </mc:Fallback>
              </mc:AlternateContent>
            </w:r>
            <w:r>
              <w:rPr>
                <w:rFonts w:hint="default" w:ascii="Times New Roman" w:hAnsi="Times New Roman" w:eastAsia="宋体" w:cs="Times New Roman"/>
                <w:color w:val="auto"/>
                <w:sz w:val="24"/>
              </w:rPr>
              <w:t>大增加</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使降解有机物的反应进行的更迅速更彻底</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另一方面</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由于膜的高过滤精度</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使出水水质更优。产生的剩余污泥排至污泥池</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定期外运。</w:t>
            </w:r>
          </w:p>
          <w:p>
            <w:pPr>
              <w:adjustRightInd w:val="0"/>
              <w:snapToGrid w:val="0"/>
              <w:spacing w:line="360" w:lineRule="auto"/>
              <w:ind w:firstLine="482" w:firstLineChars="200"/>
              <w:jc w:val="left"/>
              <w:rPr>
                <w:b/>
                <w:color w:val="auto"/>
                <w:sz w:val="24"/>
                <w:szCs w:val="21"/>
              </w:rPr>
            </w:pPr>
            <w:r>
              <w:rPr>
                <w:rFonts w:hint="eastAsia"/>
                <w:b/>
                <w:color w:val="auto"/>
                <w:sz w:val="24"/>
                <w:szCs w:val="21"/>
              </w:rPr>
              <w:t>2</w:t>
            </w:r>
            <w:r>
              <w:rPr>
                <w:rFonts w:hint="eastAsia"/>
                <w:b/>
                <w:color w:val="auto"/>
                <w:sz w:val="24"/>
                <w:szCs w:val="21"/>
                <w:lang w:val="en-US" w:eastAsia="zh-CN"/>
              </w:rPr>
              <w:t>.2</w:t>
            </w:r>
            <w:r>
              <w:rPr>
                <w:rFonts w:hint="eastAsia"/>
                <w:b/>
                <w:color w:val="auto"/>
                <w:sz w:val="24"/>
                <w:szCs w:val="21"/>
              </w:rPr>
              <w:t>主要产污环节</w:t>
            </w:r>
          </w:p>
          <w:p>
            <w:pPr>
              <w:spacing w:line="360" w:lineRule="auto"/>
              <w:ind w:firstLine="484" w:firstLineChars="20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（1）废水：</w:t>
            </w:r>
            <w:r>
              <w:rPr>
                <w:rFonts w:hint="eastAsia" w:cs="Times New Roman"/>
                <w:color w:val="auto"/>
                <w:sz w:val="24"/>
                <w:lang w:val="en-US" w:eastAsia="zh-CN"/>
              </w:rPr>
              <w:t>生活污水</w:t>
            </w:r>
            <w:r>
              <w:rPr>
                <w:rFonts w:hint="default" w:ascii="Times New Roman" w:hAnsi="Times New Roman" w:eastAsia="宋体" w:cs="Times New Roman"/>
                <w:color w:val="auto"/>
                <w:sz w:val="24"/>
              </w:rPr>
              <w:t>。</w:t>
            </w:r>
          </w:p>
          <w:p>
            <w:pPr>
              <w:spacing w:line="360" w:lineRule="auto"/>
              <w:ind w:firstLine="484" w:firstLineChars="20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（2）废气：油烟废气、汽车尾气。</w:t>
            </w:r>
          </w:p>
          <w:p>
            <w:pPr>
              <w:spacing w:line="360" w:lineRule="auto"/>
              <w:ind w:firstLine="484" w:firstLineChars="20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（3）噪声：设备噪声（配电</w:t>
            </w:r>
            <w:r>
              <w:rPr>
                <w:rFonts w:hint="eastAsia" w:ascii="Times New Roman" w:hAnsi="Times New Roman" w:eastAsia="宋体" w:cs="Times New Roman"/>
                <w:color w:val="auto"/>
                <w:sz w:val="24"/>
                <w:lang w:val="en-US" w:eastAsia="zh-CN"/>
              </w:rPr>
              <w:t>间、电梯机组</w:t>
            </w:r>
            <w:r>
              <w:rPr>
                <w:rFonts w:hint="default" w:ascii="Times New Roman" w:hAnsi="Times New Roman" w:eastAsia="宋体" w:cs="Times New Roman"/>
                <w:color w:val="auto"/>
                <w:sz w:val="24"/>
              </w:rPr>
              <w:t>等设备）、机动车辆噪声及人群活动噪声。</w:t>
            </w:r>
          </w:p>
          <w:p>
            <w:pPr>
              <w:spacing w:line="360" w:lineRule="auto"/>
              <w:ind w:firstLine="484" w:firstLineChars="202"/>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（4）固废：生活垃圾</w:t>
            </w:r>
            <w:r>
              <w:rPr>
                <w:rFonts w:hint="eastAsia" w:cs="Times New Roman"/>
                <w:color w:val="auto"/>
                <w:sz w:val="24"/>
                <w:lang w:eastAsia="zh-CN"/>
              </w:rPr>
              <w:t>。</w:t>
            </w:r>
          </w:p>
          <w:p>
            <w:pPr>
              <w:pStyle w:val="31"/>
              <w:rPr>
                <w:rFonts w:hint="eastAsia" w:ascii="Times New Roman" w:hAnsi="Times New Roman" w:eastAsia="宋体" w:cs="宋体"/>
                <w:bCs/>
                <w:color w:val="auto"/>
                <w:sz w:val="24"/>
                <w:szCs w:val="21"/>
                <w:lang w:val="en-US" w:eastAsia="zh-CN"/>
              </w:rPr>
            </w:pPr>
          </w:p>
          <w:p>
            <w:pPr>
              <w:pStyle w:val="31"/>
              <w:rPr>
                <w:rFonts w:hint="eastAsia" w:ascii="Times New Roman" w:hAnsi="Times New Roman" w:eastAsia="宋体" w:cs="宋体"/>
                <w:bCs/>
                <w:color w:val="auto"/>
                <w:sz w:val="24"/>
                <w:szCs w:val="21"/>
                <w:lang w:val="en-US" w:eastAsia="zh-CN"/>
              </w:rPr>
            </w:pPr>
          </w:p>
          <w:p>
            <w:pPr>
              <w:pStyle w:val="31"/>
              <w:rPr>
                <w:rFonts w:hint="eastAsia" w:ascii="Times New Roman" w:hAnsi="Times New Roman" w:eastAsia="宋体" w:cs="宋体"/>
                <w:bCs/>
                <w:color w:val="auto"/>
                <w:sz w:val="24"/>
                <w:szCs w:val="21"/>
                <w:lang w:val="en-US" w:eastAsia="zh-CN"/>
              </w:rPr>
            </w:pPr>
          </w:p>
          <w:p>
            <w:pPr>
              <w:pStyle w:val="31"/>
              <w:rPr>
                <w:rFonts w:hint="eastAsia" w:ascii="Times New Roman" w:hAnsi="Times New Roman" w:eastAsia="宋体" w:cs="宋体"/>
                <w:bCs/>
                <w:color w:val="auto"/>
                <w:sz w:val="24"/>
                <w:szCs w:val="21"/>
                <w:lang w:val="en-US" w:eastAsia="zh-CN"/>
              </w:rPr>
            </w:pPr>
          </w:p>
          <w:p>
            <w:pPr>
              <w:pStyle w:val="31"/>
              <w:rPr>
                <w:rFonts w:hint="eastAsia" w:ascii="Times New Roman" w:hAnsi="Times New Roman" w:eastAsia="宋体" w:cs="宋体"/>
                <w:bCs/>
                <w:color w:val="auto"/>
                <w:sz w:val="24"/>
                <w:szCs w:val="21"/>
                <w:lang w:val="en-US" w:eastAsia="zh-CN"/>
              </w:rPr>
            </w:pPr>
          </w:p>
          <w:p>
            <w:pPr>
              <w:pStyle w:val="31"/>
              <w:rPr>
                <w:rFonts w:hint="eastAsia" w:ascii="Times New Roman" w:hAnsi="Times New Roman" w:eastAsia="宋体" w:cs="宋体"/>
                <w:bCs/>
                <w:color w:val="auto"/>
                <w:sz w:val="24"/>
                <w:szCs w:val="21"/>
                <w:lang w:val="en-US" w:eastAsia="zh-CN"/>
              </w:rPr>
            </w:pPr>
          </w:p>
          <w:p>
            <w:pPr>
              <w:pStyle w:val="31"/>
              <w:rPr>
                <w:rFonts w:hint="eastAsia" w:ascii="Times New Roman" w:hAnsi="Times New Roman" w:eastAsia="宋体" w:cs="宋体"/>
                <w:bCs/>
                <w:color w:val="auto"/>
                <w:sz w:val="24"/>
                <w:szCs w:val="21"/>
                <w:lang w:val="en-US" w:eastAsia="zh-CN"/>
              </w:rPr>
            </w:pPr>
          </w:p>
          <w:p>
            <w:pPr>
              <w:pStyle w:val="31"/>
              <w:rPr>
                <w:rFonts w:hint="eastAsia" w:ascii="Times New Roman" w:hAnsi="Times New Roman" w:eastAsia="宋体" w:cs="宋体"/>
                <w:bCs/>
                <w:color w:val="auto"/>
                <w:sz w:val="24"/>
                <w:szCs w:val="21"/>
                <w:lang w:val="en-US" w:eastAsia="zh-CN"/>
              </w:rPr>
            </w:pPr>
          </w:p>
          <w:p>
            <w:pPr>
              <w:pStyle w:val="31"/>
              <w:rPr>
                <w:rFonts w:hint="eastAsia" w:ascii="Times New Roman" w:hAnsi="Times New Roman" w:eastAsia="宋体" w:cs="宋体"/>
                <w:bCs/>
                <w:color w:val="auto"/>
                <w:sz w:val="24"/>
                <w:szCs w:val="21"/>
                <w:lang w:val="en-US" w:eastAsia="zh-CN"/>
              </w:rPr>
            </w:pPr>
          </w:p>
          <w:p>
            <w:pPr>
              <w:pStyle w:val="31"/>
              <w:rPr>
                <w:rFonts w:hint="eastAsia" w:ascii="Times New Roman" w:hAnsi="Times New Roman" w:eastAsia="宋体" w:cs="宋体"/>
                <w:bCs/>
                <w:color w:val="auto"/>
                <w:sz w:val="24"/>
                <w:szCs w:val="21"/>
                <w:lang w:val="en-US" w:eastAsia="zh-CN"/>
              </w:rPr>
            </w:pPr>
          </w:p>
          <w:p>
            <w:pPr>
              <w:pStyle w:val="31"/>
              <w:rPr>
                <w:rFonts w:hint="eastAsia" w:ascii="Times New Roman" w:hAnsi="Times New Roman" w:eastAsia="宋体" w:cs="宋体"/>
                <w:bCs/>
                <w:color w:val="auto"/>
                <w:sz w:val="24"/>
                <w:szCs w:val="21"/>
                <w:lang w:val="en-US" w:eastAsia="zh-CN"/>
              </w:rPr>
            </w:pPr>
          </w:p>
          <w:p>
            <w:pPr>
              <w:pStyle w:val="31"/>
              <w:rPr>
                <w:rFonts w:hint="eastAsia" w:ascii="Times New Roman" w:hAnsi="Times New Roman" w:eastAsia="宋体" w:cs="宋体"/>
                <w:bCs/>
                <w:color w:val="auto"/>
                <w:sz w:val="24"/>
                <w:szCs w:val="21"/>
                <w:lang w:val="en-US" w:eastAsia="zh-CN"/>
              </w:rPr>
            </w:pPr>
          </w:p>
          <w:p>
            <w:pPr>
              <w:pStyle w:val="31"/>
              <w:rPr>
                <w:rFonts w:hint="eastAsia" w:ascii="Times New Roman" w:hAnsi="Times New Roman" w:eastAsia="宋体" w:cs="宋体"/>
                <w:bCs/>
                <w:color w:val="auto"/>
                <w:sz w:val="24"/>
                <w:szCs w:val="21"/>
                <w:lang w:val="en-US" w:eastAsia="zh-CN"/>
              </w:rPr>
            </w:pPr>
          </w:p>
          <w:p>
            <w:pPr>
              <w:pStyle w:val="31"/>
              <w:rPr>
                <w:rFonts w:hint="eastAsia" w:ascii="Times New Roman" w:hAnsi="Times New Roman" w:eastAsia="宋体" w:cs="宋体"/>
                <w:bCs/>
                <w:color w:val="auto"/>
                <w:sz w:val="24"/>
                <w:szCs w:val="21"/>
                <w:lang w:val="en-US" w:eastAsia="zh-CN"/>
              </w:rPr>
            </w:pPr>
          </w:p>
          <w:p>
            <w:pPr>
              <w:pStyle w:val="31"/>
              <w:rPr>
                <w:rFonts w:hint="eastAsia" w:ascii="Times New Roman" w:hAnsi="Times New Roman" w:eastAsia="宋体" w:cs="宋体"/>
                <w:bCs/>
                <w:color w:val="auto"/>
                <w:sz w:val="24"/>
                <w:szCs w:val="21"/>
                <w:lang w:val="en-US" w:eastAsia="zh-CN"/>
              </w:rPr>
            </w:pPr>
          </w:p>
          <w:p>
            <w:pPr>
              <w:pStyle w:val="31"/>
              <w:rPr>
                <w:rFonts w:hint="eastAsia" w:ascii="Times New Roman" w:hAnsi="Times New Roman" w:eastAsia="宋体" w:cs="宋体"/>
                <w:bCs/>
                <w:color w:val="auto"/>
                <w:sz w:val="24"/>
                <w:szCs w:val="21"/>
                <w:lang w:val="en-US" w:eastAsia="zh-CN"/>
              </w:rPr>
            </w:pPr>
          </w:p>
        </w:tc>
      </w:tr>
    </w:tbl>
    <w:p>
      <w:pPr>
        <w:pStyle w:val="20"/>
        <w:jc w:val="center"/>
        <w:rPr>
          <w:rFonts w:ascii="黑体" w:hAnsi="黑体" w:eastAsia="黑体"/>
          <w:snapToGrid w:val="0"/>
          <w:color w:val="auto"/>
          <w:sz w:val="36"/>
          <w:szCs w:val="36"/>
        </w:rPr>
        <w:sectPr>
          <w:footerReference r:id="rId6"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pPr>
        <w:pStyle w:val="20"/>
        <w:jc w:val="center"/>
        <w:outlineLvl w:val="0"/>
        <w:rPr>
          <w:rFonts w:ascii="黑体" w:hAnsi="黑体" w:eastAsia="黑体"/>
          <w:snapToGrid w:val="0"/>
          <w:color w:val="auto"/>
          <w:sz w:val="30"/>
          <w:szCs w:val="30"/>
        </w:rPr>
      </w:pPr>
      <w:bookmarkStart w:id="11" w:name="_Toc21181"/>
      <w:bookmarkStart w:id="12" w:name="_Toc27085"/>
      <w:r>
        <w:rPr>
          <w:rFonts w:hint="eastAsia" w:ascii="黑体" w:hAnsi="黑体" w:eastAsia="黑体"/>
          <w:snapToGrid w:val="0"/>
          <w:color w:val="auto"/>
          <w:sz w:val="30"/>
          <w:szCs w:val="30"/>
        </w:rPr>
        <w:t>三、</w:t>
      </w:r>
      <w:r>
        <w:rPr>
          <w:rFonts w:hint="eastAsia" w:ascii="黑体" w:hAnsi="黑体" w:eastAsia="黑体"/>
          <w:snapToGrid w:val="0"/>
          <w:color w:val="auto"/>
          <w:sz w:val="30"/>
          <w:szCs w:val="30"/>
          <w:lang w:val="en-US" w:eastAsia="zh-CN"/>
        </w:rPr>
        <w:t>生态环境现状</w:t>
      </w:r>
      <w:r>
        <w:rPr>
          <w:rFonts w:hint="eastAsia" w:ascii="黑体" w:hAnsi="黑体" w:eastAsia="黑体"/>
          <w:snapToGrid w:val="0"/>
          <w:color w:val="auto"/>
          <w:sz w:val="30"/>
          <w:szCs w:val="30"/>
        </w:rPr>
        <w:t>、保护目标及评价标准</w:t>
      </w:r>
      <w:bookmarkEnd w:id="11"/>
      <w:bookmarkEnd w:id="12"/>
    </w:p>
    <w:tbl>
      <w:tblPr>
        <w:tblStyle w:val="23"/>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800"/>
        <w:gridCol w:w="81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31" w:hRule="atLeast"/>
          <w:jc w:val="center"/>
        </w:trPr>
        <w:tc>
          <w:tcPr>
            <w:tcW w:w="800" w:type="dxa"/>
            <w:vAlign w:val="center"/>
          </w:tcPr>
          <w:p>
            <w:pPr>
              <w:adjustRightInd w:val="0"/>
              <w:snapToGrid w:val="0"/>
              <w:jc w:val="center"/>
              <w:rPr>
                <w:rFonts w:cs="宋体"/>
                <w:color w:val="auto"/>
                <w:kern w:val="0"/>
                <w:sz w:val="24"/>
                <w:szCs w:val="21"/>
              </w:rPr>
            </w:pPr>
            <w:r>
              <w:rPr>
                <w:rFonts w:hint="eastAsia" w:cs="宋体"/>
                <w:color w:val="auto"/>
                <w:kern w:val="0"/>
                <w:sz w:val="24"/>
                <w:szCs w:val="21"/>
                <w:lang w:val="en-US" w:eastAsia="zh-CN"/>
              </w:rPr>
              <w:t>生态环境现状</w:t>
            </w:r>
          </w:p>
        </w:tc>
        <w:tc>
          <w:tcPr>
            <w:tcW w:w="8190" w:type="dxa"/>
            <w:vAlign w:val="center"/>
          </w:tcPr>
          <w:p>
            <w:pPr>
              <w:spacing w:line="360" w:lineRule="auto"/>
              <w:rPr>
                <w:b/>
                <w:color w:val="auto"/>
                <w:sz w:val="24"/>
                <w:szCs w:val="21"/>
              </w:rPr>
            </w:pPr>
            <w:r>
              <w:rPr>
                <w:rFonts w:hint="eastAsia"/>
                <w:b/>
                <w:color w:val="auto"/>
                <w:sz w:val="24"/>
                <w:szCs w:val="21"/>
              </w:rPr>
              <w:t>1</w:t>
            </w:r>
            <w:r>
              <w:rPr>
                <w:b/>
                <w:color w:val="auto"/>
                <w:sz w:val="24"/>
                <w:szCs w:val="21"/>
              </w:rPr>
              <w:t>、环境空气质量现状</w:t>
            </w:r>
          </w:p>
          <w:p>
            <w:pPr>
              <w:pStyle w:val="68"/>
              <w:ind w:firstLine="480"/>
              <w:rPr>
                <w:rFonts w:hint="default" w:ascii="Times New Roman" w:hAnsi="Times New Roman" w:cs="Times New Roman"/>
                <w:b/>
                <w:bCs/>
                <w:color w:val="auto"/>
              </w:rPr>
            </w:pPr>
            <w:r>
              <w:rPr>
                <w:rFonts w:hint="default" w:ascii="Times New Roman" w:hAnsi="Times New Roman" w:cs="Times New Roman"/>
                <w:b/>
                <w:bCs/>
                <w:color w:val="auto"/>
              </w:rPr>
              <w:t>1、大气环境质量现状</w:t>
            </w:r>
          </w:p>
          <w:p>
            <w:pPr>
              <w:pStyle w:val="68"/>
              <w:ind w:firstLine="480"/>
              <w:rPr>
                <w:rFonts w:hint="default" w:ascii="Times New Roman" w:hAnsi="Times New Roman" w:cs="Times New Roman"/>
                <w:color w:val="auto"/>
              </w:rPr>
            </w:pPr>
            <w:r>
              <w:rPr>
                <w:rFonts w:hint="default" w:ascii="Times New Roman" w:hAnsi="Times New Roman" w:cs="Times New Roman"/>
                <w:color w:val="auto"/>
              </w:rPr>
              <w:t>根据《环境影响评价技术导则大气环境》（HJ2.2-2018），项目所在区域达标情况判定优先采用国家或地方生态环境主管部门公开发布的环境质量公告或环境质量报告中的数据或结论。本项目</w:t>
            </w:r>
            <w:r>
              <w:rPr>
                <w:rFonts w:hint="default" w:ascii="Times New Roman" w:hAnsi="Times New Roman" w:cs="Times New Roman"/>
                <w:color w:val="auto"/>
                <w:szCs w:val="21"/>
              </w:rPr>
              <w:t>SO</w:t>
            </w:r>
            <w:r>
              <w:rPr>
                <w:rFonts w:hint="default" w:ascii="Times New Roman" w:hAnsi="Times New Roman" w:cs="Times New Roman"/>
                <w:color w:val="auto"/>
                <w:szCs w:val="21"/>
                <w:vertAlign w:val="subscript"/>
              </w:rPr>
              <w:t>2</w:t>
            </w:r>
            <w:r>
              <w:rPr>
                <w:rFonts w:hint="default" w:ascii="Times New Roman" w:hAnsi="Times New Roman" w:cs="Times New Roman"/>
                <w:color w:val="auto"/>
                <w:szCs w:val="21"/>
              </w:rPr>
              <w:t>、NO</w:t>
            </w:r>
            <w:r>
              <w:rPr>
                <w:rFonts w:hint="default" w:ascii="Times New Roman" w:hAnsi="Times New Roman" w:cs="Times New Roman"/>
                <w:color w:val="auto"/>
                <w:szCs w:val="21"/>
                <w:vertAlign w:val="subscript"/>
              </w:rPr>
              <w:t>2</w:t>
            </w:r>
            <w:r>
              <w:rPr>
                <w:rFonts w:hint="default" w:ascii="Times New Roman" w:hAnsi="Times New Roman" w:cs="Times New Roman"/>
                <w:color w:val="auto"/>
                <w:szCs w:val="21"/>
              </w:rPr>
              <w:t>、PM</w:t>
            </w:r>
            <w:r>
              <w:rPr>
                <w:rFonts w:hint="default" w:ascii="Times New Roman" w:hAnsi="Times New Roman" w:cs="Times New Roman"/>
                <w:color w:val="auto"/>
                <w:szCs w:val="21"/>
                <w:vertAlign w:val="subscript"/>
              </w:rPr>
              <w:t>10</w:t>
            </w:r>
            <w:r>
              <w:rPr>
                <w:rFonts w:hint="default" w:ascii="Times New Roman" w:hAnsi="Times New Roman" w:cs="Times New Roman"/>
                <w:color w:val="auto"/>
                <w:szCs w:val="21"/>
              </w:rPr>
              <w:t>、PM</w:t>
            </w:r>
            <w:r>
              <w:rPr>
                <w:rFonts w:hint="default" w:ascii="Times New Roman" w:hAnsi="Times New Roman" w:cs="Times New Roman"/>
                <w:color w:val="auto"/>
                <w:szCs w:val="21"/>
                <w:vertAlign w:val="subscript"/>
              </w:rPr>
              <w:t>2.5</w:t>
            </w:r>
            <w:r>
              <w:rPr>
                <w:rFonts w:hint="default" w:ascii="Times New Roman" w:hAnsi="Times New Roman" w:cs="Times New Roman"/>
                <w:color w:val="auto"/>
                <w:szCs w:val="21"/>
              </w:rPr>
              <w:t>、CO、O</w:t>
            </w:r>
            <w:r>
              <w:rPr>
                <w:rFonts w:hint="default" w:ascii="Times New Roman" w:hAnsi="Times New Roman" w:cs="Times New Roman"/>
                <w:color w:val="auto"/>
                <w:szCs w:val="21"/>
                <w:vertAlign w:val="subscript"/>
              </w:rPr>
              <w:t>3</w:t>
            </w:r>
            <w:r>
              <w:rPr>
                <w:rFonts w:hint="default" w:ascii="Times New Roman" w:hAnsi="Times New Roman" w:cs="Times New Roman"/>
                <w:color w:val="auto"/>
              </w:rPr>
              <w:t>等基本污染物环境空气质量现状采用岳阳市生态环境局公开发布的2023年度华容县空气质量年报中公布的数据。</w:t>
            </w:r>
          </w:p>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rPr>
            </w:pPr>
            <w:r>
              <w:rPr>
                <w:rFonts w:hint="default" w:ascii="Times New Roman" w:hAnsi="Times New Roman" w:cs="Times New Roman"/>
                <w:color w:val="auto"/>
              </w:rPr>
              <w:t>表3-1  2023年度华容县环境空气质量状况统计表单位：ug/m</w:t>
            </w:r>
            <w:r>
              <w:rPr>
                <w:rFonts w:hint="default" w:ascii="Times New Roman" w:hAnsi="Times New Roman" w:cs="Times New Roman"/>
                <w:color w:val="auto"/>
                <w:vertAlign w:val="superscript"/>
              </w:rPr>
              <w:t>3</w:t>
            </w:r>
          </w:p>
          <w:tbl>
            <w:tblPr>
              <w:tblStyle w:val="23"/>
              <w:tblW w:w="79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8"/>
              <w:gridCol w:w="2783"/>
              <w:gridCol w:w="1011"/>
              <w:gridCol w:w="1068"/>
              <w:gridCol w:w="1097"/>
              <w:gridCol w:w="111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b/>
                      <w:bCs/>
                      <w:color w:val="auto"/>
                    </w:rPr>
                  </w:pPr>
                  <w:r>
                    <w:rPr>
                      <w:rFonts w:hint="default" w:ascii="Times New Roman" w:hAnsi="Times New Roman" w:cs="Times New Roman"/>
                      <w:b/>
                      <w:bCs/>
                      <w:color w:val="auto"/>
                    </w:rPr>
                    <w:t>污染物</w:t>
                  </w:r>
                </w:p>
              </w:tc>
              <w:tc>
                <w:tcPr>
                  <w:tcW w:w="280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b/>
                      <w:bCs/>
                      <w:color w:val="auto"/>
                    </w:rPr>
                  </w:pPr>
                  <w:r>
                    <w:rPr>
                      <w:rFonts w:hint="default" w:ascii="Times New Roman" w:hAnsi="Times New Roman" w:cs="Times New Roman"/>
                      <w:b/>
                      <w:bCs/>
                      <w:color w:val="auto"/>
                    </w:rPr>
                    <w:t>评价指标</w:t>
                  </w:r>
                </w:p>
              </w:tc>
              <w:tc>
                <w:tcPr>
                  <w:tcW w:w="1018"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b/>
                      <w:bCs/>
                      <w:color w:val="auto"/>
                    </w:rPr>
                  </w:pPr>
                  <w:r>
                    <w:rPr>
                      <w:rFonts w:hint="default" w:ascii="Times New Roman" w:hAnsi="Times New Roman" w:cs="Times New Roman"/>
                      <w:b/>
                      <w:bCs/>
                      <w:color w:val="auto"/>
                    </w:rPr>
                    <w:t>现状</w:t>
                  </w:r>
                </w:p>
                <w:p>
                  <w:pPr>
                    <w:pStyle w:val="70"/>
                    <w:rPr>
                      <w:rFonts w:hint="default" w:ascii="Times New Roman" w:hAnsi="Times New Roman" w:cs="Times New Roman"/>
                      <w:b/>
                      <w:bCs/>
                      <w:color w:val="auto"/>
                    </w:rPr>
                  </w:pPr>
                  <w:r>
                    <w:rPr>
                      <w:rFonts w:hint="default" w:ascii="Times New Roman" w:hAnsi="Times New Roman" w:cs="Times New Roman"/>
                      <w:b/>
                      <w:bCs/>
                      <w:color w:val="auto"/>
                    </w:rPr>
                    <w:t>浓度</w:t>
                  </w:r>
                </w:p>
              </w:tc>
              <w:tc>
                <w:tcPr>
                  <w:tcW w:w="107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b/>
                      <w:bCs/>
                      <w:color w:val="auto"/>
                    </w:rPr>
                  </w:pPr>
                  <w:r>
                    <w:rPr>
                      <w:rFonts w:hint="default" w:ascii="Times New Roman" w:hAnsi="Times New Roman" w:cs="Times New Roman"/>
                      <w:b/>
                      <w:bCs/>
                      <w:color w:val="auto"/>
                    </w:rPr>
                    <w:t>标准值</w:t>
                  </w:r>
                </w:p>
              </w:tc>
              <w:tc>
                <w:tcPr>
                  <w:tcW w:w="110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b/>
                      <w:bCs/>
                      <w:color w:val="auto"/>
                    </w:rPr>
                  </w:pPr>
                  <w:r>
                    <w:rPr>
                      <w:rFonts w:hint="default" w:ascii="Times New Roman" w:hAnsi="Times New Roman" w:cs="Times New Roman"/>
                      <w:b/>
                      <w:bCs/>
                      <w:color w:val="auto"/>
                    </w:rPr>
                    <w:t>占标率%</w:t>
                  </w:r>
                </w:p>
              </w:tc>
              <w:tc>
                <w:tcPr>
                  <w:tcW w:w="1120"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b/>
                      <w:bCs/>
                      <w:color w:val="auto"/>
                    </w:rPr>
                  </w:pPr>
                  <w:r>
                    <w:rPr>
                      <w:rFonts w:hint="default" w:ascii="Times New Roman" w:hAnsi="Times New Roman" w:cs="Times New Roman"/>
                      <w:b/>
                      <w:bCs/>
                      <w:color w:val="auto"/>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bCs/>
                      <w:color w:val="auto"/>
                      <w:szCs w:val="21"/>
                    </w:rPr>
                    <w:t>PM</w:t>
                  </w:r>
                  <w:r>
                    <w:rPr>
                      <w:rFonts w:hint="default" w:ascii="Times New Roman" w:hAnsi="Times New Roman" w:cs="Times New Roman"/>
                      <w:bCs/>
                      <w:color w:val="auto"/>
                      <w:szCs w:val="21"/>
                      <w:vertAlign w:val="subscript"/>
                    </w:rPr>
                    <w:t>2.5</w:t>
                  </w:r>
                </w:p>
              </w:tc>
              <w:tc>
                <w:tcPr>
                  <w:tcW w:w="280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年平均质量浓度</w:t>
                  </w:r>
                </w:p>
              </w:tc>
              <w:tc>
                <w:tcPr>
                  <w:tcW w:w="1018"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33</w:t>
                  </w:r>
                </w:p>
              </w:tc>
              <w:tc>
                <w:tcPr>
                  <w:tcW w:w="107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szCs w:val="21"/>
                    </w:rPr>
                    <w:t>35</w:t>
                  </w:r>
                </w:p>
              </w:tc>
              <w:tc>
                <w:tcPr>
                  <w:tcW w:w="110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64.3</w:t>
                  </w:r>
                </w:p>
              </w:tc>
              <w:tc>
                <w:tcPr>
                  <w:tcW w:w="1120"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szCs w:val="21"/>
                    </w:rPr>
                    <w:t>PM</w:t>
                  </w:r>
                  <w:r>
                    <w:rPr>
                      <w:rFonts w:hint="default" w:ascii="Times New Roman" w:hAnsi="Times New Roman" w:cs="Times New Roman"/>
                      <w:color w:val="auto"/>
                      <w:szCs w:val="21"/>
                      <w:vertAlign w:val="subscript"/>
                    </w:rPr>
                    <w:t>10</w:t>
                  </w:r>
                </w:p>
              </w:tc>
              <w:tc>
                <w:tcPr>
                  <w:tcW w:w="280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年平均质量浓度</w:t>
                  </w:r>
                </w:p>
              </w:tc>
              <w:tc>
                <w:tcPr>
                  <w:tcW w:w="1018"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45</w:t>
                  </w:r>
                </w:p>
              </w:tc>
              <w:tc>
                <w:tcPr>
                  <w:tcW w:w="107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szCs w:val="21"/>
                    </w:rPr>
                    <w:t>70</w:t>
                  </w:r>
                </w:p>
              </w:tc>
              <w:tc>
                <w:tcPr>
                  <w:tcW w:w="110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94.3</w:t>
                  </w:r>
                </w:p>
              </w:tc>
              <w:tc>
                <w:tcPr>
                  <w:tcW w:w="1120"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szCs w:val="21"/>
                    </w:rPr>
                    <w:t>SO</w:t>
                  </w:r>
                  <w:r>
                    <w:rPr>
                      <w:rFonts w:hint="default" w:ascii="Times New Roman" w:hAnsi="Times New Roman" w:cs="Times New Roman"/>
                      <w:color w:val="auto"/>
                      <w:szCs w:val="21"/>
                      <w:vertAlign w:val="subscript"/>
                    </w:rPr>
                    <w:t>2</w:t>
                  </w:r>
                </w:p>
              </w:tc>
              <w:tc>
                <w:tcPr>
                  <w:tcW w:w="280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年平均质量浓度</w:t>
                  </w:r>
                </w:p>
              </w:tc>
              <w:tc>
                <w:tcPr>
                  <w:tcW w:w="1018"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7</w:t>
                  </w:r>
                </w:p>
              </w:tc>
              <w:tc>
                <w:tcPr>
                  <w:tcW w:w="107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szCs w:val="21"/>
                    </w:rPr>
                    <w:t>60</w:t>
                  </w:r>
                </w:p>
              </w:tc>
              <w:tc>
                <w:tcPr>
                  <w:tcW w:w="110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11.7</w:t>
                  </w:r>
                </w:p>
              </w:tc>
              <w:tc>
                <w:tcPr>
                  <w:tcW w:w="1120"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szCs w:val="21"/>
                    </w:rPr>
                    <w:t>NO</w:t>
                  </w:r>
                  <w:r>
                    <w:rPr>
                      <w:rFonts w:hint="default" w:ascii="Times New Roman" w:hAnsi="Times New Roman" w:cs="Times New Roman"/>
                      <w:color w:val="auto"/>
                      <w:szCs w:val="21"/>
                      <w:vertAlign w:val="subscript"/>
                    </w:rPr>
                    <w:t>2</w:t>
                  </w:r>
                </w:p>
              </w:tc>
              <w:tc>
                <w:tcPr>
                  <w:tcW w:w="280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年平均质量浓度</w:t>
                  </w:r>
                </w:p>
              </w:tc>
              <w:tc>
                <w:tcPr>
                  <w:tcW w:w="1018"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13</w:t>
                  </w:r>
                </w:p>
              </w:tc>
              <w:tc>
                <w:tcPr>
                  <w:tcW w:w="107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szCs w:val="21"/>
                    </w:rPr>
                    <w:t>40</w:t>
                  </w:r>
                </w:p>
              </w:tc>
              <w:tc>
                <w:tcPr>
                  <w:tcW w:w="110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32.5</w:t>
                  </w:r>
                </w:p>
              </w:tc>
              <w:tc>
                <w:tcPr>
                  <w:tcW w:w="1120"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bCs/>
                      <w:color w:val="auto"/>
                      <w:szCs w:val="21"/>
                    </w:rPr>
                    <w:t>CO</w:t>
                  </w:r>
                </w:p>
              </w:tc>
              <w:tc>
                <w:tcPr>
                  <w:tcW w:w="280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第95百分位数24h平均质量浓度</w:t>
                  </w:r>
                </w:p>
              </w:tc>
              <w:tc>
                <w:tcPr>
                  <w:tcW w:w="1018"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1000</w:t>
                  </w:r>
                </w:p>
              </w:tc>
              <w:tc>
                <w:tcPr>
                  <w:tcW w:w="107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szCs w:val="21"/>
                    </w:rPr>
                    <w:t>4000</w:t>
                  </w:r>
                </w:p>
              </w:tc>
              <w:tc>
                <w:tcPr>
                  <w:tcW w:w="110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25.0</w:t>
                  </w:r>
                </w:p>
              </w:tc>
              <w:tc>
                <w:tcPr>
                  <w:tcW w:w="1120"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bCs/>
                      <w:color w:val="auto"/>
                      <w:szCs w:val="21"/>
                    </w:rPr>
                    <w:t>O</w:t>
                  </w:r>
                  <w:r>
                    <w:rPr>
                      <w:rFonts w:hint="default" w:ascii="Times New Roman" w:hAnsi="Times New Roman" w:cs="Times New Roman"/>
                      <w:bCs/>
                      <w:color w:val="auto"/>
                      <w:szCs w:val="21"/>
                      <w:vertAlign w:val="subscript"/>
                    </w:rPr>
                    <w:t>3</w:t>
                  </w:r>
                </w:p>
              </w:tc>
              <w:tc>
                <w:tcPr>
                  <w:tcW w:w="280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第90百分位数最大8h平均质量浓度</w:t>
                  </w:r>
                </w:p>
              </w:tc>
              <w:tc>
                <w:tcPr>
                  <w:tcW w:w="1018"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128</w:t>
                  </w:r>
                </w:p>
              </w:tc>
              <w:tc>
                <w:tcPr>
                  <w:tcW w:w="107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szCs w:val="21"/>
                    </w:rPr>
                    <w:t>160</w:t>
                  </w:r>
                </w:p>
              </w:tc>
              <w:tc>
                <w:tcPr>
                  <w:tcW w:w="1105"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80.0</w:t>
                  </w:r>
                </w:p>
              </w:tc>
              <w:tc>
                <w:tcPr>
                  <w:tcW w:w="1120" w:type="dxa"/>
                  <w:tcBorders>
                    <w:tl2br w:val="nil"/>
                    <w:tr2bl w:val="nil"/>
                  </w:tcBorders>
                  <w:noWrap w:val="0"/>
                  <w:tcMar>
                    <w:top w:w="0" w:type="dxa"/>
                    <w:left w:w="108" w:type="dxa"/>
                    <w:bottom w:w="0" w:type="dxa"/>
                    <w:right w:w="108" w:type="dxa"/>
                  </w:tcMar>
                  <w:vAlign w:val="center"/>
                </w:tcPr>
                <w:p>
                  <w:pPr>
                    <w:pStyle w:val="70"/>
                    <w:rPr>
                      <w:rFonts w:hint="default" w:ascii="Times New Roman" w:hAnsi="Times New Roman" w:cs="Times New Roman"/>
                      <w:color w:val="auto"/>
                    </w:rPr>
                  </w:pPr>
                  <w:r>
                    <w:rPr>
                      <w:rFonts w:hint="default" w:ascii="Times New Roman" w:hAnsi="Times New Roman" w:cs="Times New Roman"/>
                      <w:color w:val="auto"/>
                    </w:rPr>
                    <w:t>是</w:t>
                  </w:r>
                </w:p>
              </w:tc>
            </w:tr>
          </w:tbl>
          <w:p>
            <w:pPr>
              <w:pStyle w:val="68"/>
              <w:ind w:firstLine="480"/>
              <w:rPr>
                <w:rFonts w:hint="default" w:ascii="Times New Roman" w:hAnsi="Times New Roman" w:cs="Times New Roman"/>
                <w:color w:val="auto"/>
              </w:rPr>
            </w:pPr>
            <w:r>
              <w:rPr>
                <w:rFonts w:hint="default" w:ascii="Times New Roman" w:hAnsi="Times New Roman" w:cs="Times New Roman"/>
                <w:color w:val="auto"/>
              </w:rPr>
              <w:t>根据上表监测结果分析：项目所在地的PM</w:t>
            </w:r>
            <w:r>
              <w:rPr>
                <w:rFonts w:hint="default" w:ascii="Times New Roman" w:hAnsi="Times New Roman" w:cs="Times New Roman"/>
                <w:color w:val="auto"/>
                <w:vertAlign w:val="subscript"/>
              </w:rPr>
              <w:t>10</w:t>
            </w:r>
            <w:r>
              <w:rPr>
                <w:rFonts w:hint="default" w:ascii="Times New Roman" w:hAnsi="Times New Roman" w:cs="Times New Roman"/>
                <w:color w:val="auto"/>
              </w:rPr>
              <w:t>、PM</w:t>
            </w:r>
            <w:r>
              <w:rPr>
                <w:rFonts w:hint="default" w:ascii="Times New Roman" w:hAnsi="Times New Roman" w:cs="Times New Roman"/>
                <w:color w:val="auto"/>
                <w:vertAlign w:val="subscript"/>
              </w:rPr>
              <w:t>2.5</w:t>
            </w:r>
            <w:r>
              <w:rPr>
                <w:rFonts w:hint="default" w:ascii="Times New Roman" w:hAnsi="Times New Roman" w:cs="Times New Roman"/>
                <w:color w:val="auto"/>
              </w:rPr>
              <w:t>、SO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default" w:ascii="Times New Roman" w:hAnsi="Times New Roman" w:cs="Times New Roman"/>
                <w:color w:val="auto"/>
                <w:vertAlign w:val="subscript"/>
              </w:rPr>
              <w:t>2</w:t>
            </w:r>
            <w:r>
              <w:rPr>
                <w:rFonts w:hint="default" w:ascii="Times New Roman" w:hAnsi="Times New Roman" w:cs="Times New Roman"/>
                <w:color w:val="auto"/>
              </w:rPr>
              <w:t>、O</w:t>
            </w:r>
            <w:r>
              <w:rPr>
                <w:rFonts w:hint="default" w:ascii="Times New Roman" w:hAnsi="Times New Roman" w:cs="Times New Roman"/>
                <w:color w:val="auto"/>
                <w:vertAlign w:val="subscript"/>
              </w:rPr>
              <w:t>3</w:t>
            </w:r>
            <w:r>
              <w:rPr>
                <w:rFonts w:hint="default" w:ascii="Times New Roman" w:hAnsi="Times New Roman" w:cs="Times New Roman"/>
                <w:color w:val="auto"/>
              </w:rPr>
              <w:t>、CO年平均浓度值符合《环境空气质量标准》（GB3095-2012）中二级标准要求，区域环境空气</w:t>
            </w:r>
            <w:r>
              <w:rPr>
                <w:rFonts w:hint="eastAsia" w:cs="Times New Roman"/>
                <w:color w:val="auto"/>
                <w:lang w:eastAsia="zh-CN"/>
              </w:rPr>
              <w:t>质量现状</w:t>
            </w:r>
            <w:r>
              <w:rPr>
                <w:rFonts w:hint="default" w:ascii="Times New Roman" w:hAnsi="Times New Roman" w:cs="Times New Roman"/>
                <w:color w:val="auto"/>
              </w:rPr>
              <w:t>为达标区。</w:t>
            </w:r>
          </w:p>
          <w:p>
            <w:pPr>
              <w:pStyle w:val="68"/>
              <w:ind w:firstLine="48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2、地表水环境质量现状</w:t>
            </w:r>
          </w:p>
          <w:p>
            <w:pPr>
              <w:pStyle w:val="68"/>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根据《建设项目环境影响报告表编制技术指南》（2021年版），地表水环境质量现状调查可引用与建设项目距离近的有效数据，包括近3年的规划环境影响评价的监测数据，所在流域控制单元内国家、地方控制断面监测数据，生态环境主管部门发布的水环境质量数据或地表水达标情况的结论。为了解项目区域地表水环境质量现状，本次评价引用湖南省生态环境厅发布的2023年1月~12月藕池河东支（东）三个省控断面数据（白莲村、团洲、禹九村），评价结果如下：</w:t>
            </w:r>
          </w:p>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rPr>
            </w:pPr>
          </w:p>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表3-2  地表水环境质量现状评价结果表</w:t>
            </w:r>
          </w:p>
          <w:tbl>
            <w:tblPr>
              <w:tblStyle w:val="24"/>
              <w:tblW w:w="4995"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81"/>
              <w:gridCol w:w="469"/>
              <w:gridCol w:w="436"/>
              <w:gridCol w:w="469"/>
              <w:gridCol w:w="469"/>
              <w:gridCol w:w="510"/>
              <w:gridCol w:w="510"/>
              <w:gridCol w:w="531"/>
              <w:gridCol w:w="436"/>
              <w:gridCol w:w="490"/>
              <w:gridCol w:w="531"/>
              <w:gridCol w:w="474"/>
              <w:gridCol w:w="446"/>
              <w:gridCol w:w="6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82" w:type="pct"/>
                  <w:tcBorders>
                    <w:tl2br w:val="nil"/>
                    <w:tr2bl w:val="nil"/>
                  </w:tcBorders>
                  <w:noWrap w:val="0"/>
                  <w:vAlign w:val="center"/>
                </w:tcPr>
                <w:p>
                  <w:pPr>
                    <w:pStyle w:val="7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断面</w:t>
                  </w:r>
                </w:p>
              </w:tc>
              <w:tc>
                <w:tcPr>
                  <w:tcW w:w="291"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1月</w:t>
                  </w:r>
                </w:p>
              </w:tc>
              <w:tc>
                <w:tcPr>
                  <w:tcW w:w="27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2月</w:t>
                  </w:r>
                </w:p>
              </w:tc>
              <w:tc>
                <w:tcPr>
                  <w:tcW w:w="291"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3月</w:t>
                  </w:r>
                </w:p>
              </w:tc>
              <w:tc>
                <w:tcPr>
                  <w:tcW w:w="291"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4月</w:t>
                  </w:r>
                </w:p>
              </w:tc>
              <w:tc>
                <w:tcPr>
                  <w:tcW w:w="317"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5月</w:t>
                  </w:r>
                </w:p>
              </w:tc>
              <w:tc>
                <w:tcPr>
                  <w:tcW w:w="317"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6月</w:t>
                  </w:r>
                </w:p>
              </w:tc>
              <w:tc>
                <w:tcPr>
                  <w:tcW w:w="33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7月</w:t>
                  </w:r>
                </w:p>
              </w:tc>
              <w:tc>
                <w:tcPr>
                  <w:tcW w:w="27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8月</w:t>
                  </w:r>
                </w:p>
              </w:tc>
              <w:tc>
                <w:tcPr>
                  <w:tcW w:w="304"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9月</w:t>
                  </w:r>
                </w:p>
              </w:tc>
              <w:tc>
                <w:tcPr>
                  <w:tcW w:w="33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10月</w:t>
                  </w:r>
                </w:p>
              </w:tc>
              <w:tc>
                <w:tcPr>
                  <w:tcW w:w="294"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11月</w:t>
                  </w:r>
                </w:p>
              </w:tc>
              <w:tc>
                <w:tcPr>
                  <w:tcW w:w="276"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12月</w:t>
                  </w:r>
                </w:p>
              </w:tc>
              <w:tc>
                <w:tcPr>
                  <w:tcW w:w="432"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82" w:type="pct"/>
                  <w:tcBorders>
                    <w:tl2br w:val="nil"/>
                    <w:tr2bl w:val="nil"/>
                  </w:tcBorders>
                  <w:noWrap w:val="0"/>
                  <w:vAlign w:val="center"/>
                </w:tcPr>
                <w:p>
                  <w:pPr>
                    <w:pStyle w:val="7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藕池河东支（东）-白莲村</w:t>
                  </w:r>
                </w:p>
              </w:tc>
              <w:tc>
                <w:tcPr>
                  <w:tcW w:w="291"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04"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4"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6"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432"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82" w:type="pct"/>
                  <w:tcBorders>
                    <w:tl2br w:val="nil"/>
                    <w:tr2bl w:val="nil"/>
                  </w:tcBorders>
                  <w:noWrap w:val="0"/>
                  <w:vAlign w:val="center"/>
                </w:tcPr>
                <w:p>
                  <w:pPr>
                    <w:pStyle w:val="7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藕池河东支（东）-团洲</w:t>
                  </w:r>
                </w:p>
              </w:tc>
              <w:tc>
                <w:tcPr>
                  <w:tcW w:w="291"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04"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4"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6"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432"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82" w:type="pct"/>
                  <w:tcBorders>
                    <w:tl2br w:val="nil"/>
                    <w:tr2bl w:val="nil"/>
                  </w:tcBorders>
                  <w:noWrap w:val="0"/>
                  <w:vAlign w:val="center"/>
                </w:tcPr>
                <w:p>
                  <w:pPr>
                    <w:pStyle w:val="7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藕池河东支（东）-禹九村</w:t>
                  </w:r>
                </w:p>
              </w:tc>
              <w:tc>
                <w:tcPr>
                  <w:tcW w:w="291"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04"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4"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6"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432" w:type="pct"/>
                  <w:tcBorders>
                    <w:tl2br w:val="nil"/>
                    <w:tr2bl w:val="nil"/>
                  </w:tcBorders>
                  <w:noWrap w:val="0"/>
                  <w:vAlign w:val="center"/>
                </w:tcPr>
                <w:p>
                  <w:pPr>
                    <w:pStyle w:val="7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r>
          </w:tbl>
          <w:p>
            <w:pPr>
              <w:pStyle w:val="68"/>
              <w:spacing w:before="156"/>
              <w:ind w:firstLine="480"/>
              <w:rPr>
                <w:rFonts w:hint="default" w:ascii="Times New Roman" w:hAnsi="Times New Roman" w:cs="Times New Roman"/>
                <w:color w:val="auto"/>
              </w:rPr>
            </w:pPr>
            <w:r>
              <w:rPr>
                <w:rFonts w:hint="default" w:ascii="Times New Roman" w:hAnsi="Times New Roman" w:cs="Times New Roman"/>
                <w:color w:val="auto"/>
                <w:highlight w:val="none"/>
              </w:rPr>
              <w:t>由上表监测结果可知，藕池河东支三个监测断面2023年均能满足</w:t>
            </w:r>
            <w:r>
              <w:rPr>
                <w:rFonts w:hint="default" w:ascii="Times New Roman" w:hAnsi="Times New Roman" w:cs="Times New Roman"/>
                <w:color w:val="auto"/>
                <w:kern w:val="0"/>
                <w:highlight w:val="none"/>
              </w:rPr>
              <w:t>《地表水环境质量标准》（GB3838-2002）中Ⅲ类标准，地表水环境质量现</w:t>
            </w:r>
            <w:r>
              <w:rPr>
                <w:rFonts w:hint="default" w:ascii="Times New Roman" w:hAnsi="Times New Roman" w:cs="Times New Roman"/>
                <w:color w:val="auto"/>
                <w:kern w:val="0"/>
              </w:rPr>
              <w:t>状较好。</w:t>
            </w:r>
          </w:p>
          <w:p>
            <w:pPr>
              <w:pStyle w:val="68"/>
              <w:ind w:firstLine="480"/>
              <w:rPr>
                <w:rFonts w:hint="default" w:ascii="Times New Roman" w:hAnsi="Times New Roman" w:cs="Times New Roman"/>
                <w:b/>
                <w:bCs/>
                <w:color w:val="auto"/>
              </w:rPr>
            </w:pPr>
            <w:r>
              <w:rPr>
                <w:rFonts w:hint="default" w:ascii="Times New Roman" w:hAnsi="Times New Roman" w:cs="Times New Roman"/>
                <w:b/>
                <w:bCs/>
                <w:color w:val="auto"/>
              </w:rPr>
              <w:t>3、声环境质量现状</w:t>
            </w:r>
          </w:p>
          <w:p>
            <w:pPr>
              <w:pStyle w:val="68"/>
              <w:ind w:firstLine="48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根据现场勘查</w:t>
            </w:r>
            <w:r>
              <w:rPr>
                <w:rFonts w:hint="default" w:ascii="Times New Roman" w:hAnsi="Times New Roman" w:cs="Times New Roman"/>
                <w:color w:val="auto"/>
              </w:rPr>
              <w:t>。</w:t>
            </w:r>
            <w:r>
              <w:rPr>
                <w:rFonts w:hint="eastAsia" w:cs="Times New Roman"/>
                <w:color w:val="auto"/>
                <w:lang w:val="en-US" w:eastAsia="zh-CN"/>
              </w:rPr>
              <w:t>本</w:t>
            </w:r>
            <w:r>
              <w:rPr>
                <w:rFonts w:hint="eastAsia" w:ascii="Times New Roman" w:hAnsi="Times New Roman" w:cs="Times New Roman"/>
                <w:color w:val="auto"/>
                <w:lang w:val="en-US" w:eastAsia="zh-CN"/>
              </w:rPr>
              <w:t>项目对其四个</w:t>
            </w:r>
            <w:r>
              <w:rPr>
                <w:rFonts w:hint="eastAsia" w:cs="Times New Roman"/>
                <w:color w:val="auto"/>
                <w:lang w:val="en-US" w:eastAsia="zh-CN"/>
              </w:rPr>
              <w:t>方向上最近敏感点</w:t>
            </w:r>
            <w:r>
              <w:rPr>
                <w:rFonts w:hint="eastAsia" w:ascii="Times New Roman" w:hAnsi="Times New Roman" w:cs="Times New Roman"/>
                <w:color w:val="auto"/>
                <w:lang w:val="en-US" w:eastAsia="zh-CN"/>
              </w:rPr>
              <w:t>进行了噪声现状监测</w:t>
            </w:r>
            <w:r>
              <w:rPr>
                <w:rFonts w:hint="default" w:ascii="Times New Roman" w:hAnsi="Times New Roman" w:cs="Times New Roman"/>
                <w:color w:val="auto"/>
              </w:rPr>
              <w:t>。</w:t>
            </w:r>
            <w:r>
              <w:rPr>
                <w:rFonts w:hint="default" w:ascii="Times New Roman" w:hAnsi="Times New Roman" w:cs="Times New Roman"/>
                <w:color w:val="auto"/>
                <w:lang w:val="en-US" w:eastAsia="zh-CN"/>
              </w:rPr>
              <w:t>监测结果详见下表</w:t>
            </w:r>
            <w:r>
              <w:rPr>
                <w:rFonts w:hint="eastAsia" w:cs="Times New Roman"/>
                <w:color w:val="auto"/>
                <w:lang w:val="en-US" w:eastAsia="zh-CN"/>
              </w:rPr>
              <w:t>3-3所示</w:t>
            </w:r>
            <w:r>
              <w:rPr>
                <w:rFonts w:hint="default" w:ascii="Times New Roman" w:hAnsi="Times New Roman" w:cs="Times New Roman"/>
                <w:color w:val="auto"/>
                <w:lang w:val="en-US" w:eastAsia="zh-CN"/>
              </w:rPr>
              <w:t>。</w:t>
            </w:r>
          </w:p>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highlight w:val="none"/>
                <w:lang w:val="en-US" w:eastAsia="zh-CN"/>
              </w:rPr>
              <w:t>表</w:t>
            </w:r>
            <w:r>
              <w:rPr>
                <w:rFonts w:hint="default" w:ascii="Times New Roman" w:hAnsi="Times New Roman" w:eastAsia="宋体" w:cs="Times New Roman"/>
                <w:color w:val="auto"/>
                <w:highlight w:val="none"/>
              </w:rPr>
              <w:t>3-</w:t>
            </w:r>
            <w:r>
              <w:rPr>
                <w:rFonts w:hint="default"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rPr>
              <w:t xml:space="preserve">  </w:t>
            </w:r>
            <w:r>
              <w:rPr>
                <w:rFonts w:hint="default" w:ascii="Times New Roman" w:hAnsi="Times New Roman" w:eastAsia="宋体" w:cs="Times New Roman"/>
                <w:color w:val="auto"/>
                <w:highlight w:val="none"/>
                <w:lang w:val="en-US" w:eastAsia="zh-CN"/>
              </w:rPr>
              <w:t xml:space="preserve"> 声</w:t>
            </w:r>
            <w:r>
              <w:rPr>
                <w:rFonts w:hint="default" w:ascii="Times New Roman" w:hAnsi="Times New Roman" w:eastAsia="宋体" w:cs="Times New Roman"/>
                <w:color w:val="auto"/>
                <w:highlight w:val="none"/>
              </w:rPr>
              <w:t>环</w:t>
            </w:r>
            <w:r>
              <w:rPr>
                <w:rFonts w:hint="default" w:ascii="Times New Roman" w:hAnsi="Times New Roman" w:cs="Times New Roman"/>
                <w:color w:val="auto"/>
                <w:highlight w:val="none"/>
              </w:rPr>
              <w:t>境质量现状评价结果表</w:t>
            </w:r>
          </w:p>
          <w:tbl>
            <w:tblPr>
              <w:tblStyle w:val="72"/>
              <w:tblW w:w="79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72"/>
              <w:gridCol w:w="1204"/>
              <w:gridCol w:w="1825"/>
              <w:gridCol w:w="1031"/>
              <w:gridCol w:w="1319"/>
              <w:gridCol w:w="994"/>
              <w:gridCol w:w="89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63" w:hRule="atLeast"/>
                <w:jc w:val="center"/>
              </w:trPr>
              <w:tc>
                <w:tcPr>
                  <w:tcW w:w="672" w:type="dxa"/>
                  <w:tcBorders>
                    <w:tl2br w:val="nil"/>
                    <w:tr2bl w:val="nil"/>
                  </w:tcBorders>
                  <w:noWrap w:val="0"/>
                  <w:vAlign w:val="center"/>
                </w:tcPr>
                <w:p>
                  <w:pPr>
                    <w:pStyle w:val="7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检测类别</w:t>
                  </w:r>
                </w:p>
              </w:tc>
              <w:tc>
                <w:tcPr>
                  <w:tcW w:w="1204" w:type="dxa"/>
                  <w:tcBorders>
                    <w:tl2br w:val="nil"/>
                    <w:tr2bl w:val="nil"/>
                  </w:tcBorders>
                  <w:noWrap w:val="0"/>
                  <w:vAlign w:val="center"/>
                </w:tcPr>
                <w:p>
                  <w:pPr>
                    <w:pStyle w:val="7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采样日期</w:t>
                  </w:r>
                </w:p>
              </w:tc>
              <w:tc>
                <w:tcPr>
                  <w:tcW w:w="1825" w:type="dxa"/>
                  <w:tcBorders>
                    <w:tl2br w:val="nil"/>
                    <w:tr2bl w:val="nil"/>
                  </w:tcBorders>
                  <w:noWrap w:val="0"/>
                  <w:vAlign w:val="center"/>
                </w:tcPr>
                <w:p>
                  <w:pPr>
                    <w:pStyle w:val="7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检测点位</w:t>
                  </w:r>
                </w:p>
              </w:tc>
              <w:tc>
                <w:tcPr>
                  <w:tcW w:w="1031" w:type="dxa"/>
                  <w:tcBorders>
                    <w:tl2br w:val="nil"/>
                    <w:tr2bl w:val="nil"/>
                  </w:tcBorders>
                  <w:noWrap w:val="0"/>
                  <w:vAlign w:val="center"/>
                </w:tcPr>
                <w:p>
                  <w:pPr>
                    <w:pStyle w:val="7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检测时段</w:t>
                  </w:r>
                </w:p>
              </w:tc>
              <w:tc>
                <w:tcPr>
                  <w:tcW w:w="1319" w:type="dxa"/>
                  <w:tcBorders>
                    <w:tl2br w:val="nil"/>
                    <w:tr2bl w:val="nil"/>
                  </w:tcBorders>
                  <w:noWrap w:val="0"/>
                  <w:vAlign w:val="center"/>
                </w:tcPr>
                <w:p>
                  <w:pPr>
                    <w:pStyle w:val="7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检测结果</w:t>
                  </w:r>
                </w:p>
              </w:tc>
              <w:tc>
                <w:tcPr>
                  <w:tcW w:w="994" w:type="dxa"/>
                  <w:tcBorders>
                    <w:tl2br w:val="nil"/>
                    <w:tr2bl w:val="nil"/>
                  </w:tcBorders>
                  <w:noWrap w:val="0"/>
                  <w:vAlign w:val="center"/>
                </w:tcPr>
                <w:p>
                  <w:pPr>
                    <w:pStyle w:val="7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参考限值</w:t>
                  </w:r>
                </w:p>
              </w:tc>
              <w:tc>
                <w:tcPr>
                  <w:tcW w:w="892" w:type="dxa"/>
                  <w:tcBorders>
                    <w:tl2br w:val="nil"/>
                    <w:tr2bl w:val="nil"/>
                  </w:tcBorders>
                  <w:noWrap w:val="0"/>
                  <w:vAlign w:val="center"/>
                </w:tcPr>
                <w:p>
                  <w:pPr>
                    <w:pStyle w:val="7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7" w:hRule="atLeast"/>
                <w:jc w:val="center"/>
              </w:trPr>
              <w:tc>
                <w:tcPr>
                  <w:tcW w:w="672" w:type="dxa"/>
                  <w:vMerge w:val="restart"/>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噪声</w:t>
                  </w:r>
                </w:p>
              </w:tc>
              <w:tc>
                <w:tcPr>
                  <w:tcW w:w="1204" w:type="dxa"/>
                  <w:vMerge w:val="restart"/>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202</w:t>
                  </w:r>
                  <w:r>
                    <w:rPr>
                      <w:rFonts w:hint="default"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0</w:t>
                  </w:r>
                  <w:r>
                    <w:rPr>
                      <w:rFonts w:hint="eastAsia" w:ascii="Times New Roman" w:hAnsi="Times New Roman" w:cs="Times New Roman"/>
                      <w:color w:val="auto"/>
                      <w:highlight w:val="none"/>
                      <w:lang w:val="en-US" w:eastAsia="zh-CN"/>
                    </w:rPr>
                    <w:t>4</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04</w:t>
                  </w:r>
                </w:p>
              </w:tc>
              <w:tc>
                <w:tcPr>
                  <w:tcW w:w="1825" w:type="dxa"/>
                  <w:vMerge w:val="restart"/>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东</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57</w:t>
                  </w:r>
                </w:p>
              </w:tc>
              <w:tc>
                <w:tcPr>
                  <w:tcW w:w="994"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en-US"/>
                    </w:rPr>
                  </w:pPr>
                </w:p>
              </w:tc>
              <w:tc>
                <w:tcPr>
                  <w:tcW w:w="1031" w:type="dxa"/>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51</w:t>
                  </w:r>
                </w:p>
              </w:tc>
              <w:tc>
                <w:tcPr>
                  <w:tcW w:w="994"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南</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56</w:t>
                  </w:r>
                </w:p>
              </w:tc>
              <w:tc>
                <w:tcPr>
                  <w:tcW w:w="994"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en-US"/>
                    </w:rPr>
                  </w:pPr>
                </w:p>
              </w:tc>
              <w:tc>
                <w:tcPr>
                  <w:tcW w:w="1031"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49</w:t>
                  </w:r>
                </w:p>
              </w:tc>
              <w:tc>
                <w:tcPr>
                  <w:tcW w:w="994"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西</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57</w:t>
                  </w:r>
                </w:p>
              </w:tc>
              <w:tc>
                <w:tcPr>
                  <w:tcW w:w="994" w:type="dxa"/>
                  <w:tcBorders>
                    <w:tl2br w:val="nil"/>
                    <w:tr2bl w:val="nil"/>
                  </w:tcBorders>
                  <w:shd w:val="clear" w:color="auto" w:fill="auto"/>
                  <w:noWrap w:val="0"/>
                  <w:vAlign w:val="center"/>
                </w:tcPr>
                <w:p>
                  <w:pPr>
                    <w:pStyle w:val="70"/>
                    <w:ind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en-US"/>
                    </w:rPr>
                  </w:pPr>
                </w:p>
              </w:tc>
              <w:tc>
                <w:tcPr>
                  <w:tcW w:w="1031"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51</w:t>
                  </w:r>
                </w:p>
              </w:tc>
              <w:tc>
                <w:tcPr>
                  <w:tcW w:w="994" w:type="dxa"/>
                  <w:tcBorders>
                    <w:tl2br w:val="nil"/>
                    <w:tr2bl w:val="nil"/>
                  </w:tcBorders>
                  <w:shd w:val="clear" w:color="auto" w:fill="auto"/>
                  <w:noWrap w:val="0"/>
                  <w:vAlign w:val="center"/>
                </w:tcPr>
                <w:p>
                  <w:pPr>
                    <w:pStyle w:val="70"/>
                    <w:ind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北</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56</w:t>
                  </w:r>
                </w:p>
              </w:tc>
              <w:tc>
                <w:tcPr>
                  <w:tcW w:w="994"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en-US"/>
                    </w:rPr>
                  </w:pPr>
                </w:p>
              </w:tc>
              <w:tc>
                <w:tcPr>
                  <w:tcW w:w="1031"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994"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204" w:type="dxa"/>
                  <w:vMerge w:val="restart"/>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rPr>
                  </w:pPr>
                  <w:r>
                    <w:rPr>
                      <w:rFonts w:hint="default" w:ascii="Times New Roman" w:hAnsi="Times New Roman" w:eastAsia="宋体" w:cs="Times New Roman"/>
                      <w:color w:val="auto"/>
                      <w:highlight w:val="none"/>
                    </w:rPr>
                    <w:t>202</w:t>
                  </w:r>
                  <w:r>
                    <w:rPr>
                      <w:rFonts w:hint="default"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0</w:t>
                  </w:r>
                  <w:r>
                    <w:rPr>
                      <w:rFonts w:hint="eastAsia" w:ascii="Times New Roman" w:hAnsi="Times New Roman" w:cs="Times New Roman"/>
                      <w:color w:val="auto"/>
                      <w:highlight w:val="none"/>
                      <w:lang w:val="en-US" w:eastAsia="zh-CN"/>
                    </w:rPr>
                    <w:t>4</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05</w:t>
                  </w:r>
                </w:p>
              </w:tc>
              <w:tc>
                <w:tcPr>
                  <w:tcW w:w="1825" w:type="dxa"/>
                  <w:vMerge w:val="restart"/>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东</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57</w:t>
                  </w:r>
                </w:p>
              </w:tc>
              <w:tc>
                <w:tcPr>
                  <w:tcW w:w="994"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zh-CN"/>
                    </w:rPr>
                  </w:pPr>
                </w:p>
              </w:tc>
              <w:tc>
                <w:tcPr>
                  <w:tcW w:w="1031"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994"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南</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56</w:t>
                  </w:r>
                </w:p>
              </w:tc>
              <w:tc>
                <w:tcPr>
                  <w:tcW w:w="994"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zh-CN"/>
                    </w:rPr>
                  </w:pPr>
                </w:p>
              </w:tc>
              <w:tc>
                <w:tcPr>
                  <w:tcW w:w="1031"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49</w:t>
                  </w:r>
                </w:p>
              </w:tc>
              <w:tc>
                <w:tcPr>
                  <w:tcW w:w="994"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西</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58</w:t>
                  </w:r>
                </w:p>
              </w:tc>
              <w:tc>
                <w:tcPr>
                  <w:tcW w:w="994" w:type="dxa"/>
                  <w:tcBorders>
                    <w:tl2br w:val="nil"/>
                    <w:tr2bl w:val="nil"/>
                  </w:tcBorders>
                  <w:shd w:val="clear" w:color="auto" w:fill="auto"/>
                  <w:noWrap w:val="0"/>
                  <w:vAlign w:val="center"/>
                </w:tcPr>
                <w:p>
                  <w:pPr>
                    <w:pStyle w:val="70"/>
                    <w:ind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zh-CN"/>
                    </w:rPr>
                  </w:pPr>
                </w:p>
              </w:tc>
              <w:tc>
                <w:tcPr>
                  <w:tcW w:w="1031"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51</w:t>
                  </w:r>
                </w:p>
              </w:tc>
              <w:tc>
                <w:tcPr>
                  <w:tcW w:w="994" w:type="dxa"/>
                  <w:tcBorders>
                    <w:tl2br w:val="nil"/>
                    <w:tr2bl w:val="nil"/>
                  </w:tcBorders>
                  <w:shd w:val="clear" w:color="auto" w:fill="auto"/>
                  <w:noWrap w:val="0"/>
                  <w:vAlign w:val="center"/>
                </w:tcPr>
                <w:p>
                  <w:pPr>
                    <w:pStyle w:val="70"/>
                    <w:ind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北</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56</w:t>
                  </w:r>
                </w:p>
              </w:tc>
              <w:tc>
                <w:tcPr>
                  <w:tcW w:w="994"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zh-CN"/>
                    </w:rPr>
                  </w:pPr>
                </w:p>
              </w:tc>
              <w:tc>
                <w:tcPr>
                  <w:tcW w:w="1031"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7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49</w:t>
                  </w:r>
                </w:p>
              </w:tc>
              <w:tc>
                <w:tcPr>
                  <w:tcW w:w="994"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70"/>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bl>
          <w:p>
            <w:pPr>
              <w:pStyle w:val="68"/>
              <w:spacing w:before="156"/>
              <w:ind w:firstLine="480"/>
              <w:rPr>
                <w:rFonts w:hint="default" w:ascii="Times New Roman" w:hAnsi="Times New Roman" w:cs="Times New Roman"/>
                <w:color w:val="auto"/>
              </w:rPr>
            </w:pPr>
            <w:r>
              <w:rPr>
                <w:rFonts w:hint="default" w:ascii="Times New Roman" w:hAnsi="Times New Roman" w:cs="Times New Roman"/>
                <w:color w:val="auto"/>
                <w:highlight w:val="none"/>
              </w:rPr>
              <w:t>由上表监测结果可知，</w:t>
            </w:r>
            <w:r>
              <w:rPr>
                <w:rFonts w:hint="eastAsia" w:ascii="Times New Roman" w:hAnsi="Times New Roman" w:cs="Times New Roman"/>
                <w:color w:val="auto"/>
                <w:highlight w:val="none"/>
                <w:lang w:val="en-US" w:eastAsia="zh-CN"/>
              </w:rPr>
              <w:t>本项目周边最近敏感点现状噪声值满足</w:t>
            </w:r>
            <w:r>
              <w:rPr>
                <w:rFonts w:hint="default" w:ascii="Times New Roman" w:hAnsi="Times New Roman" w:cs="Times New Roman"/>
                <w:color w:val="auto"/>
                <w:kern w:val="0"/>
                <w:highlight w:val="none"/>
              </w:rPr>
              <w:t>《</w:t>
            </w:r>
            <w:r>
              <w:rPr>
                <w:rFonts w:hint="eastAsia" w:ascii="Times New Roman" w:hAnsi="Times New Roman" w:cs="Times New Roman"/>
                <w:color w:val="auto"/>
                <w:kern w:val="0"/>
                <w:highlight w:val="none"/>
                <w:lang w:val="en-US" w:eastAsia="zh-CN"/>
              </w:rPr>
              <w:t>声环境</w:t>
            </w:r>
            <w:r>
              <w:rPr>
                <w:rFonts w:hint="default" w:ascii="Times New Roman" w:hAnsi="Times New Roman" w:cs="Times New Roman"/>
                <w:color w:val="auto"/>
                <w:kern w:val="0"/>
                <w:highlight w:val="none"/>
              </w:rPr>
              <w:t>环境质量标准》（GB</w:t>
            </w:r>
            <w:r>
              <w:rPr>
                <w:rFonts w:hint="eastAsia" w:ascii="Times New Roman" w:hAnsi="Times New Roman" w:cs="Times New Roman"/>
                <w:color w:val="auto"/>
                <w:kern w:val="0"/>
                <w:highlight w:val="none"/>
                <w:lang w:val="en-US" w:eastAsia="zh-CN"/>
              </w:rPr>
              <w:t>3096</w:t>
            </w:r>
            <w:r>
              <w:rPr>
                <w:rFonts w:hint="default" w:ascii="Times New Roman" w:hAnsi="Times New Roman" w:cs="Times New Roman"/>
                <w:color w:val="auto"/>
                <w:kern w:val="0"/>
                <w:highlight w:val="none"/>
              </w:rPr>
              <w:t>-200</w:t>
            </w:r>
            <w:r>
              <w:rPr>
                <w:rFonts w:hint="eastAsia" w:ascii="Times New Roman" w:hAnsi="Times New Roman" w:cs="Times New Roman"/>
                <w:color w:val="auto"/>
                <w:kern w:val="0"/>
                <w:highlight w:val="none"/>
                <w:lang w:val="en-US" w:eastAsia="zh-CN"/>
              </w:rPr>
              <w:t>8</w:t>
            </w:r>
            <w:r>
              <w:rPr>
                <w:rFonts w:hint="default" w:ascii="Times New Roman" w:hAnsi="Times New Roman" w:cs="Times New Roman"/>
                <w:color w:val="auto"/>
                <w:kern w:val="0"/>
                <w:highlight w:val="none"/>
              </w:rPr>
              <w:t>）中</w:t>
            </w:r>
            <w:r>
              <w:rPr>
                <w:rFonts w:hint="eastAsia" w:cs="Times New Roman"/>
                <w:color w:val="auto"/>
                <w:kern w:val="0"/>
                <w:highlight w:val="none"/>
                <w:lang w:val="en-US" w:eastAsia="zh-CN"/>
              </w:rPr>
              <w:t>2</w:t>
            </w:r>
            <w:r>
              <w:rPr>
                <w:rFonts w:hint="default" w:ascii="Times New Roman" w:hAnsi="Times New Roman" w:cs="Times New Roman"/>
                <w:color w:val="auto"/>
                <w:kern w:val="0"/>
                <w:highlight w:val="none"/>
              </w:rPr>
              <w:t>类标准</w:t>
            </w:r>
            <w:r>
              <w:rPr>
                <w:rFonts w:hint="eastAsia" w:ascii="Times New Roman" w:hAnsi="Times New Roman" w:cs="Times New Roman"/>
                <w:color w:val="auto"/>
                <w:kern w:val="0"/>
                <w:highlight w:val="none"/>
                <w:lang w:eastAsia="zh-CN"/>
              </w:rPr>
              <w:t>（</w:t>
            </w:r>
            <w:r>
              <w:rPr>
                <w:rFonts w:hint="eastAsia" w:ascii="Times New Roman" w:hAnsi="Times New Roman" w:cs="Times New Roman"/>
                <w:color w:val="auto"/>
                <w:kern w:val="0"/>
                <w:highlight w:val="none"/>
                <w:lang w:val="en-US" w:eastAsia="zh-CN"/>
              </w:rPr>
              <w:t>西侧敏感点靠近省道S509，执行4a类标准</w:t>
            </w:r>
            <w:r>
              <w:rPr>
                <w:rFonts w:hint="eastAsia"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rPr>
              <w:t>，</w:t>
            </w:r>
            <w:r>
              <w:rPr>
                <w:rFonts w:hint="eastAsia" w:ascii="Times New Roman" w:hAnsi="Times New Roman" w:cs="Times New Roman"/>
                <w:color w:val="auto"/>
                <w:kern w:val="0"/>
                <w:highlight w:val="none"/>
                <w:lang w:val="en-US" w:eastAsia="zh-CN"/>
              </w:rPr>
              <w:t>周边环境声</w:t>
            </w:r>
            <w:r>
              <w:rPr>
                <w:rFonts w:hint="default" w:ascii="Times New Roman" w:hAnsi="Times New Roman" w:cs="Times New Roman"/>
                <w:color w:val="auto"/>
                <w:kern w:val="0"/>
                <w:highlight w:val="none"/>
              </w:rPr>
              <w:t>环境质量现</w:t>
            </w:r>
            <w:r>
              <w:rPr>
                <w:rFonts w:hint="default" w:ascii="Times New Roman" w:hAnsi="Times New Roman" w:cs="Times New Roman"/>
                <w:color w:val="auto"/>
                <w:kern w:val="0"/>
              </w:rPr>
              <w:t>状较好。</w:t>
            </w:r>
          </w:p>
          <w:p>
            <w:pPr>
              <w:pStyle w:val="68"/>
              <w:ind w:firstLine="480"/>
              <w:rPr>
                <w:rFonts w:hint="default" w:ascii="Times New Roman" w:hAnsi="Times New Roman" w:cs="Times New Roman"/>
                <w:b/>
                <w:bCs/>
                <w:color w:val="auto"/>
              </w:rPr>
            </w:pPr>
            <w:r>
              <w:rPr>
                <w:rFonts w:hint="default" w:ascii="Times New Roman" w:hAnsi="Times New Roman" w:cs="Times New Roman"/>
                <w:b/>
                <w:bCs/>
                <w:color w:val="auto"/>
              </w:rPr>
              <w:t>4、地下水环境质量现状</w:t>
            </w:r>
          </w:p>
          <w:p>
            <w:pPr>
              <w:pStyle w:val="68"/>
              <w:ind w:firstLine="480"/>
              <w:rPr>
                <w:rFonts w:hint="default" w:ascii="Times New Roman" w:hAnsi="Times New Roman" w:cs="Times New Roman"/>
                <w:color w:val="auto"/>
              </w:rPr>
            </w:pPr>
            <w:r>
              <w:rPr>
                <w:rFonts w:hint="default" w:ascii="Times New Roman" w:hAnsi="Times New Roman" w:eastAsia="宋体" w:cs="Times New Roman"/>
                <w:color w:val="auto"/>
                <w:lang w:val="en-US" w:eastAsia="zh-CN"/>
              </w:rPr>
              <w:t>根据《建设项目环境影响报告表编制技术指南 （污染影响类）（试行）》，原则上不开展</w:t>
            </w:r>
            <w:r>
              <w:rPr>
                <w:rFonts w:hint="eastAsia" w:cs="Times New Roman"/>
                <w:color w:val="auto"/>
                <w:lang w:val="en-US" w:eastAsia="zh-CN"/>
              </w:rPr>
              <w:t>地下水</w:t>
            </w:r>
            <w:r>
              <w:rPr>
                <w:rFonts w:hint="default" w:ascii="Times New Roman" w:hAnsi="Times New Roman" w:eastAsia="宋体" w:cs="Times New Roman"/>
                <w:color w:val="auto"/>
                <w:lang w:val="en-US" w:eastAsia="zh-CN"/>
              </w:rPr>
              <w:t>质量现状调查</w:t>
            </w:r>
            <w:r>
              <w:rPr>
                <w:rFonts w:hint="eastAsia" w:cs="Times New Roman"/>
                <w:color w:val="auto"/>
                <w:lang w:val="en-US" w:eastAsia="zh-CN"/>
              </w:rPr>
              <w:t>。</w:t>
            </w:r>
            <w:r>
              <w:rPr>
                <w:rFonts w:hint="default" w:ascii="Times New Roman" w:hAnsi="Times New Roman" w:eastAsia="宋体" w:cs="Times New Roman"/>
                <w:color w:val="auto"/>
                <w:lang w:val="en-US" w:eastAsia="zh-CN"/>
              </w:rPr>
              <w:t>本项目</w:t>
            </w:r>
            <w:r>
              <w:rPr>
                <w:rFonts w:hint="eastAsia" w:ascii="Times New Roman" w:hAnsi="Times New Roman" w:cs="Times New Roman"/>
                <w:color w:val="auto"/>
                <w:lang w:val="en-US" w:eastAsia="zh-CN"/>
              </w:rPr>
              <w:t>为安置小区建设</w:t>
            </w:r>
            <w:r>
              <w:rPr>
                <w:rFonts w:hint="default" w:ascii="Times New Roman" w:hAnsi="Times New Roman" w:eastAsia="宋体" w:cs="Times New Roman"/>
                <w:color w:val="auto"/>
                <w:lang w:val="en-US" w:eastAsia="zh-CN"/>
              </w:rPr>
              <w:t>，</w:t>
            </w:r>
            <w:r>
              <w:rPr>
                <w:rFonts w:hint="eastAsia" w:cs="Times New Roman"/>
                <w:color w:val="auto"/>
                <w:lang w:val="en-US" w:eastAsia="zh-CN"/>
              </w:rPr>
              <w:t>不涉及地下取水，</w:t>
            </w:r>
            <w:r>
              <w:rPr>
                <w:rFonts w:hint="default" w:ascii="Times New Roman" w:hAnsi="Times New Roman" w:eastAsia="宋体" w:cs="Times New Roman"/>
                <w:color w:val="auto"/>
                <w:lang w:val="en-US" w:eastAsia="zh-CN"/>
              </w:rPr>
              <w:t>不存在</w:t>
            </w:r>
            <w:r>
              <w:rPr>
                <w:rFonts w:hint="eastAsia" w:cs="Times New Roman"/>
                <w:color w:val="auto"/>
                <w:lang w:val="en-US" w:eastAsia="zh-CN"/>
              </w:rPr>
              <w:t>地下水</w:t>
            </w:r>
            <w:r>
              <w:rPr>
                <w:rFonts w:hint="default" w:ascii="Times New Roman" w:hAnsi="Times New Roman" w:eastAsia="宋体" w:cs="Times New Roman"/>
                <w:color w:val="auto"/>
                <w:lang w:val="en-US" w:eastAsia="zh-CN"/>
              </w:rPr>
              <w:t>环境污染途径，可不进行</w:t>
            </w:r>
            <w:r>
              <w:rPr>
                <w:rFonts w:hint="eastAsia" w:cs="Times New Roman"/>
                <w:color w:val="auto"/>
                <w:lang w:val="en-US" w:eastAsia="zh-CN"/>
              </w:rPr>
              <w:t>地下水</w:t>
            </w:r>
            <w:r>
              <w:rPr>
                <w:rFonts w:hint="default" w:ascii="Times New Roman" w:hAnsi="Times New Roman" w:eastAsia="宋体" w:cs="Times New Roman"/>
                <w:color w:val="auto"/>
                <w:lang w:val="en-US" w:eastAsia="zh-CN"/>
              </w:rPr>
              <w:t>质量现状监测。</w:t>
            </w:r>
          </w:p>
          <w:p>
            <w:pPr>
              <w:pStyle w:val="68"/>
              <w:ind w:firstLine="480"/>
              <w:rPr>
                <w:rFonts w:hint="default" w:ascii="Times New Roman" w:hAnsi="Times New Roman" w:cs="Times New Roman"/>
                <w:b/>
                <w:bCs/>
                <w:color w:val="auto"/>
              </w:rPr>
            </w:pPr>
            <w:r>
              <w:rPr>
                <w:rFonts w:hint="eastAsia" w:ascii="Times New Roman" w:hAnsi="Times New Roman" w:cs="Times New Roman"/>
                <w:b/>
                <w:bCs/>
                <w:color w:val="auto"/>
                <w:lang w:val="en-US" w:eastAsia="zh-CN"/>
              </w:rPr>
              <w:t>5、</w:t>
            </w:r>
            <w:r>
              <w:rPr>
                <w:rFonts w:hint="default" w:ascii="Times New Roman" w:hAnsi="Times New Roman" w:cs="Times New Roman"/>
                <w:b/>
                <w:bCs/>
                <w:color w:val="auto"/>
                <w:lang w:val="en-US" w:eastAsia="zh-CN"/>
              </w:rPr>
              <w:t>土壤环境</w:t>
            </w:r>
            <w:r>
              <w:rPr>
                <w:rFonts w:hint="default" w:ascii="Times New Roman" w:hAnsi="Times New Roman" w:cs="Times New Roman"/>
                <w:b/>
                <w:bCs/>
                <w:color w:val="auto"/>
              </w:rPr>
              <w:t>质量现状</w:t>
            </w:r>
          </w:p>
          <w:p>
            <w:pPr>
              <w:pStyle w:val="68"/>
              <w:ind w:firstLine="48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根据《建设项目环境影响报告表编制技术指南 （污染影响类）（试行）》，原则上不开展环境质量现状调查。本项目</w:t>
            </w:r>
            <w:r>
              <w:rPr>
                <w:rFonts w:hint="eastAsia" w:ascii="Times New Roman" w:hAnsi="Times New Roman" w:cs="Times New Roman"/>
                <w:color w:val="auto"/>
                <w:lang w:val="en-US" w:eastAsia="zh-CN"/>
              </w:rPr>
              <w:t>为安置小区建设</w:t>
            </w:r>
            <w:r>
              <w:rPr>
                <w:rFonts w:hint="default" w:ascii="Times New Roman" w:hAnsi="Times New Roman" w:eastAsia="宋体" w:cs="Times New Roman"/>
                <w:color w:val="auto"/>
                <w:lang w:val="en-US" w:eastAsia="zh-CN"/>
              </w:rPr>
              <w:t>，不存在土壤环境污染途径，可不进行土壤质量现状监测。</w:t>
            </w:r>
          </w:p>
          <w:p>
            <w:pPr>
              <w:pStyle w:val="68"/>
              <w:numPr>
                <w:ilvl w:val="0"/>
                <w:numId w:val="0"/>
              </w:numPr>
              <w:ind w:left="630" w:leftChars="0"/>
              <w:rPr>
                <w:rFonts w:hint="default" w:ascii="Times New Roman" w:hAnsi="Times New Roman" w:cs="Times New Roman"/>
                <w:b/>
                <w:bCs/>
                <w:color w:val="auto"/>
              </w:rPr>
            </w:pPr>
            <w:r>
              <w:rPr>
                <w:rFonts w:hint="eastAsia" w:ascii="Times New Roman" w:hAnsi="Times New Roman" w:cs="Times New Roman"/>
                <w:b/>
                <w:bCs/>
                <w:color w:val="auto"/>
                <w:lang w:val="en-US" w:eastAsia="zh-CN"/>
              </w:rPr>
              <w:t>6、</w:t>
            </w:r>
            <w:r>
              <w:rPr>
                <w:rFonts w:hint="default" w:ascii="Times New Roman" w:hAnsi="Times New Roman" w:cs="Times New Roman"/>
                <w:b/>
                <w:bCs/>
                <w:color w:val="auto"/>
                <w:lang w:val="en-US" w:eastAsia="zh-CN"/>
              </w:rPr>
              <w:t>生态环境现状</w:t>
            </w:r>
          </w:p>
          <w:p>
            <w:pPr>
              <w:pStyle w:val="68"/>
              <w:ind w:firstLine="480"/>
              <w:rPr>
                <w:rFonts w:hint="eastAsia"/>
                <w:color w:val="auto"/>
                <w:szCs w:val="24"/>
                <w:lang w:val="en-US" w:eastAsia="zh-CN"/>
              </w:rPr>
            </w:pPr>
            <w:r>
              <w:rPr>
                <w:rFonts w:hint="eastAsia"/>
                <w:color w:val="auto"/>
                <w:szCs w:val="24"/>
                <w:lang w:val="en-US" w:eastAsia="zh-CN"/>
              </w:rPr>
              <w:t>详见生态专章。</w:t>
            </w:r>
          </w:p>
          <w:p>
            <w:pPr>
              <w:pStyle w:val="64"/>
              <w:ind w:left="0" w:leftChars="0" w:firstLine="0" w:firstLineChars="0"/>
              <w:jc w:val="both"/>
              <w:rPr>
                <w:rFonts w:hint="default" w:ascii="Times New Roman" w:hAnsi="Times New Roman" w:eastAsia="宋体" w:cs="Times New Roman"/>
                <w:color w:val="auto"/>
                <w:lang w:val="en-US" w:eastAsia="zh-CN"/>
              </w:rPr>
            </w:pPr>
          </w:p>
          <w:p>
            <w:pPr>
              <w:pStyle w:val="68"/>
              <w:ind w:left="0" w:leftChars="0" w:firstLine="0" w:firstLineChars="0"/>
              <w:rPr>
                <w:rFonts w:hint="default"/>
                <w:color w:val="auto"/>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31" w:hRule="atLeast"/>
          <w:jc w:val="center"/>
        </w:trPr>
        <w:tc>
          <w:tcPr>
            <w:tcW w:w="800" w:type="dxa"/>
            <w:vAlign w:val="center"/>
          </w:tcPr>
          <w:p>
            <w:pPr>
              <w:adjustRightInd w:val="0"/>
              <w:snapToGrid w:val="0"/>
              <w:jc w:val="center"/>
              <w:rPr>
                <w:rFonts w:hint="eastAsia" w:cs="宋体"/>
                <w:color w:val="auto"/>
                <w:kern w:val="0"/>
                <w:sz w:val="24"/>
                <w:szCs w:val="21"/>
              </w:rPr>
            </w:pPr>
            <w:r>
              <w:rPr>
                <w:rFonts w:hint="default" w:ascii="Times New Roman" w:hAnsi="Times New Roman" w:cs="Times New Roman"/>
                <w:bCs/>
                <w:color w:val="auto"/>
              </w:rPr>
              <w:t>与项目有关的原有环境污染和生态破坏问题</w:t>
            </w:r>
          </w:p>
        </w:tc>
        <w:tc>
          <w:tcPr>
            <w:tcW w:w="8190" w:type="dxa"/>
            <w:vAlign w:val="center"/>
          </w:tcPr>
          <w:p>
            <w:pPr>
              <w:adjustRightInd w:val="0"/>
              <w:snapToGrid w:val="0"/>
              <w:spacing w:line="360" w:lineRule="auto"/>
              <w:ind w:firstLine="480" w:firstLineChars="200"/>
              <w:jc w:val="center"/>
              <w:rPr>
                <w:color w:val="auto"/>
                <w:szCs w:val="24"/>
              </w:rPr>
            </w:pPr>
            <w:r>
              <w:rPr>
                <w:rFonts w:hint="eastAsia" w:ascii="Times New Roman" w:hAnsi="Times New Roman" w:eastAsia="宋体" w:cs="宋体"/>
                <w:bCs/>
                <w:color w:val="auto"/>
                <w:sz w:val="24"/>
                <w:szCs w:val="21"/>
                <w:lang w:val="en-US" w:eastAsia="zh-CN"/>
              </w:rPr>
              <w:t>本项目建设前原有用地为普通耕地，主要用于种植蔬菜、水稻、玉米等常见农作物。</w:t>
            </w:r>
            <w:r>
              <w:rPr>
                <w:rFonts w:hint="eastAsia" w:cs="宋体"/>
                <w:bCs/>
                <w:color w:val="auto"/>
                <w:sz w:val="24"/>
                <w:szCs w:val="21"/>
                <w:lang w:val="en-US" w:eastAsia="zh-CN"/>
              </w:rPr>
              <w:t>原用地范围内</w:t>
            </w:r>
            <w:r>
              <w:rPr>
                <w:rFonts w:hint="eastAsia" w:ascii="Times New Roman" w:hAnsi="Times New Roman" w:eastAsia="宋体" w:cs="宋体"/>
                <w:bCs/>
                <w:color w:val="auto"/>
                <w:sz w:val="24"/>
                <w:szCs w:val="21"/>
                <w:lang w:val="en-US" w:eastAsia="zh-CN"/>
              </w:rPr>
              <w:t>不存在工业生产，无与项目有关的原有环境污染问题。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1632" w:hRule="atLeast"/>
          <w:jc w:val="center"/>
        </w:trPr>
        <w:tc>
          <w:tcPr>
            <w:tcW w:w="800" w:type="dxa"/>
            <w:vAlign w:val="center"/>
          </w:tcPr>
          <w:p>
            <w:pPr>
              <w:adjustRightInd w:val="0"/>
              <w:snapToGrid w:val="0"/>
              <w:jc w:val="center"/>
              <w:rPr>
                <w:rFonts w:cs="宋体"/>
                <w:color w:val="auto"/>
                <w:kern w:val="0"/>
                <w:sz w:val="24"/>
                <w:szCs w:val="21"/>
              </w:rPr>
            </w:pPr>
            <w:r>
              <w:rPr>
                <w:rFonts w:hint="eastAsia" w:cs="宋体"/>
                <w:color w:val="auto"/>
                <w:kern w:val="0"/>
                <w:sz w:val="24"/>
                <w:szCs w:val="21"/>
                <w:lang w:val="en-US" w:eastAsia="zh-CN"/>
              </w:rPr>
              <w:t>生态</w:t>
            </w:r>
            <w:r>
              <w:rPr>
                <w:rFonts w:hint="eastAsia" w:cs="宋体"/>
                <w:color w:val="auto"/>
                <w:kern w:val="0"/>
                <w:sz w:val="24"/>
                <w:szCs w:val="21"/>
              </w:rPr>
              <w:t>环境</w:t>
            </w:r>
          </w:p>
          <w:p>
            <w:pPr>
              <w:adjustRightInd w:val="0"/>
              <w:snapToGrid w:val="0"/>
              <w:jc w:val="center"/>
              <w:rPr>
                <w:rFonts w:cs="宋体"/>
                <w:color w:val="auto"/>
                <w:kern w:val="0"/>
                <w:sz w:val="24"/>
                <w:szCs w:val="21"/>
              </w:rPr>
            </w:pPr>
            <w:r>
              <w:rPr>
                <w:rFonts w:hint="eastAsia" w:cs="宋体"/>
                <w:color w:val="auto"/>
                <w:kern w:val="0"/>
                <w:sz w:val="24"/>
                <w:szCs w:val="21"/>
              </w:rPr>
              <w:t>保护</w:t>
            </w:r>
          </w:p>
          <w:p>
            <w:pPr>
              <w:adjustRightInd w:val="0"/>
              <w:snapToGrid w:val="0"/>
              <w:jc w:val="center"/>
              <w:rPr>
                <w:rFonts w:cs="宋体"/>
                <w:color w:val="auto"/>
                <w:kern w:val="0"/>
                <w:sz w:val="24"/>
                <w:szCs w:val="21"/>
              </w:rPr>
            </w:pPr>
            <w:r>
              <w:rPr>
                <w:rFonts w:hint="eastAsia" w:cs="宋体"/>
                <w:color w:val="auto"/>
                <w:kern w:val="0"/>
                <w:sz w:val="24"/>
                <w:szCs w:val="21"/>
              </w:rPr>
              <w:t>目标</w:t>
            </w:r>
          </w:p>
        </w:tc>
        <w:tc>
          <w:tcPr>
            <w:tcW w:w="8190" w:type="dxa"/>
            <w:vAlign w:val="center"/>
          </w:tcPr>
          <w:p>
            <w:pPr>
              <w:pStyle w:val="9"/>
              <w:ind w:firstLine="0" w:firstLineChars="0"/>
              <w:rPr>
                <w:rFonts w:eastAsia="宋体"/>
                <w:b/>
                <w:bCs/>
                <w:color w:val="auto"/>
                <w:sz w:val="24"/>
                <w:szCs w:val="24"/>
              </w:rPr>
            </w:pPr>
            <w:r>
              <w:rPr>
                <w:rFonts w:hint="eastAsia" w:eastAsia="宋体"/>
                <w:b/>
                <w:bCs/>
                <w:color w:val="auto"/>
                <w:sz w:val="24"/>
                <w:szCs w:val="24"/>
              </w:rPr>
              <w:t>1、大气环境</w:t>
            </w:r>
          </w:p>
          <w:p>
            <w:pPr>
              <w:pStyle w:val="9"/>
              <w:ind w:firstLine="480"/>
              <w:jc w:val="both"/>
              <w:rPr>
                <w:rFonts w:hint="eastAsia"/>
                <w:color w:val="auto"/>
                <w:sz w:val="24"/>
                <w:szCs w:val="24"/>
              </w:rPr>
            </w:pPr>
            <w:r>
              <w:rPr>
                <w:rFonts w:hint="eastAsia"/>
                <w:color w:val="auto"/>
                <w:sz w:val="24"/>
                <w:szCs w:val="24"/>
              </w:rPr>
              <w:t>项目厂界外</w:t>
            </w:r>
            <w:r>
              <w:rPr>
                <w:rFonts w:hint="eastAsia"/>
                <w:color w:val="auto"/>
                <w:sz w:val="24"/>
                <w:szCs w:val="24"/>
                <w:lang w:val="en-US" w:eastAsia="zh-CN"/>
              </w:rPr>
              <w:t>500m</w:t>
            </w:r>
            <w:r>
              <w:rPr>
                <w:rFonts w:hint="eastAsia"/>
                <w:color w:val="auto"/>
                <w:sz w:val="24"/>
                <w:szCs w:val="24"/>
              </w:rPr>
              <w:t>范围内的大气环境保护目标主要为</w:t>
            </w:r>
            <w:r>
              <w:rPr>
                <w:rFonts w:hint="eastAsia"/>
                <w:color w:val="auto"/>
                <w:sz w:val="24"/>
                <w:szCs w:val="24"/>
                <w:lang w:val="en-US" w:eastAsia="zh-CN"/>
              </w:rPr>
              <w:t>项目西侧的团洲乡中心小学、团洲乡居民点以及安置区一期东侧的团洲乡花园小区。</w:t>
            </w:r>
          </w:p>
          <w:p>
            <w:pPr>
              <w:pStyle w:val="9"/>
              <w:ind w:firstLine="0" w:firstLineChars="0"/>
              <w:rPr>
                <w:rFonts w:hint="eastAsia" w:eastAsia="宋体"/>
                <w:b/>
                <w:bCs/>
                <w:color w:val="auto"/>
                <w:sz w:val="24"/>
                <w:szCs w:val="24"/>
              </w:rPr>
            </w:pPr>
            <w:r>
              <w:rPr>
                <w:rFonts w:hint="eastAsia" w:eastAsia="宋体"/>
                <w:b/>
                <w:bCs/>
                <w:color w:val="auto"/>
                <w:sz w:val="24"/>
                <w:szCs w:val="24"/>
                <w:lang w:val="en-US" w:eastAsia="zh-CN"/>
              </w:rPr>
              <w:t>2</w:t>
            </w:r>
            <w:r>
              <w:rPr>
                <w:rFonts w:hint="eastAsia" w:eastAsia="宋体"/>
                <w:b/>
                <w:bCs/>
                <w:color w:val="auto"/>
                <w:sz w:val="24"/>
                <w:szCs w:val="24"/>
              </w:rPr>
              <w:t>、地下水环境</w:t>
            </w:r>
          </w:p>
          <w:p>
            <w:pPr>
              <w:pStyle w:val="9"/>
              <w:ind w:firstLine="480"/>
              <w:jc w:val="both"/>
              <w:rPr>
                <w:color w:val="auto"/>
                <w:sz w:val="24"/>
                <w:szCs w:val="24"/>
              </w:rPr>
            </w:pPr>
            <w:r>
              <w:rPr>
                <w:rFonts w:hint="eastAsia"/>
                <w:color w:val="auto"/>
                <w:sz w:val="24"/>
                <w:szCs w:val="24"/>
              </w:rPr>
              <w:t>项目厂界外5</w:t>
            </w:r>
            <w:r>
              <w:rPr>
                <w:color w:val="auto"/>
                <w:sz w:val="24"/>
                <w:szCs w:val="24"/>
              </w:rPr>
              <w:t>00</w:t>
            </w:r>
            <w:r>
              <w:rPr>
                <w:rFonts w:hint="eastAsia"/>
                <w:color w:val="auto"/>
                <w:sz w:val="24"/>
                <w:szCs w:val="24"/>
              </w:rPr>
              <w:t>m范围内不涉及地下水集中式饮用水保护区等特殊地下水资源。</w:t>
            </w:r>
          </w:p>
          <w:p>
            <w:pPr>
              <w:pStyle w:val="9"/>
              <w:ind w:firstLine="0" w:firstLineChars="0"/>
              <w:rPr>
                <w:rFonts w:hint="eastAsia" w:eastAsia="宋体"/>
                <w:b/>
                <w:bCs/>
                <w:color w:val="auto"/>
                <w:sz w:val="24"/>
                <w:szCs w:val="24"/>
                <w:lang w:val="en-US" w:eastAsia="zh-CN"/>
              </w:rPr>
            </w:pPr>
            <w:r>
              <w:rPr>
                <w:rFonts w:hint="eastAsia" w:eastAsia="宋体"/>
                <w:b/>
                <w:bCs/>
                <w:color w:val="auto"/>
                <w:sz w:val="24"/>
                <w:szCs w:val="24"/>
                <w:lang w:val="en-US" w:eastAsia="zh-CN"/>
              </w:rPr>
              <w:t>3</w:t>
            </w:r>
            <w:r>
              <w:rPr>
                <w:rFonts w:hint="eastAsia" w:eastAsia="宋体"/>
                <w:b/>
                <w:bCs/>
                <w:color w:val="auto"/>
                <w:sz w:val="24"/>
                <w:szCs w:val="24"/>
              </w:rPr>
              <w:t>、声</w:t>
            </w:r>
            <w:r>
              <w:rPr>
                <w:rFonts w:hint="eastAsia" w:eastAsia="宋体"/>
                <w:b/>
                <w:bCs/>
                <w:color w:val="auto"/>
                <w:sz w:val="24"/>
                <w:szCs w:val="24"/>
                <w:lang w:val="en-US" w:eastAsia="zh-CN"/>
              </w:rPr>
              <w:t>环境</w:t>
            </w:r>
          </w:p>
          <w:p>
            <w:pPr>
              <w:pStyle w:val="9"/>
              <w:ind w:firstLine="480"/>
              <w:rPr>
                <w:rFonts w:hint="eastAsia"/>
                <w:color w:val="auto"/>
                <w:sz w:val="24"/>
                <w:szCs w:val="24"/>
                <w:lang w:val="en-US" w:eastAsia="zh-CN"/>
              </w:rPr>
            </w:pPr>
            <w:r>
              <w:rPr>
                <w:rFonts w:hint="eastAsia"/>
                <w:color w:val="auto"/>
                <w:sz w:val="24"/>
                <w:szCs w:val="24"/>
                <w:lang w:val="en-US" w:eastAsia="zh-CN"/>
              </w:rPr>
              <w:t>项目厂界外50m范围内声环境保护目标</w:t>
            </w:r>
            <w:r>
              <w:rPr>
                <w:rFonts w:hint="eastAsia"/>
                <w:color w:val="auto"/>
                <w:sz w:val="24"/>
                <w:szCs w:val="24"/>
              </w:rPr>
              <w:t>主要为</w:t>
            </w:r>
            <w:r>
              <w:rPr>
                <w:rFonts w:hint="eastAsia"/>
                <w:color w:val="auto"/>
                <w:sz w:val="24"/>
                <w:szCs w:val="24"/>
                <w:lang w:val="en-US" w:eastAsia="zh-CN"/>
              </w:rPr>
              <w:t>项目西侧的团洲乡中心小学、团洲乡居民点以及团洲乡花园小区。</w:t>
            </w:r>
          </w:p>
          <w:p>
            <w:pPr>
              <w:pStyle w:val="9"/>
              <w:ind w:firstLine="0" w:firstLineChars="0"/>
              <w:rPr>
                <w:rFonts w:hint="eastAsia" w:eastAsia="宋体"/>
                <w:b/>
                <w:bCs/>
                <w:color w:val="auto"/>
                <w:sz w:val="24"/>
                <w:szCs w:val="24"/>
                <w:lang w:val="en-US" w:eastAsia="zh-CN"/>
              </w:rPr>
            </w:pPr>
            <w:r>
              <w:rPr>
                <w:rFonts w:hint="eastAsia" w:eastAsia="宋体"/>
                <w:b/>
                <w:bCs/>
                <w:color w:val="auto"/>
                <w:sz w:val="24"/>
                <w:szCs w:val="24"/>
                <w:lang w:val="en-US" w:eastAsia="zh-CN"/>
              </w:rPr>
              <w:t>4、生态环境</w:t>
            </w:r>
          </w:p>
          <w:p>
            <w:pPr>
              <w:pStyle w:val="9"/>
              <w:ind w:firstLine="480"/>
              <w:rPr>
                <w:rFonts w:hint="eastAsia"/>
                <w:color w:val="auto"/>
                <w:sz w:val="24"/>
                <w:szCs w:val="24"/>
                <w:lang w:val="en-US" w:eastAsia="zh-CN"/>
              </w:rPr>
            </w:pPr>
            <w:r>
              <w:rPr>
                <w:rFonts w:hint="eastAsia"/>
                <w:color w:val="auto"/>
                <w:sz w:val="24"/>
                <w:szCs w:val="24"/>
                <w:lang w:val="en-US" w:eastAsia="zh-CN"/>
              </w:rPr>
              <w:t>根据《建设项目环境影响报告表编制技术指南（污染影响类）（试行）》“产业园区外建设项目新增用地的，应明确新增用地范围内生态环境保护目标”。本项目位于产业园区外，生态环境保护目标主要为湖南东洞庭湖国家级自然保护区。</w:t>
            </w:r>
          </w:p>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表3-</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 xml:space="preserve"> </w:t>
            </w:r>
            <w:r>
              <w:rPr>
                <w:rFonts w:hint="eastAsia" w:ascii="Times New Roman" w:hAnsi="Times New Roman" w:eastAsia="宋体" w:cs="Times New Roman"/>
                <w:color w:val="auto"/>
                <w:lang w:val="en-US" w:eastAsia="zh-CN"/>
              </w:rPr>
              <w:t xml:space="preserve"> </w:t>
            </w:r>
            <w:r>
              <w:rPr>
                <w:rFonts w:hint="eastAsia" w:ascii="Times New Roman" w:hAnsi="Times New Roman" w:eastAsia="宋体" w:cs="Times New Roman"/>
                <w:color w:val="auto"/>
              </w:rPr>
              <w:t>项目周边环境保护目标</w:t>
            </w:r>
          </w:p>
          <w:tbl>
            <w:tblPr>
              <w:tblStyle w:val="23"/>
              <w:tblW w:w="7944"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969"/>
              <w:gridCol w:w="1673"/>
              <w:gridCol w:w="1514"/>
              <w:gridCol w:w="203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tcBorders>
                    <w:tl2br w:val="nil"/>
                    <w:tr2bl w:val="nil"/>
                  </w:tcBorders>
                  <w:shd w:val="clear" w:color="auto" w:fill="auto"/>
                  <w:vAlign w:val="center"/>
                </w:tcPr>
                <w:p>
                  <w:pPr>
                    <w:pStyle w:val="53"/>
                    <w:spacing w:before="0" w:beforeLines="0" w:after="0" w:afterLines="0"/>
                    <w:rPr>
                      <w:color w:val="auto"/>
                      <w:sz w:val="21"/>
                      <w:szCs w:val="21"/>
                    </w:rPr>
                  </w:pPr>
                  <w:r>
                    <w:rPr>
                      <w:color w:val="auto"/>
                      <w:sz w:val="21"/>
                      <w:szCs w:val="21"/>
                    </w:rPr>
                    <w:t>类别</w:t>
                  </w:r>
                </w:p>
              </w:tc>
              <w:tc>
                <w:tcPr>
                  <w:tcW w:w="1969" w:type="dxa"/>
                  <w:tcBorders>
                    <w:tl2br w:val="nil"/>
                    <w:tr2bl w:val="nil"/>
                  </w:tcBorders>
                  <w:shd w:val="clear" w:color="auto" w:fill="auto"/>
                  <w:vAlign w:val="center"/>
                </w:tcPr>
                <w:p>
                  <w:pPr>
                    <w:pStyle w:val="53"/>
                    <w:spacing w:before="0" w:beforeLines="0" w:after="0" w:afterLines="0"/>
                    <w:rPr>
                      <w:color w:val="auto"/>
                      <w:sz w:val="21"/>
                      <w:szCs w:val="21"/>
                    </w:rPr>
                  </w:pPr>
                  <w:r>
                    <w:rPr>
                      <w:color w:val="auto"/>
                      <w:sz w:val="21"/>
                      <w:szCs w:val="21"/>
                    </w:rPr>
                    <w:t>保护目标</w:t>
                  </w:r>
                </w:p>
              </w:tc>
              <w:tc>
                <w:tcPr>
                  <w:tcW w:w="1673" w:type="dxa"/>
                  <w:tcBorders>
                    <w:tl2br w:val="nil"/>
                    <w:tr2bl w:val="nil"/>
                  </w:tcBorders>
                  <w:shd w:val="clear" w:color="auto" w:fill="auto"/>
                  <w:vAlign w:val="center"/>
                </w:tcPr>
                <w:p>
                  <w:pPr>
                    <w:pStyle w:val="53"/>
                    <w:spacing w:before="0" w:beforeLines="0" w:after="0" w:afterLines="0"/>
                    <w:rPr>
                      <w:color w:val="auto"/>
                      <w:sz w:val="21"/>
                      <w:szCs w:val="21"/>
                    </w:rPr>
                  </w:pPr>
                  <w:r>
                    <w:rPr>
                      <w:color w:val="auto"/>
                      <w:sz w:val="21"/>
                      <w:szCs w:val="21"/>
                    </w:rPr>
                    <w:t>方向</w:t>
                  </w:r>
                  <w:r>
                    <w:rPr>
                      <w:rFonts w:hint="eastAsia"/>
                      <w:color w:val="auto"/>
                      <w:sz w:val="21"/>
                      <w:szCs w:val="21"/>
                    </w:rPr>
                    <w:t>/最近</w:t>
                  </w:r>
                  <w:r>
                    <w:rPr>
                      <w:color w:val="auto"/>
                      <w:sz w:val="21"/>
                      <w:szCs w:val="21"/>
                    </w:rPr>
                    <w:t>距离</w:t>
                  </w:r>
                </w:p>
              </w:tc>
              <w:tc>
                <w:tcPr>
                  <w:tcW w:w="1514" w:type="dxa"/>
                  <w:tcBorders>
                    <w:tl2br w:val="nil"/>
                    <w:tr2bl w:val="nil"/>
                  </w:tcBorders>
                  <w:shd w:val="clear" w:color="auto" w:fill="auto"/>
                  <w:vAlign w:val="center"/>
                </w:tcPr>
                <w:p>
                  <w:pPr>
                    <w:pStyle w:val="53"/>
                    <w:spacing w:before="0" w:beforeLines="0" w:after="0" w:afterLines="0"/>
                    <w:rPr>
                      <w:color w:val="auto"/>
                      <w:sz w:val="21"/>
                      <w:szCs w:val="21"/>
                    </w:rPr>
                  </w:pPr>
                  <w:r>
                    <w:rPr>
                      <w:color w:val="auto"/>
                      <w:sz w:val="21"/>
                      <w:szCs w:val="21"/>
                    </w:rPr>
                    <w:t>功能、规模</w:t>
                  </w:r>
                </w:p>
              </w:tc>
              <w:tc>
                <w:tcPr>
                  <w:tcW w:w="2032" w:type="dxa"/>
                  <w:tcBorders>
                    <w:tl2br w:val="nil"/>
                    <w:tr2bl w:val="nil"/>
                  </w:tcBorders>
                  <w:shd w:val="clear" w:color="auto" w:fill="auto"/>
                  <w:vAlign w:val="center"/>
                </w:tcPr>
                <w:p>
                  <w:pPr>
                    <w:pStyle w:val="53"/>
                    <w:spacing w:before="0" w:beforeLines="0" w:after="0" w:afterLines="0"/>
                    <w:rPr>
                      <w:color w:val="auto"/>
                      <w:sz w:val="21"/>
                      <w:szCs w:val="21"/>
                    </w:rPr>
                  </w:pPr>
                  <w:r>
                    <w:rPr>
                      <w:color w:val="auto"/>
                      <w:sz w:val="21"/>
                      <w:szCs w:val="21"/>
                    </w:rPr>
                    <w:t>保护级别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restart"/>
                  <w:tcBorders>
                    <w:tl2br w:val="nil"/>
                    <w:tr2bl w:val="nil"/>
                  </w:tcBorders>
                  <w:vAlign w:val="center"/>
                </w:tcPr>
                <w:p>
                  <w:pPr>
                    <w:pStyle w:val="53"/>
                    <w:spacing w:before="0" w:beforeLines="0" w:after="0" w:afterLines="0"/>
                    <w:rPr>
                      <w:b w:val="0"/>
                      <w:bCs/>
                      <w:color w:val="auto"/>
                      <w:sz w:val="21"/>
                      <w:szCs w:val="21"/>
                    </w:rPr>
                  </w:pPr>
                  <w:r>
                    <w:rPr>
                      <w:b w:val="0"/>
                      <w:bCs/>
                      <w:color w:val="auto"/>
                      <w:sz w:val="21"/>
                      <w:szCs w:val="21"/>
                    </w:rPr>
                    <w:t>大气</w:t>
                  </w:r>
                </w:p>
                <w:p>
                  <w:pPr>
                    <w:pStyle w:val="53"/>
                    <w:spacing w:before="0" w:beforeLines="0" w:after="0" w:afterLines="0"/>
                    <w:rPr>
                      <w:b w:val="0"/>
                      <w:bCs/>
                      <w:color w:val="auto"/>
                      <w:sz w:val="21"/>
                      <w:szCs w:val="21"/>
                    </w:rPr>
                  </w:pPr>
                  <w:r>
                    <w:rPr>
                      <w:b w:val="0"/>
                      <w:bCs/>
                      <w:color w:val="auto"/>
                      <w:sz w:val="21"/>
                      <w:szCs w:val="21"/>
                    </w:rPr>
                    <w:t>环境</w:t>
                  </w:r>
                </w:p>
              </w:tc>
              <w:tc>
                <w:tcPr>
                  <w:tcW w:w="1969" w:type="dxa"/>
                  <w:tcBorders>
                    <w:tl2br w:val="nil"/>
                    <w:tr2bl w:val="nil"/>
                  </w:tcBorders>
                  <w:vAlign w:val="center"/>
                </w:tcPr>
                <w:p>
                  <w:pPr>
                    <w:pStyle w:val="53"/>
                    <w:spacing w:before="0" w:beforeLines="0" w:after="0" w:afterLines="0"/>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团洲乡中心小学</w:t>
                  </w:r>
                </w:p>
              </w:tc>
              <w:tc>
                <w:tcPr>
                  <w:tcW w:w="1673" w:type="dxa"/>
                  <w:tcBorders>
                    <w:tl2br w:val="nil"/>
                    <w:tr2bl w:val="nil"/>
                  </w:tcBorders>
                  <w:vAlign w:val="center"/>
                </w:tcPr>
                <w:p>
                  <w:pPr>
                    <w:pStyle w:val="53"/>
                    <w:spacing w:before="0" w:beforeLines="0" w:after="0" w:afterLines="0"/>
                    <w:jc w:val="center"/>
                    <w:rPr>
                      <w:rFonts w:hint="default" w:eastAsia="宋体"/>
                      <w:b w:val="0"/>
                      <w:bCs/>
                      <w:color w:val="auto"/>
                      <w:sz w:val="21"/>
                      <w:szCs w:val="21"/>
                      <w:lang w:val="en-US" w:eastAsia="zh-CN"/>
                    </w:rPr>
                  </w:pPr>
                  <w:r>
                    <w:rPr>
                      <w:rFonts w:hint="eastAsia"/>
                      <w:b w:val="0"/>
                      <w:bCs/>
                      <w:color w:val="auto"/>
                      <w:sz w:val="21"/>
                      <w:szCs w:val="21"/>
                      <w:lang w:val="en-US" w:eastAsia="zh-CN"/>
                    </w:rPr>
                    <w:t>W，紧邻</w:t>
                  </w:r>
                </w:p>
              </w:tc>
              <w:tc>
                <w:tcPr>
                  <w:tcW w:w="1514" w:type="dxa"/>
                  <w:tcBorders>
                    <w:tl2br w:val="nil"/>
                    <w:tr2bl w:val="nil"/>
                  </w:tcBorders>
                  <w:vAlign w:val="center"/>
                </w:tcPr>
                <w:p>
                  <w:pPr>
                    <w:pStyle w:val="53"/>
                    <w:spacing w:before="0" w:beforeLines="0" w:after="0" w:afterLines="0"/>
                    <w:rPr>
                      <w:rFonts w:hint="default" w:eastAsia="宋体"/>
                      <w:b w:val="0"/>
                      <w:bCs/>
                      <w:color w:val="auto"/>
                      <w:sz w:val="21"/>
                      <w:szCs w:val="21"/>
                      <w:lang w:val="en-US" w:eastAsia="zh-CN"/>
                    </w:rPr>
                  </w:pPr>
                  <w:r>
                    <w:rPr>
                      <w:rFonts w:hint="eastAsia"/>
                      <w:b w:val="0"/>
                      <w:bCs/>
                      <w:color w:val="auto"/>
                      <w:sz w:val="21"/>
                      <w:szCs w:val="21"/>
                      <w:lang w:val="en-US" w:eastAsia="zh-CN"/>
                    </w:rPr>
                    <w:t>学校，师生约500人</w:t>
                  </w:r>
                </w:p>
              </w:tc>
              <w:tc>
                <w:tcPr>
                  <w:tcW w:w="2032" w:type="dxa"/>
                  <w:vMerge w:val="restart"/>
                  <w:tcBorders>
                    <w:tl2br w:val="nil"/>
                    <w:tr2bl w:val="nil"/>
                  </w:tcBorders>
                  <w:vAlign w:val="center"/>
                </w:tcPr>
                <w:p>
                  <w:pPr>
                    <w:pStyle w:val="53"/>
                    <w:spacing w:before="0" w:beforeLines="0" w:after="0" w:afterLines="0"/>
                    <w:rPr>
                      <w:b w:val="0"/>
                      <w:bCs/>
                      <w:color w:val="auto"/>
                      <w:sz w:val="21"/>
                      <w:szCs w:val="21"/>
                    </w:rPr>
                  </w:pPr>
                  <w:r>
                    <w:rPr>
                      <w:b w:val="0"/>
                      <w:bCs/>
                      <w:color w:val="auto"/>
                      <w:sz w:val="21"/>
                      <w:szCs w:val="21"/>
                    </w:rPr>
                    <w:t>GB3095-2012</w:t>
                  </w:r>
                </w:p>
                <w:p>
                  <w:pPr>
                    <w:pStyle w:val="53"/>
                    <w:spacing w:before="0" w:beforeLines="0" w:after="0" w:afterLines="0"/>
                    <w:rPr>
                      <w:b w:val="0"/>
                      <w:bCs/>
                      <w:color w:val="auto"/>
                      <w:sz w:val="21"/>
                      <w:szCs w:val="21"/>
                    </w:rPr>
                  </w:pPr>
                  <w:r>
                    <w:rPr>
                      <w:b w:val="0"/>
                      <w:bCs/>
                      <w:color w:val="auto"/>
                      <w:sz w:val="21"/>
                      <w:szCs w:val="21"/>
                    </w:rPr>
                    <w:t>二级标准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3"/>
                    <w:spacing w:before="0" w:beforeLines="0" w:after="0" w:afterLines="0"/>
                    <w:rPr>
                      <w:b w:val="0"/>
                      <w:bCs/>
                      <w:color w:val="auto"/>
                      <w:sz w:val="21"/>
                      <w:szCs w:val="21"/>
                    </w:rPr>
                  </w:pPr>
                </w:p>
              </w:tc>
              <w:tc>
                <w:tcPr>
                  <w:tcW w:w="1969" w:type="dxa"/>
                  <w:tcBorders>
                    <w:tl2br w:val="nil"/>
                    <w:tr2bl w:val="nil"/>
                  </w:tcBorders>
                  <w:vAlign w:val="center"/>
                </w:tcPr>
                <w:p>
                  <w:pPr>
                    <w:pStyle w:val="53"/>
                    <w:spacing w:before="0" w:beforeLines="0" w:after="0" w:afterLines="0"/>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团洲花园小区</w:t>
                  </w:r>
                </w:p>
              </w:tc>
              <w:tc>
                <w:tcPr>
                  <w:tcW w:w="1673" w:type="dxa"/>
                  <w:tcBorders>
                    <w:tl2br w:val="nil"/>
                    <w:tr2bl w:val="nil"/>
                  </w:tcBorders>
                  <w:vAlign w:val="center"/>
                </w:tcPr>
                <w:p>
                  <w:pPr>
                    <w:pStyle w:val="53"/>
                    <w:spacing w:before="0" w:beforeLines="0" w:after="0" w:afterLines="0"/>
                    <w:jc w:val="center"/>
                    <w:rPr>
                      <w:rFonts w:hint="default" w:eastAsia="宋体"/>
                      <w:b w:val="0"/>
                      <w:bCs/>
                      <w:color w:val="auto"/>
                      <w:sz w:val="21"/>
                      <w:szCs w:val="21"/>
                      <w:lang w:val="en-US" w:eastAsia="zh-CN"/>
                    </w:rPr>
                  </w:pPr>
                  <w:r>
                    <w:rPr>
                      <w:rFonts w:hint="eastAsia"/>
                      <w:b w:val="0"/>
                      <w:bCs/>
                      <w:color w:val="auto"/>
                      <w:sz w:val="21"/>
                      <w:szCs w:val="21"/>
                      <w:lang w:val="en-US" w:eastAsia="zh-CN"/>
                    </w:rPr>
                    <w:t>安置区一期及二期之间</w:t>
                  </w:r>
                </w:p>
              </w:tc>
              <w:tc>
                <w:tcPr>
                  <w:tcW w:w="1514" w:type="dxa"/>
                  <w:tcBorders>
                    <w:tl2br w:val="nil"/>
                    <w:tr2bl w:val="nil"/>
                  </w:tcBorders>
                  <w:vAlign w:val="center"/>
                </w:tcPr>
                <w:p>
                  <w:pPr>
                    <w:pStyle w:val="53"/>
                    <w:spacing w:before="0" w:beforeLines="0" w:after="0" w:afterLines="0"/>
                    <w:rPr>
                      <w:b w:val="0"/>
                      <w:bCs/>
                      <w:color w:val="auto"/>
                      <w:sz w:val="21"/>
                      <w:szCs w:val="21"/>
                    </w:rPr>
                  </w:pPr>
                  <w:r>
                    <w:rPr>
                      <w:rFonts w:hint="eastAsia"/>
                      <w:b w:val="0"/>
                      <w:bCs/>
                      <w:color w:val="auto"/>
                      <w:sz w:val="21"/>
                      <w:szCs w:val="21"/>
                      <w:lang w:val="en-US" w:eastAsia="zh-CN"/>
                    </w:rPr>
                    <w:t>居民区，居民约200户</w:t>
                  </w:r>
                  <w:r>
                    <w:rPr>
                      <w:rFonts w:hint="eastAsia"/>
                      <w:b w:val="0"/>
                      <w:bCs/>
                      <w:color w:val="auto"/>
                      <w:sz w:val="21"/>
                      <w:szCs w:val="21"/>
                    </w:rPr>
                    <w:t>。</w:t>
                  </w:r>
                </w:p>
              </w:tc>
              <w:tc>
                <w:tcPr>
                  <w:tcW w:w="2032" w:type="dxa"/>
                  <w:vMerge w:val="continue"/>
                  <w:tcBorders>
                    <w:tl2br w:val="nil"/>
                    <w:tr2bl w:val="nil"/>
                  </w:tcBorders>
                  <w:vAlign w:val="center"/>
                </w:tcPr>
                <w:p>
                  <w:pPr>
                    <w:pStyle w:val="53"/>
                    <w:spacing w:before="0" w:beforeLines="0" w:after="0" w:afterLines="0"/>
                    <w:rPr>
                      <w:b w:val="0"/>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3"/>
                    <w:spacing w:before="0" w:beforeLines="0" w:after="0" w:afterLines="0"/>
                    <w:rPr>
                      <w:b w:val="0"/>
                      <w:bCs/>
                      <w:color w:val="auto"/>
                      <w:sz w:val="21"/>
                      <w:szCs w:val="21"/>
                    </w:rPr>
                  </w:pPr>
                </w:p>
              </w:tc>
              <w:tc>
                <w:tcPr>
                  <w:tcW w:w="1969" w:type="dxa"/>
                  <w:tcBorders>
                    <w:tl2br w:val="nil"/>
                    <w:tr2bl w:val="nil"/>
                  </w:tcBorders>
                  <w:vAlign w:val="center"/>
                </w:tcPr>
                <w:p>
                  <w:pPr>
                    <w:pStyle w:val="53"/>
                    <w:spacing w:before="0" w:beforeLines="0" w:after="0" w:afterLines="0"/>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团洲乡居民点</w:t>
                  </w:r>
                </w:p>
              </w:tc>
              <w:tc>
                <w:tcPr>
                  <w:tcW w:w="1673" w:type="dxa"/>
                  <w:tcBorders>
                    <w:tl2br w:val="nil"/>
                    <w:tr2bl w:val="nil"/>
                  </w:tcBorders>
                  <w:vAlign w:val="center"/>
                </w:tcPr>
                <w:p>
                  <w:pPr>
                    <w:pStyle w:val="53"/>
                    <w:spacing w:before="0" w:beforeLines="0" w:after="0" w:afterLines="0"/>
                    <w:rPr>
                      <w:b w:val="0"/>
                      <w:bCs/>
                      <w:color w:val="auto"/>
                      <w:sz w:val="21"/>
                      <w:szCs w:val="21"/>
                    </w:rPr>
                  </w:pPr>
                  <w:r>
                    <w:rPr>
                      <w:rFonts w:hint="eastAsia"/>
                      <w:b w:val="0"/>
                      <w:bCs/>
                      <w:color w:val="auto"/>
                      <w:sz w:val="21"/>
                      <w:szCs w:val="21"/>
                    </w:rPr>
                    <w:t>W</w:t>
                  </w:r>
                  <w:r>
                    <w:rPr>
                      <w:rFonts w:hint="eastAsia"/>
                      <w:b w:val="0"/>
                      <w:bCs/>
                      <w:color w:val="auto"/>
                      <w:sz w:val="21"/>
                      <w:szCs w:val="21"/>
                      <w:lang w:val="en-US" w:eastAsia="zh-CN"/>
                    </w:rPr>
                    <w:t>及SW，紧邻</w:t>
                  </w:r>
                </w:p>
              </w:tc>
              <w:tc>
                <w:tcPr>
                  <w:tcW w:w="1514" w:type="dxa"/>
                  <w:tcBorders>
                    <w:tl2br w:val="nil"/>
                    <w:tr2bl w:val="nil"/>
                  </w:tcBorders>
                  <w:vAlign w:val="center"/>
                </w:tcPr>
                <w:p>
                  <w:pPr>
                    <w:pStyle w:val="53"/>
                    <w:spacing w:before="0" w:beforeLines="0" w:after="0" w:afterLines="0"/>
                    <w:rPr>
                      <w:b w:val="0"/>
                      <w:bCs/>
                      <w:color w:val="auto"/>
                      <w:sz w:val="21"/>
                      <w:szCs w:val="21"/>
                    </w:rPr>
                  </w:pPr>
                  <w:r>
                    <w:rPr>
                      <w:rFonts w:hint="eastAsia"/>
                      <w:b w:val="0"/>
                      <w:bCs/>
                      <w:color w:val="auto"/>
                      <w:sz w:val="21"/>
                      <w:szCs w:val="21"/>
                      <w:lang w:val="en-US" w:eastAsia="zh-CN"/>
                    </w:rPr>
                    <w:t>散户居民</w:t>
                  </w:r>
                  <w:r>
                    <w:rPr>
                      <w:rFonts w:hint="eastAsia"/>
                      <w:b w:val="0"/>
                      <w:bCs/>
                      <w:color w:val="auto"/>
                      <w:sz w:val="21"/>
                      <w:szCs w:val="21"/>
                    </w:rPr>
                    <w:t>，</w:t>
                  </w:r>
                </w:p>
                <w:p>
                  <w:pPr>
                    <w:pStyle w:val="53"/>
                    <w:spacing w:before="0" w:beforeLines="0" w:after="0" w:afterLines="0"/>
                    <w:rPr>
                      <w:b w:val="0"/>
                      <w:bCs/>
                      <w:color w:val="auto"/>
                      <w:sz w:val="21"/>
                      <w:szCs w:val="21"/>
                    </w:rPr>
                  </w:pPr>
                  <w:r>
                    <w:rPr>
                      <w:rFonts w:hint="eastAsia"/>
                      <w:b w:val="0"/>
                      <w:bCs/>
                      <w:color w:val="auto"/>
                      <w:sz w:val="21"/>
                      <w:szCs w:val="21"/>
                    </w:rPr>
                    <w:t>约</w:t>
                  </w:r>
                  <w:r>
                    <w:rPr>
                      <w:rFonts w:hint="eastAsia"/>
                      <w:b w:val="0"/>
                      <w:bCs/>
                      <w:color w:val="auto"/>
                      <w:sz w:val="21"/>
                      <w:szCs w:val="21"/>
                      <w:lang w:val="en-US" w:eastAsia="zh-CN"/>
                    </w:rPr>
                    <w:t>150</w:t>
                  </w:r>
                  <w:r>
                    <w:rPr>
                      <w:rFonts w:hint="eastAsia"/>
                      <w:b w:val="0"/>
                      <w:bCs/>
                      <w:color w:val="auto"/>
                      <w:sz w:val="21"/>
                      <w:szCs w:val="21"/>
                    </w:rPr>
                    <w:t>户。</w:t>
                  </w:r>
                </w:p>
              </w:tc>
              <w:tc>
                <w:tcPr>
                  <w:tcW w:w="2032" w:type="dxa"/>
                  <w:vMerge w:val="continue"/>
                  <w:tcBorders>
                    <w:tl2br w:val="nil"/>
                    <w:tr2bl w:val="nil"/>
                  </w:tcBorders>
                  <w:vAlign w:val="center"/>
                </w:tcPr>
                <w:p>
                  <w:pPr>
                    <w:pStyle w:val="53"/>
                    <w:spacing w:before="0" w:beforeLines="0" w:after="0" w:afterLines="0"/>
                    <w:rPr>
                      <w:b w:val="0"/>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3"/>
                    <w:spacing w:before="0" w:beforeLines="0" w:after="0" w:afterLines="0"/>
                    <w:rPr>
                      <w:b w:val="0"/>
                      <w:bCs/>
                      <w:color w:val="auto"/>
                      <w:sz w:val="21"/>
                      <w:szCs w:val="21"/>
                    </w:rPr>
                  </w:pPr>
                </w:p>
              </w:tc>
              <w:tc>
                <w:tcPr>
                  <w:tcW w:w="1969" w:type="dxa"/>
                  <w:tcBorders>
                    <w:tl2br w:val="nil"/>
                    <w:tr2bl w:val="nil"/>
                  </w:tcBorders>
                  <w:vAlign w:val="center"/>
                </w:tcPr>
                <w:p>
                  <w:pPr>
                    <w:pStyle w:val="53"/>
                    <w:spacing w:before="0" w:beforeLines="0" w:after="0" w:afterLines="0"/>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团洲乡居民点</w:t>
                  </w:r>
                </w:p>
              </w:tc>
              <w:tc>
                <w:tcPr>
                  <w:tcW w:w="1673" w:type="dxa"/>
                  <w:tcBorders>
                    <w:tl2br w:val="nil"/>
                    <w:tr2bl w:val="nil"/>
                  </w:tcBorders>
                  <w:vAlign w:val="center"/>
                </w:tcPr>
                <w:p>
                  <w:pPr>
                    <w:pStyle w:val="53"/>
                    <w:spacing w:before="0" w:beforeLines="0" w:after="0" w:afterLines="0"/>
                    <w:rPr>
                      <w:rFonts w:hint="default"/>
                      <w:b w:val="0"/>
                      <w:bCs/>
                      <w:color w:val="auto"/>
                      <w:sz w:val="21"/>
                      <w:szCs w:val="21"/>
                      <w:lang w:val="en-US" w:eastAsia="zh-CN"/>
                    </w:rPr>
                  </w:pPr>
                  <w:r>
                    <w:rPr>
                      <w:rFonts w:hint="eastAsia"/>
                      <w:b w:val="0"/>
                      <w:bCs/>
                      <w:color w:val="auto"/>
                      <w:sz w:val="21"/>
                      <w:szCs w:val="21"/>
                      <w:lang w:val="en-US" w:eastAsia="zh-CN"/>
                    </w:rPr>
                    <w:t>E及SE，紧邻</w:t>
                  </w:r>
                </w:p>
              </w:tc>
              <w:tc>
                <w:tcPr>
                  <w:tcW w:w="1514" w:type="dxa"/>
                  <w:tcBorders>
                    <w:tl2br w:val="nil"/>
                    <w:tr2bl w:val="nil"/>
                  </w:tcBorders>
                  <w:vAlign w:val="center"/>
                </w:tcPr>
                <w:p>
                  <w:pPr>
                    <w:pStyle w:val="53"/>
                    <w:spacing w:before="0" w:beforeLines="0" w:after="0" w:afterLines="0"/>
                    <w:rPr>
                      <w:rFonts w:hint="eastAsia"/>
                      <w:b w:val="0"/>
                      <w:bCs/>
                      <w:color w:val="auto"/>
                      <w:sz w:val="21"/>
                      <w:szCs w:val="21"/>
                    </w:rPr>
                  </w:pPr>
                  <w:r>
                    <w:rPr>
                      <w:rFonts w:hint="eastAsia"/>
                      <w:b w:val="0"/>
                      <w:bCs/>
                      <w:color w:val="auto"/>
                      <w:sz w:val="21"/>
                      <w:szCs w:val="21"/>
                      <w:lang w:val="en-US" w:eastAsia="zh-CN"/>
                    </w:rPr>
                    <w:t>居民区，居民160户</w:t>
                  </w:r>
                  <w:r>
                    <w:rPr>
                      <w:rFonts w:hint="eastAsia"/>
                      <w:b w:val="0"/>
                      <w:bCs/>
                      <w:color w:val="auto"/>
                      <w:sz w:val="21"/>
                      <w:szCs w:val="21"/>
                    </w:rPr>
                    <w:t>。</w:t>
                  </w:r>
                </w:p>
              </w:tc>
              <w:tc>
                <w:tcPr>
                  <w:tcW w:w="2032" w:type="dxa"/>
                  <w:vMerge w:val="continue"/>
                  <w:tcBorders>
                    <w:tl2br w:val="nil"/>
                    <w:tr2bl w:val="nil"/>
                  </w:tcBorders>
                  <w:vAlign w:val="center"/>
                </w:tcPr>
                <w:p>
                  <w:pPr>
                    <w:pStyle w:val="53"/>
                    <w:spacing w:before="0" w:beforeLines="0" w:after="0" w:afterLines="0"/>
                    <w:rPr>
                      <w:b w:val="0"/>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restart"/>
                  <w:tcBorders>
                    <w:tl2br w:val="nil"/>
                    <w:tr2bl w:val="nil"/>
                  </w:tcBorders>
                  <w:vAlign w:val="center"/>
                </w:tcPr>
                <w:p>
                  <w:pPr>
                    <w:pStyle w:val="53"/>
                    <w:spacing w:before="0" w:beforeLines="0" w:after="0" w:afterLines="0"/>
                    <w:rPr>
                      <w:rFonts w:hint="default" w:eastAsia="宋体"/>
                      <w:b w:val="0"/>
                      <w:bCs/>
                      <w:color w:val="auto"/>
                      <w:sz w:val="21"/>
                      <w:szCs w:val="21"/>
                      <w:lang w:val="en-US" w:eastAsia="zh-CN"/>
                    </w:rPr>
                  </w:pPr>
                  <w:r>
                    <w:rPr>
                      <w:rFonts w:hint="eastAsia"/>
                      <w:b w:val="0"/>
                      <w:bCs/>
                      <w:color w:val="auto"/>
                      <w:sz w:val="21"/>
                      <w:szCs w:val="21"/>
                      <w:lang w:val="en-US" w:eastAsia="zh-CN"/>
                    </w:rPr>
                    <w:t>声环境</w:t>
                  </w:r>
                </w:p>
              </w:tc>
              <w:tc>
                <w:tcPr>
                  <w:tcW w:w="1969" w:type="dxa"/>
                  <w:tcBorders>
                    <w:tl2br w:val="nil"/>
                    <w:tr2bl w:val="nil"/>
                  </w:tcBorders>
                  <w:vAlign w:val="center"/>
                </w:tcPr>
                <w:p>
                  <w:pPr>
                    <w:pStyle w:val="53"/>
                    <w:spacing w:before="0" w:beforeLines="0" w:after="0" w:afterLines="0"/>
                    <w:rPr>
                      <w:rFonts w:hint="eastAsia"/>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团洲乡中心小学</w:t>
                  </w:r>
                </w:p>
              </w:tc>
              <w:tc>
                <w:tcPr>
                  <w:tcW w:w="1673" w:type="dxa"/>
                  <w:tcBorders>
                    <w:tl2br w:val="nil"/>
                    <w:tr2bl w:val="nil"/>
                  </w:tcBorders>
                  <w:vAlign w:val="center"/>
                </w:tcPr>
                <w:p>
                  <w:pPr>
                    <w:pStyle w:val="53"/>
                    <w:spacing w:before="0" w:beforeLines="0" w:after="0" w:afterLines="0"/>
                    <w:jc w:val="center"/>
                    <w:rPr>
                      <w:rFonts w:hint="eastAsia"/>
                      <w:b w:val="0"/>
                      <w:bCs/>
                      <w:color w:val="auto"/>
                      <w:sz w:val="21"/>
                      <w:szCs w:val="21"/>
                      <w:lang w:val="en-US" w:eastAsia="zh-CN"/>
                    </w:rPr>
                  </w:pPr>
                  <w:r>
                    <w:rPr>
                      <w:rFonts w:hint="eastAsia"/>
                      <w:b w:val="0"/>
                      <w:bCs/>
                      <w:color w:val="auto"/>
                      <w:sz w:val="21"/>
                      <w:szCs w:val="21"/>
                      <w:lang w:val="en-US" w:eastAsia="zh-CN"/>
                    </w:rPr>
                    <w:t>W，紧邻</w:t>
                  </w:r>
                </w:p>
              </w:tc>
              <w:tc>
                <w:tcPr>
                  <w:tcW w:w="1514" w:type="dxa"/>
                  <w:tcBorders>
                    <w:tl2br w:val="nil"/>
                    <w:tr2bl w:val="nil"/>
                  </w:tcBorders>
                  <w:vAlign w:val="center"/>
                </w:tcPr>
                <w:p>
                  <w:pPr>
                    <w:pStyle w:val="53"/>
                    <w:spacing w:before="0" w:beforeLines="0" w:after="0" w:afterLines="0"/>
                    <w:rPr>
                      <w:rFonts w:hint="eastAsia"/>
                      <w:b w:val="0"/>
                      <w:bCs/>
                      <w:color w:val="auto"/>
                      <w:sz w:val="21"/>
                      <w:szCs w:val="21"/>
                      <w:lang w:val="en-US" w:eastAsia="zh-CN"/>
                    </w:rPr>
                  </w:pPr>
                  <w:r>
                    <w:rPr>
                      <w:rFonts w:hint="eastAsia"/>
                      <w:b w:val="0"/>
                      <w:bCs/>
                      <w:color w:val="auto"/>
                      <w:sz w:val="21"/>
                      <w:szCs w:val="21"/>
                      <w:lang w:val="en-US" w:eastAsia="zh-CN"/>
                    </w:rPr>
                    <w:t>学校，师生约500人</w:t>
                  </w:r>
                </w:p>
              </w:tc>
              <w:tc>
                <w:tcPr>
                  <w:tcW w:w="2032" w:type="dxa"/>
                  <w:vMerge w:val="restart"/>
                  <w:tcBorders>
                    <w:tl2br w:val="nil"/>
                    <w:tr2bl w:val="nil"/>
                  </w:tcBorders>
                  <w:vAlign w:val="center"/>
                </w:tcPr>
                <w:p>
                  <w:pPr>
                    <w:pStyle w:val="53"/>
                    <w:spacing w:before="0" w:beforeLines="0" w:after="0" w:afterLines="0"/>
                    <w:rPr>
                      <w:b w:val="0"/>
                      <w:bCs/>
                      <w:color w:val="auto"/>
                      <w:sz w:val="21"/>
                      <w:szCs w:val="21"/>
                    </w:rPr>
                  </w:pPr>
                  <w:r>
                    <w:rPr>
                      <w:rFonts w:hint="default"/>
                      <w:b w:val="0"/>
                      <w:bCs/>
                      <w:color w:val="auto"/>
                      <w:sz w:val="21"/>
                      <w:szCs w:val="21"/>
                    </w:rPr>
                    <w:t>（GB3096-2008）</w:t>
                  </w:r>
                  <w:r>
                    <w:rPr>
                      <w:rFonts w:hint="eastAsia"/>
                      <w:b w:val="0"/>
                      <w:bCs/>
                      <w:color w:val="auto"/>
                      <w:sz w:val="21"/>
                      <w:szCs w:val="21"/>
                      <w:lang w:val="en-US" w:eastAsia="zh-CN"/>
                    </w:rPr>
                    <w:t>2</w:t>
                  </w:r>
                  <w:r>
                    <w:rPr>
                      <w:rFonts w:hint="default"/>
                      <w:b w:val="0"/>
                      <w:bCs/>
                      <w:color w:val="auto"/>
                      <w:sz w:val="21"/>
                      <w:szCs w:val="21"/>
                    </w:rPr>
                    <w:t>类标准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3"/>
                    <w:spacing w:before="0" w:beforeLines="0" w:after="0" w:afterLines="0"/>
                    <w:rPr>
                      <w:rFonts w:hint="eastAsia"/>
                      <w:b w:val="0"/>
                      <w:bCs/>
                      <w:color w:val="auto"/>
                      <w:sz w:val="21"/>
                      <w:szCs w:val="21"/>
                      <w:lang w:val="en-US" w:eastAsia="zh-CN"/>
                    </w:rPr>
                  </w:pPr>
                </w:p>
              </w:tc>
              <w:tc>
                <w:tcPr>
                  <w:tcW w:w="1969" w:type="dxa"/>
                  <w:tcBorders>
                    <w:tl2br w:val="nil"/>
                    <w:tr2bl w:val="nil"/>
                  </w:tcBorders>
                  <w:vAlign w:val="center"/>
                </w:tcPr>
                <w:p>
                  <w:pPr>
                    <w:pStyle w:val="53"/>
                    <w:spacing w:before="0" w:beforeLines="0" w:after="0" w:afterLines="0"/>
                    <w:rPr>
                      <w:rFonts w:hint="eastAsia"/>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团洲花园小区</w:t>
                  </w:r>
                </w:p>
              </w:tc>
              <w:tc>
                <w:tcPr>
                  <w:tcW w:w="1673" w:type="dxa"/>
                  <w:tcBorders>
                    <w:tl2br w:val="nil"/>
                    <w:tr2bl w:val="nil"/>
                  </w:tcBorders>
                  <w:vAlign w:val="center"/>
                </w:tcPr>
                <w:p>
                  <w:pPr>
                    <w:pStyle w:val="53"/>
                    <w:spacing w:before="0" w:beforeLines="0" w:after="0" w:afterLines="0"/>
                    <w:jc w:val="center"/>
                    <w:rPr>
                      <w:rFonts w:hint="eastAsia"/>
                      <w:b w:val="0"/>
                      <w:bCs/>
                      <w:color w:val="auto"/>
                      <w:sz w:val="21"/>
                      <w:szCs w:val="21"/>
                      <w:lang w:val="en-US" w:eastAsia="zh-CN"/>
                    </w:rPr>
                  </w:pPr>
                  <w:r>
                    <w:rPr>
                      <w:rFonts w:hint="eastAsia"/>
                      <w:b w:val="0"/>
                      <w:bCs/>
                      <w:color w:val="auto"/>
                      <w:sz w:val="21"/>
                      <w:szCs w:val="21"/>
                      <w:lang w:val="en-US" w:eastAsia="zh-CN"/>
                    </w:rPr>
                    <w:t>E，紧邻</w:t>
                  </w:r>
                </w:p>
              </w:tc>
              <w:tc>
                <w:tcPr>
                  <w:tcW w:w="1514" w:type="dxa"/>
                  <w:tcBorders>
                    <w:tl2br w:val="nil"/>
                    <w:tr2bl w:val="nil"/>
                  </w:tcBorders>
                  <w:vAlign w:val="center"/>
                </w:tcPr>
                <w:p>
                  <w:pPr>
                    <w:pStyle w:val="53"/>
                    <w:spacing w:before="0" w:beforeLines="0" w:after="0" w:afterLines="0"/>
                    <w:rPr>
                      <w:rFonts w:hint="eastAsia"/>
                      <w:b w:val="0"/>
                      <w:bCs/>
                      <w:color w:val="auto"/>
                      <w:sz w:val="21"/>
                      <w:szCs w:val="21"/>
                      <w:lang w:val="en-US" w:eastAsia="zh-CN"/>
                    </w:rPr>
                  </w:pPr>
                  <w:r>
                    <w:rPr>
                      <w:rFonts w:hint="eastAsia"/>
                      <w:b w:val="0"/>
                      <w:bCs/>
                      <w:color w:val="auto"/>
                      <w:sz w:val="21"/>
                      <w:szCs w:val="21"/>
                      <w:lang w:val="en-US" w:eastAsia="zh-CN"/>
                    </w:rPr>
                    <w:t>居民区，居民约50户</w:t>
                  </w:r>
                  <w:r>
                    <w:rPr>
                      <w:rFonts w:hint="eastAsia"/>
                      <w:b w:val="0"/>
                      <w:bCs/>
                      <w:color w:val="auto"/>
                      <w:sz w:val="21"/>
                      <w:szCs w:val="21"/>
                    </w:rPr>
                    <w:t>。</w:t>
                  </w:r>
                </w:p>
              </w:tc>
              <w:tc>
                <w:tcPr>
                  <w:tcW w:w="2032" w:type="dxa"/>
                  <w:vMerge w:val="continue"/>
                  <w:tcBorders>
                    <w:tl2br w:val="nil"/>
                    <w:tr2bl w:val="nil"/>
                  </w:tcBorders>
                  <w:vAlign w:val="center"/>
                </w:tcPr>
                <w:p>
                  <w:pPr>
                    <w:pStyle w:val="53"/>
                    <w:spacing w:before="0" w:beforeLines="0" w:after="0" w:afterLines="0"/>
                    <w:rPr>
                      <w:b w:val="0"/>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3"/>
                    <w:spacing w:before="0" w:beforeLines="0" w:after="0" w:afterLines="0"/>
                    <w:rPr>
                      <w:rFonts w:hint="eastAsia"/>
                      <w:b w:val="0"/>
                      <w:bCs/>
                      <w:color w:val="auto"/>
                      <w:sz w:val="21"/>
                      <w:szCs w:val="21"/>
                      <w:lang w:val="en-US" w:eastAsia="zh-CN"/>
                    </w:rPr>
                  </w:pPr>
                </w:p>
              </w:tc>
              <w:tc>
                <w:tcPr>
                  <w:tcW w:w="1969" w:type="dxa"/>
                  <w:tcBorders>
                    <w:tl2br w:val="nil"/>
                    <w:tr2bl w:val="nil"/>
                  </w:tcBorders>
                  <w:vAlign w:val="center"/>
                </w:tcPr>
                <w:p>
                  <w:pPr>
                    <w:pStyle w:val="53"/>
                    <w:spacing w:before="0" w:beforeLines="0" w:after="0" w:afterLines="0"/>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团洲乡居民点</w:t>
                  </w:r>
                </w:p>
              </w:tc>
              <w:tc>
                <w:tcPr>
                  <w:tcW w:w="1673" w:type="dxa"/>
                  <w:tcBorders>
                    <w:tl2br w:val="nil"/>
                    <w:tr2bl w:val="nil"/>
                  </w:tcBorders>
                  <w:vAlign w:val="center"/>
                </w:tcPr>
                <w:p>
                  <w:pPr>
                    <w:pStyle w:val="53"/>
                    <w:spacing w:before="0" w:beforeLines="0" w:after="0" w:afterLines="0"/>
                    <w:rPr>
                      <w:rFonts w:hint="eastAsia"/>
                      <w:b w:val="0"/>
                      <w:bCs/>
                      <w:color w:val="auto"/>
                      <w:sz w:val="21"/>
                      <w:szCs w:val="21"/>
                      <w:lang w:val="en-US" w:eastAsia="zh-CN"/>
                    </w:rPr>
                  </w:pPr>
                  <w:r>
                    <w:rPr>
                      <w:rFonts w:hint="eastAsia"/>
                      <w:b w:val="0"/>
                      <w:bCs/>
                      <w:color w:val="auto"/>
                      <w:sz w:val="21"/>
                      <w:szCs w:val="21"/>
                    </w:rPr>
                    <w:t>W</w:t>
                  </w:r>
                  <w:r>
                    <w:rPr>
                      <w:rFonts w:hint="eastAsia"/>
                      <w:b w:val="0"/>
                      <w:bCs/>
                      <w:color w:val="auto"/>
                      <w:sz w:val="21"/>
                      <w:szCs w:val="21"/>
                      <w:lang w:val="en-US" w:eastAsia="zh-CN"/>
                    </w:rPr>
                    <w:t>及SW，紧邻</w:t>
                  </w:r>
                </w:p>
              </w:tc>
              <w:tc>
                <w:tcPr>
                  <w:tcW w:w="1514" w:type="dxa"/>
                  <w:tcBorders>
                    <w:tl2br w:val="nil"/>
                    <w:tr2bl w:val="nil"/>
                  </w:tcBorders>
                  <w:vAlign w:val="center"/>
                </w:tcPr>
                <w:p>
                  <w:pPr>
                    <w:pStyle w:val="53"/>
                    <w:spacing w:before="0" w:beforeLines="0" w:after="0" w:afterLines="0"/>
                    <w:rPr>
                      <w:rFonts w:hint="eastAsia"/>
                      <w:b w:val="0"/>
                      <w:bCs/>
                      <w:color w:val="auto"/>
                      <w:sz w:val="21"/>
                      <w:szCs w:val="21"/>
                      <w:lang w:val="en-US" w:eastAsia="zh-CN"/>
                    </w:rPr>
                  </w:pPr>
                  <w:r>
                    <w:rPr>
                      <w:rFonts w:hint="eastAsia"/>
                      <w:b w:val="0"/>
                      <w:bCs/>
                      <w:color w:val="auto"/>
                      <w:sz w:val="21"/>
                      <w:szCs w:val="21"/>
                      <w:lang w:val="en-US" w:eastAsia="zh-CN"/>
                    </w:rPr>
                    <w:t>居民区，居民约50户</w:t>
                  </w:r>
                  <w:r>
                    <w:rPr>
                      <w:rFonts w:hint="eastAsia"/>
                      <w:b w:val="0"/>
                      <w:bCs/>
                      <w:color w:val="auto"/>
                      <w:sz w:val="21"/>
                      <w:szCs w:val="21"/>
                    </w:rPr>
                    <w:t>。</w:t>
                  </w:r>
                </w:p>
              </w:tc>
              <w:tc>
                <w:tcPr>
                  <w:tcW w:w="2032" w:type="dxa"/>
                  <w:vMerge w:val="continue"/>
                  <w:tcBorders>
                    <w:tl2br w:val="nil"/>
                    <w:tr2bl w:val="nil"/>
                  </w:tcBorders>
                  <w:vAlign w:val="center"/>
                </w:tcPr>
                <w:p>
                  <w:pPr>
                    <w:pStyle w:val="53"/>
                    <w:spacing w:before="0" w:beforeLines="0" w:after="0" w:afterLines="0"/>
                    <w:rPr>
                      <w:b w:val="0"/>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3"/>
                    <w:spacing w:before="0" w:beforeLines="0" w:after="0" w:afterLines="0"/>
                    <w:rPr>
                      <w:rFonts w:hint="eastAsia"/>
                      <w:b w:val="0"/>
                      <w:bCs/>
                      <w:color w:val="auto"/>
                      <w:sz w:val="21"/>
                      <w:szCs w:val="21"/>
                      <w:lang w:val="en-US" w:eastAsia="zh-CN"/>
                    </w:rPr>
                  </w:pPr>
                </w:p>
              </w:tc>
              <w:tc>
                <w:tcPr>
                  <w:tcW w:w="1969" w:type="dxa"/>
                  <w:tcBorders>
                    <w:tl2br w:val="nil"/>
                    <w:tr2bl w:val="nil"/>
                  </w:tcBorders>
                  <w:vAlign w:val="center"/>
                </w:tcPr>
                <w:p>
                  <w:pPr>
                    <w:pStyle w:val="53"/>
                    <w:spacing w:before="0" w:beforeLines="0" w:after="0" w:afterLines="0"/>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团洲乡居民点</w:t>
                  </w:r>
                </w:p>
              </w:tc>
              <w:tc>
                <w:tcPr>
                  <w:tcW w:w="1673" w:type="dxa"/>
                  <w:tcBorders>
                    <w:tl2br w:val="nil"/>
                    <w:tr2bl w:val="nil"/>
                  </w:tcBorders>
                  <w:vAlign w:val="center"/>
                </w:tcPr>
                <w:p>
                  <w:pPr>
                    <w:pStyle w:val="53"/>
                    <w:spacing w:before="0" w:beforeLines="0" w:after="0" w:afterLines="0"/>
                    <w:rPr>
                      <w:rFonts w:hint="eastAsia"/>
                      <w:b w:val="0"/>
                      <w:bCs/>
                      <w:color w:val="auto"/>
                      <w:sz w:val="21"/>
                      <w:szCs w:val="21"/>
                      <w:lang w:val="en-US" w:eastAsia="zh-CN"/>
                    </w:rPr>
                  </w:pPr>
                  <w:r>
                    <w:rPr>
                      <w:rFonts w:hint="eastAsia"/>
                      <w:b w:val="0"/>
                      <w:bCs/>
                      <w:color w:val="auto"/>
                      <w:sz w:val="21"/>
                      <w:szCs w:val="21"/>
                      <w:lang w:val="en-US" w:eastAsia="zh-CN"/>
                    </w:rPr>
                    <w:t>E及SE，紧邻</w:t>
                  </w:r>
                </w:p>
              </w:tc>
              <w:tc>
                <w:tcPr>
                  <w:tcW w:w="1514" w:type="dxa"/>
                  <w:tcBorders>
                    <w:tl2br w:val="nil"/>
                    <w:tr2bl w:val="nil"/>
                  </w:tcBorders>
                  <w:vAlign w:val="center"/>
                </w:tcPr>
                <w:p>
                  <w:pPr>
                    <w:pStyle w:val="53"/>
                    <w:spacing w:before="0" w:beforeLines="0" w:after="0" w:afterLines="0"/>
                    <w:rPr>
                      <w:rFonts w:hint="eastAsia"/>
                      <w:b w:val="0"/>
                      <w:bCs/>
                      <w:color w:val="auto"/>
                      <w:sz w:val="21"/>
                      <w:szCs w:val="21"/>
                      <w:lang w:val="en-US" w:eastAsia="zh-CN"/>
                    </w:rPr>
                  </w:pPr>
                  <w:r>
                    <w:rPr>
                      <w:rFonts w:hint="eastAsia"/>
                      <w:b w:val="0"/>
                      <w:bCs/>
                      <w:color w:val="auto"/>
                      <w:sz w:val="21"/>
                      <w:szCs w:val="21"/>
                      <w:lang w:val="en-US" w:eastAsia="zh-CN"/>
                    </w:rPr>
                    <w:t>居民区，居民约60户</w:t>
                  </w:r>
                  <w:r>
                    <w:rPr>
                      <w:rFonts w:hint="eastAsia"/>
                      <w:b w:val="0"/>
                      <w:bCs/>
                      <w:color w:val="auto"/>
                      <w:sz w:val="21"/>
                      <w:szCs w:val="21"/>
                    </w:rPr>
                    <w:t>。</w:t>
                  </w:r>
                </w:p>
              </w:tc>
              <w:tc>
                <w:tcPr>
                  <w:tcW w:w="2032" w:type="dxa"/>
                  <w:vMerge w:val="continue"/>
                  <w:tcBorders>
                    <w:tl2br w:val="nil"/>
                    <w:tr2bl w:val="nil"/>
                  </w:tcBorders>
                  <w:vAlign w:val="center"/>
                </w:tcPr>
                <w:p>
                  <w:pPr>
                    <w:pStyle w:val="53"/>
                    <w:spacing w:before="0" w:beforeLines="0" w:after="0" w:afterLines="0"/>
                    <w:rPr>
                      <w:b w:val="0"/>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tcBorders>
                    <w:tl2br w:val="nil"/>
                    <w:tr2bl w:val="nil"/>
                  </w:tcBorders>
                  <w:vAlign w:val="center"/>
                </w:tcPr>
                <w:p>
                  <w:pPr>
                    <w:pStyle w:val="53"/>
                    <w:spacing w:before="0" w:beforeLines="0" w:after="0" w:afterLines="0"/>
                    <w:rPr>
                      <w:rFonts w:hint="default"/>
                      <w:b w:val="0"/>
                      <w:bCs/>
                      <w:color w:val="auto"/>
                      <w:sz w:val="21"/>
                      <w:szCs w:val="21"/>
                      <w:lang w:val="en-US" w:eastAsia="zh-CN"/>
                    </w:rPr>
                  </w:pPr>
                  <w:r>
                    <w:rPr>
                      <w:rFonts w:hint="eastAsia"/>
                      <w:b w:val="0"/>
                      <w:bCs/>
                      <w:color w:val="auto"/>
                      <w:sz w:val="21"/>
                      <w:szCs w:val="21"/>
                      <w:lang w:val="en-US" w:eastAsia="zh-CN"/>
                    </w:rPr>
                    <w:t>生态环境</w:t>
                  </w:r>
                </w:p>
              </w:tc>
              <w:tc>
                <w:tcPr>
                  <w:tcW w:w="1969" w:type="dxa"/>
                  <w:tcBorders>
                    <w:tl2br w:val="nil"/>
                    <w:tr2bl w:val="nil"/>
                  </w:tcBorders>
                  <w:shd w:val="clear" w:color="auto" w:fill="auto"/>
                  <w:vAlign w:val="center"/>
                </w:tcPr>
                <w:p>
                  <w:pPr>
                    <w:pStyle w:val="53"/>
                    <w:spacing w:before="0" w:beforeLines="0" w:after="0" w:afterLines="0"/>
                    <w:jc w:val="center"/>
                    <w:rPr>
                      <w:rFonts w:hint="eastAsia" w:ascii="Times New Roman" w:hAnsi="Times New Roman" w:eastAsia="宋体" w:cs="Times New Roman"/>
                      <w:b w:val="0"/>
                      <w:bCs/>
                      <w:color w:val="auto"/>
                      <w:kern w:val="2"/>
                      <w:sz w:val="21"/>
                      <w:szCs w:val="21"/>
                      <w:lang w:val="en-US" w:eastAsia="zh-CN" w:bidi="ar-SA"/>
                    </w:rPr>
                  </w:pPr>
                  <w:r>
                    <w:rPr>
                      <w:rFonts w:hint="eastAsia"/>
                      <w:b w:val="0"/>
                      <w:bCs/>
                      <w:color w:val="auto"/>
                      <w:sz w:val="21"/>
                      <w:szCs w:val="21"/>
                      <w:lang w:val="en-US" w:eastAsia="zh-CN"/>
                    </w:rPr>
                    <w:t>湖南东洞庭湖国家级自然保护区实验区</w:t>
                  </w:r>
                </w:p>
              </w:tc>
              <w:tc>
                <w:tcPr>
                  <w:tcW w:w="1673" w:type="dxa"/>
                  <w:tcBorders>
                    <w:tl2br w:val="nil"/>
                    <w:tr2bl w:val="nil"/>
                  </w:tcBorders>
                  <w:shd w:val="clear" w:color="auto" w:fill="auto"/>
                  <w:vAlign w:val="center"/>
                </w:tcPr>
                <w:p>
                  <w:pPr>
                    <w:pStyle w:val="53"/>
                    <w:spacing w:before="0" w:beforeLines="0" w:after="0" w:afterLines="0"/>
                    <w:jc w:val="center"/>
                    <w:rPr>
                      <w:rFonts w:hint="eastAsia" w:ascii="Times New Roman" w:hAnsi="Times New Roman" w:eastAsia="宋体" w:cs="Times New Roman"/>
                      <w:b w:val="0"/>
                      <w:bCs/>
                      <w:color w:val="auto"/>
                      <w:kern w:val="2"/>
                      <w:sz w:val="21"/>
                      <w:szCs w:val="21"/>
                      <w:lang w:val="en-US" w:eastAsia="zh-CN" w:bidi="ar-SA"/>
                    </w:rPr>
                  </w:pPr>
                  <w:r>
                    <w:rPr>
                      <w:rFonts w:hint="eastAsia"/>
                      <w:b w:val="0"/>
                      <w:bCs/>
                      <w:color w:val="auto"/>
                      <w:sz w:val="21"/>
                      <w:szCs w:val="21"/>
                      <w:lang w:val="en-US" w:eastAsia="zh-CN"/>
                    </w:rPr>
                    <w:t>项目位于自然保护区整合优化前实验区范围内</w:t>
                  </w:r>
                </w:p>
              </w:tc>
              <w:tc>
                <w:tcPr>
                  <w:tcW w:w="1514" w:type="dxa"/>
                  <w:tcBorders>
                    <w:tl2br w:val="nil"/>
                    <w:tr2bl w:val="nil"/>
                  </w:tcBorders>
                  <w:vAlign w:val="center"/>
                </w:tcPr>
                <w:p>
                  <w:pPr>
                    <w:pStyle w:val="53"/>
                    <w:spacing w:before="0" w:beforeLines="0" w:after="0" w:afterLines="0"/>
                    <w:rPr>
                      <w:rFonts w:hint="default"/>
                      <w:b w:val="0"/>
                      <w:bCs/>
                      <w:color w:val="auto"/>
                      <w:sz w:val="21"/>
                      <w:szCs w:val="21"/>
                      <w:lang w:val="en-US" w:eastAsia="zh-CN"/>
                    </w:rPr>
                  </w:pPr>
                  <w:r>
                    <w:rPr>
                      <w:rFonts w:hint="eastAsia"/>
                      <w:b w:val="0"/>
                      <w:bCs/>
                      <w:color w:val="auto"/>
                      <w:sz w:val="21"/>
                      <w:szCs w:val="21"/>
                      <w:lang w:val="en-US" w:eastAsia="zh-CN"/>
                    </w:rPr>
                    <w:t>国家级自然保护区</w:t>
                  </w:r>
                </w:p>
              </w:tc>
              <w:tc>
                <w:tcPr>
                  <w:tcW w:w="2032" w:type="dxa"/>
                  <w:tcBorders>
                    <w:tl2br w:val="nil"/>
                    <w:tr2bl w:val="nil"/>
                  </w:tcBorders>
                  <w:vAlign w:val="center"/>
                </w:tcPr>
                <w:p>
                  <w:pPr>
                    <w:pStyle w:val="53"/>
                    <w:spacing w:before="0" w:beforeLines="0" w:after="0" w:afterLines="0"/>
                    <w:rPr>
                      <w:rFonts w:hint="default"/>
                      <w:b w:val="0"/>
                      <w:bCs/>
                      <w:color w:val="auto"/>
                      <w:sz w:val="21"/>
                      <w:szCs w:val="21"/>
                      <w:lang w:val="en-US" w:eastAsia="zh-CN"/>
                    </w:rPr>
                  </w:pPr>
                  <w:r>
                    <w:rPr>
                      <w:rFonts w:hint="default"/>
                      <w:b w:val="0"/>
                      <w:bCs/>
                      <w:color w:val="auto"/>
                      <w:sz w:val="21"/>
                      <w:szCs w:val="21"/>
                      <w:lang w:val="en-US" w:eastAsia="zh-CN"/>
                    </w:rPr>
                    <w:t>有效保护陆生生物、水生生物及其生态环境</w:t>
                  </w:r>
                  <w:r>
                    <w:rPr>
                      <w:rFonts w:hint="eastAsia"/>
                      <w:b w:val="0"/>
                      <w:bCs/>
                      <w:color w:val="auto"/>
                      <w:sz w:val="21"/>
                      <w:szCs w:val="21"/>
                      <w:lang w:val="en-US" w:eastAsia="zh-CN"/>
                    </w:rPr>
                    <w:t>不受本项目影响</w:t>
                  </w:r>
                </w:p>
              </w:tc>
            </w:tr>
          </w:tbl>
          <w:p>
            <w:pPr>
              <w:pStyle w:val="11"/>
              <w:rPr>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800" w:type="dxa"/>
            <w:tcMar>
              <w:left w:w="28" w:type="dxa"/>
              <w:right w:w="28" w:type="dxa"/>
            </w:tcMar>
            <w:vAlign w:val="center"/>
          </w:tcPr>
          <w:p>
            <w:pPr>
              <w:adjustRightInd w:val="0"/>
              <w:snapToGrid w:val="0"/>
              <w:jc w:val="center"/>
              <w:rPr>
                <w:rFonts w:cs="宋体"/>
                <w:color w:val="auto"/>
                <w:kern w:val="0"/>
                <w:sz w:val="24"/>
                <w:szCs w:val="21"/>
              </w:rPr>
            </w:pPr>
            <w:r>
              <w:rPr>
                <w:rFonts w:hint="eastAsia" w:cs="宋体"/>
                <w:color w:val="auto"/>
                <w:kern w:val="0"/>
                <w:sz w:val="24"/>
                <w:szCs w:val="21"/>
                <w:lang w:val="en-US" w:eastAsia="zh-CN"/>
              </w:rPr>
              <w:t>评价</w:t>
            </w:r>
            <w:r>
              <w:rPr>
                <w:rFonts w:hint="eastAsia" w:cs="宋体"/>
                <w:color w:val="auto"/>
                <w:kern w:val="0"/>
                <w:sz w:val="24"/>
                <w:szCs w:val="21"/>
              </w:rPr>
              <w:t>标</w:t>
            </w:r>
          </w:p>
          <w:p>
            <w:pPr>
              <w:adjustRightInd w:val="0"/>
              <w:snapToGrid w:val="0"/>
              <w:jc w:val="center"/>
              <w:rPr>
                <w:rFonts w:cs="宋体"/>
                <w:color w:val="auto"/>
                <w:kern w:val="0"/>
                <w:sz w:val="24"/>
                <w:szCs w:val="21"/>
              </w:rPr>
            </w:pPr>
            <w:r>
              <w:rPr>
                <w:rFonts w:hint="eastAsia" w:cs="宋体"/>
                <w:color w:val="auto"/>
                <w:kern w:val="0"/>
                <w:sz w:val="24"/>
                <w:szCs w:val="21"/>
              </w:rPr>
              <w:t>准</w:t>
            </w:r>
          </w:p>
        </w:tc>
        <w:tc>
          <w:tcPr>
            <w:tcW w:w="8190" w:type="dxa"/>
            <w:vAlign w:val="center"/>
          </w:tcPr>
          <w:p>
            <w:pPr>
              <w:pStyle w:val="9"/>
              <w:numPr>
                <w:ilvl w:val="0"/>
                <w:numId w:val="3"/>
              </w:numPr>
              <w:ind w:left="0" w:leftChars="0" w:firstLine="0" w:firstLineChars="0"/>
              <w:jc w:val="both"/>
              <w:rPr>
                <w:rFonts w:hint="eastAsia"/>
                <w:b/>
                <w:color w:val="auto"/>
                <w:sz w:val="24"/>
              </w:rPr>
            </w:pPr>
            <w:r>
              <w:rPr>
                <w:b/>
                <w:color w:val="auto"/>
                <w:sz w:val="24"/>
              </w:rPr>
              <w:t>废</w:t>
            </w:r>
            <w:r>
              <w:rPr>
                <w:rFonts w:hint="eastAsia"/>
                <w:b/>
                <w:color w:val="auto"/>
                <w:sz w:val="24"/>
              </w:rPr>
              <w:t>气</w:t>
            </w:r>
          </w:p>
          <w:p>
            <w:pPr>
              <w:snapToGrid w:val="0"/>
              <w:spacing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本项目油烟废气排放执行《饮食业油烟排放标准》（GB18483-2001）大型规模标准；恶臭执行《恶臭污染物排放标准值》（GB14554-93）的二级标准。具体指标见表</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rPr>
              <w:t>。</w:t>
            </w:r>
          </w:p>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eastAsia"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 xml:space="preserve">6 </w:t>
            </w:r>
            <w:r>
              <w:rPr>
                <w:rFonts w:hint="default" w:ascii="Times New Roman" w:hAnsi="Times New Roman" w:eastAsia="宋体" w:cs="Times New Roman"/>
                <w:color w:val="auto"/>
                <w:highlight w:val="none"/>
              </w:rPr>
              <w:t xml:space="preserve"> 油烟净化设施去除效率</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50"/>
              <w:gridCol w:w="1638"/>
              <w:gridCol w:w="1787"/>
              <w:gridCol w:w="1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0" w:type="dxa"/>
                  <w:tcBorders>
                    <w:tl2br w:val="nil"/>
                    <w:tr2bl w:val="nil"/>
                  </w:tcBorders>
                  <w:noWrap w:val="0"/>
                  <w:vAlign w:val="center"/>
                </w:tcPr>
                <w:p>
                  <w:pPr>
                    <w:spacing w:line="240" w:lineRule="atLeast"/>
                    <w:jc w:val="center"/>
                    <w:rPr>
                      <w:b/>
                      <w:bCs/>
                      <w:caps/>
                      <w:color w:val="auto"/>
                      <w:szCs w:val="21"/>
                    </w:rPr>
                  </w:pPr>
                  <w:r>
                    <w:rPr>
                      <w:rFonts w:hAnsi="宋体"/>
                      <w:b/>
                      <w:bCs/>
                      <w:caps/>
                      <w:color w:val="auto"/>
                      <w:szCs w:val="21"/>
                    </w:rPr>
                    <w:t>规模</w:t>
                  </w:r>
                </w:p>
              </w:tc>
              <w:tc>
                <w:tcPr>
                  <w:tcW w:w="1638" w:type="dxa"/>
                  <w:tcBorders>
                    <w:tl2br w:val="nil"/>
                    <w:tr2bl w:val="nil"/>
                  </w:tcBorders>
                  <w:noWrap w:val="0"/>
                  <w:vAlign w:val="center"/>
                </w:tcPr>
                <w:p>
                  <w:pPr>
                    <w:spacing w:line="240" w:lineRule="atLeast"/>
                    <w:jc w:val="center"/>
                    <w:rPr>
                      <w:caps/>
                      <w:color w:val="auto"/>
                      <w:szCs w:val="21"/>
                    </w:rPr>
                  </w:pPr>
                  <w:r>
                    <w:rPr>
                      <w:rFonts w:hAnsi="宋体"/>
                      <w:caps/>
                      <w:color w:val="auto"/>
                      <w:szCs w:val="21"/>
                    </w:rPr>
                    <w:t>小型</w:t>
                  </w:r>
                </w:p>
              </w:tc>
              <w:tc>
                <w:tcPr>
                  <w:tcW w:w="1787" w:type="dxa"/>
                  <w:tcBorders>
                    <w:tl2br w:val="nil"/>
                    <w:tr2bl w:val="nil"/>
                  </w:tcBorders>
                  <w:noWrap w:val="0"/>
                  <w:vAlign w:val="center"/>
                </w:tcPr>
                <w:p>
                  <w:pPr>
                    <w:spacing w:line="240" w:lineRule="atLeast"/>
                    <w:jc w:val="center"/>
                    <w:rPr>
                      <w:caps/>
                      <w:color w:val="auto"/>
                      <w:szCs w:val="21"/>
                    </w:rPr>
                  </w:pPr>
                  <w:r>
                    <w:rPr>
                      <w:rFonts w:hAnsi="宋体"/>
                      <w:caps/>
                      <w:color w:val="auto"/>
                      <w:szCs w:val="21"/>
                    </w:rPr>
                    <w:t>中型</w:t>
                  </w:r>
                </w:p>
              </w:tc>
              <w:tc>
                <w:tcPr>
                  <w:tcW w:w="1505" w:type="dxa"/>
                  <w:tcBorders>
                    <w:tl2br w:val="nil"/>
                    <w:tr2bl w:val="nil"/>
                  </w:tcBorders>
                  <w:noWrap w:val="0"/>
                  <w:vAlign w:val="center"/>
                </w:tcPr>
                <w:p>
                  <w:pPr>
                    <w:spacing w:line="240" w:lineRule="atLeast"/>
                    <w:jc w:val="center"/>
                    <w:rPr>
                      <w:caps/>
                      <w:color w:val="auto"/>
                      <w:szCs w:val="21"/>
                    </w:rPr>
                  </w:pPr>
                  <w:r>
                    <w:rPr>
                      <w:rFonts w:hAnsi="宋体"/>
                      <w:caps/>
                      <w:color w:val="auto"/>
                      <w:szCs w:val="21"/>
                    </w:rPr>
                    <w:t>大型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0" w:type="dxa"/>
                  <w:tcBorders>
                    <w:tl2br w:val="nil"/>
                    <w:tr2bl w:val="nil"/>
                  </w:tcBorders>
                  <w:noWrap w:val="0"/>
                  <w:vAlign w:val="center"/>
                </w:tcPr>
                <w:p>
                  <w:pPr>
                    <w:spacing w:line="240" w:lineRule="atLeast"/>
                    <w:jc w:val="center"/>
                    <w:rPr>
                      <w:b/>
                      <w:bCs/>
                      <w:color w:val="auto"/>
                      <w:szCs w:val="21"/>
                    </w:rPr>
                  </w:pPr>
                  <w:r>
                    <w:rPr>
                      <w:rFonts w:hAnsi="宋体"/>
                      <w:b/>
                      <w:bCs/>
                      <w:color w:val="auto"/>
                      <w:szCs w:val="21"/>
                    </w:rPr>
                    <w:t>最高允许排放浓度（</w:t>
                  </w:r>
                  <w:r>
                    <w:rPr>
                      <w:b/>
                      <w:bCs/>
                      <w:color w:val="auto"/>
                      <w:szCs w:val="21"/>
                    </w:rPr>
                    <w:t>mg/m</w:t>
                  </w:r>
                  <w:r>
                    <w:rPr>
                      <w:b/>
                      <w:bCs/>
                      <w:color w:val="auto"/>
                      <w:szCs w:val="21"/>
                      <w:vertAlign w:val="superscript"/>
                    </w:rPr>
                    <w:t>3</w:t>
                  </w:r>
                  <w:r>
                    <w:rPr>
                      <w:rFonts w:hAnsi="宋体"/>
                      <w:b/>
                      <w:bCs/>
                      <w:color w:val="auto"/>
                      <w:szCs w:val="21"/>
                    </w:rPr>
                    <w:t>）</w:t>
                  </w:r>
                </w:p>
              </w:tc>
              <w:tc>
                <w:tcPr>
                  <w:tcW w:w="4930" w:type="dxa"/>
                  <w:gridSpan w:val="3"/>
                  <w:tcBorders>
                    <w:tl2br w:val="nil"/>
                    <w:tr2bl w:val="nil"/>
                  </w:tcBorders>
                  <w:noWrap w:val="0"/>
                  <w:vAlign w:val="center"/>
                </w:tcPr>
                <w:p>
                  <w:pPr>
                    <w:spacing w:line="240" w:lineRule="atLeast"/>
                    <w:jc w:val="center"/>
                    <w:rPr>
                      <w:color w:val="auto"/>
                      <w:szCs w:val="21"/>
                    </w:rPr>
                  </w:pPr>
                  <w:r>
                    <w:rPr>
                      <w:color w:val="auto"/>
                      <w:szCs w:val="21"/>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0" w:type="dxa"/>
                  <w:tcBorders>
                    <w:tl2br w:val="nil"/>
                    <w:tr2bl w:val="nil"/>
                  </w:tcBorders>
                  <w:noWrap w:val="0"/>
                  <w:vAlign w:val="center"/>
                </w:tcPr>
                <w:p>
                  <w:pPr>
                    <w:spacing w:line="240" w:lineRule="atLeast"/>
                    <w:ind w:firstLine="200" w:firstLineChars="95"/>
                    <w:jc w:val="center"/>
                    <w:rPr>
                      <w:b/>
                      <w:bCs/>
                      <w:color w:val="auto"/>
                      <w:szCs w:val="21"/>
                    </w:rPr>
                  </w:pPr>
                  <w:r>
                    <w:rPr>
                      <w:rFonts w:hAnsi="宋体"/>
                      <w:b/>
                      <w:bCs/>
                      <w:color w:val="auto"/>
                      <w:szCs w:val="21"/>
                    </w:rPr>
                    <w:t>净化设施最低去除效率</w:t>
                  </w:r>
                </w:p>
              </w:tc>
              <w:tc>
                <w:tcPr>
                  <w:tcW w:w="1638" w:type="dxa"/>
                  <w:tcBorders>
                    <w:tl2br w:val="nil"/>
                    <w:tr2bl w:val="nil"/>
                  </w:tcBorders>
                  <w:noWrap w:val="0"/>
                  <w:vAlign w:val="center"/>
                </w:tcPr>
                <w:p>
                  <w:pPr>
                    <w:spacing w:line="240" w:lineRule="atLeast"/>
                    <w:jc w:val="center"/>
                    <w:rPr>
                      <w:color w:val="auto"/>
                      <w:szCs w:val="21"/>
                    </w:rPr>
                  </w:pPr>
                  <w:r>
                    <w:rPr>
                      <w:color w:val="auto"/>
                      <w:szCs w:val="21"/>
                    </w:rPr>
                    <w:t>60</w:t>
                  </w:r>
                </w:p>
              </w:tc>
              <w:tc>
                <w:tcPr>
                  <w:tcW w:w="1787" w:type="dxa"/>
                  <w:tcBorders>
                    <w:tl2br w:val="nil"/>
                    <w:tr2bl w:val="nil"/>
                  </w:tcBorders>
                  <w:noWrap w:val="0"/>
                  <w:vAlign w:val="center"/>
                </w:tcPr>
                <w:p>
                  <w:pPr>
                    <w:spacing w:line="240" w:lineRule="atLeast"/>
                    <w:jc w:val="center"/>
                    <w:rPr>
                      <w:color w:val="auto"/>
                      <w:szCs w:val="21"/>
                    </w:rPr>
                  </w:pPr>
                  <w:r>
                    <w:rPr>
                      <w:color w:val="auto"/>
                      <w:szCs w:val="21"/>
                    </w:rPr>
                    <w:t>75</w:t>
                  </w:r>
                </w:p>
              </w:tc>
              <w:tc>
                <w:tcPr>
                  <w:tcW w:w="1505" w:type="dxa"/>
                  <w:tcBorders>
                    <w:tl2br w:val="nil"/>
                    <w:tr2bl w:val="nil"/>
                  </w:tcBorders>
                  <w:noWrap w:val="0"/>
                  <w:vAlign w:val="center"/>
                </w:tcPr>
                <w:p>
                  <w:pPr>
                    <w:spacing w:line="240" w:lineRule="atLeast"/>
                    <w:jc w:val="center"/>
                    <w:rPr>
                      <w:color w:val="auto"/>
                      <w:szCs w:val="21"/>
                    </w:rPr>
                  </w:pPr>
                  <w:r>
                    <w:rPr>
                      <w:color w:val="auto"/>
                      <w:szCs w:val="21"/>
                    </w:rPr>
                    <w:t>85</w:t>
                  </w:r>
                </w:p>
              </w:tc>
            </w:tr>
          </w:tbl>
          <w:p>
            <w:pPr>
              <w:pStyle w:val="69"/>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表</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7</w:t>
            </w:r>
            <w:r>
              <w:rPr>
                <w:rFonts w:hint="eastAsia" w:ascii="Times New Roman" w:hAnsi="Times New Roman" w:eastAsia="宋体" w:cs="Times New Roman"/>
                <w:color w:val="auto"/>
                <w:highlight w:val="none"/>
              </w:rPr>
              <w:t xml:space="preserve">  《恶臭污染物排放标准值》（ GB14554-93）表1</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50"/>
              <w:gridCol w:w="1638"/>
              <w:gridCol w:w="329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0" w:type="dxa"/>
                  <w:tcBorders>
                    <w:tl2br w:val="nil"/>
                    <w:tr2bl w:val="nil"/>
                  </w:tcBorders>
                  <w:noWrap w:val="0"/>
                  <w:vAlign w:val="center"/>
                </w:tcPr>
                <w:p>
                  <w:pPr>
                    <w:spacing w:line="240" w:lineRule="atLeast"/>
                    <w:jc w:val="center"/>
                    <w:rPr>
                      <w:rFonts w:hint="eastAsia"/>
                      <w:b/>
                      <w:bCs/>
                      <w:caps/>
                      <w:color w:val="auto"/>
                      <w:szCs w:val="21"/>
                    </w:rPr>
                  </w:pPr>
                  <w:r>
                    <w:rPr>
                      <w:rFonts w:hint="eastAsia" w:hAnsi="宋体"/>
                      <w:b/>
                      <w:bCs/>
                      <w:caps/>
                      <w:color w:val="auto"/>
                      <w:szCs w:val="21"/>
                    </w:rPr>
                    <w:t>污染物</w:t>
                  </w:r>
                </w:p>
              </w:tc>
              <w:tc>
                <w:tcPr>
                  <w:tcW w:w="1638" w:type="dxa"/>
                  <w:tcBorders>
                    <w:tl2br w:val="nil"/>
                    <w:tr2bl w:val="nil"/>
                  </w:tcBorders>
                  <w:noWrap w:val="0"/>
                  <w:vAlign w:val="center"/>
                </w:tcPr>
                <w:p>
                  <w:pPr>
                    <w:spacing w:line="240" w:lineRule="atLeast"/>
                    <w:jc w:val="center"/>
                    <w:rPr>
                      <w:rFonts w:hint="eastAsia"/>
                      <w:b/>
                      <w:bCs/>
                      <w:caps/>
                      <w:color w:val="auto"/>
                      <w:szCs w:val="21"/>
                    </w:rPr>
                  </w:pPr>
                  <w:r>
                    <w:rPr>
                      <w:rFonts w:hint="eastAsia" w:hAnsi="宋体"/>
                      <w:b/>
                      <w:bCs/>
                      <w:caps/>
                      <w:color w:val="auto"/>
                      <w:szCs w:val="21"/>
                    </w:rPr>
                    <w:t>单位</w:t>
                  </w:r>
                </w:p>
              </w:tc>
              <w:tc>
                <w:tcPr>
                  <w:tcW w:w="3292" w:type="dxa"/>
                  <w:tcBorders>
                    <w:tl2br w:val="nil"/>
                    <w:tr2bl w:val="nil"/>
                  </w:tcBorders>
                  <w:noWrap w:val="0"/>
                  <w:vAlign w:val="center"/>
                </w:tcPr>
                <w:p>
                  <w:pPr>
                    <w:spacing w:line="240" w:lineRule="atLeast"/>
                    <w:jc w:val="center"/>
                    <w:rPr>
                      <w:b/>
                      <w:bCs/>
                      <w:caps/>
                      <w:color w:val="auto"/>
                      <w:szCs w:val="21"/>
                    </w:rPr>
                  </w:pPr>
                  <w:r>
                    <w:rPr>
                      <w:rFonts w:hint="eastAsia" w:hAnsi="宋体"/>
                      <w:b/>
                      <w:bCs/>
                      <w:caps/>
                      <w:color w:val="auto"/>
                      <w:szCs w:val="21"/>
                    </w:rPr>
                    <w:t>厂界标准值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0" w:type="dxa"/>
                  <w:tcBorders>
                    <w:tl2br w:val="nil"/>
                    <w:tr2bl w:val="nil"/>
                  </w:tcBorders>
                  <w:noWrap w:val="0"/>
                  <w:vAlign w:val="center"/>
                </w:tcPr>
                <w:p>
                  <w:pPr>
                    <w:spacing w:line="240" w:lineRule="atLeast"/>
                    <w:ind w:firstLine="199" w:firstLineChars="95"/>
                    <w:jc w:val="center"/>
                    <w:rPr>
                      <w:rFonts w:hint="eastAsia"/>
                      <w:color w:val="auto"/>
                      <w:szCs w:val="21"/>
                    </w:rPr>
                  </w:pPr>
                  <w:r>
                    <w:rPr>
                      <w:rFonts w:hint="eastAsia" w:hAnsi="宋体"/>
                      <w:color w:val="auto"/>
                      <w:szCs w:val="21"/>
                    </w:rPr>
                    <w:t>臭气深度</w:t>
                  </w:r>
                </w:p>
              </w:tc>
              <w:tc>
                <w:tcPr>
                  <w:tcW w:w="1638" w:type="dxa"/>
                  <w:tcBorders>
                    <w:tl2br w:val="nil"/>
                    <w:tr2bl w:val="nil"/>
                  </w:tcBorders>
                  <w:noWrap w:val="0"/>
                  <w:vAlign w:val="center"/>
                </w:tcPr>
                <w:p>
                  <w:pPr>
                    <w:spacing w:line="240" w:lineRule="atLeast"/>
                    <w:jc w:val="center"/>
                    <w:rPr>
                      <w:rFonts w:hint="eastAsia"/>
                      <w:color w:val="auto"/>
                      <w:szCs w:val="21"/>
                    </w:rPr>
                  </w:pPr>
                  <w:r>
                    <w:rPr>
                      <w:rFonts w:hint="eastAsia"/>
                      <w:color w:val="auto"/>
                      <w:szCs w:val="21"/>
                    </w:rPr>
                    <w:t>无量纲</w:t>
                  </w:r>
                </w:p>
              </w:tc>
              <w:tc>
                <w:tcPr>
                  <w:tcW w:w="3292" w:type="dxa"/>
                  <w:tcBorders>
                    <w:tl2br w:val="nil"/>
                    <w:tr2bl w:val="nil"/>
                  </w:tcBorders>
                  <w:noWrap w:val="0"/>
                  <w:vAlign w:val="center"/>
                </w:tcPr>
                <w:p>
                  <w:pPr>
                    <w:spacing w:line="240" w:lineRule="atLeast"/>
                    <w:jc w:val="center"/>
                    <w:rPr>
                      <w:color w:val="auto"/>
                      <w:szCs w:val="21"/>
                    </w:rPr>
                  </w:pPr>
                  <w:r>
                    <w:rPr>
                      <w:rFonts w:hint="eastAsia"/>
                      <w:color w:val="auto"/>
                      <w:szCs w:val="21"/>
                    </w:rPr>
                    <w:t>20</w:t>
                  </w:r>
                </w:p>
              </w:tc>
            </w:tr>
          </w:tbl>
          <w:p>
            <w:pPr>
              <w:pStyle w:val="9"/>
              <w:keepNext w:val="0"/>
              <w:keepLines w:val="0"/>
              <w:pageBreakBefore w:val="0"/>
              <w:widowControl w:val="0"/>
              <w:kinsoku/>
              <w:wordWrap/>
              <w:overflowPunct/>
              <w:topLinePunct w:val="0"/>
              <w:autoSpaceDE/>
              <w:autoSpaceDN/>
              <w:bidi w:val="0"/>
              <w:adjustRightInd w:val="0"/>
              <w:snapToGrid w:val="0"/>
              <w:spacing w:before="157" w:beforeLines="50"/>
              <w:ind w:left="0" w:leftChars="0" w:firstLine="0" w:firstLineChars="0"/>
              <w:jc w:val="both"/>
              <w:textAlignment w:val="auto"/>
              <w:rPr>
                <w:b/>
                <w:color w:val="auto"/>
                <w:sz w:val="24"/>
              </w:rPr>
            </w:pPr>
            <w:r>
              <w:rPr>
                <w:b/>
                <w:color w:val="auto"/>
                <w:sz w:val="24"/>
              </w:rPr>
              <w:t>2、废</w:t>
            </w:r>
            <w:r>
              <w:rPr>
                <w:rFonts w:hint="eastAsia"/>
                <w:b/>
                <w:color w:val="auto"/>
                <w:sz w:val="24"/>
              </w:rPr>
              <w:t>水</w:t>
            </w:r>
          </w:p>
          <w:p>
            <w:pPr>
              <w:spacing w:line="360" w:lineRule="auto"/>
              <w:ind w:firstLine="480" w:firstLineChars="200"/>
              <w:rPr>
                <w:rFonts w:hint="eastAsia" w:eastAsia="宋体"/>
                <w:color w:val="auto"/>
                <w:sz w:val="24"/>
              </w:rPr>
            </w:pPr>
            <w:r>
              <w:rPr>
                <w:rFonts w:hint="eastAsia" w:eastAsia="宋体"/>
                <w:color w:val="auto"/>
                <w:sz w:val="24"/>
              </w:rPr>
              <w:t>项目</w:t>
            </w:r>
            <w:r>
              <w:rPr>
                <w:rFonts w:hint="eastAsia"/>
                <w:color w:val="auto"/>
                <w:sz w:val="24"/>
              </w:rPr>
              <w:t>无生产废水；</w:t>
            </w:r>
            <w:r>
              <w:rPr>
                <w:rFonts w:hint="eastAsia"/>
                <w:color w:val="auto"/>
                <w:sz w:val="24"/>
                <w:lang w:val="en-US" w:eastAsia="zh-CN"/>
              </w:rPr>
              <w:t>其</w:t>
            </w:r>
            <w:r>
              <w:rPr>
                <w:rFonts w:hint="eastAsia" w:ascii="Times New Roman" w:hAnsi="Times New Roman" w:eastAsia="宋体" w:cs="Times New Roman"/>
                <w:color w:val="auto"/>
                <w:sz w:val="24"/>
                <w:lang w:val="en-US" w:eastAsia="zh-CN"/>
              </w:rPr>
              <w:t>中华容县团洲垸灾后重建安置房建设项目的一期部分，</w:t>
            </w:r>
            <w:r>
              <w:rPr>
                <w:rFonts w:hint="eastAsia" w:ascii="Times New Roman" w:hAnsi="Times New Roman" w:eastAsia="宋体" w:cs="Times New Roman"/>
                <w:color w:val="auto"/>
                <w:sz w:val="24"/>
              </w:rPr>
              <w:t>生活污水经化粪池处理后达</w:t>
            </w:r>
            <w:r>
              <w:rPr>
                <w:rFonts w:hint="eastAsia" w:ascii="Times New Roman" w:hAnsi="Times New Roman" w:eastAsia="宋体" w:cs="Times New Roman"/>
                <w:color w:val="auto"/>
                <w:sz w:val="24"/>
                <w:lang w:val="en-US" w:eastAsia="zh-CN"/>
              </w:rPr>
              <w:t>到华容县团洲乡污水处理厂进水水质标准后</w:t>
            </w:r>
            <w:r>
              <w:rPr>
                <w:rFonts w:hint="eastAsia" w:ascii="Times New Roman" w:hAnsi="Times New Roman" w:eastAsia="宋体" w:cs="Times New Roman"/>
                <w:color w:val="auto"/>
                <w:sz w:val="24"/>
              </w:rPr>
              <w:t>经</w:t>
            </w:r>
            <w:r>
              <w:rPr>
                <w:rFonts w:hint="eastAsia" w:ascii="Times New Roman" w:hAnsi="Times New Roman" w:eastAsia="宋体" w:cs="Times New Roman"/>
                <w:color w:val="auto"/>
                <w:sz w:val="24"/>
                <w:lang w:val="en-US" w:eastAsia="zh-CN"/>
              </w:rPr>
              <w:t>市政</w:t>
            </w:r>
            <w:r>
              <w:rPr>
                <w:rFonts w:hint="eastAsia" w:ascii="Times New Roman" w:hAnsi="Times New Roman" w:eastAsia="宋体" w:cs="Times New Roman"/>
                <w:color w:val="auto"/>
                <w:sz w:val="24"/>
              </w:rPr>
              <w:t>污水管网收集后</w:t>
            </w:r>
            <w:r>
              <w:rPr>
                <w:rFonts w:hint="eastAsia" w:ascii="Times New Roman" w:hAnsi="Times New Roman" w:eastAsia="宋体" w:cs="Times New Roman"/>
                <w:color w:val="auto"/>
                <w:sz w:val="24"/>
                <w:lang w:val="en-US" w:eastAsia="zh-CN"/>
              </w:rPr>
              <w:t>排入华容县团洲乡污水处理厂</w:t>
            </w:r>
            <w:r>
              <w:rPr>
                <w:rFonts w:hint="eastAsia" w:ascii="Times New Roman" w:hAnsi="Times New Roman" w:eastAsia="宋体" w:cs="Times New Roman"/>
                <w:color w:val="auto"/>
                <w:sz w:val="24"/>
              </w:rPr>
              <w:t>进行深度处理</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经处理</w:t>
            </w:r>
            <w:r>
              <w:rPr>
                <w:rFonts w:hint="eastAsia" w:ascii="Times New Roman" w:hAnsi="Times New Roman" w:eastAsia="宋体" w:cs="Times New Roman"/>
                <w:color w:val="auto"/>
                <w:sz w:val="24"/>
              </w:rPr>
              <w:t>排水水质达《城镇</w:t>
            </w:r>
            <w:r>
              <w:rPr>
                <w:rFonts w:hint="eastAsia"/>
                <w:color w:val="auto"/>
                <w:sz w:val="24"/>
              </w:rPr>
              <w:t>污水处理厂污染物排放标准》（GB</w:t>
            </w:r>
            <w:r>
              <w:rPr>
                <w:rFonts w:hint="eastAsia"/>
                <w:color w:val="auto"/>
                <w:sz w:val="24"/>
                <w:lang w:val="en-US" w:eastAsia="zh-CN"/>
              </w:rPr>
              <w:t xml:space="preserve"> </w:t>
            </w:r>
            <w:r>
              <w:rPr>
                <w:rFonts w:hint="eastAsia"/>
                <w:color w:val="auto"/>
                <w:sz w:val="24"/>
              </w:rPr>
              <w:t>18918</w:t>
            </w:r>
            <w:r>
              <w:rPr>
                <w:rFonts w:hint="eastAsia"/>
                <w:color w:val="auto"/>
                <w:sz w:val="24"/>
                <w:lang w:val="en-US" w:eastAsia="zh-CN"/>
              </w:rPr>
              <w:t xml:space="preserve"> </w:t>
            </w:r>
            <w:r>
              <w:rPr>
                <w:rFonts w:hint="eastAsia"/>
                <w:color w:val="auto"/>
                <w:sz w:val="24"/>
              </w:rPr>
              <w:t>-2002）</w:t>
            </w:r>
            <w:r>
              <w:rPr>
                <w:rFonts w:hint="eastAsia" w:eastAsia="宋体"/>
                <w:color w:val="auto"/>
                <w:sz w:val="24"/>
              </w:rPr>
              <w:t>一级A标准后，</w:t>
            </w:r>
            <w:r>
              <w:rPr>
                <w:rFonts w:hint="eastAsia"/>
                <w:color w:val="auto"/>
                <w:sz w:val="24"/>
                <w:lang w:val="en-US" w:eastAsia="zh-CN"/>
              </w:rPr>
              <w:t>排入藕池河</w:t>
            </w:r>
            <w:r>
              <w:rPr>
                <w:rFonts w:hint="eastAsia" w:eastAsia="宋体"/>
                <w:color w:val="auto"/>
                <w:sz w:val="24"/>
              </w:rPr>
              <w:t>。</w:t>
            </w:r>
          </w:p>
          <w:p>
            <w:pPr>
              <w:spacing w:line="360" w:lineRule="auto"/>
              <w:ind w:firstLine="480" w:firstLineChars="200"/>
              <w:rPr>
                <w:rFonts w:hint="eastAsia"/>
                <w:color w:val="auto"/>
                <w:sz w:val="24"/>
                <w:lang w:val="en-US" w:eastAsia="zh-CN"/>
              </w:rPr>
            </w:pPr>
            <w:r>
              <w:rPr>
                <w:rFonts w:hint="eastAsia" w:ascii="Times New Roman" w:hAnsi="Times New Roman" w:eastAsia="宋体" w:cs="Times New Roman"/>
                <w:color w:val="auto"/>
                <w:sz w:val="24"/>
                <w:lang w:val="en-US" w:eastAsia="zh-CN"/>
              </w:rPr>
              <w:t>华容县团洲垸灾后重建安置房建设项目的二期及三期部分，</w:t>
            </w:r>
            <w:r>
              <w:rPr>
                <w:rFonts w:hint="eastAsia"/>
                <w:color w:val="auto"/>
                <w:sz w:val="24"/>
              </w:rPr>
              <w:t>生活污水经化粪池处理后达</w:t>
            </w:r>
            <w:r>
              <w:rPr>
                <w:rFonts w:hint="eastAsia"/>
                <w:color w:val="auto"/>
                <w:sz w:val="24"/>
                <w:lang w:val="en-US" w:eastAsia="zh-CN"/>
              </w:rPr>
              <w:t>到</w:t>
            </w:r>
            <w:r>
              <w:rPr>
                <w:color w:val="auto"/>
                <w:sz w:val="24"/>
                <w:lang w:val="en-US" w:eastAsia="zh-CN"/>
              </w:rPr>
              <w:t>华容县团洲乡团洲新村污水处理厂</w:t>
            </w:r>
            <w:r>
              <w:rPr>
                <w:rFonts w:hint="eastAsia"/>
                <w:color w:val="auto"/>
                <w:sz w:val="24"/>
                <w:lang w:val="en-US" w:eastAsia="zh-CN"/>
              </w:rPr>
              <w:t>进水水质标准后</w:t>
            </w:r>
            <w:r>
              <w:rPr>
                <w:rFonts w:hint="eastAsia"/>
                <w:color w:val="auto"/>
                <w:sz w:val="24"/>
              </w:rPr>
              <w:t>经</w:t>
            </w:r>
            <w:r>
              <w:rPr>
                <w:rFonts w:hint="eastAsia"/>
                <w:color w:val="auto"/>
                <w:sz w:val="24"/>
                <w:lang w:val="en-US" w:eastAsia="zh-CN"/>
              </w:rPr>
              <w:t>市政</w:t>
            </w:r>
            <w:r>
              <w:rPr>
                <w:rFonts w:hint="eastAsia"/>
                <w:color w:val="auto"/>
                <w:sz w:val="24"/>
              </w:rPr>
              <w:t>污水管网收集后</w:t>
            </w:r>
            <w:r>
              <w:rPr>
                <w:rFonts w:hint="eastAsia"/>
                <w:color w:val="auto"/>
                <w:sz w:val="24"/>
                <w:lang w:val="en-US" w:eastAsia="zh-CN"/>
              </w:rPr>
              <w:t>排入</w:t>
            </w:r>
            <w:r>
              <w:rPr>
                <w:color w:val="auto"/>
                <w:sz w:val="24"/>
                <w:lang w:val="en-US" w:eastAsia="zh-CN"/>
              </w:rPr>
              <w:t>华容县团洲乡团洲新村污水处理厂</w:t>
            </w:r>
            <w:r>
              <w:rPr>
                <w:rFonts w:hint="eastAsia"/>
                <w:color w:val="auto"/>
                <w:sz w:val="24"/>
              </w:rPr>
              <w:t>进行深度处理</w:t>
            </w:r>
            <w:r>
              <w:rPr>
                <w:rFonts w:hint="eastAsia"/>
                <w:color w:val="auto"/>
                <w:sz w:val="24"/>
                <w:lang w:eastAsia="zh-CN"/>
              </w:rPr>
              <w:t>，</w:t>
            </w:r>
            <w:r>
              <w:rPr>
                <w:rFonts w:hint="eastAsia"/>
                <w:color w:val="auto"/>
                <w:sz w:val="24"/>
                <w:lang w:val="en-US" w:eastAsia="zh-CN"/>
              </w:rPr>
              <w:t>经处理</w:t>
            </w:r>
            <w:r>
              <w:rPr>
                <w:rFonts w:hint="eastAsia"/>
                <w:color w:val="auto"/>
                <w:sz w:val="24"/>
              </w:rPr>
              <w:t>排水水质达《城镇污水处理厂污染物排放标准》（GB</w:t>
            </w:r>
            <w:r>
              <w:rPr>
                <w:rFonts w:hint="eastAsia"/>
                <w:color w:val="auto"/>
                <w:sz w:val="24"/>
                <w:lang w:val="en-US" w:eastAsia="zh-CN"/>
              </w:rPr>
              <w:t xml:space="preserve"> </w:t>
            </w:r>
            <w:r>
              <w:rPr>
                <w:rFonts w:hint="eastAsia"/>
                <w:color w:val="auto"/>
                <w:sz w:val="24"/>
              </w:rPr>
              <w:t>18918-2002）</w:t>
            </w:r>
            <w:r>
              <w:rPr>
                <w:rFonts w:hint="eastAsia" w:eastAsia="宋体"/>
                <w:color w:val="auto"/>
                <w:sz w:val="24"/>
              </w:rPr>
              <w:t>一级A标准后，</w:t>
            </w:r>
            <w:r>
              <w:rPr>
                <w:rFonts w:hint="eastAsia"/>
                <w:color w:val="auto"/>
                <w:sz w:val="24"/>
                <w:lang w:val="en-US" w:eastAsia="zh-CN"/>
              </w:rPr>
              <w:t>回用于县区洒水降尘及绿化</w:t>
            </w:r>
            <w:r>
              <w:rPr>
                <w:rFonts w:hint="eastAsia" w:eastAsia="宋体"/>
                <w:color w:val="auto"/>
                <w:sz w:val="24"/>
              </w:rPr>
              <w:t>，</w:t>
            </w:r>
            <w:r>
              <w:rPr>
                <w:rFonts w:hint="eastAsia"/>
                <w:color w:val="auto"/>
                <w:sz w:val="24"/>
                <w:lang w:val="en-US" w:eastAsia="zh-CN"/>
              </w:rPr>
              <w:t>若有多余可回用于周边农田。</w:t>
            </w:r>
          </w:p>
          <w:p>
            <w:pPr>
              <w:spacing w:line="360" w:lineRule="auto"/>
              <w:ind w:firstLine="480" w:firstLineChars="200"/>
              <w:rPr>
                <w:rFonts w:hint="eastAsia" w:eastAsia="宋体"/>
                <w:color w:val="auto"/>
                <w:sz w:val="24"/>
              </w:rPr>
            </w:pPr>
            <w:r>
              <w:rPr>
                <w:rFonts w:hint="eastAsia" w:eastAsia="宋体"/>
                <w:color w:val="auto"/>
                <w:sz w:val="24"/>
                <w:lang w:val="en-US" w:eastAsia="zh-CN"/>
              </w:rPr>
              <w:t>具体指标</w:t>
            </w:r>
            <w:r>
              <w:rPr>
                <w:rFonts w:hint="eastAsia" w:eastAsia="宋体"/>
                <w:color w:val="auto"/>
                <w:sz w:val="24"/>
              </w:rPr>
              <w:t>详见表3-</w:t>
            </w:r>
            <w:r>
              <w:rPr>
                <w:rFonts w:hint="eastAsia"/>
                <w:color w:val="auto"/>
                <w:sz w:val="24"/>
                <w:lang w:val="en-US" w:eastAsia="zh-CN"/>
              </w:rPr>
              <w:t>8、</w:t>
            </w:r>
            <w:r>
              <w:rPr>
                <w:rFonts w:hint="eastAsia" w:eastAsia="宋体"/>
                <w:color w:val="auto"/>
                <w:sz w:val="24"/>
                <w:lang w:val="en-US" w:eastAsia="zh-CN"/>
              </w:rPr>
              <w:t>表3-</w:t>
            </w:r>
            <w:r>
              <w:rPr>
                <w:rFonts w:hint="eastAsia"/>
                <w:color w:val="auto"/>
                <w:sz w:val="24"/>
                <w:lang w:val="en-US" w:eastAsia="zh-CN"/>
              </w:rPr>
              <w:t>9及表3-10</w:t>
            </w:r>
            <w:r>
              <w:rPr>
                <w:rFonts w:hint="eastAsia" w:eastAsia="宋体"/>
                <w:color w:val="auto"/>
                <w:sz w:val="24"/>
              </w:rPr>
              <w:t>。</w:t>
            </w:r>
          </w:p>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b/>
                <w:color w:val="auto"/>
                <w:szCs w:val="21"/>
                <w:u w:val="none"/>
              </w:rPr>
            </w:pPr>
            <w:r>
              <w:rPr>
                <w:rFonts w:hint="default" w:ascii="Times New Roman" w:hAnsi="Times New Roman" w:eastAsia="宋体" w:cs="Times New Roman"/>
                <w:color w:val="auto"/>
                <w:highlight w:val="none"/>
              </w:rPr>
              <w:t>表</w:t>
            </w:r>
            <w:r>
              <w:rPr>
                <w:rFonts w:hint="eastAsia" w:ascii="Times New Roman" w:hAnsi="Times New Roman" w:eastAsia="宋体" w:cs="Times New Roman"/>
                <w:color w:val="auto"/>
                <w:highlight w:val="none"/>
                <w:lang w:val="en-US" w:eastAsia="zh-CN"/>
              </w:rPr>
              <w:t xml:space="preserve">3-8 </w:t>
            </w:r>
            <w:r>
              <w:rPr>
                <w:rFonts w:hint="default" w:ascii="Times New Roman" w:hAnsi="Times New Roman" w:eastAsia="宋体" w:cs="Times New Roman"/>
                <w:color w:val="auto"/>
                <w:highlight w:val="none"/>
              </w:rPr>
              <w:tab/>
            </w:r>
            <w:r>
              <w:rPr>
                <w:rFonts w:hint="default" w:ascii="Times New Roman" w:hAnsi="Times New Roman" w:eastAsia="宋体" w:cs="Times New Roman"/>
                <w:color w:val="auto"/>
                <w:highlight w:val="none"/>
              </w:rPr>
              <w:t>本项目</w:t>
            </w:r>
            <w:r>
              <w:rPr>
                <w:rFonts w:hint="eastAsia" w:ascii="Times New Roman" w:hAnsi="Times New Roman" w:eastAsia="宋体" w:cs="Times New Roman"/>
                <w:color w:val="auto"/>
                <w:highlight w:val="none"/>
                <w:lang w:val="en-US" w:eastAsia="zh-CN"/>
              </w:rPr>
              <w:t>安置区一期</w:t>
            </w:r>
            <w:r>
              <w:rPr>
                <w:rFonts w:hint="default" w:ascii="Times New Roman" w:hAnsi="Times New Roman" w:eastAsia="宋体" w:cs="Times New Roman"/>
                <w:color w:val="auto"/>
                <w:highlight w:val="none"/>
              </w:rPr>
              <w:t>污水排放标准</w:t>
            </w:r>
            <w:r>
              <w:rPr>
                <w:rFonts w:hint="default" w:ascii="Times New Roman" w:hAnsi="Times New Roman" w:eastAsia="宋体" w:cs="Times New Roman"/>
                <w:color w:val="auto"/>
                <w:highlight w:val="none"/>
              </w:rPr>
              <w:tab/>
            </w:r>
            <w:r>
              <w:rPr>
                <w:rFonts w:hint="default" w:ascii="Times New Roman" w:hAnsi="Times New Roman" w:eastAsia="宋体" w:cs="Times New Roman"/>
                <w:color w:val="auto"/>
                <w:highlight w:val="none"/>
              </w:rPr>
              <w:t>标准单位：mg/L</w:t>
            </w:r>
          </w:p>
          <w:tbl>
            <w:tblPr>
              <w:tblStyle w:val="23"/>
              <w:tblW w:w="7937" w:type="dxa"/>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299"/>
              <w:gridCol w:w="743"/>
              <w:gridCol w:w="730"/>
              <w:gridCol w:w="1168"/>
              <w:gridCol w:w="998"/>
              <w:gridCol w:w="999"/>
              <w:gridCol w:w="100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634" w:type="dxa"/>
                  <w:tcBorders>
                    <w:tl2br w:val="nil"/>
                    <w:tr2bl w:val="nil"/>
                  </w:tcBorders>
                  <w:shd w:val="clear" w:color="auto" w:fill="F1F1F1"/>
                  <w:noWrap w:val="0"/>
                  <w:vAlign w:val="center"/>
                </w:tcPr>
                <w:p>
                  <w:pPr>
                    <w:pStyle w:val="52"/>
                    <w:spacing w:before="52"/>
                    <w:ind w:left="457" w:right="456"/>
                    <w:jc w:val="center"/>
                    <w:rPr>
                      <w:rFonts w:hint="default" w:ascii="Times New Roman" w:hAnsi="Times New Roman" w:cs="Times New Roman"/>
                      <w:b/>
                      <w:bCs/>
                      <w:color w:val="auto"/>
                      <w:sz w:val="21"/>
                      <w:u w:val="none"/>
                    </w:rPr>
                  </w:pPr>
                  <w:r>
                    <w:rPr>
                      <w:rFonts w:hint="default" w:ascii="Times New Roman" w:hAnsi="Times New Roman" w:cs="Times New Roman"/>
                      <w:b/>
                      <w:bCs/>
                      <w:color w:val="auto"/>
                      <w:sz w:val="21"/>
                      <w:u w:val="none"/>
                    </w:rPr>
                    <w:t>污染物</w:t>
                  </w:r>
                </w:p>
              </w:tc>
              <w:tc>
                <w:tcPr>
                  <w:tcW w:w="850" w:type="dxa"/>
                  <w:tcBorders>
                    <w:tl2br w:val="nil"/>
                    <w:tr2bl w:val="nil"/>
                  </w:tcBorders>
                  <w:shd w:val="clear" w:color="auto" w:fill="F1F1F1"/>
                  <w:noWrap w:val="0"/>
                  <w:vAlign w:val="center"/>
                </w:tcPr>
                <w:p>
                  <w:pPr>
                    <w:pStyle w:val="65"/>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pH</w:t>
                  </w:r>
                </w:p>
              </w:tc>
              <w:tc>
                <w:tcPr>
                  <w:tcW w:w="835" w:type="dxa"/>
                  <w:tcBorders>
                    <w:tl2br w:val="nil"/>
                    <w:tr2bl w:val="nil"/>
                  </w:tcBorders>
                  <w:shd w:val="clear" w:color="auto" w:fill="F1F1F1"/>
                  <w:noWrap w:val="0"/>
                  <w:vAlign w:val="center"/>
                </w:tcPr>
                <w:p>
                  <w:pPr>
                    <w:pStyle w:val="65"/>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SS</w:t>
                  </w:r>
                </w:p>
              </w:tc>
              <w:tc>
                <w:tcPr>
                  <w:tcW w:w="1338" w:type="dxa"/>
                  <w:tcBorders>
                    <w:tl2br w:val="nil"/>
                    <w:tr2bl w:val="nil"/>
                  </w:tcBorders>
                  <w:shd w:val="clear" w:color="auto" w:fill="F1F1F1"/>
                  <w:noWrap w:val="0"/>
                  <w:vAlign w:val="center"/>
                </w:tcPr>
                <w:p>
                  <w:pPr>
                    <w:pStyle w:val="65"/>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COD</w:t>
                  </w:r>
                  <w:r>
                    <w:rPr>
                      <w:rFonts w:hint="default" w:ascii="Times New Roman" w:hAnsi="Times New Roman" w:cs="Times New Roman"/>
                      <w:b/>
                      <w:bCs/>
                      <w:color w:val="auto"/>
                      <w:sz w:val="21"/>
                      <w:szCs w:val="21"/>
                      <w:u w:val="none"/>
                      <w:vertAlign w:val="subscript"/>
                    </w:rPr>
                    <w:t>Mn</w:t>
                  </w:r>
                </w:p>
              </w:tc>
              <w:tc>
                <w:tcPr>
                  <w:tcW w:w="1143" w:type="dxa"/>
                  <w:tcBorders>
                    <w:tl2br w:val="nil"/>
                    <w:tr2bl w:val="nil"/>
                  </w:tcBorders>
                  <w:shd w:val="clear" w:color="auto" w:fill="F1F1F1"/>
                  <w:noWrap w:val="0"/>
                  <w:vAlign w:val="center"/>
                </w:tcPr>
                <w:p>
                  <w:pPr>
                    <w:pStyle w:val="65"/>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BOD</w:t>
                  </w:r>
                  <w:r>
                    <w:rPr>
                      <w:rFonts w:hint="default" w:ascii="Times New Roman" w:hAnsi="Times New Roman" w:cs="Times New Roman"/>
                      <w:b/>
                      <w:bCs/>
                      <w:color w:val="auto"/>
                      <w:sz w:val="21"/>
                      <w:szCs w:val="21"/>
                      <w:u w:val="none"/>
                      <w:vertAlign w:val="subscript"/>
                    </w:rPr>
                    <w:t>5</w:t>
                  </w:r>
                </w:p>
              </w:tc>
              <w:tc>
                <w:tcPr>
                  <w:tcW w:w="1144" w:type="dxa"/>
                  <w:tcBorders>
                    <w:tl2br w:val="nil"/>
                    <w:tr2bl w:val="nil"/>
                  </w:tcBorders>
                  <w:shd w:val="clear" w:color="auto" w:fill="F1F1F1"/>
                  <w:noWrap w:val="0"/>
                  <w:vAlign w:val="center"/>
                </w:tcPr>
                <w:p>
                  <w:pPr>
                    <w:pStyle w:val="65"/>
                    <w:spacing w:line="240" w:lineRule="auto"/>
                    <w:jc w:val="center"/>
                    <w:rPr>
                      <w:rFonts w:hint="default" w:ascii="Times New Roman" w:hAnsi="Times New Roman" w:eastAsia="宋体" w:cs="Times New Roman"/>
                      <w:b/>
                      <w:bCs/>
                      <w:color w:val="auto"/>
                      <w:sz w:val="21"/>
                      <w:szCs w:val="21"/>
                      <w:u w:val="none"/>
                      <w:lang w:val="en-US" w:eastAsia="zh-CN"/>
                    </w:rPr>
                  </w:pPr>
                  <w:r>
                    <w:rPr>
                      <w:rFonts w:hint="eastAsia" w:ascii="Times New Roman" w:hAnsi="Times New Roman" w:cs="Times New Roman"/>
                      <w:b/>
                      <w:bCs/>
                      <w:color w:val="auto"/>
                      <w:sz w:val="21"/>
                      <w:szCs w:val="21"/>
                      <w:u w:val="none"/>
                      <w:lang w:val="en-US" w:eastAsia="zh-CN"/>
                    </w:rPr>
                    <w:t>NH</w:t>
                  </w:r>
                  <w:r>
                    <w:rPr>
                      <w:rFonts w:hint="eastAsia" w:ascii="Times New Roman" w:hAnsi="Times New Roman" w:cs="Times New Roman"/>
                      <w:b/>
                      <w:bCs/>
                      <w:color w:val="auto"/>
                      <w:sz w:val="21"/>
                      <w:szCs w:val="21"/>
                      <w:u w:val="none"/>
                      <w:vertAlign w:val="subscript"/>
                      <w:lang w:val="en-US" w:eastAsia="zh-CN"/>
                    </w:rPr>
                    <w:t>3</w:t>
                  </w:r>
                  <w:r>
                    <w:rPr>
                      <w:rFonts w:hint="eastAsia" w:ascii="Times New Roman" w:hAnsi="Times New Roman" w:cs="Times New Roman"/>
                      <w:b/>
                      <w:bCs/>
                      <w:color w:val="auto"/>
                      <w:sz w:val="21"/>
                      <w:szCs w:val="21"/>
                      <w:u w:val="none"/>
                      <w:lang w:val="en-US" w:eastAsia="zh-CN"/>
                    </w:rPr>
                    <w:t>-N</w:t>
                  </w:r>
                </w:p>
              </w:tc>
              <w:tc>
                <w:tcPr>
                  <w:tcW w:w="1144" w:type="dxa"/>
                  <w:tcBorders>
                    <w:tl2br w:val="nil"/>
                    <w:tr2bl w:val="nil"/>
                  </w:tcBorders>
                  <w:shd w:val="clear" w:color="auto" w:fill="F1F1F1"/>
                  <w:noWrap w:val="0"/>
                  <w:vAlign w:val="center"/>
                </w:tcPr>
                <w:p>
                  <w:pPr>
                    <w:pStyle w:val="65"/>
                    <w:spacing w:line="240" w:lineRule="auto"/>
                    <w:jc w:val="center"/>
                    <w:rPr>
                      <w:rFonts w:hint="default" w:ascii="Times New Roman" w:hAnsi="Times New Roman" w:cs="Times New Roman"/>
                      <w:b/>
                      <w:bCs/>
                      <w:color w:val="auto"/>
                      <w:sz w:val="21"/>
                      <w:szCs w:val="21"/>
                      <w:u w:val="none"/>
                      <w:lang w:val="en-US" w:eastAsia="zh-CN"/>
                    </w:rPr>
                  </w:pPr>
                  <w:r>
                    <w:rPr>
                      <w:rFonts w:hint="eastAsia" w:cs="Times New Roman"/>
                      <w:b/>
                      <w:bCs/>
                      <w:color w:val="auto"/>
                      <w:sz w:val="21"/>
                      <w:szCs w:val="21"/>
                      <w:u w:val="none"/>
                      <w:lang w:val="en-US" w:eastAsia="zh-CN"/>
                    </w:rPr>
                    <w:t>TP</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800" w:type="dxa"/>
                  <w:gridSpan w:val="5"/>
                  <w:tcBorders>
                    <w:tl2br w:val="nil"/>
                    <w:tr2bl w:val="nil"/>
                  </w:tcBorders>
                  <w:noWrap w:val="0"/>
                  <w:vAlign w:val="center"/>
                </w:tcPr>
                <w:p>
                  <w:pPr>
                    <w:pStyle w:val="65"/>
                    <w:spacing w:line="240" w:lineRule="auto"/>
                    <w:jc w:val="both"/>
                    <w:rPr>
                      <w:rFonts w:hint="default" w:ascii="Times New Roman" w:hAnsi="Times New Roman" w:cs="Times New Roman"/>
                      <w:color w:val="auto"/>
                      <w:sz w:val="21"/>
                      <w:szCs w:val="21"/>
                      <w:u w:val="none"/>
                    </w:rPr>
                  </w:pPr>
                  <w:r>
                    <w:rPr>
                      <w:rFonts w:hint="eastAsia" w:ascii="Times New Roman" w:hAnsi="Times New Roman" w:eastAsia="宋体" w:cs="Times New Roman"/>
                      <w:color w:val="auto"/>
                      <w:kern w:val="2"/>
                      <w:sz w:val="21"/>
                      <w:szCs w:val="21"/>
                      <w:lang w:val="en-US" w:eastAsia="zh-CN" w:bidi="ar-SA"/>
                    </w:rPr>
                    <w:t>依据：</w:t>
                  </w:r>
                  <w:r>
                    <w:rPr>
                      <w:rFonts w:hint="eastAsia" w:cs="Times New Roman"/>
                      <w:color w:val="auto"/>
                      <w:kern w:val="2"/>
                      <w:sz w:val="21"/>
                      <w:szCs w:val="21"/>
                      <w:lang w:val="en-US" w:eastAsia="zh-CN" w:bidi="ar-SA"/>
                    </w:rPr>
                    <w:t>华容县团洲乡团洲新村污水处理厂进水水质标准</w:t>
                  </w:r>
                </w:p>
              </w:tc>
              <w:tc>
                <w:tcPr>
                  <w:tcW w:w="1144" w:type="dxa"/>
                  <w:tcBorders>
                    <w:tl2br w:val="nil"/>
                    <w:tr2bl w:val="nil"/>
                  </w:tcBorders>
                  <w:noWrap w:val="0"/>
                  <w:vAlign w:val="center"/>
                </w:tcPr>
                <w:p>
                  <w:pPr>
                    <w:pStyle w:val="65"/>
                    <w:spacing w:line="240" w:lineRule="auto"/>
                    <w:jc w:val="center"/>
                    <w:rPr>
                      <w:rFonts w:hint="default" w:ascii="Times New Roman" w:hAnsi="Times New Roman" w:eastAsia="Times New Roman" w:cs="Times New Roman"/>
                      <w:color w:val="auto"/>
                      <w:sz w:val="21"/>
                      <w:u w:val="none"/>
                    </w:rPr>
                  </w:pPr>
                </w:p>
              </w:tc>
              <w:tc>
                <w:tcPr>
                  <w:tcW w:w="1144" w:type="dxa"/>
                  <w:tcBorders>
                    <w:tl2br w:val="nil"/>
                    <w:tr2bl w:val="nil"/>
                  </w:tcBorders>
                  <w:noWrap w:val="0"/>
                  <w:vAlign w:val="center"/>
                </w:tcPr>
                <w:p>
                  <w:pPr>
                    <w:pStyle w:val="65"/>
                    <w:spacing w:line="240" w:lineRule="auto"/>
                    <w:jc w:val="center"/>
                    <w:rPr>
                      <w:rFonts w:hint="default" w:ascii="Times New Roman" w:hAnsi="Times New Roman" w:eastAsia="Times New Roman" w:cs="Times New Roman"/>
                      <w:color w:val="auto"/>
                      <w:sz w:val="21"/>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634" w:type="dxa"/>
                  <w:tcBorders>
                    <w:tl2br w:val="nil"/>
                    <w:tr2bl w:val="nil"/>
                  </w:tcBorders>
                  <w:noWrap w:val="0"/>
                  <w:vAlign w:val="center"/>
                </w:tcPr>
                <w:p>
                  <w:pPr>
                    <w:pStyle w:val="52"/>
                    <w:spacing w:line="248" w:lineRule="exact"/>
                    <w:ind w:left="460" w:right="456"/>
                    <w:jc w:val="center"/>
                    <w:rPr>
                      <w:rFonts w:hint="default" w:ascii="Times New Roman" w:hAnsi="Times New Roman" w:eastAsia="Times New Roman" w:cs="Times New Roman"/>
                      <w:color w:val="auto"/>
                      <w:sz w:val="21"/>
                      <w:u w:val="none"/>
                    </w:rPr>
                  </w:pPr>
                </w:p>
              </w:tc>
              <w:tc>
                <w:tcPr>
                  <w:tcW w:w="850" w:type="dxa"/>
                  <w:tcBorders>
                    <w:tl2br w:val="nil"/>
                    <w:tr2bl w:val="nil"/>
                  </w:tcBorders>
                  <w:noWrap w:val="0"/>
                  <w:vAlign w:val="center"/>
                </w:tcPr>
                <w:p>
                  <w:pPr>
                    <w:pStyle w:val="65"/>
                    <w:spacing w:line="240" w:lineRule="auto"/>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6~9</w:t>
                  </w:r>
                </w:p>
              </w:tc>
              <w:tc>
                <w:tcPr>
                  <w:tcW w:w="835" w:type="dxa"/>
                  <w:tcBorders>
                    <w:tl2br w:val="nil"/>
                    <w:tr2bl w:val="nil"/>
                  </w:tcBorders>
                  <w:noWrap w:val="0"/>
                  <w:vAlign w:val="center"/>
                </w:tcPr>
                <w:p>
                  <w:pPr>
                    <w:pStyle w:val="65"/>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150</w:t>
                  </w:r>
                </w:p>
              </w:tc>
              <w:tc>
                <w:tcPr>
                  <w:tcW w:w="1338" w:type="dxa"/>
                  <w:tcBorders>
                    <w:tl2br w:val="nil"/>
                    <w:tr2bl w:val="nil"/>
                  </w:tcBorders>
                  <w:noWrap w:val="0"/>
                  <w:vAlign w:val="center"/>
                </w:tcPr>
                <w:p>
                  <w:pPr>
                    <w:pStyle w:val="65"/>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350</w:t>
                  </w:r>
                </w:p>
              </w:tc>
              <w:tc>
                <w:tcPr>
                  <w:tcW w:w="1143" w:type="dxa"/>
                  <w:tcBorders>
                    <w:tl2br w:val="nil"/>
                    <w:tr2bl w:val="nil"/>
                  </w:tcBorders>
                  <w:noWrap w:val="0"/>
                  <w:vAlign w:val="center"/>
                </w:tcPr>
                <w:p>
                  <w:pPr>
                    <w:pStyle w:val="65"/>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180</w:t>
                  </w:r>
                </w:p>
              </w:tc>
              <w:tc>
                <w:tcPr>
                  <w:tcW w:w="1144" w:type="dxa"/>
                  <w:tcBorders>
                    <w:tl2br w:val="nil"/>
                    <w:tr2bl w:val="nil"/>
                  </w:tcBorders>
                  <w:noWrap w:val="0"/>
                  <w:vAlign w:val="center"/>
                </w:tcPr>
                <w:p>
                  <w:pPr>
                    <w:pStyle w:val="65"/>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30</w:t>
                  </w:r>
                </w:p>
              </w:tc>
              <w:tc>
                <w:tcPr>
                  <w:tcW w:w="1144" w:type="dxa"/>
                  <w:tcBorders>
                    <w:tl2br w:val="nil"/>
                    <w:tr2bl w:val="nil"/>
                  </w:tcBorders>
                  <w:noWrap w:val="0"/>
                  <w:vAlign w:val="center"/>
                </w:tcPr>
                <w:p>
                  <w:pPr>
                    <w:pStyle w:val="65"/>
                    <w:spacing w:line="240" w:lineRule="auto"/>
                    <w:jc w:val="center"/>
                    <w:rPr>
                      <w:rFonts w:hint="default" w:cs="Times New Roman"/>
                      <w:color w:val="auto"/>
                      <w:sz w:val="21"/>
                      <w:szCs w:val="21"/>
                      <w:u w:val="none"/>
                      <w:lang w:val="en-US" w:eastAsia="zh-CN"/>
                    </w:rPr>
                  </w:pPr>
                  <w:r>
                    <w:rPr>
                      <w:rFonts w:hint="eastAsia" w:cs="Times New Roman"/>
                      <w:color w:val="auto"/>
                      <w:sz w:val="21"/>
                      <w:szCs w:val="21"/>
                      <w:u w:val="none"/>
                      <w:lang w:val="en-US" w:eastAsia="zh-CN"/>
                    </w:rPr>
                    <w:t>6</w:t>
                  </w:r>
                </w:p>
              </w:tc>
            </w:tr>
          </w:tbl>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b/>
                <w:color w:val="auto"/>
                <w:szCs w:val="21"/>
                <w:u w:val="none"/>
              </w:rPr>
            </w:pPr>
            <w:r>
              <w:rPr>
                <w:rFonts w:hint="default" w:ascii="Times New Roman" w:hAnsi="Times New Roman" w:eastAsia="宋体" w:cs="Times New Roman"/>
                <w:color w:val="auto"/>
                <w:highlight w:val="none"/>
              </w:rPr>
              <w:t>表</w:t>
            </w:r>
            <w:r>
              <w:rPr>
                <w:rFonts w:hint="eastAsia" w:ascii="Times New Roman" w:hAnsi="Times New Roman" w:eastAsia="宋体" w:cs="Times New Roman"/>
                <w:color w:val="auto"/>
                <w:highlight w:val="none"/>
                <w:lang w:val="en-US" w:eastAsia="zh-CN"/>
              </w:rPr>
              <w:t>3-</w:t>
            </w:r>
            <w:r>
              <w:rPr>
                <w:rFonts w:hint="eastAsia" w:cs="Times New Roman"/>
                <w:color w:val="auto"/>
                <w:highlight w:val="none"/>
                <w:lang w:val="en-US" w:eastAsia="zh-CN"/>
              </w:rPr>
              <w:t>9</w:t>
            </w:r>
            <w:r>
              <w:rPr>
                <w:rFonts w:hint="eastAsia"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highlight w:val="none"/>
              </w:rPr>
              <w:tab/>
            </w:r>
            <w:r>
              <w:rPr>
                <w:rFonts w:hint="default" w:ascii="Times New Roman" w:hAnsi="Times New Roman" w:eastAsia="宋体" w:cs="Times New Roman"/>
                <w:color w:val="auto"/>
                <w:highlight w:val="none"/>
              </w:rPr>
              <w:t>本项目</w:t>
            </w:r>
            <w:r>
              <w:rPr>
                <w:rFonts w:hint="eastAsia" w:cs="Times New Roman"/>
                <w:color w:val="auto"/>
                <w:highlight w:val="none"/>
                <w:lang w:val="en-US" w:eastAsia="zh-CN"/>
              </w:rPr>
              <w:t>安置区二期、三期</w:t>
            </w:r>
            <w:r>
              <w:rPr>
                <w:rFonts w:hint="default" w:ascii="Times New Roman" w:hAnsi="Times New Roman" w:eastAsia="宋体" w:cs="Times New Roman"/>
                <w:color w:val="auto"/>
                <w:highlight w:val="none"/>
              </w:rPr>
              <w:t>污水排放标准</w:t>
            </w:r>
            <w:r>
              <w:rPr>
                <w:rFonts w:hint="default" w:ascii="Times New Roman" w:hAnsi="Times New Roman" w:eastAsia="宋体" w:cs="Times New Roman"/>
                <w:color w:val="auto"/>
                <w:highlight w:val="none"/>
              </w:rPr>
              <w:tab/>
            </w:r>
            <w:r>
              <w:rPr>
                <w:rFonts w:hint="default" w:ascii="Times New Roman" w:hAnsi="Times New Roman" w:eastAsia="宋体" w:cs="Times New Roman"/>
                <w:color w:val="auto"/>
                <w:highlight w:val="none"/>
              </w:rPr>
              <w:t>标准单位：mg/L</w:t>
            </w:r>
          </w:p>
          <w:tbl>
            <w:tblPr>
              <w:tblStyle w:val="23"/>
              <w:tblW w:w="7937" w:type="dxa"/>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299"/>
              <w:gridCol w:w="743"/>
              <w:gridCol w:w="730"/>
              <w:gridCol w:w="1168"/>
              <w:gridCol w:w="998"/>
              <w:gridCol w:w="999"/>
              <w:gridCol w:w="100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634" w:type="dxa"/>
                  <w:tcBorders>
                    <w:tl2br w:val="nil"/>
                    <w:tr2bl w:val="nil"/>
                  </w:tcBorders>
                  <w:shd w:val="clear" w:color="auto" w:fill="F1F1F1"/>
                  <w:noWrap w:val="0"/>
                  <w:vAlign w:val="center"/>
                </w:tcPr>
                <w:p>
                  <w:pPr>
                    <w:pStyle w:val="52"/>
                    <w:spacing w:before="52"/>
                    <w:ind w:left="457" w:right="456"/>
                    <w:jc w:val="center"/>
                    <w:rPr>
                      <w:rFonts w:hint="default" w:ascii="Times New Roman" w:hAnsi="Times New Roman" w:cs="Times New Roman"/>
                      <w:b/>
                      <w:bCs/>
                      <w:color w:val="auto"/>
                      <w:sz w:val="21"/>
                      <w:u w:val="none"/>
                    </w:rPr>
                  </w:pPr>
                  <w:r>
                    <w:rPr>
                      <w:rFonts w:hint="default" w:ascii="Times New Roman" w:hAnsi="Times New Roman" w:cs="Times New Roman"/>
                      <w:b/>
                      <w:bCs/>
                      <w:color w:val="auto"/>
                      <w:sz w:val="21"/>
                      <w:u w:val="none"/>
                    </w:rPr>
                    <w:t>污染物</w:t>
                  </w:r>
                </w:p>
              </w:tc>
              <w:tc>
                <w:tcPr>
                  <w:tcW w:w="850" w:type="dxa"/>
                  <w:tcBorders>
                    <w:tl2br w:val="nil"/>
                    <w:tr2bl w:val="nil"/>
                  </w:tcBorders>
                  <w:shd w:val="clear" w:color="auto" w:fill="F1F1F1"/>
                  <w:noWrap w:val="0"/>
                  <w:vAlign w:val="center"/>
                </w:tcPr>
                <w:p>
                  <w:pPr>
                    <w:pStyle w:val="65"/>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pH</w:t>
                  </w:r>
                </w:p>
              </w:tc>
              <w:tc>
                <w:tcPr>
                  <w:tcW w:w="835" w:type="dxa"/>
                  <w:tcBorders>
                    <w:tl2br w:val="nil"/>
                    <w:tr2bl w:val="nil"/>
                  </w:tcBorders>
                  <w:shd w:val="clear" w:color="auto" w:fill="F1F1F1"/>
                  <w:noWrap w:val="0"/>
                  <w:vAlign w:val="center"/>
                </w:tcPr>
                <w:p>
                  <w:pPr>
                    <w:pStyle w:val="65"/>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SS</w:t>
                  </w:r>
                </w:p>
              </w:tc>
              <w:tc>
                <w:tcPr>
                  <w:tcW w:w="1338" w:type="dxa"/>
                  <w:tcBorders>
                    <w:tl2br w:val="nil"/>
                    <w:tr2bl w:val="nil"/>
                  </w:tcBorders>
                  <w:shd w:val="clear" w:color="auto" w:fill="F1F1F1"/>
                  <w:noWrap w:val="0"/>
                  <w:vAlign w:val="center"/>
                </w:tcPr>
                <w:p>
                  <w:pPr>
                    <w:pStyle w:val="65"/>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COD</w:t>
                  </w:r>
                  <w:r>
                    <w:rPr>
                      <w:rFonts w:hint="default" w:ascii="Times New Roman" w:hAnsi="Times New Roman" w:cs="Times New Roman"/>
                      <w:b/>
                      <w:bCs/>
                      <w:color w:val="auto"/>
                      <w:sz w:val="21"/>
                      <w:szCs w:val="21"/>
                      <w:u w:val="none"/>
                      <w:vertAlign w:val="subscript"/>
                    </w:rPr>
                    <w:t>Mn</w:t>
                  </w:r>
                </w:p>
              </w:tc>
              <w:tc>
                <w:tcPr>
                  <w:tcW w:w="1143" w:type="dxa"/>
                  <w:tcBorders>
                    <w:tl2br w:val="nil"/>
                    <w:tr2bl w:val="nil"/>
                  </w:tcBorders>
                  <w:shd w:val="clear" w:color="auto" w:fill="F1F1F1"/>
                  <w:noWrap w:val="0"/>
                  <w:vAlign w:val="center"/>
                </w:tcPr>
                <w:p>
                  <w:pPr>
                    <w:pStyle w:val="65"/>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BOD</w:t>
                  </w:r>
                  <w:r>
                    <w:rPr>
                      <w:rFonts w:hint="default" w:ascii="Times New Roman" w:hAnsi="Times New Roman" w:cs="Times New Roman"/>
                      <w:b/>
                      <w:bCs/>
                      <w:color w:val="auto"/>
                      <w:sz w:val="21"/>
                      <w:szCs w:val="21"/>
                      <w:u w:val="none"/>
                      <w:vertAlign w:val="subscript"/>
                    </w:rPr>
                    <w:t>5</w:t>
                  </w:r>
                </w:p>
              </w:tc>
              <w:tc>
                <w:tcPr>
                  <w:tcW w:w="1144" w:type="dxa"/>
                  <w:tcBorders>
                    <w:tl2br w:val="nil"/>
                    <w:tr2bl w:val="nil"/>
                  </w:tcBorders>
                  <w:shd w:val="clear" w:color="auto" w:fill="F1F1F1"/>
                  <w:noWrap w:val="0"/>
                  <w:vAlign w:val="center"/>
                </w:tcPr>
                <w:p>
                  <w:pPr>
                    <w:pStyle w:val="65"/>
                    <w:spacing w:line="240" w:lineRule="auto"/>
                    <w:jc w:val="center"/>
                    <w:rPr>
                      <w:rFonts w:hint="default" w:ascii="Times New Roman" w:hAnsi="Times New Roman" w:eastAsia="宋体" w:cs="Times New Roman"/>
                      <w:b/>
                      <w:bCs/>
                      <w:color w:val="auto"/>
                      <w:sz w:val="21"/>
                      <w:szCs w:val="21"/>
                      <w:u w:val="none"/>
                      <w:lang w:val="en-US" w:eastAsia="zh-CN"/>
                    </w:rPr>
                  </w:pPr>
                  <w:r>
                    <w:rPr>
                      <w:rFonts w:hint="eastAsia" w:ascii="Times New Roman" w:hAnsi="Times New Roman" w:cs="Times New Roman"/>
                      <w:b/>
                      <w:bCs/>
                      <w:color w:val="auto"/>
                      <w:sz w:val="21"/>
                      <w:szCs w:val="21"/>
                      <w:u w:val="none"/>
                      <w:lang w:val="en-US" w:eastAsia="zh-CN"/>
                    </w:rPr>
                    <w:t>NH</w:t>
                  </w:r>
                  <w:r>
                    <w:rPr>
                      <w:rFonts w:hint="eastAsia" w:ascii="Times New Roman" w:hAnsi="Times New Roman" w:cs="Times New Roman"/>
                      <w:b/>
                      <w:bCs/>
                      <w:color w:val="auto"/>
                      <w:sz w:val="21"/>
                      <w:szCs w:val="21"/>
                      <w:u w:val="none"/>
                      <w:vertAlign w:val="subscript"/>
                      <w:lang w:val="en-US" w:eastAsia="zh-CN"/>
                    </w:rPr>
                    <w:t>3</w:t>
                  </w:r>
                  <w:r>
                    <w:rPr>
                      <w:rFonts w:hint="eastAsia" w:ascii="Times New Roman" w:hAnsi="Times New Roman" w:cs="Times New Roman"/>
                      <w:b/>
                      <w:bCs/>
                      <w:color w:val="auto"/>
                      <w:sz w:val="21"/>
                      <w:szCs w:val="21"/>
                      <w:u w:val="none"/>
                      <w:lang w:val="en-US" w:eastAsia="zh-CN"/>
                    </w:rPr>
                    <w:t>-N</w:t>
                  </w:r>
                </w:p>
              </w:tc>
              <w:tc>
                <w:tcPr>
                  <w:tcW w:w="1144" w:type="dxa"/>
                  <w:tcBorders>
                    <w:tl2br w:val="nil"/>
                    <w:tr2bl w:val="nil"/>
                  </w:tcBorders>
                  <w:shd w:val="clear" w:color="auto" w:fill="F1F1F1"/>
                  <w:noWrap w:val="0"/>
                  <w:vAlign w:val="center"/>
                </w:tcPr>
                <w:p>
                  <w:pPr>
                    <w:pStyle w:val="65"/>
                    <w:spacing w:line="240" w:lineRule="auto"/>
                    <w:jc w:val="center"/>
                    <w:rPr>
                      <w:rFonts w:hint="default" w:ascii="Times New Roman" w:hAnsi="Times New Roman" w:cs="Times New Roman"/>
                      <w:b/>
                      <w:bCs/>
                      <w:color w:val="auto"/>
                      <w:sz w:val="21"/>
                      <w:szCs w:val="21"/>
                      <w:u w:val="none"/>
                      <w:lang w:val="en-US" w:eastAsia="zh-CN"/>
                    </w:rPr>
                  </w:pPr>
                  <w:r>
                    <w:rPr>
                      <w:rFonts w:hint="eastAsia" w:cs="Times New Roman"/>
                      <w:b/>
                      <w:bCs/>
                      <w:color w:val="auto"/>
                      <w:sz w:val="21"/>
                      <w:szCs w:val="21"/>
                      <w:u w:val="none"/>
                      <w:lang w:val="en-US" w:eastAsia="zh-CN"/>
                    </w:rPr>
                    <w:t>TP</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800" w:type="dxa"/>
                  <w:gridSpan w:val="5"/>
                  <w:tcBorders>
                    <w:tl2br w:val="nil"/>
                    <w:tr2bl w:val="nil"/>
                  </w:tcBorders>
                  <w:noWrap w:val="0"/>
                  <w:vAlign w:val="center"/>
                </w:tcPr>
                <w:p>
                  <w:pPr>
                    <w:pStyle w:val="65"/>
                    <w:spacing w:line="240" w:lineRule="auto"/>
                    <w:jc w:val="both"/>
                    <w:rPr>
                      <w:rFonts w:hint="default" w:ascii="Times New Roman" w:hAnsi="Times New Roman" w:cs="Times New Roman"/>
                      <w:color w:val="auto"/>
                      <w:sz w:val="21"/>
                      <w:szCs w:val="21"/>
                      <w:u w:val="none"/>
                      <w:lang w:val="en-US"/>
                    </w:rPr>
                  </w:pPr>
                  <w:r>
                    <w:rPr>
                      <w:rFonts w:hint="eastAsia" w:ascii="Times New Roman" w:hAnsi="Times New Roman" w:eastAsia="宋体" w:cs="Times New Roman"/>
                      <w:color w:val="auto"/>
                      <w:kern w:val="2"/>
                      <w:sz w:val="21"/>
                      <w:szCs w:val="21"/>
                      <w:lang w:val="en-US" w:eastAsia="zh-CN" w:bidi="ar-SA"/>
                    </w:rPr>
                    <w:t>依据：</w:t>
                  </w:r>
                  <w:r>
                    <w:rPr>
                      <w:rFonts w:hint="eastAsia" w:cs="Times New Roman"/>
                      <w:color w:val="auto"/>
                      <w:kern w:val="2"/>
                      <w:sz w:val="21"/>
                      <w:szCs w:val="21"/>
                      <w:lang w:val="en-US" w:eastAsia="zh-CN" w:bidi="ar-SA"/>
                    </w:rPr>
                    <w:t>华容县团洲乡污水处理厂进水水质标准</w:t>
                  </w:r>
                </w:p>
              </w:tc>
              <w:tc>
                <w:tcPr>
                  <w:tcW w:w="1144" w:type="dxa"/>
                  <w:tcBorders>
                    <w:tl2br w:val="nil"/>
                    <w:tr2bl w:val="nil"/>
                  </w:tcBorders>
                  <w:noWrap w:val="0"/>
                  <w:vAlign w:val="center"/>
                </w:tcPr>
                <w:p>
                  <w:pPr>
                    <w:pStyle w:val="65"/>
                    <w:spacing w:line="240" w:lineRule="auto"/>
                    <w:jc w:val="center"/>
                    <w:rPr>
                      <w:rFonts w:hint="default" w:ascii="Times New Roman" w:hAnsi="Times New Roman" w:eastAsia="Times New Roman" w:cs="Times New Roman"/>
                      <w:color w:val="auto"/>
                      <w:sz w:val="21"/>
                      <w:u w:val="none"/>
                    </w:rPr>
                  </w:pPr>
                </w:p>
              </w:tc>
              <w:tc>
                <w:tcPr>
                  <w:tcW w:w="1144" w:type="dxa"/>
                  <w:tcBorders>
                    <w:tl2br w:val="nil"/>
                    <w:tr2bl w:val="nil"/>
                  </w:tcBorders>
                  <w:noWrap w:val="0"/>
                  <w:vAlign w:val="center"/>
                </w:tcPr>
                <w:p>
                  <w:pPr>
                    <w:pStyle w:val="65"/>
                    <w:spacing w:line="240" w:lineRule="auto"/>
                    <w:jc w:val="center"/>
                    <w:rPr>
                      <w:rFonts w:hint="default" w:ascii="Times New Roman" w:hAnsi="Times New Roman" w:eastAsia="Times New Roman" w:cs="Times New Roman"/>
                      <w:color w:val="auto"/>
                      <w:sz w:val="21"/>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634" w:type="dxa"/>
                  <w:tcBorders>
                    <w:tl2br w:val="nil"/>
                    <w:tr2bl w:val="nil"/>
                  </w:tcBorders>
                  <w:noWrap w:val="0"/>
                  <w:vAlign w:val="center"/>
                </w:tcPr>
                <w:p>
                  <w:pPr>
                    <w:pStyle w:val="52"/>
                    <w:spacing w:line="248" w:lineRule="exact"/>
                    <w:ind w:left="460" w:right="456"/>
                    <w:jc w:val="center"/>
                    <w:rPr>
                      <w:rFonts w:hint="default" w:ascii="Times New Roman" w:hAnsi="Times New Roman" w:eastAsia="Times New Roman" w:cs="Times New Roman"/>
                      <w:color w:val="auto"/>
                      <w:sz w:val="21"/>
                      <w:u w:val="none"/>
                    </w:rPr>
                  </w:pPr>
                </w:p>
              </w:tc>
              <w:tc>
                <w:tcPr>
                  <w:tcW w:w="850" w:type="dxa"/>
                  <w:tcBorders>
                    <w:tl2br w:val="nil"/>
                    <w:tr2bl w:val="nil"/>
                  </w:tcBorders>
                  <w:noWrap w:val="0"/>
                  <w:vAlign w:val="center"/>
                </w:tcPr>
                <w:p>
                  <w:pPr>
                    <w:pStyle w:val="65"/>
                    <w:spacing w:line="240" w:lineRule="auto"/>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6~9</w:t>
                  </w:r>
                </w:p>
              </w:tc>
              <w:tc>
                <w:tcPr>
                  <w:tcW w:w="835" w:type="dxa"/>
                  <w:tcBorders>
                    <w:tl2br w:val="nil"/>
                    <w:tr2bl w:val="nil"/>
                  </w:tcBorders>
                  <w:noWrap w:val="0"/>
                  <w:vAlign w:val="center"/>
                </w:tcPr>
                <w:p>
                  <w:pPr>
                    <w:pStyle w:val="65"/>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200</w:t>
                  </w:r>
                </w:p>
              </w:tc>
              <w:tc>
                <w:tcPr>
                  <w:tcW w:w="1338" w:type="dxa"/>
                  <w:tcBorders>
                    <w:tl2br w:val="nil"/>
                    <w:tr2bl w:val="nil"/>
                  </w:tcBorders>
                  <w:noWrap w:val="0"/>
                  <w:vAlign w:val="center"/>
                </w:tcPr>
                <w:p>
                  <w:pPr>
                    <w:pStyle w:val="65"/>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260</w:t>
                  </w:r>
                </w:p>
              </w:tc>
              <w:tc>
                <w:tcPr>
                  <w:tcW w:w="1143" w:type="dxa"/>
                  <w:tcBorders>
                    <w:tl2br w:val="nil"/>
                    <w:tr2bl w:val="nil"/>
                  </w:tcBorders>
                  <w:noWrap w:val="0"/>
                  <w:vAlign w:val="center"/>
                </w:tcPr>
                <w:p>
                  <w:pPr>
                    <w:pStyle w:val="65"/>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130</w:t>
                  </w:r>
                </w:p>
              </w:tc>
              <w:tc>
                <w:tcPr>
                  <w:tcW w:w="1144" w:type="dxa"/>
                  <w:tcBorders>
                    <w:tl2br w:val="nil"/>
                    <w:tr2bl w:val="nil"/>
                  </w:tcBorders>
                  <w:noWrap w:val="0"/>
                  <w:vAlign w:val="center"/>
                </w:tcPr>
                <w:p>
                  <w:pPr>
                    <w:pStyle w:val="65"/>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30</w:t>
                  </w:r>
                </w:p>
              </w:tc>
              <w:tc>
                <w:tcPr>
                  <w:tcW w:w="1144" w:type="dxa"/>
                  <w:tcBorders>
                    <w:tl2br w:val="nil"/>
                    <w:tr2bl w:val="nil"/>
                  </w:tcBorders>
                  <w:noWrap w:val="0"/>
                  <w:vAlign w:val="center"/>
                </w:tcPr>
                <w:p>
                  <w:pPr>
                    <w:pStyle w:val="65"/>
                    <w:spacing w:line="240" w:lineRule="auto"/>
                    <w:jc w:val="center"/>
                    <w:rPr>
                      <w:rFonts w:hint="default" w:cs="Times New Roman"/>
                      <w:color w:val="auto"/>
                      <w:sz w:val="21"/>
                      <w:szCs w:val="21"/>
                      <w:u w:val="none"/>
                      <w:lang w:val="en-US" w:eastAsia="zh-CN"/>
                    </w:rPr>
                  </w:pPr>
                  <w:r>
                    <w:rPr>
                      <w:rFonts w:hint="eastAsia" w:cs="Times New Roman"/>
                      <w:color w:val="auto"/>
                      <w:sz w:val="21"/>
                      <w:szCs w:val="21"/>
                      <w:u w:val="none"/>
                      <w:lang w:val="en-US" w:eastAsia="zh-CN"/>
                    </w:rPr>
                    <w:t>2.5</w:t>
                  </w:r>
                </w:p>
              </w:tc>
            </w:tr>
          </w:tbl>
          <w:p>
            <w:pPr>
              <w:pStyle w:val="66"/>
              <w:spacing w:before="165" w:beforeLines="50"/>
              <w:ind w:firstLine="422"/>
              <w:rPr>
                <w:rFonts w:hint="default" w:ascii="Times New Roman" w:hAnsi="Times New Roman" w:eastAsia="宋体" w:cs="Times New Roman"/>
                <w:b/>
                <w:color w:val="auto"/>
                <w:kern w:val="2"/>
                <w:sz w:val="24"/>
                <w:szCs w:val="24"/>
                <w:highlight w:val="none"/>
                <w:lang w:val="en-US" w:eastAsia="zh-CN" w:bidi="ar-SA"/>
              </w:rPr>
            </w:pPr>
            <w:bookmarkStart w:id="13" w:name="_Toc535510061"/>
            <w:r>
              <w:rPr>
                <w:rFonts w:hint="default" w:ascii="Times New Roman" w:hAnsi="Times New Roman" w:eastAsia="宋体" w:cs="Times New Roman"/>
                <w:b/>
                <w:color w:val="auto"/>
                <w:kern w:val="2"/>
                <w:sz w:val="24"/>
                <w:szCs w:val="24"/>
                <w:highlight w:val="none"/>
                <w:lang w:val="en-US" w:eastAsia="zh-CN" w:bidi="ar-SA"/>
              </w:rPr>
              <w:t>表</w:t>
            </w:r>
            <w:r>
              <w:rPr>
                <w:rFonts w:hint="eastAsia" w:ascii="Times New Roman" w:hAnsi="Times New Roman" w:eastAsia="宋体" w:cs="Times New Roman"/>
                <w:b/>
                <w:color w:val="auto"/>
                <w:kern w:val="2"/>
                <w:sz w:val="24"/>
                <w:szCs w:val="24"/>
                <w:highlight w:val="none"/>
                <w:lang w:val="en-US" w:eastAsia="zh-CN" w:bidi="ar-SA"/>
              </w:rPr>
              <w:t>3-</w:t>
            </w:r>
            <w:r>
              <w:rPr>
                <w:rFonts w:hint="eastAsia" w:cs="Times New Roman"/>
                <w:b/>
                <w:color w:val="auto"/>
                <w:kern w:val="2"/>
                <w:sz w:val="24"/>
                <w:szCs w:val="24"/>
                <w:highlight w:val="none"/>
                <w:lang w:val="en-US" w:eastAsia="zh-CN" w:bidi="ar-SA"/>
              </w:rPr>
              <w:t>10</w:t>
            </w:r>
            <w:r>
              <w:rPr>
                <w:rFonts w:hint="default" w:ascii="Times New Roman" w:hAnsi="Times New Roman" w:eastAsia="宋体" w:cs="Times New Roman"/>
                <w:b/>
                <w:color w:val="auto"/>
                <w:kern w:val="2"/>
                <w:sz w:val="24"/>
                <w:szCs w:val="24"/>
                <w:highlight w:val="none"/>
                <w:lang w:val="en-US" w:eastAsia="zh-CN" w:bidi="ar-SA"/>
              </w:rPr>
              <w:t xml:space="preserve">  城镇污水处理厂污染物排放标准（GB18918-2002）  单位： mg/L</w:t>
            </w:r>
            <w:bookmarkEnd w:id="13"/>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4"/>
              <w:gridCol w:w="3149"/>
              <w:gridCol w:w="39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17" w:type="dxa"/>
                  <w:shd w:val="clear" w:color="auto" w:fill="F1F1F1"/>
                  <w:noWrap w:val="0"/>
                  <w:vAlign w:val="center"/>
                </w:tcPr>
                <w:p>
                  <w:pPr>
                    <w:pStyle w:val="57"/>
                    <w:rPr>
                      <w:b/>
                      <w:bCs/>
                      <w:color w:val="auto"/>
                    </w:rPr>
                  </w:pPr>
                  <w:r>
                    <w:rPr>
                      <w:b/>
                      <w:bCs/>
                      <w:color w:val="auto"/>
                    </w:rPr>
                    <w:t>序号</w:t>
                  </w:r>
                </w:p>
              </w:tc>
              <w:tc>
                <w:tcPr>
                  <w:tcW w:w="3650" w:type="dxa"/>
                  <w:shd w:val="clear" w:color="auto" w:fill="F1F1F1"/>
                  <w:noWrap w:val="0"/>
                  <w:vAlign w:val="center"/>
                </w:tcPr>
                <w:p>
                  <w:pPr>
                    <w:pStyle w:val="57"/>
                    <w:rPr>
                      <w:b/>
                      <w:bCs/>
                      <w:color w:val="auto"/>
                    </w:rPr>
                  </w:pPr>
                  <w:r>
                    <w:rPr>
                      <w:b/>
                      <w:bCs/>
                      <w:color w:val="auto"/>
                    </w:rPr>
                    <w:t>污染物项目</w:t>
                  </w:r>
                </w:p>
              </w:tc>
              <w:tc>
                <w:tcPr>
                  <w:tcW w:w="4576" w:type="dxa"/>
                  <w:shd w:val="clear" w:color="auto" w:fill="F1F1F1"/>
                  <w:noWrap w:val="0"/>
                  <w:vAlign w:val="center"/>
                </w:tcPr>
                <w:p>
                  <w:pPr>
                    <w:pStyle w:val="57"/>
                    <w:rPr>
                      <w:b/>
                      <w:bCs/>
                      <w:color w:val="auto"/>
                    </w:rPr>
                  </w:pPr>
                  <w:r>
                    <w:rPr>
                      <w:b/>
                      <w:bCs/>
                      <w:color w:val="auto"/>
                    </w:rPr>
                    <w:t>污水处理厂排放标准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17" w:type="dxa"/>
                  <w:noWrap w:val="0"/>
                  <w:vAlign w:val="center"/>
                </w:tcPr>
                <w:p>
                  <w:pPr>
                    <w:pStyle w:val="57"/>
                    <w:rPr>
                      <w:color w:val="auto"/>
                    </w:rPr>
                  </w:pPr>
                  <w:r>
                    <w:rPr>
                      <w:color w:val="auto"/>
                    </w:rPr>
                    <w:t>1</w:t>
                  </w:r>
                </w:p>
              </w:tc>
              <w:tc>
                <w:tcPr>
                  <w:tcW w:w="3650" w:type="dxa"/>
                  <w:noWrap w:val="0"/>
                  <w:vAlign w:val="center"/>
                </w:tcPr>
                <w:p>
                  <w:pPr>
                    <w:pStyle w:val="57"/>
                    <w:rPr>
                      <w:rFonts w:hint="eastAsia"/>
                      <w:color w:val="auto"/>
                    </w:rPr>
                  </w:pPr>
                  <w:r>
                    <w:rPr>
                      <w:rFonts w:hint="eastAsia"/>
                      <w:color w:val="auto"/>
                    </w:rPr>
                    <w:t>PH</w:t>
                  </w:r>
                </w:p>
              </w:tc>
              <w:tc>
                <w:tcPr>
                  <w:tcW w:w="4576" w:type="dxa"/>
                  <w:noWrap w:val="0"/>
                  <w:vAlign w:val="center"/>
                </w:tcPr>
                <w:p>
                  <w:pPr>
                    <w:pStyle w:val="57"/>
                    <w:rPr>
                      <w:color w:val="auto"/>
                    </w:rPr>
                  </w:pPr>
                  <w:r>
                    <w:rPr>
                      <w:color w:val="auto"/>
                    </w:rPr>
                    <w:t>6～9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17" w:type="dxa"/>
                  <w:noWrap w:val="0"/>
                  <w:vAlign w:val="center"/>
                </w:tcPr>
                <w:p>
                  <w:pPr>
                    <w:pStyle w:val="57"/>
                    <w:rPr>
                      <w:rFonts w:hint="eastAsia"/>
                      <w:color w:val="auto"/>
                    </w:rPr>
                  </w:pPr>
                  <w:r>
                    <w:rPr>
                      <w:rFonts w:hint="eastAsia"/>
                      <w:color w:val="auto"/>
                    </w:rPr>
                    <w:t>2</w:t>
                  </w:r>
                </w:p>
              </w:tc>
              <w:tc>
                <w:tcPr>
                  <w:tcW w:w="3650" w:type="dxa"/>
                  <w:noWrap w:val="0"/>
                  <w:vAlign w:val="center"/>
                </w:tcPr>
                <w:p>
                  <w:pPr>
                    <w:pStyle w:val="57"/>
                    <w:rPr>
                      <w:color w:val="auto"/>
                    </w:rPr>
                  </w:pPr>
                  <w:r>
                    <w:rPr>
                      <w:color w:val="auto"/>
                    </w:rPr>
                    <w:t>化学需氧量≤</w:t>
                  </w:r>
                </w:p>
              </w:tc>
              <w:tc>
                <w:tcPr>
                  <w:tcW w:w="4576" w:type="dxa"/>
                  <w:noWrap w:val="0"/>
                  <w:vAlign w:val="center"/>
                </w:tcPr>
                <w:p>
                  <w:pPr>
                    <w:pStyle w:val="57"/>
                    <w:rPr>
                      <w:color w:val="auto"/>
                    </w:rPr>
                  </w:pPr>
                  <w:r>
                    <w:rPr>
                      <w:color w:val="auto"/>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17" w:type="dxa"/>
                  <w:noWrap w:val="0"/>
                  <w:vAlign w:val="center"/>
                </w:tcPr>
                <w:p>
                  <w:pPr>
                    <w:pStyle w:val="57"/>
                    <w:rPr>
                      <w:rFonts w:hint="eastAsia"/>
                      <w:color w:val="auto"/>
                    </w:rPr>
                  </w:pPr>
                  <w:r>
                    <w:rPr>
                      <w:rFonts w:hint="eastAsia"/>
                      <w:color w:val="auto"/>
                    </w:rPr>
                    <w:t>3</w:t>
                  </w:r>
                </w:p>
              </w:tc>
              <w:tc>
                <w:tcPr>
                  <w:tcW w:w="3650" w:type="dxa"/>
                  <w:noWrap w:val="0"/>
                  <w:vAlign w:val="center"/>
                </w:tcPr>
                <w:p>
                  <w:pPr>
                    <w:pStyle w:val="57"/>
                    <w:rPr>
                      <w:color w:val="auto"/>
                    </w:rPr>
                  </w:pPr>
                  <w:r>
                    <w:rPr>
                      <w:color w:val="auto"/>
                    </w:rPr>
                    <w:t>五日生化需氧量≤</w:t>
                  </w:r>
                </w:p>
              </w:tc>
              <w:tc>
                <w:tcPr>
                  <w:tcW w:w="4576" w:type="dxa"/>
                  <w:noWrap w:val="0"/>
                  <w:vAlign w:val="center"/>
                </w:tcPr>
                <w:p>
                  <w:pPr>
                    <w:pStyle w:val="57"/>
                    <w:rPr>
                      <w:color w:val="auto"/>
                    </w:rPr>
                  </w:pPr>
                  <w:r>
                    <w:rPr>
                      <w:color w:val="auto"/>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17" w:type="dxa"/>
                  <w:noWrap w:val="0"/>
                  <w:vAlign w:val="center"/>
                </w:tcPr>
                <w:p>
                  <w:pPr>
                    <w:pStyle w:val="57"/>
                    <w:rPr>
                      <w:rFonts w:hint="eastAsia"/>
                      <w:color w:val="auto"/>
                    </w:rPr>
                  </w:pPr>
                  <w:r>
                    <w:rPr>
                      <w:rFonts w:hint="eastAsia"/>
                      <w:color w:val="auto"/>
                    </w:rPr>
                    <w:t>4</w:t>
                  </w:r>
                </w:p>
              </w:tc>
              <w:tc>
                <w:tcPr>
                  <w:tcW w:w="3650" w:type="dxa"/>
                  <w:noWrap w:val="0"/>
                  <w:vAlign w:val="center"/>
                </w:tcPr>
                <w:p>
                  <w:pPr>
                    <w:pStyle w:val="57"/>
                    <w:rPr>
                      <w:color w:val="auto"/>
                    </w:rPr>
                  </w:pPr>
                  <w:r>
                    <w:rPr>
                      <w:color w:val="auto"/>
                    </w:rPr>
                    <w:t>悬浮物≤</w:t>
                  </w:r>
                </w:p>
              </w:tc>
              <w:tc>
                <w:tcPr>
                  <w:tcW w:w="4576" w:type="dxa"/>
                  <w:noWrap w:val="0"/>
                  <w:vAlign w:val="center"/>
                </w:tcPr>
                <w:p>
                  <w:pPr>
                    <w:pStyle w:val="57"/>
                    <w:rPr>
                      <w:color w:val="auto"/>
                    </w:rPr>
                  </w:pPr>
                  <w:r>
                    <w:rPr>
                      <w:color w:val="auto"/>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1" w:hRule="atLeast"/>
                <w:jc w:val="center"/>
              </w:trPr>
              <w:tc>
                <w:tcPr>
                  <w:tcW w:w="1117" w:type="dxa"/>
                  <w:noWrap w:val="0"/>
                  <w:vAlign w:val="center"/>
                </w:tcPr>
                <w:p>
                  <w:pPr>
                    <w:pStyle w:val="57"/>
                    <w:rPr>
                      <w:color w:val="auto"/>
                    </w:rPr>
                  </w:pPr>
                  <w:r>
                    <w:rPr>
                      <w:color w:val="auto"/>
                    </w:rPr>
                    <w:t>5</w:t>
                  </w:r>
                </w:p>
              </w:tc>
              <w:tc>
                <w:tcPr>
                  <w:tcW w:w="3650" w:type="dxa"/>
                  <w:noWrap w:val="0"/>
                  <w:vAlign w:val="center"/>
                </w:tcPr>
                <w:p>
                  <w:pPr>
                    <w:pStyle w:val="57"/>
                    <w:rPr>
                      <w:color w:val="auto"/>
                    </w:rPr>
                  </w:pPr>
                  <w:r>
                    <w:rPr>
                      <w:color w:val="auto"/>
                    </w:rPr>
                    <w:t>氨氮≤</w:t>
                  </w:r>
                </w:p>
              </w:tc>
              <w:tc>
                <w:tcPr>
                  <w:tcW w:w="4576" w:type="dxa"/>
                  <w:noWrap w:val="0"/>
                  <w:vAlign w:val="center"/>
                </w:tcPr>
                <w:p>
                  <w:pPr>
                    <w:pStyle w:val="57"/>
                    <w:rPr>
                      <w:color w:val="auto"/>
                    </w:rPr>
                  </w:pPr>
                  <w:r>
                    <w:rPr>
                      <w:color w:val="auto"/>
                    </w:rPr>
                    <w:t>5（8）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1" w:hRule="atLeast"/>
                <w:jc w:val="center"/>
              </w:trPr>
              <w:tc>
                <w:tcPr>
                  <w:tcW w:w="1117" w:type="dxa"/>
                  <w:noWrap w:val="0"/>
                  <w:vAlign w:val="center"/>
                </w:tcPr>
                <w:p>
                  <w:pPr>
                    <w:pStyle w:val="57"/>
                    <w:rPr>
                      <w:rFonts w:hint="eastAsia" w:eastAsia="宋体"/>
                      <w:color w:val="auto"/>
                      <w:lang w:val="en-US" w:eastAsia="zh-CN"/>
                    </w:rPr>
                  </w:pPr>
                  <w:r>
                    <w:rPr>
                      <w:rFonts w:hint="eastAsia"/>
                      <w:color w:val="auto"/>
                      <w:lang w:val="en-US" w:eastAsia="zh-CN"/>
                    </w:rPr>
                    <w:t>6</w:t>
                  </w:r>
                </w:p>
              </w:tc>
              <w:tc>
                <w:tcPr>
                  <w:tcW w:w="3650" w:type="dxa"/>
                  <w:noWrap w:val="0"/>
                  <w:vAlign w:val="center"/>
                </w:tcPr>
                <w:p>
                  <w:pPr>
                    <w:pStyle w:val="57"/>
                    <w:rPr>
                      <w:rFonts w:hint="eastAsia" w:eastAsia="宋体"/>
                      <w:color w:val="auto"/>
                      <w:lang w:val="en-US" w:eastAsia="zh-CN"/>
                    </w:rPr>
                  </w:pPr>
                  <w:r>
                    <w:rPr>
                      <w:rFonts w:hint="eastAsia"/>
                      <w:color w:val="auto"/>
                      <w:lang w:val="en-US" w:eastAsia="zh-CN"/>
                    </w:rPr>
                    <w:t>总磷</w:t>
                  </w:r>
                  <w:r>
                    <w:rPr>
                      <w:color w:val="auto"/>
                    </w:rPr>
                    <w:t>≤</w:t>
                  </w:r>
                </w:p>
              </w:tc>
              <w:tc>
                <w:tcPr>
                  <w:tcW w:w="4576" w:type="dxa"/>
                  <w:noWrap w:val="0"/>
                  <w:vAlign w:val="center"/>
                </w:tcPr>
                <w:p>
                  <w:pPr>
                    <w:pStyle w:val="57"/>
                    <w:rPr>
                      <w:rFonts w:hint="default" w:eastAsia="宋体"/>
                      <w:color w:val="auto"/>
                      <w:lang w:val="en-US" w:eastAsia="zh-CN"/>
                    </w:rPr>
                  </w:pPr>
                  <w:r>
                    <w:rPr>
                      <w:rFonts w:hint="eastAsia"/>
                      <w:color w:val="auto"/>
                      <w:lang w:val="en-US" w:eastAsia="zh-CN"/>
                    </w:rPr>
                    <w:t>0.5</w:t>
                  </w:r>
                </w:p>
              </w:tc>
            </w:tr>
          </w:tbl>
          <w:p>
            <w:pPr>
              <w:pStyle w:val="9"/>
              <w:keepNext w:val="0"/>
              <w:keepLines w:val="0"/>
              <w:pageBreakBefore w:val="0"/>
              <w:widowControl w:val="0"/>
              <w:kinsoku/>
              <w:wordWrap/>
              <w:overflowPunct/>
              <w:topLinePunct w:val="0"/>
              <w:autoSpaceDE/>
              <w:autoSpaceDN/>
              <w:bidi w:val="0"/>
              <w:adjustRightInd w:val="0"/>
              <w:snapToGrid w:val="0"/>
              <w:spacing w:before="157" w:beforeLines="50"/>
              <w:ind w:left="0" w:leftChars="0" w:firstLine="0" w:firstLineChars="0"/>
              <w:jc w:val="both"/>
              <w:textAlignment w:val="auto"/>
              <w:rPr>
                <w:b/>
                <w:color w:val="auto"/>
                <w:sz w:val="24"/>
              </w:rPr>
            </w:pPr>
            <w:r>
              <w:rPr>
                <w:b/>
                <w:color w:val="auto"/>
                <w:sz w:val="24"/>
              </w:rPr>
              <w:t>3、噪声</w:t>
            </w:r>
          </w:p>
          <w:p>
            <w:pPr>
              <w:spacing w:line="360" w:lineRule="auto"/>
              <w:ind w:firstLine="480" w:firstLineChars="200"/>
              <w:rPr>
                <w:rFonts w:hint="eastAsia"/>
                <w:color w:val="auto"/>
                <w:sz w:val="24"/>
              </w:rPr>
            </w:pPr>
            <w:r>
              <w:rPr>
                <w:rFonts w:hint="eastAsia"/>
                <w:color w:val="auto"/>
                <w:sz w:val="24"/>
              </w:rPr>
              <w:t>营运期厂界噪声执行《工业企业厂界环境噪声排放标准》（GB12348-2008）中</w:t>
            </w:r>
            <w:r>
              <w:rPr>
                <w:rFonts w:hint="eastAsia"/>
                <w:color w:val="auto"/>
                <w:sz w:val="24"/>
                <w:lang w:val="en-US" w:eastAsia="zh-CN"/>
              </w:rPr>
              <w:t>2</w:t>
            </w:r>
            <w:r>
              <w:rPr>
                <w:rFonts w:hint="eastAsia"/>
                <w:color w:val="auto"/>
                <w:sz w:val="24"/>
              </w:rPr>
              <w:t>类标准。</w:t>
            </w:r>
          </w:p>
          <w:p>
            <w:pPr>
              <w:pStyle w:val="3"/>
              <w:spacing w:after="0"/>
              <w:jc w:val="center"/>
              <w:rPr>
                <w:rFonts w:hint="default" w:ascii="Times New Roman" w:hAnsi="Times New Roman" w:eastAsia="宋体" w:cs="Times New Roman"/>
                <w:b/>
                <w:color w:val="auto"/>
                <w:szCs w:val="21"/>
                <w:u w:val="none"/>
                <w:lang w:eastAsia="zh-CN"/>
              </w:rPr>
            </w:pPr>
            <w:bookmarkStart w:id="14" w:name="_Toc501572804"/>
            <w:bookmarkStart w:id="15" w:name="_Toc191884053"/>
            <w:r>
              <w:rPr>
                <w:rFonts w:hint="eastAsia" w:ascii="Times New Roman" w:hAnsi="Times New Roman" w:eastAsia="宋体" w:cs="Times New Roman"/>
                <w:b/>
                <w:color w:val="auto"/>
                <w:szCs w:val="21"/>
                <w:u w:val="none"/>
                <w:lang w:val="en-US" w:eastAsia="zh-CN"/>
              </w:rPr>
              <w:t>表3-</w:t>
            </w:r>
            <w:r>
              <w:rPr>
                <w:rFonts w:hint="eastAsia" w:cs="Times New Roman"/>
                <w:b/>
                <w:color w:val="auto"/>
                <w:szCs w:val="21"/>
                <w:u w:val="none"/>
                <w:lang w:val="en-US" w:eastAsia="zh-CN"/>
              </w:rPr>
              <w:t>10</w:t>
            </w:r>
            <w:r>
              <w:rPr>
                <w:rFonts w:hint="default" w:ascii="Times New Roman" w:hAnsi="Times New Roman" w:eastAsia="宋体" w:cs="Times New Roman"/>
                <w:b/>
                <w:color w:val="auto"/>
                <w:szCs w:val="21"/>
                <w:u w:val="none"/>
                <w:lang w:val="en-US" w:eastAsia="zh-CN"/>
              </w:rPr>
              <w:t xml:space="preserve">  </w:t>
            </w:r>
            <w:r>
              <w:rPr>
                <w:rFonts w:hint="default" w:ascii="Times New Roman" w:hAnsi="Times New Roman" w:eastAsia="宋体" w:cs="Times New Roman"/>
                <w:b/>
                <w:color w:val="auto"/>
                <w:szCs w:val="21"/>
                <w:u w:val="none"/>
              </w:rPr>
              <w:t>工业企业厂界环境噪声排放标准</w:t>
            </w:r>
            <w:r>
              <w:rPr>
                <w:rFonts w:hint="eastAsia" w:ascii="Times New Roman" w:hAnsi="Times New Roman" w:eastAsia="宋体" w:cs="Times New Roman"/>
                <w:b/>
                <w:color w:val="auto"/>
                <w:szCs w:val="21"/>
                <w:u w:val="none"/>
                <w:lang w:val="en-US" w:eastAsia="zh-CN"/>
              </w:rPr>
              <w:t>3</w:t>
            </w:r>
            <w:r>
              <w:rPr>
                <w:rFonts w:hint="default" w:ascii="Times New Roman" w:hAnsi="Times New Roman" w:eastAsia="宋体" w:cs="Times New Roman"/>
                <w:b/>
                <w:color w:val="auto"/>
                <w:szCs w:val="21"/>
                <w:u w:val="none"/>
              </w:rPr>
              <w:t>类标准</w:t>
            </w:r>
            <w:r>
              <w:rPr>
                <w:rFonts w:hint="default" w:ascii="Times New Roman" w:hAnsi="Times New Roman" w:eastAsia="宋体" w:cs="Times New Roman"/>
                <w:b/>
                <w:color w:val="auto"/>
                <w:szCs w:val="21"/>
                <w:u w:val="none"/>
                <w:lang w:val="en-US" w:eastAsia="zh-CN"/>
              </w:rPr>
              <w:t xml:space="preserve">  </w:t>
            </w:r>
            <w:r>
              <w:rPr>
                <w:rFonts w:hint="default" w:ascii="Times New Roman" w:hAnsi="Times New Roman" w:eastAsia="宋体" w:cs="Times New Roman"/>
                <w:b/>
                <w:color w:val="auto"/>
                <w:szCs w:val="21"/>
                <w:u w:val="none"/>
              </w:rPr>
              <w:t>单位：dB</w:t>
            </w:r>
            <w:r>
              <w:rPr>
                <w:rFonts w:hint="default" w:ascii="Times New Roman" w:hAnsi="Times New Roman" w:eastAsia="宋体" w:cs="Times New Roman"/>
                <w:b/>
                <w:color w:val="auto"/>
                <w:szCs w:val="21"/>
                <w:u w:val="none"/>
                <w:lang w:eastAsia="zh-CN"/>
              </w:rPr>
              <w:t>（</w:t>
            </w:r>
            <w:r>
              <w:rPr>
                <w:rFonts w:hint="default" w:ascii="Times New Roman" w:hAnsi="Times New Roman" w:eastAsia="宋体" w:cs="Times New Roman"/>
                <w:b/>
                <w:color w:val="auto"/>
                <w:szCs w:val="21"/>
                <w:u w:val="none"/>
              </w:rPr>
              <w:t>A</w:t>
            </w:r>
            <w:r>
              <w:rPr>
                <w:rFonts w:hint="default" w:ascii="Times New Roman" w:hAnsi="Times New Roman" w:eastAsia="宋体" w:cs="Times New Roman"/>
                <w:b/>
                <w:color w:val="auto"/>
                <w:szCs w:val="21"/>
                <w:u w:val="none"/>
                <w:lang w:eastAsia="zh-CN"/>
              </w:rPr>
              <w:t>）</w:t>
            </w:r>
          </w:p>
          <w:bookmarkEnd w:id="14"/>
          <w:bookmarkEnd w:id="15"/>
          <w:tbl>
            <w:tblPr>
              <w:tblStyle w:val="23"/>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7"/>
              <w:gridCol w:w="949"/>
              <w:gridCol w:w="2222"/>
              <w:gridCol w:w="393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8" w:type="pct"/>
                  <w:tcBorders>
                    <w:tl2br w:val="nil"/>
                    <w:tr2bl w:val="nil"/>
                  </w:tcBorders>
                  <w:noWrap w:val="0"/>
                  <w:vAlign w:val="center"/>
                </w:tcPr>
                <w:p>
                  <w:pPr>
                    <w:tabs>
                      <w:tab w:val="left" w:pos="1170"/>
                    </w:tabs>
                    <w:adjustRightInd w:val="0"/>
                    <w:snapToGrid w:val="0"/>
                    <w:jc w:val="center"/>
                    <w:rPr>
                      <w:rFonts w:ascii="Times New Roman" w:hAnsi="Times New Roman" w:cs="Times New Roman"/>
                      <w:b/>
                      <w:bCs/>
                      <w:color w:val="auto"/>
                      <w:sz w:val="21"/>
                      <w:szCs w:val="21"/>
                    </w:rPr>
                  </w:pPr>
                  <w:r>
                    <w:rPr>
                      <w:rFonts w:ascii="Times New Roman" w:hAnsi="Times New Roman" w:cs="Times New Roman"/>
                      <w:b/>
                      <w:bCs/>
                      <w:color w:val="auto"/>
                      <w:sz w:val="21"/>
                      <w:szCs w:val="21"/>
                    </w:rPr>
                    <w:t>时期</w:t>
                  </w:r>
                </w:p>
              </w:tc>
              <w:tc>
                <w:tcPr>
                  <w:tcW w:w="589" w:type="pct"/>
                  <w:tcBorders>
                    <w:tl2br w:val="nil"/>
                    <w:tr2bl w:val="nil"/>
                  </w:tcBorders>
                  <w:noWrap w:val="0"/>
                  <w:vAlign w:val="center"/>
                </w:tcPr>
                <w:p>
                  <w:pPr>
                    <w:tabs>
                      <w:tab w:val="left" w:pos="1170"/>
                    </w:tabs>
                    <w:adjustRightInd w:val="0"/>
                    <w:snapToGrid w:val="0"/>
                    <w:jc w:val="center"/>
                    <w:rPr>
                      <w:rFonts w:ascii="Times New Roman" w:hAnsi="Times New Roman" w:cs="Times New Roman"/>
                      <w:b/>
                      <w:bCs/>
                      <w:color w:val="auto"/>
                      <w:sz w:val="21"/>
                      <w:szCs w:val="21"/>
                    </w:rPr>
                  </w:pPr>
                  <w:r>
                    <w:rPr>
                      <w:rFonts w:ascii="Times New Roman" w:hAnsi="Times New Roman" w:cs="Times New Roman"/>
                      <w:b/>
                      <w:bCs/>
                      <w:color w:val="auto"/>
                      <w:sz w:val="21"/>
                      <w:szCs w:val="21"/>
                    </w:rPr>
                    <w:t>类别</w:t>
                  </w:r>
                </w:p>
              </w:tc>
              <w:tc>
                <w:tcPr>
                  <w:tcW w:w="1379" w:type="pct"/>
                  <w:tcBorders>
                    <w:tl2br w:val="nil"/>
                    <w:tr2bl w:val="nil"/>
                  </w:tcBorders>
                  <w:noWrap w:val="0"/>
                  <w:vAlign w:val="center"/>
                </w:tcPr>
                <w:p>
                  <w:pPr>
                    <w:tabs>
                      <w:tab w:val="left" w:pos="1170"/>
                    </w:tabs>
                    <w:adjustRightInd w:val="0"/>
                    <w:snapToGrid w:val="0"/>
                    <w:jc w:val="center"/>
                    <w:rPr>
                      <w:rFonts w:ascii="Times New Roman" w:hAnsi="Times New Roman" w:cs="Times New Roman"/>
                      <w:b/>
                      <w:bCs/>
                      <w:color w:val="auto"/>
                      <w:sz w:val="21"/>
                      <w:szCs w:val="21"/>
                    </w:rPr>
                  </w:pPr>
                  <w:r>
                    <w:rPr>
                      <w:rFonts w:ascii="Times New Roman" w:hAnsi="Times New Roman" w:cs="Times New Roman"/>
                      <w:b/>
                      <w:bCs/>
                      <w:color w:val="auto"/>
                      <w:sz w:val="21"/>
                      <w:szCs w:val="21"/>
                    </w:rPr>
                    <w:t>标准值</w:t>
                  </w:r>
                </w:p>
              </w:tc>
              <w:tc>
                <w:tcPr>
                  <w:tcW w:w="2442" w:type="pct"/>
                  <w:tcBorders>
                    <w:tl2br w:val="nil"/>
                    <w:tr2bl w:val="nil"/>
                  </w:tcBorders>
                  <w:noWrap w:val="0"/>
                  <w:vAlign w:val="center"/>
                </w:tcPr>
                <w:p>
                  <w:pPr>
                    <w:tabs>
                      <w:tab w:val="left" w:pos="1170"/>
                    </w:tabs>
                    <w:adjustRightInd w:val="0"/>
                    <w:snapToGrid w:val="0"/>
                    <w:jc w:val="center"/>
                    <w:rPr>
                      <w:rFonts w:ascii="Times New Roman" w:hAnsi="Times New Roman" w:cs="Times New Roman"/>
                      <w:b/>
                      <w:bCs/>
                      <w:color w:val="auto"/>
                      <w:sz w:val="21"/>
                      <w:szCs w:val="21"/>
                    </w:rPr>
                  </w:pPr>
                  <w:r>
                    <w:rPr>
                      <w:rFonts w:ascii="Times New Roman" w:hAnsi="Times New Roman" w:cs="Times New Roman"/>
                      <w:b/>
                      <w:bCs/>
                      <w:color w:val="auto"/>
                      <w:sz w:val="21"/>
                      <w:szCs w:val="21"/>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8" w:type="pct"/>
                  <w:vMerge w:val="restart"/>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r>
                    <w:rPr>
                      <w:rFonts w:ascii="Times New Roman" w:hAnsi="Times New Roman" w:cs="Times New Roman"/>
                      <w:color w:val="auto"/>
                      <w:sz w:val="21"/>
                      <w:szCs w:val="21"/>
                    </w:rPr>
                    <w:t>运营期</w:t>
                  </w:r>
                </w:p>
              </w:tc>
              <w:tc>
                <w:tcPr>
                  <w:tcW w:w="589" w:type="pct"/>
                  <w:vMerge w:val="restart"/>
                  <w:tcBorders>
                    <w:tl2br w:val="nil"/>
                    <w:tr2bl w:val="nil"/>
                  </w:tcBorders>
                  <w:noWrap w:val="0"/>
                  <w:vAlign w:val="center"/>
                </w:tcPr>
                <w:p>
                  <w:pPr>
                    <w:tabs>
                      <w:tab w:val="left" w:pos="1170"/>
                    </w:tabs>
                    <w:adjustRightInd w:val="0"/>
                    <w:snapToGrid w:val="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2</w:t>
                  </w:r>
                  <w:r>
                    <w:rPr>
                      <w:rFonts w:ascii="Times New Roman" w:hAnsi="Times New Roman" w:cs="Times New Roman"/>
                      <w:color w:val="auto"/>
                      <w:sz w:val="21"/>
                      <w:szCs w:val="21"/>
                    </w:rPr>
                    <w:t>类</w:t>
                  </w:r>
                </w:p>
              </w:tc>
              <w:tc>
                <w:tcPr>
                  <w:tcW w:w="1379" w:type="pct"/>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r>
                    <w:rPr>
                      <w:rFonts w:ascii="Times New Roman" w:hAnsi="Times New Roman" w:cs="Times New Roman"/>
                      <w:color w:val="auto"/>
                      <w:sz w:val="21"/>
                      <w:szCs w:val="21"/>
                    </w:rPr>
                    <w:t>昼间≤6</w:t>
                  </w:r>
                  <w:r>
                    <w:rPr>
                      <w:rFonts w:hint="eastAsia" w:cs="Times New Roman"/>
                      <w:color w:val="auto"/>
                      <w:sz w:val="21"/>
                      <w:szCs w:val="21"/>
                      <w:lang w:val="en-US" w:eastAsia="zh-CN"/>
                    </w:rPr>
                    <w:t>0</w:t>
                  </w:r>
                  <w:r>
                    <w:rPr>
                      <w:rFonts w:ascii="Times New Roman" w:hAnsi="Times New Roman" w:cs="Times New Roman"/>
                      <w:color w:val="auto"/>
                      <w:sz w:val="21"/>
                      <w:szCs w:val="21"/>
                    </w:rPr>
                    <w:t>dB(A)</w:t>
                  </w:r>
                </w:p>
              </w:tc>
              <w:tc>
                <w:tcPr>
                  <w:tcW w:w="2442" w:type="pct"/>
                  <w:vMerge w:val="restart"/>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r>
                    <w:rPr>
                      <w:rFonts w:ascii="Times New Roman" w:hAnsi="Times New Roman" w:cs="Times New Roman"/>
                      <w:color w:val="auto"/>
                      <w:sz w:val="21"/>
                      <w:szCs w:val="21"/>
                    </w:rPr>
                    <w:t>《工业企业厂界环境噪声排放标准》（GB12348-2008）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8" w:type="pct"/>
                  <w:vMerge w:val="continue"/>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p>
              </w:tc>
              <w:tc>
                <w:tcPr>
                  <w:tcW w:w="589" w:type="pct"/>
                  <w:vMerge w:val="continue"/>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p>
              </w:tc>
              <w:tc>
                <w:tcPr>
                  <w:tcW w:w="1379" w:type="pct"/>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r>
                    <w:rPr>
                      <w:rFonts w:ascii="Times New Roman" w:hAnsi="Times New Roman" w:cs="Times New Roman"/>
                      <w:color w:val="auto"/>
                      <w:sz w:val="21"/>
                      <w:szCs w:val="21"/>
                    </w:rPr>
                    <w:t>夜间≤5</w:t>
                  </w:r>
                  <w:r>
                    <w:rPr>
                      <w:rFonts w:hint="eastAsia" w:cs="Times New Roman"/>
                      <w:color w:val="auto"/>
                      <w:sz w:val="21"/>
                      <w:szCs w:val="21"/>
                      <w:lang w:val="en-US" w:eastAsia="zh-CN"/>
                    </w:rPr>
                    <w:t>0</w:t>
                  </w:r>
                  <w:r>
                    <w:rPr>
                      <w:rFonts w:ascii="Times New Roman" w:hAnsi="Times New Roman" w:cs="Times New Roman"/>
                      <w:color w:val="auto"/>
                      <w:sz w:val="21"/>
                      <w:szCs w:val="21"/>
                    </w:rPr>
                    <w:t>dB(A)</w:t>
                  </w:r>
                </w:p>
              </w:tc>
              <w:tc>
                <w:tcPr>
                  <w:tcW w:w="2442" w:type="pct"/>
                  <w:vMerge w:val="continue"/>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b/>
                <w:bCs/>
                <w:color w:val="auto"/>
                <w:sz w:val="24"/>
              </w:rPr>
            </w:pPr>
            <w:r>
              <w:rPr>
                <w:rFonts w:hint="eastAsia"/>
                <w:b/>
                <w:bCs/>
                <w:color w:val="auto"/>
                <w:sz w:val="24"/>
              </w:rPr>
              <w:t>4、固废</w:t>
            </w:r>
          </w:p>
          <w:p>
            <w:pPr>
              <w:adjustRightInd w:val="0"/>
              <w:snapToGrid w:val="0"/>
              <w:spacing w:line="360" w:lineRule="auto"/>
              <w:ind w:firstLine="480" w:firstLineChars="200"/>
              <w:jc w:val="left"/>
              <w:rPr>
                <w:rFonts w:cs="宋体"/>
                <w:color w:val="auto"/>
                <w:kern w:val="0"/>
                <w:sz w:val="24"/>
                <w:szCs w:val="21"/>
              </w:rPr>
            </w:pPr>
            <w:r>
              <w:rPr>
                <w:rFonts w:hint="eastAsia"/>
                <w:color w:val="auto"/>
                <w:sz w:val="24"/>
              </w:rPr>
              <w:t>一般工业固体废物执行《一般工业固体废物贮存和填埋污染控制标准》（GB18599-2020）；危险废物执行《危险物贮存污染控制标准》 （GB18597</w:t>
            </w:r>
            <w:r>
              <w:rPr>
                <w:rFonts w:hint="eastAsia"/>
                <w:color w:val="auto"/>
                <w:sz w:val="24"/>
                <w:lang w:val="en-US" w:eastAsia="zh-CN"/>
              </w:rPr>
              <w:t xml:space="preserve"> </w:t>
            </w:r>
            <w:r>
              <w:rPr>
                <w:rFonts w:hint="eastAsia"/>
                <w:color w:val="auto"/>
                <w:sz w:val="24"/>
              </w:rPr>
              <w:t>-20</w:t>
            </w:r>
            <w:r>
              <w:rPr>
                <w:rFonts w:hint="eastAsia"/>
                <w:color w:val="auto"/>
                <w:sz w:val="24"/>
                <w:lang w:val="en-US" w:eastAsia="zh-CN"/>
              </w:rPr>
              <w:t>23</w:t>
            </w:r>
            <w:r>
              <w:rPr>
                <w:rFonts w:hint="eastAsia"/>
                <w:color w:val="auto"/>
                <w:sz w:val="24"/>
              </w:rPr>
              <w:t>）</w:t>
            </w:r>
            <w:r>
              <w:rPr>
                <w:rFonts w:hint="eastAsia"/>
                <w:color w:val="auto"/>
                <w:sz w:val="24"/>
                <w:lang w:eastAsia="zh-CN"/>
              </w:rPr>
              <w:t>；</w:t>
            </w:r>
            <w:r>
              <w:rPr>
                <w:rFonts w:hint="eastAsia" w:ascii="Times New Roman" w:hAnsi="Times New Roman" w:eastAsia="宋体" w:cs="Times New Roman"/>
                <w:color w:val="auto"/>
                <w:sz w:val="24"/>
                <w:lang w:val="en-US" w:eastAsia="zh-CN"/>
              </w:rPr>
              <w:t>生活垃圾由垃圾桶集中分类收集后，交由当地环卫部门统一清运处理。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707" w:hRule="atLeast"/>
          <w:jc w:val="center"/>
        </w:trPr>
        <w:tc>
          <w:tcPr>
            <w:tcW w:w="800" w:type="dxa"/>
            <w:vAlign w:val="center"/>
          </w:tcPr>
          <w:p>
            <w:pPr>
              <w:adjustRightInd w:val="0"/>
              <w:snapToGrid w:val="0"/>
              <w:jc w:val="center"/>
              <w:rPr>
                <w:rFonts w:hint="eastAsia" w:eastAsia="宋体" w:cs="宋体"/>
                <w:color w:val="auto"/>
                <w:kern w:val="0"/>
                <w:sz w:val="24"/>
                <w:szCs w:val="21"/>
                <w:lang w:eastAsia="zh-CN"/>
              </w:rPr>
            </w:pPr>
            <w:r>
              <w:rPr>
                <w:rFonts w:hint="eastAsia" w:cs="宋体"/>
                <w:color w:val="auto"/>
                <w:kern w:val="0"/>
                <w:sz w:val="24"/>
                <w:szCs w:val="21"/>
                <w:lang w:val="en-US" w:eastAsia="zh-CN"/>
              </w:rPr>
              <w:t>其他</w:t>
            </w:r>
          </w:p>
        </w:tc>
        <w:tc>
          <w:tcPr>
            <w:tcW w:w="8190" w:type="dxa"/>
            <w:vAlign w:val="center"/>
          </w:tcPr>
          <w:p>
            <w:pPr>
              <w:adjustRightInd w:val="0"/>
              <w:snapToGrid w:val="0"/>
              <w:spacing w:line="360" w:lineRule="auto"/>
              <w:jc w:val="left"/>
              <w:rPr>
                <w:rFonts w:hint="eastAsia"/>
                <w:b/>
                <w:bCs/>
                <w:color w:val="auto"/>
                <w:sz w:val="24"/>
                <w:lang w:val="en-US" w:eastAsia="zh-CN"/>
              </w:rPr>
            </w:pPr>
            <w:r>
              <w:rPr>
                <w:rFonts w:hint="eastAsia"/>
                <w:b/>
                <w:bCs/>
                <w:color w:val="auto"/>
                <w:sz w:val="24"/>
                <w:lang w:val="en-US" w:eastAsia="zh-CN"/>
              </w:rPr>
              <w:t>总量控制：</w:t>
            </w:r>
          </w:p>
          <w:p>
            <w:pPr>
              <w:adjustRightInd w:val="0"/>
              <w:snapToGrid w:val="0"/>
              <w:spacing w:line="360" w:lineRule="auto"/>
              <w:ind w:firstLine="480" w:firstLineChars="200"/>
              <w:jc w:val="left"/>
              <w:rPr>
                <w:rFonts w:hint="eastAsia" w:eastAsia="宋体"/>
                <w:color w:val="auto"/>
                <w:sz w:val="24"/>
              </w:rPr>
            </w:pPr>
            <w:r>
              <w:rPr>
                <w:rFonts w:hint="eastAsia" w:eastAsia="宋体"/>
                <w:color w:val="auto"/>
                <w:sz w:val="24"/>
              </w:rPr>
              <w:t>根据国家对总量控制的要求，全省主要对SO</w:t>
            </w:r>
            <w:r>
              <w:rPr>
                <w:rFonts w:hint="eastAsia" w:eastAsia="宋体"/>
                <w:color w:val="auto"/>
                <w:sz w:val="24"/>
                <w:vertAlign w:val="subscript"/>
              </w:rPr>
              <w:t>2</w:t>
            </w:r>
            <w:r>
              <w:rPr>
                <w:rFonts w:hint="eastAsia" w:eastAsia="宋体"/>
                <w:color w:val="auto"/>
                <w:sz w:val="24"/>
              </w:rPr>
              <w:t>、NOx、COD、氨氮及</w:t>
            </w:r>
            <w:r>
              <w:rPr>
                <w:rFonts w:hint="eastAsia"/>
                <w:color w:val="auto"/>
                <w:sz w:val="24"/>
                <w:lang w:val="en-US" w:eastAsia="zh-CN"/>
              </w:rPr>
              <w:t>总磷</w:t>
            </w:r>
            <w:r>
              <w:rPr>
                <w:rFonts w:hint="eastAsia" w:eastAsia="宋体"/>
                <w:color w:val="auto"/>
                <w:sz w:val="24"/>
              </w:rPr>
              <w:t>实行总量控制。</w:t>
            </w:r>
          </w:p>
          <w:p>
            <w:pPr>
              <w:adjustRightInd w:val="0"/>
              <w:snapToGrid w:val="0"/>
              <w:spacing w:line="360" w:lineRule="auto"/>
              <w:ind w:firstLine="480" w:firstLineChars="200"/>
              <w:jc w:val="left"/>
              <w:rPr>
                <w:rFonts w:hint="eastAsia" w:eastAsia="宋体"/>
                <w:color w:val="auto"/>
                <w:sz w:val="24"/>
                <w:lang w:eastAsia="zh-CN"/>
              </w:rPr>
            </w:pPr>
            <w:r>
              <w:rPr>
                <w:rFonts w:hint="eastAsia" w:eastAsia="宋体"/>
                <w:color w:val="auto"/>
                <w:sz w:val="24"/>
              </w:rPr>
              <w:t>项目</w:t>
            </w:r>
            <w:r>
              <w:rPr>
                <w:rFonts w:hint="eastAsia"/>
                <w:color w:val="auto"/>
                <w:sz w:val="24"/>
                <w:lang w:val="en-US" w:eastAsia="zh-CN"/>
              </w:rPr>
              <w:t>安置区及其配套设施</w:t>
            </w:r>
            <w:r>
              <w:rPr>
                <w:rFonts w:hint="eastAsia" w:eastAsia="宋体"/>
                <w:color w:val="auto"/>
                <w:sz w:val="24"/>
              </w:rPr>
              <w:t>运营期间主要大气污染物为</w:t>
            </w:r>
            <w:r>
              <w:rPr>
                <w:rFonts w:hint="eastAsia"/>
                <w:color w:val="auto"/>
                <w:sz w:val="24"/>
                <w:lang w:val="en-US" w:eastAsia="zh-CN"/>
              </w:rPr>
              <w:t>油烟和恶臭</w:t>
            </w:r>
            <w:r>
              <w:rPr>
                <w:rFonts w:hint="eastAsia" w:eastAsia="宋体"/>
                <w:color w:val="auto"/>
                <w:sz w:val="24"/>
                <w:lang w:eastAsia="zh-CN"/>
              </w:rPr>
              <w:t>；</w:t>
            </w:r>
            <w:r>
              <w:rPr>
                <w:rFonts w:hint="eastAsia" w:eastAsia="宋体"/>
                <w:color w:val="auto"/>
                <w:sz w:val="24"/>
                <w:lang w:val="en-US" w:eastAsia="zh-CN"/>
              </w:rPr>
              <w:t>生活污水中总量</w:t>
            </w:r>
            <w:r>
              <w:rPr>
                <w:rFonts w:hint="eastAsia"/>
                <w:color w:val="auto"/>
                <w:sz w:val="24"/>
                <w:lang w:val="en-US" w:eastAsia="zh-CN"/>
              </w:rPr>
              <w:t>因子</w:t>
            </w:r>
            <w:r>
              <w:rPr>
                <w:rFonts w:hint="eastAsia" w:eastAsia="宋体"/>
                <w:color w:val="auto"/>
                <w:sz w:val="24"/>
              </w:rPr>
              <w:t>COD、</w:t>
            </w:r>
            <w:r>
              <w:rPr>
                <w:rFonts w:hint="eastAsia" w:eastAsia="宋体"/>
                <w:color w:val="auto"/>
                <w:sz w:val="24"/>
                <w:lang w:val="en-US" w:eastAsia="zh-CN"/>
              </w:rPr>
              <w:t>氨氮</w:t>
            </w:r>
            <w:r>
              <w:rPr>
                <w:rFonts w:hint="eastAsia"/>
                <w:color w:val="auto"/>
                <w:sz w:val="24"/>
                <w:lang w:val="en-US" w:eastAsia="zh-CN"/>
              </w:rPr>
              <w:t>、TP，</w:t>
            </w:r>
            <w:r>
              <w:rPr>
                <w:rFonts w:hint="eastAsia" w:eastAsia="宋体"/>
                <w:color w:val="auto"/>
                <w:sz w:val="24"/>
                <w:lang w:val="en-US" w:eastAsia="zh-CN"/>
              </w:rPr>
              <w:t>已纳入</w:t>
            </w:r>
            <w:r>
              <w:rPr>
                <w:rFonts w:hint="eastAsia"/>
                <w:color w:val="auto"/>
                <w:sz w:val="24"/>
                <w:lang w:val="en-US" w:eastAsia="zh-CN"/>
              </w:rPr>
              <w:t>下游污水处理</w:t>
            </w:r>
            <w:r>
              <w:rPr>
                <w:rFonts w:hint="eastAsia" w:eastAsia="宋体"/>
                <w:color w:val="auto"/>
                <w:sz w:val="24"/>
                <w:lang w:val="en-US" w:eastAsia="zh-CN"/>
              </w:rPr>
              <w:t>厂</w:t>
            </w:r>
            <w:r>
              <w:rPr>
                <w:rFonts w:hint="eastAsia" w:eastAsia="宋体"/>
                <w:color w:val="auto"/>
                <w:sz w:val="24"/>
              </w:rPr>
              <w:t>总量控制指标中，无需申请总量控制指标</w:t>
            </w:r>
            <w:r>
              <w:rPr>
                <w:rFonts w:hint="eastAsia" w:eastAsia="宋体"/>
                <w:color w:val="auto"/>
                <w:sz w:val="24"/>
                <w:lang w:eastAsia="zh-CN"/>
              </w:rPr>
              <w:t>。</w:t>
            </w:r>
          </w:p>
          <w:p>
            <w:pPr>
              <w:spacing w:line="360" w:lineRule="auto"/>
              <w:ind w:firstLine="480" w:firstLineChars="200"/>
              <w:jc w:val="left"/>
              <w:rPr>
                <w:color w:val="auto"/>
                <w:sz w:val="24"/>
              </w:rPr>
            </w:pPr>
            <w:r>
              <w:rPr>
                <w:rFonts w:hint="eastAsia"/>
                <w:color w:val="auto"/>
                <w:sz w:val="24"/>
                <w:lang w:val="en-US" w:eastAsia="zh-CN"/>
              </w:rPr>
              <w:t>项目配套污水处理厂</w:t>
            </w:r>
            <w:r>
              <w:rPr>
                <w:rFonts w:hint="eastAsia"/>
                <w:color w:val="auto"/>
                <w:sz w:val="24"/>
              </w:rPr>
              <w:t>出水执行</w:t>
            </w:r>
            <w:r>
              <w:rPr>
                <w:color w:val="auto"/>
                <w:sz w:val="24"/>
              </w:rPr>
              <w:t>《城镇污水处理厂污染物排放标准》（GB</w:t>
            </w:r>
            <w:r>
              <w:rPr>
                <w:rFonts w:hint="eastAsia"/>
                <w:color w:val="auto"/>
                <w:sz w:val="24"/>
                <w:lang w:val="en-US" w:eastAsia="zh-CN"/>
              </w:rPr>
              <w:t xml:space="preserve"> </w:t>
            </w:r>
            <w:r>
              <w:rPr>
                <w:color w:val="auto"/>
                <w:sz w:val="24"/>
              </w:rPr>
              <w:t>18918-2002）中一级</w:t>
            </w:r>
            <w:r>
              <w:rPr>
                <w:rFonts w:hint="eastAsia"/>
                <w:color w:val="auto"/>
                <w:sz w:val="24"/>
              </w:rPr>
              <w:t>A</w:t>
            </w:r>
            <w:r>
              <w:rPr>
                <w:color w:val="auto"/>
                <w:sz w:val="24"/>
              </w:rPr>
              <w:t>标准</w:t>
            </w:r>
            <w:r>
              <w:rPr>
                <w:rFonts w:hint="eastAsia"/>
                <w:color w:val="auto"/>
                <w:sz w:val="24"/>
              </w:rPr>
              <w:t>。</w:t>
            </w:r>
            <w:r>
              <w:rPr>
                <w:color w:val="auto"/>
                <w:sz w:val="24"/>
              </w:rPr>
              <w:t>由</w:t>
            </w:r>
            <w:r>
              <w:rPr>
                <w:rFonts w:hint="eastAsia"/>
                <w:color w:val="auto"/>
                <w:sz w:val="24"/>
              </w:rPr>
              <w:t>项目</w:t>
            </w:r>
            <w:r>
              <w:rPr>
                <w:color w:val="auto"/>
                <w:sz w:val="24"/>
              </w:rPr>
              <w:t>排放口排入</w:t>
            </w:r>
            <w:r>
              <w:rPr>
                <w:rFonts w:hint="eastAsia"/>
                <w:color w:val="auto"/>
                <w:sz w:val="24"/>
              </w:rPr>
              <w:t>地表水体</w:t>
            </w:r>
            <w:r>
              <w:rPr>
                <w:color w:val="auto"/>
                <w:sz w:val="24"/>
              </w:rPr>
              <w:t>污染物的量计算如下</w:t>
            </w:r>
            <w:r>
              <w:rPr>
                <w:rFonts w:hint="eastAsia"/>
                <w:color w:val="auto"/>
                <w:sz w:val="24"/>
              </w:rPr>
              <w:t>表所示</w:t>
            </w:r>
            <w:r>
              <w:rPr>
                <w:color w:val="auto"/>
                <w:sz w:val="24"/>
              </w:rPr>
              <w:t>：</w:t>
            </w:r>
          </w:p>
          <w:p>
            <w:pPr>
              <w:pStyle w:val="93"/>
              <w:spacing w:before="46" w:beforeLines="15" w:after="46" w:afterLines="15" w:line="240" w:lineRule="auto"/>
              <w:ind w:firstLine="0" w:firstLineChars="0"/>
              <w:jc w:val="center"/>
              <w:rPr>
                <w:rFonts w:ascii="Times New Roman" w:hAnsi="Times New Roman"/>
                <w:b/>
                <w:color w:val="auto"/>
                <w:sz w:val="21"/>
                <w:szCs w:val="21"/>
              </w:rPr>
            </w:pPr>
            <w:r>
              <w:rPr>
                <w:rFonts w:ascii="Times New Roman" w:hAnsi="Times New Roman"/>
                <w:b/>
                <w:color w:val="auto"/>
                <w:sz w:val="21"/>
                <w:szCs w:val="21"/>
              </w:rPr>
              <w:t>表3</w:t>
            </w:r>
            <w:r>
              <w:rPr>
                <w:rFonts w:hint="eastAsia" w:ascii="Times New Roman" w:hAnsi="Times New Roman"/>
                <w:b/>
                <w:color w:val="auto"/>
                <w:sz w:val="21"/>
                <w:szCs w:val="21"/>
              </w:rPr>
              <w:t>-1</w:t>
            </w:r>
            <w:r>
              <w:rPr>
                <w:rFonts w:hint="eastAsia" w:ascii="Times New Roman" w:hAnsi="Times New Roman"/>
                <w:b/>
                <w:color w:val="auto"/>
                <w:sz w:val="21"/>
                <w:szCs w:val="21"/>
                <w:lang w:val="en-US" w:eastAsia="zh-CN"/>
              </w:rPr>
              <w:t xml:space="preserve">4 </w:t>
            </w:r>
            <w:r>
              <w:rPr>
                <w:rFonts w:ascii="Times New Roman" w:hAnsi="Times New Roman"/>
                <w:b/>
                <w:color w:val="auto"/>
                <w:sz w:val="21"/>
                <w:szCs w:val="21"/>
              </w:rPr>
              <w:t>本项目总量控制预测建议指标</w:t>
            </w:r>
          </w:p>
          <w:tbl>
            <w:tblPr>
              <w:tblStyle w:val="23"/>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341"/>
              <w:gridCol w:w="1111"/>
              <w:gridCol w:w="1682"/>
              <w:gridCol w:w="1460"/>
              <w:gridCol w:w="14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317" w:type="dxa"/>
                  <w:vAlign w:val="center"/>
                </w:tcPr>
                <w:p>
                  <w:pPr>
                    <w:pStyle w:val="94"/>
                    <w:snapToGrid w:val="0"/>
                    <w:rPr>
                      <w:b/>
                      <w:bCs/>
                      <w:color w:val="auto"/>
                      <w:sz w:val="18"/>
                      <w:szCs w:val="18"/>
                      <w:lang w:val="en-US"/>
                    </w:rPr>
                  </w:pPr>
                  <w:r>
                    <w:rPr>
                      <w:rFonts w:hint="eastAsia"/>
                      <w:b/>
                      <w:bCs/>
                      <w:color w:val="auto"/>
                      <w:sz w:val="18"/>
                      <w:szCs w:val="18"/>
                      <w:lang w:val="en-US"/>
                    </w:rPr>
                    <w:t>项目</w:t>
                  </w:r>
                </w:p>
              </w:tc>
              <w:tc>
                <w:tcPr>
                  <w:tcW w:w="1100" w:type="dxa"/>
                  <w:vAlign w:val="center"/>
                </w:tcPr>
                <w:p>
                  <w:pPr>
                    <w:pStyle w:val="94"/>
                    <w:snapToGrid w:val="0"/>
                    <w:rPr>
                      <w:b/>
                      <w:bCs/>
                      <w:color w:val="auto"/>
                      <w:sz w:val="18"/>
                      <w:szCs w:val="18"/>
                      <w:lang w:val="en-US"/>
                    </w:rPr>
                  </w:pPr>
                  <w:r>
                    <w:rPr>
                      <w:b/>
                      <w:bCs/>
                      <w:color w:val="auto"/>
                      <w:sz w:val="18"/>
                      <w:szCs w:val="18"/>
                      <w:lang w:val="zh-TW" w:eastAsia="zh-TW"/>
                    </w:rPr>
                    <w:t>污染因子</w:t>
                  </w:r>
                </w:p>
              </w:tc>
              <w:tc>
                <w:tcPr>
                  <w:tcW w:w="1665" w:type="dxa"/>
                  <w:vAlign w:val="center"/>
                </w:tcPr>
                <w:p>
                  <w:pPr>
                    <w:pStyle w:val="94"/>
                    <w:snapToGrid w:val="0"/>
                    <w:rPr>
                      <w:b/>
                      <w:bCs/>
                      <w:color w:val="auto"/>
                      <w:sz w:val="18"/>
                      <w:szCs w:val="18"/>
                    </w:rPr>
                  </w:pPr>
                  <w:r>
                    <w:rPr>
                      <w:rFonts w:hint="eastAsia"/>
                      <w:b/>
                      <w:bCs/>
                      <w:color w:val="auto"/>
                      <w:sz w:val="18"/>
                      <w:szCs w:val="18"/>
                      <w:lang w:val="en-US"/>
                    </w:rPr>
                    <w:t>出水</w:t>
                  </w:r>
                  <w:r>
                    <w:rPr>
                      <w:b/>
                      <w:bCs/>
                      <w:color w:val="auto"/>
                      <w:sz w:val="18"/>
                      <w:szCs w:val="18"/>
                      <w:lang w:val="zh-TW" w:eastAsia="zh-TW"/>
                    </w:rPr>
                    <w:t>浓度</w:t>
                  </w:r>
                  <w:r>
                    <w:rPr>
                      <w:rFonts w:hint="eastAsia"/>
                      <w:b/>
                      <w:bCs/>
                      <w:color w:val="auto"/>
                      <w:sz w:val="18"/>
                      <w:szCs w:val="18"/>
                      <w:lang w:val="zh-TW"/>
                    </w:rPr>
                    <w:t>（</w:t>
                  </w:r>
                  <w:r>
                    <w:rPr>
                      <w:b/>
                      <w:bCs/>
                      <w:color w:val="auto"/>
                      <w:sz w:val="18"/>
                      <w:szCs w:val="18"/>
                    </w:rPr>
                    <w:t>mg/L</w:t>
                  </w:r>
                  <w:r>
                    <w:rPr>
                      <w:rFonts w:hint="eastAsia"/>
                      <w:b/>
                      <w:bCs/>
                      <w:color w:val="auto"/>
                      <w:sz w:val="18"/>
                      <w:szCs w:val="18"/>
                    </w:rPr>
                    <w:t>）</w:t>
                  </w:r>
                </w:p>
              </w:tc>
              <w:tc>
                <w:tcPr>
                  <w:tcW w:w="1445" w:type="dxa"/>
                  <w:vAlign w:val="center"/>
                </w:tcPr>
                <w:p>
                  <w:pPr>
                    <w:pStyle w:val="94"/>
                    <w:snapToGrid w:val="0"/>
                    <w:rPr>
                      <w:b/>
                      <w:bCs/>
                      <w:color w:val="auto"/>
                      <w:sz w:val="18"/>
                      <w:szCs w:val="18"/>
                      <w:lang w:val="en-US"/>
                    </w:rPr>
                  </w:pPr>
                  <w:r>
                    <w:rPr>
                      <w:rFonts w:hint="eastAsia"/>
                      <w:b/>
                      <w:bCs/>
                      <w:color w:val="auto"/>
                      <w:sz w:val="18"/>
                      <w:szCs w:val="18"/>
                      <w:lang w:val="en-US"/>
                    </w:rPr>
                    <w:t>处理规模（m</w:t>
                  </w:r>
                  <w:r>
                    <w:rPr>
                      <w:rFonts w:hint="eastAsia"/>
                      <w:b/>
                      <w:bCs/>
                      <w:color w:val="auto"/>
                      <w:sz w:val="18"/>
                      <w:szCs w:val="18"/>
                      <w:vertAlign w:val="superscript"/>
                      <w:lang w:val="en-US"/>
                    </w:rPr>
                    <w:t>3</w:t>
                  </w:r>
                  <w:r>
                    <w:rPr>
                      <w:rFonts w:hint="eastAsia"/>
                      <w:b/>
                      <w:bCs/>
                      <w:color w:val="auto"/>
                      <w:sz w:val="18"/>
                      <w:szCs w:val="18"/>
                      <w:lang w:val="en-US"/>
                    </w:rPr>
                    <w:t>/d）</w:t>
                  </w:r>
                </w:p>
              </w:tc>
              <w:tc>
                <w:tcPr>
                  <w:tcW w:w="1445" w:type="dxa"/>
                  <w:vAlign w:val="center"/>
                </w:tcPr>
                <w:p>
                  <w:pPr>
                    <w:pStyle w:val="94"/>
                    <w:snapToGrid w:val="0"/>
                    <w:rPr>
                      <w:b/>
                      <w:bCs/>
                      <w:color w:val="auto"/>
                      <w:sz w:val="18"/>
                      <w:szCs w:val="18"/>
                      <w:lang w:val="en-US"/>
                    </w:rPr>
                  </w:pPr>
                  <w:r>
                    <w:rPr>
                      <w:b/>
                      <w:bCs/>
                      <w:color w:val="auto"/>
                      <w:sz w:val="18"/>
                      <w:szCs w:val="18"/>
                      <w:lang w:val="zh-TW" w:eastAsia="zh-TW"/>
                    </w:rPr>
                    <w:t>排放量</w:t>
                  </w:r>
                  <w:r>
                    <w:rPr>
                      <w:rFonts w:hint="eastAsia"/>
                      <w:b/>
                      <w:bCs/>
                      <w:color w:val="auto"/>
                      <w:sz w:val="18"/>
                      <w:szCs w:val="18"/>
                      <w:lang w:val="zh-TW"/>
                    </w:rPr>
                    <w:t>（</w:t>
                  </w:r>
                  <w:r>
                    <w:rPr>
                      <w:rFonts w:hint="eastAsia"/>
                      <w:color w:val="auto"/>
                      <w:sz w:val="18"/>
                      <w:szCs w:val="18"/>
                      <w:lang w:val="en-US"/>
                    </w:rPr>
                    <w:t>t/a</w:t>
                  </w:r>
                  <w:r>
                    <w:rPr>
                      <w:rFonts w:hint="eastAsia"/>
                      <w:b/>
                      <w:bCs/>
                      <w:color w:val="auto"/>
                      <w:sz w:val="18"/>
                      <w:szCs w:val="18"/>
                      <w:lang w:val="zh-TW"/>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317" w:type="dxa"/>
                  <w:vMerge w:val="restart"/>
                  <w:vAlign w:val="center"/>
                </w:tcPr>
                <w:p>
                  <w:pPr>
                    <w:jc w:val="center"/>
                    <w:rPr>
                      <w:b/>
                      <w:bCs/>
                      <w:color w:val="auto"/>
                      <w:sz w:val="18"/>
                      <w:szCs w:val="18"/>
                    </w:rPr>
                  </w:pPr>
                  <w:r>
                    <w:rPr>
                      <w:rFonts w:hint="eastAsia"/>
                      <w:b/>
                      <w:bCs/>
                      <w:color w:val="auto"/>
                      <w:sz w:val="18"/>
                      <w:szCs w:val="18"/>
                    </w:rPr>
                    <w:t>本次</w:t>
                  </w:r>
                  <w:r>
                    <w:rPr>
                      <w:rFonts w:hint="eastAsia"/>
                      <w:b/>
                      <w:bCs/>
                      <w:color w:val="auto"/>
                      <w:sz w:val="18"/>
                      <w:szCs w:val="18"/>
                      <w:lang w:val="en-US" w:eastAsia="zh-CN"/>
                    </w:rPr>
                    <w:t>配套</w:t>
                  </w:r>
                  <w:r>
                    <w:rPr>
                      <w:b/>
                      <w:bCs/>
                      <w:color w:val="auto"/>
                      <w:sz w:val="18"/>
                      <w:szCs w:val="18"/>
                    </w:rPr>
                    <w:t>污水处理厂</w:t>
                  </w:r>
                </w:p>
              </w:tc>
              <w:tc>
                <w:tcPr>
                  <w:tcW w:w="1100" w:type="dxa"/>
                  <w:vAlign w:val="center"/>
                </w:tcPr>
                <w:p>
                  <w:pPr>
                    <w:pStyle w:val="94"/>
                    <w:snapToGrid w:val="0"/>
                    <w:rPr>
                      <w:color w:val="auto"/>
                      <w:sz w:val="18"/>
                      <w:szCs w:val="18"/>
                    </w:rPr>
                  </w:pPr>
                  <w:r>
                    <w:rPr>
                      <w:color w:val="auto"/>
                      <w:sz w:val="18"/>
                      <w:szCs w:val="18"/>
                    </w:rPr>
                    <w:t>COD</w:t>
                  </w:r>
                </w:p>
              </w:tc>
              <w:tc>
                <w:tcPr>
                  <w:tcW w:w="1665" w:type="dxa"/>
                  <w:vAlign w:val="center"/>
                </w:tcPr>
                <w:p>
                  <w:pPr>
                    <w:pStyle w:val="94"/>
                    <w:snapToGrid w:val="0"/>
                    <w:rPr>
                      <w:color w:val="auto"/>
                      <w:sz w:val="18"/>
                      <w:szCs w:val="18"/>
                      <w:lang w:val="en-US"/>
                    </w:rPr>
                  </w:pPr>
                  <w:r>
                    <w:rPr>
                      <w:rFonts w:hint="eastAsia"/>
                      <w:color w:val="auto"/>
                      <w:sz w:val="18"/>
                      <w:szCs w:val="18"/>
                      <w:lang w:val="en-US"/>
                    </w:rPr>
                    <w:t>50</w:t>
                  </w:r>
                </w:p>
              </w:tc>
              <w:tc>
                <w:tcPr>
                  <w:tcW w:w="1445" w:type="dxa"/>
                  <w:vMerge w:val="restart"/>
                  <w:vAlign w:val="center"/>
                </w:tcPr>
                <w:p>
                  <w:pPr>
                    <w:pStyle w:val="94"/>
                    <w:snapToGrid w:val="0"/>
                    <w:rPr>
                      <w:color w:val="auto"/>
                      <w:sz w:val="18"/>
                      <w:szCs w:val="18"/>
                      <w:lang w:val="en-US"/>
                    </w:rPr>
                  </w:pPr>
                  <w:r>
                    <w:rPr>
                      <w:rFonts w:hint="eastAsia"/>
                      <w:color w:val="auto"/>
                      <w:sz w:val="18"/>
                      <w:szCs w:val="18"/>
                      <w:lang w:val="en-US" w:eastAsia="zh-CN"/>
                    </w:rPr>
                    <w:t>3</w:t>
                  </w:r>
                  <w:r>
                    <w:rPr>
                      <w:rFonts w:hint="eastAsia"/>
                      <w:color w:val="auto"/>
                      <w:sz w:val="18"/>
                      <w:szCs w:val="18"/>
                      <w:lang w:val="en-US"/>
                    </w:rPr>
                    <w:t>00</w:t>
                  </w:r>
                </w:p>
              </w:tc>
              <w:tc>
                <w:tcPr>
                  <w:tcW w:w="1445" w:type="dxa"/>
                  <w:vAlign w:val="center"/>
                </w:tcPr>
                <w:p>
                  <w:pPr>
                    <w:pStyle w:val="94"/>
                    <w:snapToGrid w:val="0"/>
                    <w:rPr>
                      <w:rFonts w:hint="eastAsia" w:eastAsia="宋体"/>
                      <w:color w:val="auto"/>
                      <w:sz w:val="18"/>
                      <w:szCs w:val="18"/>
                      <w:lang w:val="en-US" w:eastAsia="zh-CN"/>
                    </w:rPr>
                  </w:pPr>
                  <w:r>
                    <w:rPr>
                      <w:rFonts w:hint="eastAsia"/>
                      <w:color w:val="auto"/>
                      <w:sz w:val="18"/>
                      <w:szCs w:val="18"/>
                      <w:lang w:val="en-US"/>
                    </w:rPr>
                    <w:t>5</w:t>
                  </w:r>
                  <w:r>
                    <w:rPr>
                      <w:rFonts w:hint="eastAsia"/>
                      <w:color w:val="auto"/>
                      <w:sz w:val="18"/>
                      <w:szCs w:val="18"/>
                      <w:lang w:val="en-US" w:eastAsia="zh-CN"/>
                    </w:rPr>
                    <w:t>.</w:t>
                  </w:r>
                  <w:r>
                    <w:rPr>
                      <w:rFonts w:hint="eastAsia"/>
                      <w:color w:val="auto"/>
                      <w:sz w:val="18"/>
                      <w:szCs w:val="18"/>
                      <w:lang w:val="en-US"/>
                    </w:rPr>
                    <w:t>4</w:t>
                  </w:r>
                  <w:r>
                    <w:rPr>
                      <w:rFonts w:hint="eastAsia"/>
                      <w:color w:val="auto"/>
                      <w:sz w:val="18"/>
                      <w:szCs w:val="18"/>
                      <w:lang w:val="en-US" w:eastAsia="zh-CN"/>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317" w:type="dxa"/>
                  <w:vMerge w:val="continue"/>
                  <w:vAlign w:val="center"/>
                </w:tcPr>
                <w:p>
                  <w:pPr>
                    <w:pStyle w:val="94"/>
                    <w:snapToGrid w:val="0"/>
                    <w:rPr>
                      <w:b/>
                      <w:bCs/>
                      <w:color w:val="auto"/>
                      <w:sz w:val="18"/>
                      <w:szCs w:val="18"/>
                    </w:rPr>
                  </w:pPr>
                </w:p>
              </w:tc>
              <w:tc>
                <w:tcPr>
                  <w:tcW w:w="1100" w:type="dxa"/>
                  <w:vAlign w:val="center"/>
                </w:tcPr>
                <w:p>
                  <w:pPr>
                    <w:pStyle w:val="94"/>
                    <w:snapToGrid w:val="0"/>
                    <w:rPr>
                      <w:color w:val="auto"/>
                      <w:sz w:val="18"/>
                      <w:szCs w:val="18"/>
                    </w:rPr>
                  </w:pPr>
                  <w:r>
                    <w:rPr>
                      <w:color w:val="auto"/>
                      <w:sz w:val="18"/>
                      <w:szCs w:val="18"/>
                    </w:rPr>
                    <w:t>NH</w:t>
                  </w:r>
                  <w:r>
                    <w:rPr>
                      <w:color w:val="auto"/>
                      <w:sz w:val="18"/>
                      <w:szCs w:val="18"/>
                      <w:vertAlign w:val="subscript"/>
                    </w:rPr>
                    <w:t>3</w:t>
                  </w:r>
                  <w:r>
                    <w:rPr>
                      <w:color w:val="auto"/>
                      <w:sz w:val="18"/>
                      <w:szCs w:val="18"/>
                    </w:rPr>
                    <w:t>-N</w:t>
                  </w:r>
                </w:p>
              </w:tc>
              <w:tc>
                <w:tcPr>
                  <w:tcW w:w="1665" w:type="dxa"/>
                  <w:vAlign w:val="center"/>
                </w:tcPr>
                <w:p>
                  <w:pPr>
                    <w:pStyle w:val="94"/>
                    <w:snapToGrid w:val="0"/>
                    <w:rPr>
                      <w:color w:val="auto"/>
                      <w:sz w:val="18"/>
                      <w:szCs w:val="18"/>
                      <w:lang w:val="en-US"/>
                    </w:rPr>
                  </w:pPr>
                  <w:r>
                    <w:rPr>
                      <w:rFonts w:hint="eastAsia"/>
                      <w:color w:val="auto"/>
                      <w:sz w:val="18"/>
                      <w:szCs w:val="18"/>
                      <w:lang w:val="en-US"/>
                    </w:rPr>
                    <w:t>5（8）</w:t>
                  </w:r>
                </w:p>
              </w:tc>
              <w:tc>
                <w:tcPr>
                  <w:tcW w:w="1445" w:type="dxa"/>
                  <w:vMerge w:val="continue"/>
                  <w:vAlign w:val="center"/>
                </w:tcPr>
                <w:p>
                  <w:pPr>
                    <w:pStyle w:val="94"/>
                    <w:snapToGrid w:val="0"/>
                    <w:rPr>
                      <w:color w:val="auto"/>
                      <w:sz w:val="18"/>
                      <w:szCs w:val="18"/>
                      <w:lang w:val="en-US"/>
                    </w:rPr>
                  </w:pPr>
                </w:p>
              </w:tc>
              <w:tc>
                <w:tcPr>
                  <w:tcW w:w="1445" w:type="dxa"/>
                  <w:vAlign w:val="center"/>
                </w:tcPr>
                <w:p>
                  <w:pPr>
                    <w:pStyle w:val="94"/>
                    <w:snapToGrid w:val="0"/>
                    <w:rPr>
                      <w:rFonts w:hint="default" w:eastAsia="宋体"/>
                      <w:color w:val="auto"/>
                      <w:sz w:val="18"/>
                      <w:szCs w:val="18"/>
                      <w:lang w:val="en-US" w:eastAsia="zh-CN"/>
                    </w:rPr>
                  </w:pPr>
                  <w:r>
                    <w:rPr>
                      <w:rFonts w:hint="eastAsia"/>
                      <w:color w:val="auto"/>
                      <w:sz w:val="18"/>
                      <w:szCs w:val="18"/>
                      <w:lang w:val="en-US" w:eastAsia="zh-CN"/>
                    </w:rPr>
                    <w:t>0.629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317" w:type="dxa"/>
                  <w:vMerge w:val="continue"/>
                  <w:vAlign w:val="center"/>
                </w:tcPr>
                <w:p>
                  <w:pPr>
                    <w:pStyle w:val="94"/>
                    <w:snapToGrid w:val="0"/>
                    <w:rPr>
                      <w:b/>
                      <w:bCs/>
                      <w:color w:val="auto"/>
                      <w:sz w:val="18"/>
                      <w:szCs w:val="18"/>
                    </w:rPr>
                  </w:pPr>
                </w:p>
              </w:tc>
              <w:tc>
                <w:tcPr>
                  <w:tcW w:w="1100" w:type="dxa"/>
                  <w:vAlign w:val="center"/>
                </w:tcPr>
                <w:p>
                  <w:pPr>
                    <w:pStyle w:val="94"/>
                    <w:snapToGrid w:val="0"/>
                    <w:rPr>
                      <w:color w:val="auto"/>
                      <w:sz w:val="18"/>
                      <w:szCs w:val="18"/>
                      <w:lang w:val="en-US"/>
                    </w:rPr>
                  </w:pPr>
                  <w:r>
                    <w:rPr>
                      <w:rFonts w:hint="eastAsia"/>
                      <w:color w:val="auto"/>
                      <w:sz w:val="18"/>
                      <w:szCs w:val="18"/>
                      <w:lang w:val="en-US"/>
                    </w:rPr>
                    <w:t>TP</w:t>
                  </w:r>
                </w:p>
              </w:tc>
              <w:tc>
                <w:tcPr>
                  <w:tcW w:w="1665" w:type="dxa"/>
                  <w:vAlign w:val="center"/>
                </w:tcPr>
                <w:p>
                  <w:pPr>
                    <w:pStyle w:val="94"/>
                    <w:snapToGrid w:val="0"/>
                    <w:rPr>
                      <w:color w:val="auto"/>
                      <w:sz w:val="18"/>
                      <w:szCs w:val="18"/>
                      <w:lang w:val="en-US"/>
                    </w:rPr>
                  </w:pPr>
                  <w:r>
                    <w:rPr>
                      <w:rFonts w:hint="eastAsia"/>
                      <w:color w:val="auto"/>
                      <w:sz w:val="18"/>
                      <w:szCs w:val="18"/>
                      <w:lang w:val="en-US"/>
                    </w:rPr>
                    <w:t>0.5</w:t>
                  </w:r>
                </w:p>
              </w:tc>
              <w:tc>
                <w:tcPr>
                  <w:tcW w:w="1445" w:type="dxa"/>
                  <w:vMerge w:val="continue"/>
                  <w:vAlign w:val="center"/>
                </w:tcPr>
                <w:p>
                  <w:pPr>
                    <w:pStyle w:val="94"/>
                    <w:snapToGrid w:val="0"/>
                    <w:rPr>
                      <w:color w:val="auto"/>
                      <w:sz w:val="18"/>
                      <w:szCs w:val="18"/>
                      <w:lang w:val="en-US"/>
                    </w:rPr>
                  </w:pPr>
                </w:p>
              </w:tc>
              <w:tc>
                <w:tcPr>
                  <w:tcW w:w="1445" w:type="dxa"/>
                  <w:vAlign w:val="center"/>
                </w:tcPr>
                <w:p>
                  <w:pPr>
                    <w:pStyle w:val="94"/>
                    <w:snapToGrid w:val="0"/>
                    <w:rPr>
                      <w:rFonts w:hint="default" w:eastAsia="宋体"/>
                      <w:color w:val="auto"/>
                      <w:sz w:val="18"/>
                      <w:szCs w:val="18"/>
                      <w:lang w:val="en-US" w:eastAsia="zh-CN"/>
                    </w:rPr>
                  </w:pPr>
                  <w:r>
                    <w:rPr>
                      <w:rFonts w:hint="eastAsia"/>
                      <w:color w:val="auto"/>
                      <w:sz w:val="18"/>
                      <w:szCs w:val="18"/>
                      <w:lang w:val="en-US" w:eastAsia="zh-CN"/>
                    </w:rPr>
                    <w:t>0.055</w:t>
                  </w:r>
                </w:p>
              </w:tc>
            </w:tr>
          </w:tbl>
          <w:p>
            <w:pPr>
              <w:spacing w:line="360" w:lineRule="auto"/>
              <w:ind w:firstLine="480" w:firstLineChars="200"/>
              <w:jc w:val="left"/>
              <w:rPr>
                <w:color w:val="auto"/>
                <w:sz w:val="24"/>
              </w:rPr>
            </w:pPr>
            <w:r>
              <w:rPr>
                <w:rFonts w:hint="eastAsia"/>
                <w:color w:val="auto"/>
                <w:sz w:val="24"/>
              </w:rPr>
              <w:t>本项目</w:t>
            </w:r>
            <w:r>
              <w:rPr>
                <w:rFonts w:hint="eastAsia"/>
                <w:color w:val="auto"/>
                <w:sz w:val="24"/>
                <w:lang w:val="en-US" w:eastAsia="zh-CN"/>
              </w:rPr>
              <w:t>配套污水处理厂</w:t>
            </w:r>
            <w:r>
              <w:rPr>
                <w:rFonts w:hint="eastAsia"/>
                <w:color w:val="auto"/>
                <w:sz w:val="24"/>
              </w:rPr>
              <w:t>建议的总量指标为：</w:t>
            </w:r>
          </w:p>
          <w:p>
            <w:pPr>
              <w:adjustRightInd w:val="0"/>
              <w:snapToGrid w:val="0"/>
              <w:spacing w:line="360" w:lineRule="auto"/>
              <w:ind w:firstLine="480" w:firstLineChars="200"/>
              <w:jc w:val="left"/>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COD：5.48t/a、NH</w:t>
            </w:r>
            <w:r>
              <w:rPr>
                <w:rFonts w:hint="eastAsia" w:ascii="Times New Roman" w:hAnsi="Times New Roman" w:eastAsia="宋体" w:cs="Times New Roman"/>
                <w:color w:val="auto"/>
                <w:sz w:val="24"/>
                <w:vertAlign w:val="subscript"/>
                <w:lang w:val="en-US" w:eastAsia="zh-CN"/>
              </w:rPr>
              <w:t>3</w:t>
            </w:r>
            <w:r>
              <w:rPr>
                <w:rFonts w:hint="eastAsia" w:ascii="Times New Roman" w:hAnsi="Times New Roman" w:eastAsia="宋体" w:cs="Times New Roman"/>
                <w:color w:val="auto"/>
                <w:sz w:val="24"/>
                <w:lang w:val="en-US" w:eastAsia="zh-CN"/>
              </w:rPr>
              <w:t>-N：0.629t/a、总磷：0.055t/a。</w:t>
            </w:r>
          </w:p>
          <w:p>
            <w:pPr>
              <w:adjustRightInd w:val="0"/>
              <w:snapToGrid w:val="0"/>
              <w:spacing w:line="360" w:lineRule="auto"/>
              <w:ind w:firstLine="480" w:firstLineChars="200"/>
              <w:jc w:val="left"/>
              <w:rPr>
                <w:rFonts w:cs="宋体"/>
                <w:color w:val="auto"/>
                <w:kern w:val="0"/>
                <w:sz w:val="24"/>
                <w:szCs w:val="21"/>
              </w:rPr>
            </w:pPr>
            <w:r>
              <w:rPr>
                <w:rFonts w:hint="eastAsia" w:ascii="Times New Roman" w:hAnsi="Times New Roman" w:eastAsia="宋体" w:cs="Times New Roman"/>
                <w:color w:val="auto"/>
                <w:sz w:val="24"/>
                <w:lang w:val="en-US" w:eastAsia="zh-CN"/>
              </w:rPr>
              <w:t>根据湖南省生态环境厅关于印发《湖南省主要污染物排污权有偿使用和交易实施细则》（湘环发〔2024〕3号）。本项目配套污水处理厂为生活污水集中处理厂建设项目，为公共基础设施，不纳入排污权有偿使用和交易管理范围。</w:t>
            </w:r>
          </w:p>
        </w:tc>
      </w:tr>
    </w:tbl>
    <w:p>
      <w:pPr>
        <w:pStyle w:val="20"/>
        <w:jc w:val="center"/>
        <w:outlineLvl w:val="0"/>
        <w:rPr>
          <w:rFonts w:hint="default" w:ascii="黑体" w:hAnsi="黑体" w:eastAsia="黑体"/>
          <w:snapToGrid w:val="0"/>
          <w:color w:val="auto"/>
          <w:sz w:val="30"/>
          <w:szCs w:val="30"/>
          <w:lang w:val="en-US" w:eastAsia="zh-CN"/>
        </w:rPr>
      </w:pPr>
      <w:r>
        <w:rPr>
          <w:rFonts w:ascii="黑体" w:hAnsi="黑体" w:eastAsia="黑体"/>
          <w:snapToGrid w:val="0"/>
          <w:color w:val="auto"/>
          <w:sz w:val="36"/>
          <w:szCs w:val="36"/>
        </w:rPr>
        <w:br w:type="page"/>
      </w:r>
      <w:bookmarkStart w:id="16" w:name="_Toc9330"/>
      <w:bookmarkStart w:id="17" w:name="_Toc6397"/>
      <w:r>
        <w:rPr>
          <w:rFonts w:hint="eastAsia" w:ascii="黑体" w:hAnsi="黑体" w:eastAsia="黑体"/>
          <w:snapToGrid w:val="0"/>
          <w:color w:val="auto"/>
          <w:sz w:val="30"/>
          <w:szCs w:val="30"/>
        </w:rPr>
        <w:t>四、</w:t>
      </w:r>
      <w:bookmarkEnd w:id="16"/>
      <w:r>
        <w:rPr>
          <w:rFonts w:hint="eastAsia" w:ascii="黑体" w:hAnsi="黑体" w:eastAsia="黑体"/>
          <w:snapToGrid w:val="0"/>
          <w:color w:val="auto"/>
          <w:sz w:val="30"/>
          <w:szCs w:val="30"/>
          <w:lang w:val="en-US" w:eastAsia="zh-CN"/>
        </w:rPr>
        <w:t>生态环境影响分析</w:t>
      </w:r>
      <w:bookmarkEnd w:id="17"/>
    </w:p>
    <w:tbl>
      <w:tblPr>
        <w:tblStyle w:val="23"/>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5" w:hRule="atLeast"/>
          <w:jc w:val="center"/>
        </w:trPr>
        <w:tc>
          <w:tcPr>
            <w:tcW w:w="746" w:type="dxa"/>
            <w:tcMar>
              <w:left w:w="28" w:type="dxa"/>
              <w:right w:w="28" w:type="dxa"/>
            </w:tcMar>
            <w:vAlign w:val="center"/>
          </w:tcPr>
          <w:p>
            <w:pPr>
              <w:pStyle w:val="20"/>
              <w:adjustRightInd w:val="0"/>
              <w:snapToGrid w:val="0"/>
              <w:spacing w:before="0" w:beforeAutospacing="0" w:after="0" w:afterAutospacing="0"/>
              <w:jc w:val="center"/>
              <w:rPr>
                <w:rFonts w:cs="宋体"/>
                <w:color w:val="auto"/>
                <w:kern w:val="2"/>
                <w:szCs w:val="24"/>
              </w:rPr>
            </w:pPr>
            <w:r>
              <w:rPr>
                <w:rFonts w:hint="eastAsia" w:cs="宋体"/>
                <w:color w:val="auto"/>
                <w:kern w:val="2"/>
                <w:szCs w:val="24"/>
              </w:rPr>
              <w:t>施工</w:t>
            </w:r>
          </w:p>
          <w:p>
            <w:pPr>
              <w:pStyle w:val="20"/>
              <w:adjustRightInd w:val="0"/>
              <w:snapToGrid w:val="0"/>
              <w:spacing w:before="0" w:beforeAutospacing="0" w:after="0" w:afterAutospacing="0"/>
              <w:jc w:val="center"/>
              <w:rPr>
                <w:rFonts w:cs="宋体"/>
                <w:bCs/>
                <w:color w:val="auto"/>
                <w:kern w:val="2"/>
                <w:szCs w:val="24"/>
              </w:rPr>
            </w:pPr>
            <w:r>
              <w:rPr>
                <w:rFonts w:hint="eastAsia" w:cs="宋体"/>
                <w:color w:val="auto"/>
                <w:kern w:val="2"/>
                <w:szCs w:val="24"/>
              </w:rPr>
              <w:t>期</w:t>
            </w:r>
            <w:r>
              <w:rPr>
                <w:rFonts w:hint="eastAsia" w:cs="宋体"/>
                <w:color w:val="auto"/>
                <w:kern w:val="2"/>
                <w:szCs w:val="24"/>
                <w:lang w:val="en-US" w:eastAsia="zh-CN"/>
              </w:rPr>
              <w:t>生态环境影响分析</w:t>
            </w:r>
          </w:p>
        </w:tc>
        <w:tc>
          <w:tcPr>
            <w:tcW w:w="8162"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lang w:val="en-US" w:eastAsia="zh-CN"/>
              </w:rPr>
            </w:pPr>
            <w:r>
              <w:rPr>
                <w:rFonts w:hint="eastAsia" w:eastAsia="宋体"/>
                <w:color w:val="auto"/>
                <w:sz w:val="24"/>
                <w:lang w:val="en-US" w:eastAsia="zh-CN"/>
              </w:rPr>
              <w:t>本项目</w:t>
            </w:r>
            <w:r>
              <w:rPr>
                <w:rFonts w:hint="eastAsia"/>
                <w:color w:val="auto"/>
                <w:sz w:val="24"/>
                <w:lang w:val="en-US" w:eastAsia="zh-CN"/>
              </w:rPr>
              <w:t>主体工程已建成</w:t>
            </w:r>
            <w:r>
              <w:rPr>
                <w:rFonts w:hint="eastAsia" w:eastAsia="宋体"/>
                <w:color w:val="auto"/>
                <w:sz w:val="24"/>
                <w:lang w:val="en-US" w:eastAsia="zh-CN"/>
              </w:rPr>
              <w:t>，项目施工期</w:t>
            </w:r>
            <w:r>
              <w:rPr>
                <w:rFonts w:hint="eastAsia"/>
                <w:color w:val="auto"/>
                <w:sz w:val="24"/>
                <w:lang w:val="en-US" w:eastAsia="zh-CN"/>
              </w:rPr>
              <w:t>未</w:t>
            </w:r>
            <w:r>
              <w:rPr>
                <w:rFonts w:hint="eastAsia" w:eastAsia="宋体"/>
                <w:color w:val="auto"/>
                <w:sz w:val="24"/>
                <w:lang w:val="en-US" w:eastAsia="zh-CN"/>
              </w:rPr>
              <w:t>对周围</w:t>
            </w:r>
            <w:r>
              <w:rPr>
                <w:rFonts w:hint="eastAsia"/>
                <w:color w:val="auto"/>
                <w:sz w:val="24"/>
                <w:lang w:val="en-US" w:eastAsia="zh-CN"/>
              </w:rPr>
              <w:t>生态</w:t>
            </w:r>
            <w:r>
              <w:rPr>
                <w:rFonts w:hint="eastAsia" w:eastAsia="宋体"/>
                <w:color w:val="auto"/>
                <w:sz w:val="24"/>
                <w:lang w:val="en-US" w:eastAsia="zh-CN"/>
              </w:rPr>
              <w:t>环境产生明显影响，</w:t>
            </w:r>
            <w:r>
              <w:rPr>
                <w:rFonts w:hint="eastAsia"/>
                <w:color w:val="auto"/>
                <w:sz w:val="24"/>
                <w:lang w:val="en-US" w:eastAsia="zh-CN"/>
              </w:rPr>
              <w:t>无遗留污染存在。</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color w:val="auto"/>
                <w:spacing w:val="-10"/>
                <w:sz w:val="24"/>
              </w:rPr>
            </w:pPr>
            <w:r>
              <w:rPr>
                <w:rFonts w:hint="eastAsia"/>
                <w:color w:val="auto"/>
                <w:sz w:val="24"/>
                <w:lang w:val="en-US" w:eastAsia="zh-CN"/>
              </w:rPr>
              <w:t>因项目为房地产业，属于生态影响类项目，施工期主要体现在对生态环境的影响，因此，</w:t>
            </w:r>
            <w:r>
              <w:rPr>
                <w:rFonts w:hint="eastAsia" w:eastAsia="宋体"/>
                <w:color w:val="auto"/>
                <w:sz w:val="24"/>
                <w:lang w:val="en-US" w:eastAsia="zh-CN"/>
              </w:rPr>
              <w:t>本次评价</w:t>
            </w:r>
            <w:r>
              <w:rPr>
                <w:rFonts w:hint="eastAsia"/>
                <w:color w:val="auto"/>
                <w:sz w:val="24"/>
                <w:lang w:val="en-US" w:eastAsia="zh-CN"/>
              </w:rPr>
              <w:t>仅对其生态环境影响进行回顾性分析，具体详见生态环境影响专题报告</w:t>
            </w:r>
            <w:r>
              <w:rPr>
                <w:rFonts w:hint="eastAsia" w:eastAsia="宋体"/>
                <w:color w:val="auto"/>
                <w:sz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tcMar>
              <w:left w:w="28" w:type="dxa"/>
              <w:right w:w="28" w:type="dxa"/>
            </w:tcMar>
            <w:vAlign w:val="center"/>
          </w:tcPr>
          <w:p>
            <w:pPr>
              <w:adjustRightInd w:val="0"/>
              <w:snapToGrid w:val="0"/>
              <w:jc w:val="center"/>
              <w:rPr>
                <w:rFonts w:ascii="宋体" w:hAnsi="宋体" w:cs="宋体"/>
                <w:bCs/>
                <w:color w:val="auto"/>
                <w:sz w:val="24"/>
              </w:rPr>
            </w:pPr>
            <w:r>
              <w:rPr>
                <w:rFonts w:hint="eastAsia" w:ascii="宋体" w:hAnsi="宋体" w:cs="宋体"/>
                <w:bCs/>
                <w:color w:val="auto"/>
                <w:sz w:val="24"/>
              </w:rPr>
              <w:t>运营</w:t>
            </w:r>
          </w:p>
          <w:p>
            <w:pPr>
              <w:adjustRightInd w:val="0"/>
              <w:snapToGrid w:val="0"/>
              <w:jc w:val="center"/>
              <w:rPr>
                <w:rFonts w:ascii="宋体" w:hAnsi="宋体" w:cs="宋体"/>
                <w:bCs/>
                <w:color w:val="auto"/>
                <w:sz w:val="24"/>
              </w:rPr>
            </w:pPr>
            <w:r>
              <w:rPr>
                <w:rFonts w:hint="eastAsia" w:ascii="宋体" w:hAnsi="宋体" w:cs="宋体"/>
                <w:bCs/>
                <w:color w:val="auto"/>
                <w:sz w:val="24"/>
              </w:rPr>
              <w:t>期</w:t>
            </w:r>
            <w:r>
              <w:rPr>
                <w:rFonts w:hint="eastAsia" w:ascii="宋体" w:hAnsi="宋体" w:cs="宋体"/>
                <w:bCs/>
                <w:color w:val="auto"/>
                <w:sz w:val="24"/>
                <w:lang w:val="en-US" w:eastAsia="zh-CN"/>
              </w:rPr>
              <w:t>生态环境影响分析</w:t>
            </w:r>
          </w:p>
        </w:tc>
        <w:tc>
          <w:tcPr>
            <w:tcW w:w="8162" w:type="dxa"/>
            <w:vAlign w:val="center"/>
          </w:tcPr>
          <w:p>
            <w:pPr>
              <w:numPr>
                <w:ilvl w:val="0"/>
                <w:numId w:val="4"/>
              </w:numPr>
              <w:adjustRightInd w:val="0"/>
              <w:snapToGrid w:val="0"/>
              <w:spacing w:line="360" w:lineRule="auto"/>
              <w:rPr>
                <w:rFonts w:hint="eastAsia" w:cs="宋体"/>
                <w:b/>
                <w:color w:val="auto"/>
                <w:spacing w:val="-10"/>
                <w:sz w:val="24"/>
                <w:szCs w:val="21"/>
                <w:lang w:val="en-US" w:eastAsia="zh-CN"/>
              </w:rPr>
            </w:pPr>
            <w:r>
              <w:rPr>
                <w:rFonts w:hint="eastAsia" w:cs="宋体"/>
                <w:b/>
                <w:color w:val="auto"/>
                <w:spacing w:val="-10"/>
                <w:sz w:val="24"/>
                <w:szCs w:val="21"/>
                <w:lang w:val="en-US" w:eastAsia="zh-CN"/>
              </w:rPr>
              <w:t>生态环境影响分析</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项目运营期生态环境影响分析</w:t>
            </w:r>
            <w:r>
              <w:rPr>
                <w:rFonts w:hint="default" w:ascii="Times New Roman" w:hAnsi="Times New Roman" w:eastAsia="宋体" w:cs="Times New Roman"/>
                <w:color w:val="auto"/>
                <w:sz w:val="24"/>
                <w:lang w:val="en-US" w:eastAsia="zh-CN"/>
              </w:rPr>
              <w:t>详见</w:t>
            </w:r>
            <w:r>
              <w:rPr>
                <w:rFonts w:hint="eastAsia" w:ascii="Times New Roman" w:hAnsi="Times New Roman" w:eastAsia="宋体" w:cs="Times New Roman"/>
                <w:color w:val="auto"/>
                <w:sz w:val="24"/>
                <w:lang w:val="en-US" w:eastAsia="zh-CN"/>
              </w:rPr>
              <w:t>生态</w:t>
            </w:r>
            <w:r>
              <w:rPr>
                <w:rFonts w:hint="default" w:ascii="Times New Roman" w:hAnsi="Times New Roman" w:eastAsia="宋体" w:cs="Times New Roman"/>
                <w:color w:val="auto"/>
                <w:sz w:val="24"/>
                <w:lang w:val="en-US" w:eastAsia="zh-CN"/>
              </w:rPr>
              <w:t>环境影响</w:t>
            </w:r>
            <w:r>
              <w:rPr>
                <w:rFonts w:hint="eastAsia" w:ascii="Times New Roman" w:hAnsi="Times New Roman" w:eastAsia="宋体" w:cs="Times New Roman"/>
                <w:color w:val="auto"/>
                <w:sz w:val="24"/>
                <w:lang w:val="en-US" w:eastAsia="zh-CN"/>
              </w:rPr>
              <w:t>专项报告</w:t>
            </w:r>
            <w:r>
              <w:rPr>
                <w:rFonts w:hint="eastAsia" w:cs="Times New Roman"/>
                <w:color w:val="auto"/>
                <w:sz w:val="24"/>
                <w:lang w:val="en-US" w:eastAsia="zh-CN"/>
              </w:rPr>
              <w:t>。</w:t>
            </w:r>
          </w:p>
          <w:p>
            <w:pPr>
              <w:numPr>
                <w:ilvl w:val="0"/>
                <w:numId w:val="0"/>
              </w:numPr>
              <w:adjustRightInd w:val="0"/>
              <w:snapToGrid w:val="0"/>
              <w:spacing w:line="360" w:lineRule="auto"/>
              <w:rPr>
                <w:rFonts w:cs="宋体"/>
                <w:b/>
                <w:color w:val="auto"/>
                <w:spacing w:val="-10"/>
                <w:sz w:val="24"/>
                <w:szCs w:val="21"/>
              </w:rPr>
            </w:pPr>
            <w:r>
              <w:rPr>
                <w:rFonts w:hint="eastAsia" w:cs="宋体"/>
                <w:b/>
                <w:color w:val="auto"/>
                <w:spacing w:val="-10"/>
                <w:sz w:val="24"/>
                <w:szCs w:val="21"/>
                <w:lang w:val="en-US" w:eastAsia="zh-CN"/>
              </w:rPr>
              <w:t>2、</w:t>
            </w:r>
            <w:r>
              <w:rPr>
                <w:rFonts w:hint="eastAsia" w:cs="宋体"/>
                <w:b/>
                <w:color w:val="auto"/>
                <w:spacing w:val="-10"/>
                <w:sz w:val="24"/>
                <w:szCs w:val="21"/>
              </w:rPr>
              <w:t>大气环境影响分析</w:t>
            </w:r>
          </w:p>
          <w:p>
            <w:pPr>
              <w:adjustRightInd w:val="0"/>
              <w:snapToGrid w:val="0"/>
              <w:spacing w:line="360" w:lineRule="auto"/>
              <w:ind w:firstLine="440" w:firstLineChars="200"/>
              <w:rPr>
                <w:rFonts w:hint="eastAsia" w:cs="宋体"/>
                <w:bCs/>
                <w:color w:val="auto"/>
                <w:spacing w:val="-10"/>
                <w:sz w:val="24"/>
                <w:szCs w:val="21"/>
              </w:rPr>
            </w:pPr>
            <w:r>
              <w:rPr>
                <w:rFonts w:hint="eastAsia" w:cs="宋体"/>
                <w:bCs/>
                <w:color w:val="auto"/>
                <w:spacing w:val="-10"/>
                <w:sz w:val="24"/>
                <w:szCs w:val="21"/>
              </w:rPr>
              <w:t>根据工程分析，</w:t>
            </w:r>
            <w:r>
              <w:rPr>
                <w:rFonts w:hint="eastAsia" w:cs="宋体"/>
                <w:bCs/>
                <w:color w:val="auto"/>
                <w:spacing w:val="-10"/>
                <w:sz w:val="24"/>
                <w:szCs w:val="21"/>
                <w:lang w:val="en-US" w:eastAsia="zh-CN"/>
              </w:rPr>
              <w:t>项目给排水管网、绿化等配套设施运营期无废气产生，</w:t>
            </w:r>
            <w:r>
              <w:rPr>
                <w:rFonts w:hint="eastAsia" w:cs="宋体"/>
                <w:bCs/>
                <w:color w:val="auto"/>
                <w:spacing w:val="-10"/>
                <w:sz w:val="24"/>
                <w:szCs w:val="21"/>
              </w:rPr>
              <w:t>项目运营期间产生废气主要为</w:t>
            </w:r>
            <w:r>
              <w:rPr>
                <w:rFonts w:hint="eastAsia" w:cs="宋体"/>
                <w:bCs/>
                <w:color w:val="auto"/>
                <w:spacing w:val="-10"/>
                <w:sz w:val="24"/>
                <w:szCs w:val="21"/>
                <w:lang w:val="en-US" w:eastAsia="zh-CN"/>
              </w:rPr>
              <w:t>安置区内</w:t>
            </w:r>
            <w:r>
              <w:rPr>
                <w:rFonts w:hint="eastAsia" w:cs="宋体"/>
                <w:bCs/>
                <w:color w:val="auto"/>
                <w:spacing w:val="-10"/>
                <w:sz w:val="24"/>
                <w:szCs w:val="21"/>
              </w:rPr>
              <w:t>油烟</w:t>
            </w:r>
            <w:r>
              <w:rPr>
                <w:rFonts w:hint="eastAsia" w:cs="宋体"/>
                <w:bCs/>
                <w:color w:val="auto"/>
                <w:spacing w:val="-10"/>
                <w:sz w:val="24"/>
                <w:szCs w:val="21"/>
                <w:lang w:eastAsia="zh-CN"/>
              </w:rPr>
              <w:t>、</w:t>
            </w:r>
            <w:r>
              <w:rPr>
                <w:rFonts w:hint="eastAsia" w:cs="宋体"/>
                <w:bCs/>
                <w:color w:val="auto"/>
                <w:spacing w:val="-10"/>
                <w:sz w:val="24"/>
                <w:szCs w:val="21"/>
                <w:lang w:val="en-US" w:eastAsia="zh-CN"/>
              </w:rPr>
              <w:t>汽车尾气、垃圾桶恶臭以及配套污水处理厂产生的恶臭等</w:t>
            </w:r>
            <w:r>
              <w:rPr>
                <w:rFonts w:hint="eastAsia" w:cs="宋体"/>
                <w:bCs/>
                <w:color w:val="auto"/>
                <w:spacing w:val="-10"/>
                <w:sz w:val="24"/>
                <w:szCs w:val="21"/>
              </w:rPr>
              <w:t>。</w:t>
            </w:r>
          </w:p>
          <w:p>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①油烟</w:t>
            </w:r>
          </w:p>
          <w:p>
            <w:pPr>
              <w:adjustRightInd w:val="0"/>
              <w:snapToGrid w:val="0"/>
              <w:spacing w:line="360" w:lineRule="auto"/>
              <w:ind w:firstLine="440" w:firstLineChars="200"/>
              <w:rPr>
                <w:rFonts w:hint="eastAsia" w:ascii="Times New Roman" w:hAnsi="Times New Roman" w:eastAsia="宋体" w:cs="宋体"/>
                <w:bCs/>
                <w:color w:val="auto"/>
                <w:spacing w:val="-10"/>
                <w:sz w:val="24"/>
                <w:szCs w:val="21"/>
                <w:lang w:val="en-US" w:eastAsia="zh-CN"/>
              </w:rPr>
            </w:pPr>
            <w:r>
              <w:rPr>
                <w:rFonts w:hint="eastAsia" w:ascii="Times New Roman" w:hAnsi="Times New Roman" w:eastAsia="宋体" w:cs="宋体"/>
                <w:bCs/>
                <w:color w:val="auto"/>
                <w:spacing w:val="-10"/>
                <w:sz w:val="24"/>
                <w:szCs w:val="21"/>
                <w:lang w:val="en-US" w:eastAsia="zh-CN"/>
              </w:rPr>
              <w:t>本项目为安置区，</w:t>
            </w:r>
            <w:r>
              <w:rPr>
                <w:rFonts w:hint="eastAsia" w:ascii="Times New Roman" w:hAnsi="Times New Roman" w:eastAsia="宋体" w:cs="宋体"/>
                <w:bCs/>
                <w:color w:val="auto"/>
                <w:spacing w:val="-10"/>
                <w:sz w:val="24"/>
                <w:szCs w:val="21"/>
                <w:lang w:eastAsia="zh-CN"/>
              </w:rPr>
              <w:t>设置有厨房</w:t>
            </w:r>
            <w:r>
              <w:rPr>
                <w:rFonts w:hint="eastAsia" w:ascii="Times New Roman" w:hAnsi="Times New Roman" w:eastAsia="宋体" w:cs="宋体"/>
                <w:bCs/>
                <w:color w:val="auto"/>
                <w:spacing w:val="-10"/>
                <w:sz w:val="24"/>
                <w:szCs w:val="21"/>
              </w:rPr>
              <w:t>，</w:t>
            </w:r>
            <w:r>
              <w:rPr>
                <w:rFonts w:hint="eastAsia" w:ascii="Times New Roman" w:hAnsi="Times New Roman" w:eastAsia="宋体" w:cs="宋体"/>
                <w:bCs/>
                <w:color w:val="auto"/>
                <w:spacing w:val="-10"/>
                <w:sz w:val="24"/>
                <w:szCs w:val="21"/>
                <w:lang w:eastAsia="zh-CN"/>
              </w:rPr>
              <w:t>由于</w:t>
            </w:r>
            <w:r>
              <w:rPr>
                <w:rFonts w:hint="eastAsia" w:ascii="Times New Roman" w:hAnsi="Times New Roman" w:eastAsia="宋体" w:cs="宋体"/>
                <w:bCs/>
                <w:color w:val="auto"/>
                <w:spacing w:val="-10"/>
                <w:sz w:val="24"/>
                <w:szCs w:val="21"/>
                <w:lang w:val="en-US" w:eastAsia="zh-CN"/>
              </w:rPr>
              <w:t>家庭用房</w:t>
            </w:r>
            <w:r>
              <w:rPr>
                <w:rFonts w:hint="eastAsia" w:ascii="Times New Roman" w:hAnsi="Times New Roman" w:eastAsia="宋体" w:cs="宋体"/>
                <w:bCs/>
                <w:color w:val="auto"/>
                <w:spacing w:val="-10"/>
                <w:sz w:val="24"/>
                <w:szCs w:val="21"/>
                <w:lang w:eastAsia="zh-CN"/>
              </w:rPr>
              <w:t>内厨房油烟产生量较小，</w:t>
            </w:r>
            <w:r>
              <w:rPr>
                <w:rFonts w:hint="eastAsia" w:ascii="Times New Roman" w:hAnsi="Times New Roman" w:eastAsia="宋体" w:cs="宋体"/>
                <w:bCs/>
                <w:color w:val="auto"/>
                <w:spacing w:val="-10"/>
                <w:sz w:val="24"/>
                <w:szCs w:val="21"/>
                <w:lang w:val="en-US" w:eastAsia="zh-CN"/>
              </w:rPr>
              <w:t>且用户均会安装符合要求的油烟净化器，少量油烟经净化器处理后</w:t>
            </w:r>
            <w:r>
              <w:rPr>
                <w:rFonts w:hint="default" w:ascii="Times New Roman" w:hAnsi="Times New Roman" w:eastAsia="宋体" w:cs="宋体"/>
                <w:bCs/>
                <w:color w:val="auto"/>
                <w:spacing w:val="-10"/>
                <w:sz w:val="24"/>
                <w:szCs w:val="21"/>
              </w:rPr>
              <w:t>可以达到《饮食业油烟排放标准</w:t>
            </w:r>
            <w:r>
              <w:rPr>
                <w:rFonts w:hint="default" w:ascii="Times New Roman" w:hAnsi="Times New Roman" w:eastAsia="宋体" w:cs="宋体"/>
                <w:bCs/>
                <w:color w:val="auto"/>
                <w:spacing w:val="-10"/>
                <w:sz w:val="24"/>
                <w:szCs w:val="21"/>
                <w:lang w:val="en-US" w:eastAsia="zh-CN"/>
              </w:rPr>
              <w:t>（试行）》（GB18483-2001）要求</w:t>
            </w:r>
            <w:r>
              <w:rPr>
                <w:rFonts w:hint="eastAsia" w:ascii="Times New Roman" w:hAnsi="Times New Roman" w:eastAsia="宋体" w:cs="宋体"/>
                <w:bCs/>
                <w:color w:val="auto"/>
                <w:spacing w:val="-10"/>
                <w:sz w:val="24"/>
                <w:szCs w:val="21"/>
                <w:lang w:val="en-US" w:eastAsia="zh-CN"/>
              </w:rPr>
              <w:t>，经周边大气环境稀释后对周边环境影响较小。由于家庭用餐时间不统一，且油烟产生量较小，本次不定量进行分析。</w:t>
            </w:r>
          </w:p>
          <w:p>
            <w:pPr>
              <w:adjustRightInd w:val="0"/>
              <w:snapToGrid w:val="0"/>
              <w:spacing w:line="360" w:lineRule="auto"/>
              <w:ind w:firstLine="440" w:firstLineChars="200"/>
              <w:rPr>
                <w:rFonts w:hint="default" w:ascii="Times New Roman" w:hAnsi="Times New Roman" w:eastAsia="宋体" w:cs="宋体"/>
                <w:bCs/>
                <w:color w:val="auto"/>
                <w:spacing w:val="-10"/>
                <w:sz w:val="24"/>
                <w:szCs w:val="21"/>
                <w:lang w:val="en-US" w:eastAsia="zh-CN"/>
              </w:rPr>
            </w:pPr>
            <w:r>
              <w:rPr>
                <w:rFonts w:hint="eastAsia" w:ascii="Times New Roman" w:hAnsi="Times New Roman" w:eastAsia="宋体" w:cs="宋体"/>
                <w:bCs/>
                <w:color w:val="auto"/>
                <w:spacing w:val="-10"/>
                <w:sz w:val="24"/>
                <w:szCs w:val="21"/>
                <w:lang w:val="en-US" w:eastAsia="zh-CN"/>
              </w:rPr>
              <w:t>本项目安置区主要定位为团洲乡团北村团洲垸遭受严重洪涝灾害人员的住房安置，安置区内不得不引进大型餐饮企业，若需引进，需额外进行环评并设置符合要求油烟净化等环保设备。</w:t>
            </w:r>
          </w:p>
          <w:p>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②汽车尾气</w:t>
            </w:r>
          </w:p>
          <w:p>
            <w:pPr>
              <w:pStyle w:val="9"/>
              <w:spacing w:line="360" w:lineRule="auto"/>
              <w:ind w:firstLine="480" w:firstLineChars="200"/>
              <w:rPr>
                <w:rFonts w:hint="eastAsia" w:ascii="Times New Roman" w:hAnsi="Times New Roman" w:eastAsia="宋体" w:cs="Times New Roman"/>
                <w:color w:val="auto"/>
                <w:kern w:val="2"/>
                <w:sz w:val="24"/>
                <w:szCs w:val="22"/>
                <w:lang w:val="en-US" w:eastAsia="zh-CN" w:bidi="ar-SA"/>
              </w:rPr>
            </w:pPr>
            <w:r>
              <w:rPr>
                <w:rFonts w:hint="default" w:ascii="Times New Roman" w:hAnsi="Times New Roman" w:eastAsia="宋体" w:cs="Times New Roman"/>
                <w:color w:val="auto"/>
                <w:sz w:val="24"/>
              </w:rPr>
              <w:t>本项目共设置机动停车位</w:t>
            </w:r>
            <w:r>
              <w:rPr>
                <w:rFonts w:hint="eastAsia" w:cs="Times New Roman"/>
                <w:color w:val="auto"/>
                <w:sz w:val="24"/>
                <w:lang w:val="en-US" w:eastAsia="zh-CN"/>
              </w:rPr>
              <w:t>1790</w:t>
            </w:r>
            <w:r>
              <w:rPr>
                <w:rFonts w:hint="default" w:ascii="Times New Roman" w:hAnsi="Times New Roman" w:eastAsia="宋体" w:cs="Times New Roman"/>
                <w:color w:val="auto"/>
                <w:sz w:val="24"/>
              </w:rPr>
              <w:t>个，</w:t>
            </w:r>
            <w:r>
              <w:rPr>
                <w:rFonts w:hint="eastAsia" w:ascii="Times New Roman" w:hAnsi="Times New Roman" w:eastAsia="宋体" w:cs="Times New Roman"/>
                <w:color w:val="auto"/>
                <w:sz w:val="24"/>
                <w:lang w:eastAsia="zh-CN"/>
              </w:rPr>
              <w:t>为地上</w:t>
            </w:r>
            <w:r>
              <w:rPr>
                <w:rFonts w:hint="eastAsia" w:cs="Times New Roman"/>
                <w:color w:val="auto"/>
                <w:sz w:val="24"/>
                <w:lang w:val="en-US" w:eastAsia="zh-CN"/>
              </w:rPr>
              <w:t>+地下</w:t>
            </w:r>
            <w:r>
              <w:rPr>
                <w:rFonts w:hint="eastAsia" w:ascii="Times New Roman" w:hAnsi="Times New Roman" w:eastAsia="宋体" w:cs="Times New Roman"/>
                <w:color w:val="auto"/>
                <w:sz w:val="24"/>
                <w:lang w:eastAsia="zh-CN"/>
              </w:rPr>
              <w:t>停车</w:t>
            </w:r>
            <w:r>
              <w:rPr>
                <w:rFonts w:hint="eastAsia" w:ascii="Times New Roman" w:hAnsi="Times New Roman" w:eastAsia="宋体" w:cs="Times New Roman"/>
                <w:color w:val="auto"/>
                <w:kern w:val="2"/>
                <w:sz w:val="24"/>
                <w:szCs w:val="22"/>
                <w:lang w:val="en-US" w:eastAsia="zh-CN" w:bidi="ar-SA"/>
              </w:rPr>
              <w:t>位，污染源主要是汽车在启动过程中的怠速及慢速（5km/h）行驶时汽车产生的尾气。根据有关资料，停车场产生的主要污染物为汽车尾气中所含的CO、NO</w:t>
            </w:r>
            <w:r>
              <w:rPr>
                <w:rFonts w:hint="eastAsia" w:ascii="Times New Roman" w:hAnsi="Times New Roman" w:eastAsia="宋体" w:cs="Times New Roman"/>
                <w:color w:val="auto"/>
                <w:kern w:val="2"/>
                <w:sz w:val="24"/>
                <w:szCs w:val="22"/>
                <w:vertAlign w:val="subscript"/>
                <w:lang w:val="en-US" w:eastAsia="zh-CN" w:bidi="ar-SA"/>
              </w:rPr>
              <w:t>X</w:t>
            </w:r>
            <w:r>
              <w:rPr>
                <w:rFonts w:hint="eastAsia" w:ascii="Times New Roman" w:hAnsi="Times New Roman" w:eastAsia="宋体" w:cs="Times New Roman"/>
                <w:color w:val="auto"/>
                <w:kern w:val="2"/>
                <w:sz w:val="24"/>
                <w:szCs w:val="22"/>
                <w:lang w:val="en-US" w:eastAsia="zh-CN" w:bidi="ar-SA"/>
              </w:rPr>
              <w:t>及HC，汽车尾气主要污染因子及排放的浓度范围参见表4-1。</w:t>
            </w:r>
          </w:p>
          <w:p>
            <w:pPr>
              <w:ind w:firstLine="482" w:firstLineChars="200"/>
              <w:jc w:val="center"/>
              <w:rPr>
                <w:rFonts w:hint="eastAsia"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表</w:t>
            </w:r>
            <w:r>
              <w:rPr>
                <w:rFonts w:hint="eastAsia" w:ascii="Times New Roman" w:hAnsi="Times New Roman" w:eastAsia="宋体" w:cs="Times New Roman"/>
                <w:b/>
                <w:bCs/>
                <w:color w:val="auto"/>
                <w:sz w:val="24"/>
                <w:szCs w:val="24"/>
                <w:lang w:val="en-US" w:eastAsia="zh-CN"/>
              </w:rPr>
              <w:t>4-1</w:t>
            </w:r>
            <w:r>
              <w:rPr>
                <w:rFonts w:hint="eastAsia" w:ascii="Times New Roman" w:hAnsi="Times New Roman" w:eastAsia="宋体" w:cs="Times New Roman"/>
                <w:b/>
                <w:bCs/>
                <w:color w:val="auto"/>
                <w:sz w:val="24"/>
                <w:szCs w:val="24"/>
              </w:rPr>
              <w:t xml:space="preserve"> 汽车废气主要污染物浓度</w:t>
            </w:r>
          </w:p>
          <w:tbl>
            <w:tblPr>
              <w:tblStyle w:val="23"/>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0"/>
              <w:gridCol w:w="1306"/>
              <w:gridCol w:w="2407"/>
              <w:gridCol w:w="240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3"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bCs w:val="0"/>
                      <w:color w:val="auto"/>
                    </w:rPr>
                  </w:pPr>
                  <w:r>
                    <w:rPr>
                      <w:rFonts w:hint="default" w:ascii="Times New Roman" w:hAnsi="Times New Roman" w:cs="Times New Roman"/>
                      <w:b/>
                      <w:bCs w:val="0"/>
                      <w:color w:val="auto"/>
                    </w:rPr>
                    <w:t>污染物</w:t>
                  </w:r>
                </w:p>
              </w:tc>
              <w:tc>
                <w:tcPr>
                  <w:tcW w:w="143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bCs w:val="0"/>
                      <w:color w:val="auto"/>
                    </w:rPr>
                  </w:pPr>
                  <w:r>
                    <w:rPr>
                      <w:rFonts w:hint="default" w:ascii="Times New Roman" w:hAnsi="Times New Roman" w:cs="Times New Roman"/>
                      <w:b/>
                      <w:bCs w:val="0"/>
                      <w:color w:val="auto"/>
                    </w:rPr>
                    <w:t>单位</w:t>
                  </w:r>
                </w:p>
              </w:tc>
              <w:tc>
                <w:tcPr>
                  <w:tcW w:w="2670"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bCs w:val="0"/>
                      <w:color w:val="auto"/>
                    </w:rPr>
                  </w:pPr>
                  <w:r>
                    <w:rPr>
                      <w:rFonts w:hint="default" w:ascii="Times New Roman" w:hAnsi="Times New Roman" w:cs="Times New Roman"/>
                      <w:b/>
                      <w:bCs w:val="0"/>
                      <w:color w:val="auto"/>
                    </w:rPr>
                    <w:t>汽油车</w:t>
                  </w:r>
                </w:p>
              </w:tc>
              <w:tc>
                <w:tcPr>
                  <w:tcW w:w="266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bCs w:val="0"/>
                      <w:color w:val="auto"/>
                    </w:rPr>
                  </w:pPr>
                  <w:r>
                    <w:rPr>
                      <w:rFonts w:hint="default" w:ascii="Times New Roman" w:hAnsi="Times New Roman" w:cs="Times New Roman"/>
                      <w:b/>
                      <w:bCs w:val="0"/>
                      <w:color w:val="auto"/>
                    </w:rPr>
                    <w:t>柴油车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3"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CO</w:t>
                  </w:r>
                </w:p>
              </w:tc>
              <w:tc>
                <w:tcPr>
                  <w:tcW w:w="143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w:t>
                  </w:r>
                </w:p>
              </w:tc>
              <w:tc>
                <w:tcPr>
                  <w:tcW w:w="2670"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3.8~6</w:t>
                  </w:r>
                </w:p>
              </w:tc>
              <w:tc>
                <w:tcPr>
                  <w:tcW w:w="266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&lt;2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3"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NO</w:t>
                  </w:r>
                  <w:r>
                    <w:rPr>
                      <w:rFonts w:hint="default" w:ascii="Times New Roman" w:hAnsi="Times New Roman" w:cs="Times New Roman"/>
                      <w:b w:val="0"/>
                      <w:bCs/>
                      <w:color w:val="auto"/>
                      <w:vertAlign w:val="subscript"/>
                    </w:rPr>
                    <w:t>2</w:t>
                  </w:r>
                </w:p>
              </w:tc>
              <w:tc>
                <w:tcPr>
                  <w:tcW w:w="143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ppm</w:t>
                  </w:r>
                </w:p>
              </w:tc>
              <w:tc>
                <w:tcPr>
                  <w:tcW w:w="2670"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2000~5000</w:t>
                  </w:r>
                </w:p>
              </w:tc>
              <w:tc>
                <w:tcPr>
                  <w:tcW w:w="266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&lt;1000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3"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HC</w:t>
                  </w:r>
                </w:p>
              </w:tc>
              <w:tc>
                <w:tcPr>
                  <w:tcW w:w="143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ppm</w:t>
                  </w:r>
                </w:p>
              </w:tc>
              <w:tc>
                <w:tcPr>
                  <w:tcW w:w="2670"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500~2500</w:t>
                  </w:r>
                </w:p>
              </w:tc>
              <w:tc>
                <w:tcPr>
                  <w:tcW w:w="266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&lt;2500</w:t>
                  </w:r>
                </w:p>
              </w:tc>
            </w:tr>
          </w:tbl>
          <w:p>
            <w:pPr>
              <w:spacing w:line="360" w:lineRule="auto"/>
              <w:ind w:firstLine="480" w:firstLineChars="200"/>
              <w:rPr>
                <w:rFonts w:hint="eastAsia" w:ascii="Times New Roman" w:hAnsi="宋体" w:eastAsia="宋体" w:cs="Times New Roman"/>
                <w:color w:val="auto"/>
                <w:sz w:val="24"/>
              </w:rPr>
            </w:pPr>
            <w:r>
              <w:rPr>
                <w:rFonts w:hint="eastAsia"/>
                <w:color w:val="auto"/>
                <w:sz w:val="24"/>
              </w:rPr>
              <w:t>本项目</w:t>
            </w:r>
            <w:r>
              <w:rPr>
                <w:rFonts w:hint="eastAsia"/>
                <w:color w:val="auto"/>
                <w:sz w:val="24"/>
                <w:lang w:val="en-US" w:eastAsia="zh-CN"/>
              </w:rPr>
              <w:t>地面</w:t>
            </w:r>
            <w:r>
              <w:rPr>
                <w:rFonts w:hint="eastAsia"/>
                <w:color w:val="auto"/>
                <w:sz w:val="24"/>
              </w:rPr>
              <w:t>不设置集中大型停车场，停车位分散布置在用房周边空地上，汽车尾气在地面直接扩散外排，属面源无组织排放。区域内没有高层建筑物，空气流通顺畅，有利于污染物的扩散，</w:t>
            </w:r>
            <w:r>
              <w:rPr>
                <w:rFonts w:hAnsi="宋体"/>
                <w:color w:val="auto"/>
                <w:sz w:val="24"/>
              </w:rPr>
              <w:t>不会发生富集现象</w:t>
            </w:r>
            <w:r>
              <w:rPr>
                <w:rFonts w:hint="eastAsia"/>
                <w:color w:val="auto"/>
                <w:sz w:val="24"/>
              </w:rPr>
              <w:t>；项目区内同时启动的车辆较少，启动时间较短，尾气产生量少；厂区加强绿化，种植一些对</w:t>
            </w:r>
            <w:r>
              <w:rPr>
                <w:rFonts w:hAnsi="宋体"/>
                <w:color w:val="auto"/>
                <w:sz w:val="24"/>
              </w:rPr>
              <w:t>有害气体吸收能力较强的树木</w:t>
            </w:r>
            <w:r>
              <w:rPr>
                <w:rFonts w:hint="eastAsia" w:hAnsi="宋体"/>
                <w:color w:val="auto"/>
                <w:sz w:val="24"/>
              </w:rPr>
              <w:t>，可进一步减小尾气产生量</w:t>
            </w:r>
            <w:r>
              <w:rPr>
                <w:rFonts w:hint="eastAsia"/>
                <w:color w:val="auto"/>
                <w:sz w:val="24"/>
              </w:rPr>
              <w:t>。因此，汽车尾气</w:t>
            </w:r>
            <w:r>
              <w:rPr>
                <w:rFonts w:hint="eastAsia" w:ascii="Times New Roman" w:hAnsi="宋体" w:eastAsia="宋体" w:cs="Times New Roman"/>
                <w:color w:val="auto"/>
                <w:sz w:val="24"/>
              </w:rPr>
              <w:t>对区域环境影响较小，本环评不对其进行定量分析。</w:t>
            </w:r>
          </w:p>
          <w:p>
            <w:pPr>
              <w:spacing w:line="360" w:lineRule="auto"/>
              <w:ind w:firstLine="480" w:firstLineChars="200"/>
              <w:rPr>
                <w:rFonts w:hint="eastAsia"/>
                <w:color w:val="auto"/>
                <w:sz w:val="24"/>
              </w:rPr>
            </w:pPr>
            <w:r>
              <w:rPr>
                <w:rFonts w:hint="eastAsia"/>
                <w:color w:val="auto"/>
                <w:sz w:val="24"/>
                <w:lang w:val="en-US" w:eastAsia="zh-CN"/>
              </w:rPr>
              <w:t>地下车库汽车尾气，其主要污染物是</w:t>
            </w:r>
            <w:r>
              <w:rPr>
                <w:rFonts w:hint="default"/>
                <w:color w:val="auto"/>
                <w:sz w:val="24"/>
                <w:lang w:val="en-US" w:eastAsia="zh-CN"/>
              </w:rPr>
              <w:t>CO</w:t>
            </w:r>
            <w:r>
              <w:rPr>
                <w:rFonts w:hint="eastAsia"/>
                <w:color w:val="auto"/>
                <w:sz w:val="24"/>
                <w:lang w:val="en-US" w:eastAsia="zh-CN"/>
              </w:rPr>
              <w:t>、</w:t>
            </w:r>
            <w:r>
              <w:rPr>
                <w:rFonts w:hint="default"/>
                <w:color w:val="auto"/>
                <w:sz w:val="24"/>
                <w:lang w:val="en-US" w:eastAsia="zh-CN"/>
              </w:rPr>
              <w:t>NOx</w:t>
            </w:r>
            <w:r>
              <w:rPr>
                <w:rFonts w:hint="eastAsia"/>
                <w:color w:val="auto"/>
                <w:sz w:val="24"/>
                <w:lang w:val="en-US" w:eastAsia="zh-CN"/>
              </w:rPr>
              <w:t>和</w:t>
            </w:r>
            <w:r>
              <w:rPr>
                <w:rFonts w:hint="default"/>
                <w:color w:val="auto"/>
                <w:sz w:val="24"/>
                <w:lang w:val="en-US" w:eastAsia="zh-CN"/>
              </w:rPr>
              <w:t>HC(</w:t>
            </w:r>
            <w:r>
              <w:rPr>
                <w:rFonts w:hint="eastAsia"/>
                <w:color w:val="auto"/>
                <w:sz w:val="24"/>
                <w:lang w:val="en-US" w:eastAsia="zh-CN"/>
              </w:rPr>
              <w:t>碳氢化合物</w:t>
            </w:r>
            <w:r>
              <w:rPr>
                <w:rFonts w:hint="default"/>
                <w:color w:val="auto"/>
                <w:sz w:val="24"/>
                <w:lang w:val="en-US" w:eastAsia="zh-CN"/>
              </w:rPr>
              <w:t>)</w:t>
            </w:r>
            <w:r>
              <w:rPr>
                <w:rFonts w:hint="eastAsia"/>
                <w:color w:val="auto"/>
                <w:sz w:val="24"/>
                <w:lang w:val="en-US" w:eastAsia="zh-CN"/>
              </w:rPr>
              <w:t>。</w:t>
            </w:r>
            <w:r>
              <w:rPr>
                <w:rFonts w:hint="default"/>
                <w:color w:val="auto"/>
                <w:sz w:val="24"/>
                <w:lang w:val="en-US" w:eastAsia="zh-CN"/>
              </w:rPr>
              <w:t>CO</w:t>
            </w:r>
            <w:r>
              <w:rPr>
                <w:rFonts w:hint="eastAsia"/>
                <w:color w:val="auto"/>
                <w:sz w:val="24"/>
                <w:lang w:val="en-US" w:eastAsia="zh-CN"/>
              </w:rPr>
              <w:t>是汽油燃烧的产物；</w:t>
            </w:r>
            <w:r>
              <w:rPr>
                <w:rFonts w:hint="default"/>
                <w:color w:val="auto"/>
                <w:sz w:val="24"/>
                <w:lang w:val="en-US" w:eastAsia="zh-CN"/>
              </w:rPr>
              <w:t>NOx</w:t>
            </w:r>
            <w:r>
              <w:rPr>
                <w:rFonts w:hint="eastAsia"/>
                <w:color w:val="auto"/>
                <w:sz w:val="24"/>
                <w:lang w:val="en-US" w:eastAsia="zh-CN"/>
              </w:rPr>
              <w:t>是汽油燃烧时空气中的氮气与氧气化合而成的产物；</w:t>
            </w:r>
            <w:r>
              <w:rPr>
                <w:rFonts w:hint="default"/>
                <w:color w:val="auto"/>
                <w:sz w:val="24"/>
                <w:lang w:val="en-US" w:eastAsia="zh-CN"/>
              </w:rPr>
              <w:t>HC(</w:t>
            </w:r>
            <w:r>
              <w:rPr>
                <w:rFonts w:hint="eastAsia"/>
                <w:color w:val="auto"/>
                <w:sz w:val="24"/>
                <w:lang w:val="en-US" w:eastAsia="zh-CN"/>
              </w:rPr>
              <w:t>碳氢化合物</w:t>
            </w:r>
            <w:r>
              <w:rPr>
                <w:rFonts w:hint="default"/>
                <w:color w:val="auto"/>
                <w:sz w:val="24"/>
                <w:lang w:val="en-US" w:eastAsia="zh-CN"/>
              </w:rPr>
              <w:t>)</w:t>
            </w:r>
            <w:r>
              <w:rPr>
                <w:rFonts w:hint="eastAsia"/>
                <w:color w:val="auto"/>
                <w:sz w:val="24"/>
                <w:lang w:val="en-US" w:eastAsia="zh-CN"/>
              </w:rPr>
              <w:t>是汽油不完全燃烧的产物。汽车尾气产生量与车辆数量、汽车种类、行驶状态、空燃比等有关，加上电动汽车的推广与普及，汽车尾气产排量较难定量。</w:t>
            </w:r>
          </w:p>
          <w:p>
            <w:pPr>
              <w:spacing w:line="360" w:lineRule="auto"/>
              <w:ind w:firstLine="480" w:firstLineChars="200"/>
              <w:rPr>
                <w:rFonts w:hint="default"/>
                <w:color w:val="auto"/>
                <w:sz w:val="24"/>
              </w:rPr>
            </w:pPr>
            <w:r>
              <w:rPr>
                <w:rFonts w:hint="eastAsia"/>
                <w:color w:val="auto"/>
                <w:sz w:val="24"/>
                <w:lang w:val="en-US" w:eastAsia="zh-CN"/>
              </w:rPr>
              <w:t>本项目地下车库设置机械排风，采用汽车坡道自然补风和补风风机共同补风，排风量按平均每小时换气</w:t>
            </w:r>
            <w:r>
              <w:rPr>
                <w:rFonts w:hint="default"/>
                <w:color w:val="auto"/>
                <w:sz w:val="24"/>
                <w:lang w:val="en-US" w:eastAsia="zh-CN"/>
              </w:rPr>
              <w:t>4</w:t>
            </w:r>
            <w:r>
              <w:rPr>
                <w:rFonts w:hint="eastAsia"/>
                <w:color w:val="auto"/>
                <w:sz w:val="24"/>
                <w:lang w:val="en-US" w:eastAsia="zh-CN"/>
              </w:rPr>
              <w:t>次计。地下车库设置与排风系统联动的</w:t>
            </w:r>
            <w:r>
              <w:rPr>
                <w:rFonts w:hint="default"/>
                <w:color w:val="auto"/>
                <w:sz w:val="24"/>
                <w:lang w:val="en-US" w:eastAsia="zh-CN"/>
              </w:rPr>
              <w:t>CO</w:t>
            </w:r>
            <w:r>
              <w:rPr>
                <w:rFonts w:hint="eastAsia"/>
                <w:color w:val="auto"/>
                <w:sz w:val="24"/>
                <w:lang w:val="en-US" w:eastAsia="zh-CN"/>
              </w:rPr>
              <w:t>浓度监测装置。经过通风换气后，汽车尾气不会在地下室内积聚；地下车库汽车尾气由机械排风装置引至</w:t>
            </w:r>
            <w:r>
              <w:rPr>
                <w:rFonts w:hint="default"/>
                <w:color w:val="auto"/>
                <w:sz w:val="24"/>
                <w:lang w:val="en-US" w:eastAsia="zh-CN"/>
              </w:rPr>
              <w:t>2.5m</w:t>
            </w:r>
            <w:r>
              <w:rPr>
                <w:rFonts w:hint="eastAsia"/>
                <w:color w:val="auto"/>
                <w:sz w:val="24"/>
                <w:lang w:val="en-US" w:eastAsia="zh-CN"/>
              </w:rPr>
              <w:t>近地排放口排放，经过大气扩散稀释及绿化吸收后，对周围环境影响不大。但仍建议加强通风，尤其在高峰期，排风设备必须全部开启，在此基础上，地下车库的汽车尾气对周围环境影响较小。</w:t>
            </w:r>
          </w:p>
          <w:p>
            <w:pPr>
              <w:spacing w:line="360" w:lineRule="auto"/>
              <w:ind w:firstLine="480" w:firstLineChars="200"/>
              <w:rPr>
                <w:rFonts w:hint="default" w:ascii="Times New Roman" w:hAnsi="宋体" w:eastAsia="宋体" w:cs="Times New Roman"/>
                <w:color w:val="auto"/>
                <w:sz w:val="24"/>
              </w:rPr>
            </w:pPr>
            <w:r>
              <w:rPr>
                <w:rFonts w:hint="default" w:ascii="Times New Roman" w:hAnsi="宋体" w:eastAsia="宋体" w:cs="Times New Roman"/>
                <w:color w:val="auto"/>
                <w:sz w:val="24"/>
              </w:rPr>
              <w:t>③恶臭</w:t>
            </w:r>
          </w:p>
          <w:p>
            <w:pPr>
              <w:spacing w:line="360" w:lineRule="auto"/>
              <w:ind w:firstLine="480" w:firstLineChars="200"/>
              <w:rPr>
                <w:rFonts w:hint="default" w:ascii="Times New Roman" w:hAnsi="宋体" w:eastAsia="宋体" w:cs="Times New Roman"/>
                <w:color w:val="auto"/>
                <w:sz w:val="24"/>
                <w:lang w:val="en-US" w:eastAsia="zh-CN"/>
              </w:rPr>
            </w:pPr>
            <w:r>
              <w:rPr>
                <w:rFonts w:hint="eastAsia" w:hAnsi="宋体" w:cs="Times New Roman"/>
                <w:color w:val="auto"/>
                <w:sz w:val="24"/>
                <w:lang w:val="en-US" w:eastAsia="zh-CN"/>
              </w:rPr>
              <w:t>垃圾收集点恶臭：</w:t>
            </w:r>
          </w:p>
          <w:p>
            <w:pPr>
              <w:spacing w:line="360" w:lineRule="auto"/>
              <w:ind w:firstLine="480" w:firstLineChars="200"/>
              <w:rPr>
                <w:rFonts w:hint="eastAsia" w:ascii="Times New Roman" w:hAnsi="宋体" w:eastAsia="宋体" w:cs="Times New Roman"/>
                <w:color w:val="auto"/>
                <w:sz w:val="24"/>
              </w:rPr>
            </w:pPr>
            <w:r>
              <w:rPr>
                <w:rFonts w:hint="default" w:ascii="Times New Roman" w:hAnsi="宋体" w:eastAsia="宋体" w:cs="Times New Roman"/>
                <w:color w:val="auto"/>
                <w:sz w:val="24"/>
              </w:rPr>
              <w:t>本项目</w:t>
            </w:r>
            <w:r>
              <w:rPr>
                <w:rFonts w:hint="eastAsia" w:ascii="Times New Roman" w:hAnsi="宋体" w:eastAsia="宋体" w:cs="Times New Roman"/>
                <w:color w:val="auto"/>
                <w:sz w:val="24"/>
                <w:lang w:val="en-US" w:eastAsia="zh-CN"/>
              </w:rPr>
              <w:t>未</w:t>
            </w:r>
            <w:r>
              <w:rPr>
                <w:rFonts w:hint="eastAsia" w:ascii="Times New Roman" w:hAnsi="宋体" w:eastAsia="宋体" w:cs="Times New Roman"/>
                <w:color w:val="auto"/>
                <w:sz w:val="24"/>
                <w:lang w:eastAsia="zh-CN"/>
              </w:rPr>
              <w:t>设置</w:t>
            </w:r>
            <w:r>
              <w:rPr>
                <w:rFonts w:hint="default" w:ascii="Times New Roman" w:hAnsi="宋体" w:eastAsia="宋体" w:cs="Times New Roman"/>
                <w:color w:val="auto"/>
                <w:sz w:val="24"/>
              </w:rPr>
              <w:t>集中式垃圾站，</w:t>
            </w:r>
            <w:r>
              <w:rPr>
                <w:rFonts w:hint="eastAsia" w:ascii="Times New Roman" w:hAnsi="宋体" w:eastAsia="宋体" w:cs="Times New Roman"/>
                <w:color w:val="auto"/>
                <w:sz w:val="24"/>
                <w:lang w:val="en-US" w:eastAsia="zh-CN"/>
              </w:rPr>
              <w:t>仅有小型垃圾收集桶</w:t>
            </w:r>
            <w:r>
              <w:rPr>
                <w:rFonts w:hint="default" w:ascii="Times New Roman" w:hAnsi="宋体" w:eastAsia="宋体" w:cs="Times New Roman"/>
                <w:color w:val="auto"/>
                <w:sz w:val="24"/>
              </w:rPr>
              <w:t>，</w:t>
            </w:r>
            <w:r>
              <w:rPr>
                <w:rFonts w:hint="eastAsia" w:ascii="Times New Roman" w:hAnsi="宋体" w:eastAsia="宋体" w:cs="Times New Roman"/>
                <w:color w:val="auto"/>
                <w:sz w:val="24"/>
                <w:lang w:val="en-US" w:eastAsia="zh-CN"/>
              </w:rPr>
              <w:t>小型垃圾收集桶内</w:t>
            </w:r>
            <w:r>
              <w:rPr>
                <w:rFonts w:hint="default" w:ascii="Times New Roman" w:hAnsi="宋体" w:eastAsia="宋体" w:cs="Times New Roman"/>
                <w:color w:val="auto"/>
                <w:sz w:val="24"/>
              </w:rPr>
              <w:t>部分易腐败的有机垃圾由于其分解会发出异味，对环境的影响主要表现为恶臭，恶臭污染物根据国家标准，主要指一切刺激嗅觉器官引起人们不愉快及损害生活环境的气体物质。来自生活垃圾中的有机垃圾（变质腐烂蔬菜等）所产生的恶臭气体有两种来源；一种是垃圾成分中本身发出的异味，不是垃圾主要的恶臭来源。另一种是有机物腐败分解产生的恶臭气体，垃圾内含有 40～70%有机物，分为植物类（例如米饭、面食、瓜皮果壳和蔬菜烂叶、根等）和动物类（例如鱼、肉、骨头等），在微生物作用下的分解产生恶臭味是垃圾恶臭的主要来源，同时有机物腐败产生的恶臭程度与季节有很大的关系，在夏季气温较高时有机物极易腐败，此时从垃圾中散发的恶臭气体明显比冬季强烈。垃圾产生的臭气的成分和含量均较难确定，本环评对其源强作定性分析。据资料调查，臭气中主要成分为氨、硫化氢和甲硫醇、三甲胺等脂肪族类物质。</w:t>
            </w:r>
            <w:r>
              <w:rPr>
                <w:rFonts w:hint="eastAsia" w:ascii="Times New Roman" w:hAnsi="宋体" w:eastAsia="宋体" w:cs="Times New Roman"/>
                <w:color w:val="auto"/>
                <w:sz w:val="24"/>
              </w:rPr>
              <w:t>由于</w:t>
            </w:r>
            <w:r>
              <w:rPr>
                <w:rFonts w:hint="eastAsia" w:ascii="Times New Roman" w:hAnsi="宋体" w:eastAsia="宋体" w:cs="Times New Roman"/>
                <w:color w:val="auto"/>
                <w:sz w:val="24"/>
                <w:lang w:val="en-US" w:eastAsia="zh-CN"/>
              </w:rPr>
              <w:t>安置区内垃圾桶体量较小且分布</w:t>
            </w:r>
            <w:r>
              <w:rPr>
                <w:rFonts w:hint="eastAsia" w:ascii="Times New Roman" w:hAnsi="宋体" w:eastAsia="宋体" w:cs="Times New Roman"/>
                <w:color w:val="auto"/>
                <w:sz w:val="24"/>
                <w:lang w:eastAsia="zh-CN"/>
              </w:rPr>
              <w:t>相对分散，</w:t>
            </w:r>
            <w:r>
              <w:rPr>
                <w:rFonts w:hint="eastAsia" w:ascii="Times New Roman" w:hAnsi="宋体" w:eastAsia="宋体" w:cs="Times New Roman"/>
                <w:color w:val="auto"/>
                <w:sz w:val="24"/>
                <w:lang w:val="en-US" w:eastAsia="zh-CN"/>
              </w:rPr>
              <w:t>安置区内物业人员及时清理清运</w:t>
            </w:r>
            <w:r>
              <w:rPr>
                <w:rFonts w:hint="eastAsia" w:ascii="Times New Roman" w:hAnsi="宋体" w:eastAsia="宋体" w:cs="Times New Roman"/>
                <w:color w:val="auto"/>
                <w:sz w:val="24"/>
              </w:rPr>
              <w:t>，本项目</w:t>
            </w:r>
            <w:r>
              <w:rPr>
                <w:rFonts w:hint="eastAsia" w:ascii="Times New Roman" w:hAnsi="宋体" w:eastAsia="宋体" w:cs="Times New Roman"/>
                <w:color w:val="auto"/>
                <w:sz w:val="24"/>
                <w:lang w:val="en-US" w:eastAsia="zh-CN"/>
              </w:rPr>
              <w:t>恶臭</w:t>
            </w:r>
            <w:r>
              <w:rPr>
                <w:rFonts w:hint="eastAsia" w:ascii="Times New Roman" w:hAnsi="宋体" w:eastAsia="宋体" w:cs="Times New Roman"/>
                <w:color w:val="auto"/>
                <w:sz w:val="24"/>
              </w:rPr>
              <w:t>污染物浓度较低</w:t>
            </w:r>
            <w:r>
              <w:rPr>
                <w:rFonts w:hint="eastAsia" w:ascii="Times New Roman" w:hAnsi="宋体" w:eastAsia="宋体" w:cs="Times New Roman"/>
                <w:color w:val="auto"/>
                <w:sz w:val="24"/>
                <w:lang w:eastAsia="zh-CN"/>
              </w:rPr>
              <w:t>，</w:t>
            </w:r>
            <w:r>
              <w:rPr>
                <w:rFonts w:hint="eastAsia" w:ascii="Times New Roman" w:hAnsi="Times New Roman" w:eastAsia="宋体" w:cs="宋体"/>
                <w:bCs/>
                <w:color w:val="auto"/>
                <w:spacing w:val="-10"/>
                <w:sz w:val="24"/>
                <w:szCs w:val="21"/>
                <w:lang w:val="en-US" w:eastAsia="zh-CN"/>
              </w:rPr>
              <w:t>经周边大气环境稀释后对周边环境影响较小，</w:t>
            </w:r>
            <w:r>
              <w:rPr>
                <w:rFonts w:hint="eastAsia" w:ascii="Times New Roman" w:hAnsi="宋体" w:eastAsia="宋体" w:cs="Times New Roman"/>
                <w:color w:val="auto"/>
                <w:sz w:val="24"/>
                <w:lang w:eastAsia="zh-CN"/>
              </w:rPr>
              <w:t>不进行定量分析</w:t>
            </w:r>
            <w:r>
              <w:rPr>
                <w:rFonts w:hint="eastAsia" w:ascii="Times New Roman" w:hAnsi="宋体" w:eastAsia="宋体" w:cs="Times New Roman"/>
                <w:color w:val="auto"/>
                <w:sz w:val="24"/>
              </w:rPr>
              <w:t>。</w:t>
            </w:r>
          </w:p>
          <w:p>
            <w:pPr>
              <w:spacing w:line="360" w:lineRule="auto"/>
              <w:ind w:firstLine="480" w:firstLineChars="200"/>
              <w:rPr>
                <w:rFonts w:hint="eastAsia" w:hAnsi="宋体" w:cs="Times New Roman"/>
                <w:color w:val="auto"/>
                <w:sz w:val="24"/>
                <w:lang w:val="en-US" w:eastAsia="zh-CN"/>
              </w:rPr>
            </w:pPr>
            <w:r>
              <w:rPr>
                <w:rFonts w:hint="eastAsia" w:hAnsi="宋体" w:cs="Times New Roman"/>
                <w:color w:val="auto"/>
                <w:sz w:val="24"/>
                <w:lang w:val="en-US" w:eastAsia="zh-CN"/>
              </w:rPr>
              <w:t>配套污水处理厂恶臭：</w:t>
            </w:r>
          </w:p>
          <w:p>
            <w:pPr>
              <w:spacing w:line="360" w:lineRule="auto"/>
              <w:ind w:firstLine="480" w:firstLineChars="200"/>
              <w:rPr>
                <w:rFonts w:hint="default" w:ascii="Times New Roman" w:hAnsi="宋体" w:eastAsia="宋体" w:cs="Times New Roman"/>
                <w:color w:val="auto"/>
                <w:sz w:val="24"/>
              </w:rPr>
            </w:pPr>
            <w:r>
              <w:rPr>
                <w:rFonts w:hint="default" w:ascii="Times New Roman" w:hAnsi="宋体" w:eastAsia="宋体" w:cs="Times New Roman"/>
                <w:color w:val="auto"/>
                <w:sz w:val="24"/>
              </w:rPr>
              <w:t>污水处理</w:t>
            </w:r>
            <w:r>
              <w:rPr>
                <w:rFonts w:hint="eastAsia" w:ascii="Times New Roman" w:hAnsi="宋体" w:eastAsia="宋体" w:cs="Times New Roman"/>
                <w:color w:val="auto"/>
                <w:sz w:val="24"/>
                <w:lang w:val="en-US" w:eastAsia="zh-CN"/>
              </w:rPr>
              <w:t>过程中产生的</w:t>
            </w:r>
            <w:r>
              <w:rPr>
                <w:rFonts w:hint="default" w:ascii="Times New Roman" w:hAnsi="宋体" w:eastAsia="宋体" w:cs="Times New Roman"/>
                <w:color w:val="auto"/>
                <w:sz w:val="24"/>
              </w:rPr>
              <w:t>恶臭主要来源于</w:t>
            </w:r>
            <w:r>
              <w:rPr>
                <w:rFonts w:hint="default" w:ascii="Times New Roman" w:hAnsi="宋体" w:eastAsia="宋体" w:cs="Times New Roman"/>
                <w:color w:val="auto"/>
                <w:sz w:val="24"/>
                <w:lang w:eastAsia="zh-CN"/>
              </w:rPr>
              <w:t>格栅、</w:t>
            </w:r>
            <w:r>
              <w:rPr>
                <w:rFonts w:hint="default" w:ascii="Times New Roman" w:hAnsi="宋体" w:eastAsia="宋体" w:cs="Times New Roman"/>
                <w:color w:val="auto"/>
                <w:sz w:val="24"/>
              </w:rPr>
              <w:t>调节池、生化区域、污泥贮泥池、污泥处理车间。臭气主要成份为硫化氢、氨气、甲硫醇、三甲胺等，最常见的</w:t>
            </w:r>
            <w:r>
              <w:rPr>
                <w:rFonts w:hint="eastAsia" w:ascii="Times New Roman" w:hAnsi="宋体" w:eastAsia="宋体" w:cs="Times New Roman"/>
                <w:color w:val="auto"/>
                <w:sz w:val="24"/>
                <w:lang w:val="en-US" w:eastAsia="zh-CN"/>
              </w:rPr>
              <w:t>是</w:t>
            </w:r>
            <w:r>
              <w:rPr>
                <w:rFonts w:hint="default" w:ascii="Times New Roman" w:hAnsi="宋体" w:eastAsia="宋体" w:cs="Times New Roman"/>
                <w:color w:val="auto"/>
                <w:sz w:val="24"/>
              </w:rPr>
              <w:t>硫化氢和氨。</w:t>
            </w:r>
          </w:p>
          <w:p>
            <w:pPr>
              <w:spacing w:line="360" w:lineRule="auto"/>
              <w:ind w:firstLine="480" w:firstLineChars="200"/>
              <w:rPr>
                <w:rFonts w:hint="default" w:ascii="Times New Roman" w:hAnsi="宋体" w:eastAsia="宋体" w:cs="Times New Roman"/>
                <w:color w:val="auto"/>
                <w:sz w:val="24"/>
              </w:rPr>
            </w:pPr>
            <w:r>
              <w:rPr>
                <w:rFonts w:hint="eastAsia" w:ascii="Times New Roman" w:hAnsi="宋体" w:eastAsia="宋体" w:cs="Times New Roman"/>
                <w:color w:val="auto"/>
                <w:sz w:val="24"/>
                <w:lang w:val="en-US" w:eastAsia="zh-CN"/>
              </w:rPr>
              <w:t>①、格栅：废水中含有的</w:t>
            </w:r>
            <w:r>
              <w:rPr>
                <w:rFonts w:hint="default" w:ascii="Times New Roman" w:hAnsi="宋体" w:eastAsia="宋体" w:cs="Times New Roman"/>
                <w:color w:val="auto"/>
                <w:sz w:val="24"/>
                <w:lang w:val="en-US" w:eastAsia="zh-CN"/>
              </w:rPr>
              <w:t>COD</w:t>
            </w:r>
            <w:r>
              <w:rPr>
                <w:rFonts w:hint="eastAsia" w:ascii="Times New Roman" w:hAnsi="宋体" w:eastAsia="宋体" w:cs="Times New Roman"/>
                <w:color w:val="auto"/>
                <w:sz w:val="24"/>
                <w:lang w:val="en-US" w:eastAsia="zh-CN"/>
              </w:rPr>
              <w:t>、</w:t>
            </w:r>
            <w:r>
              <w:rPr>
                <w:rFonts w:hint="default" w:ascii="Times New Roman" w:hAnsi="宋体" w:eastAsia="宋体" w:cs="Times New Roman"/>
                <w:color w:val="auto"/>
                <w:sz w:val="24"/>
                <w:lang w:val="en-US" w:eastAsia="zh-CN"/>
              </w:rPr>
              <w:t>BOD</w:t>
            </w:r>
            <w:r>
              <w:rPr>
                <w:rFonts w:hint="eastAsia" w:ascii="Times New Roman" w:hAnsi="宋体" w:eastAsia="宋体" w:cs="Times New Roman"/>
                <w:color w:val="auto"/>
                <w:sz w:val="24"/>
                <w:lang w:val="en-US" w:eastAsia="zh-CN"/>
              </w:rPr>
              <w:t>较高，在管道输送过程中处于缺氧环境中，这样就使得污水中的有机物在到达污水处理设施之前就开始厌氧分解，因而进入污水处理设施进行处理时就带有腐败的恶臭气味。</w:t>
            </w:r>
          </w:p>
          <w:p>
            <w:pPr>
              <w:spacing w:line="360" w:lineRule="auto"/>
              <w:ind w:firstLine="480" w:firstLineChars="200"/>
              <w:rPr>
                <w:rFonts w:hint="eastAsia" w:ascii="Times New Roman" w:hAnsi="宋体" w:eastAsia="宋体" w:cs="Times New Roman"/>
                <w:color w:val="auto"/>
                <w:sz w:val="24"/>
                <w:lang w:val="en-US" w:eastAsia="zh-CN"/>
              </w:rPr>
            </w:pPr>
            <w:r>
              <w:rPr>
                <w:rFonts w:hint="eastAsia" w:ascii="Times New Roman" w:hAnsi="宋体" w:eastAsia="宋体" w:cs="Times New Roman"/>
                <w:color w:val="auto"/>
                <w:sz w:val="24"/>
                <w:lang w:val="en-US" w:eastAsia="zh-CN"/>
              </w:rPr>
              <w:t>②、生化处理系统：本项目生化处理系统有厌氧段、缺氧段和好氧段，曝气能吹脱出污水中微生物生化分解过程的中间产物，有时由于空气、水、生物泥混合不好，造成局部沉积或供氧不足而产生恶臭气体；同时脱氮释放过程氮气夹带一些恶臭物质。</w:t>
            </w:r>
          </w:p>
          <w:p>
            <w:pPr>
              <w:spacing w:line="360" w:lineRule="auto"/>
              <w:ind w:firstLine="480" w:firstLineChars="200"/>
              <w:rPr>
                <w:rFonts w:hint="default" w:ascii="Times New Roman" w:hAnsi="宋体" w:eastAsia="宋体" w:cs="Times New Roman"/>
                <w:color w:val="auto"/>
                <w:sz w:val="24"/>
              </w:rPr>
            </w:pPr>
            <w:r>
              <w:rPr>
                <w:rFonts w:hint="eastAsia" w:ascii="Times New Roman" w:hAnsi="宋体" w:eastAsia="宋体" w:cs="Times New Roman"/>
                <w:color w:val="auto"/>
                <w:sz w:val="24"/>
                <w:lang w:val="en-US" w:eastAsia="zh-CN"/>
              </w:rPr>
              <w:t xml:space="preserve">③、污泥处理系统：污泥的收集、处理是污水处理设施恶臭的重要来源。造成恶臭的主要原因是由于污泥滞留时间过长造成厌氧分解产生恶臭物质的缘故。 </w:t>
            </w:r>
          </w:p>
          <w:p>
            <w:pPr>
              <w:spacing w:line="360" w:lineRule="auto"/>
              <w:ind w:firstLine="480" w:firstLineChars="200"/>
              <w:rPr>
                <w:rFonts w:hint="default" w:ascii="Times New Roman" w:hAnsi="宋体" w:eastAsia="宋体" w:cs="Times New Roman"/>
                <w:color w:val="auto"/>
                <w:sz w:val="24"/>
              </w:rPr>
            </w:pPr>
            <w:r>
              <w:rPr>
                <w:rFonts w:hint="eastAsia" w:ascii="Times New Roman" w:hAnsi="宋体" w:eastAsia="宋体" w:cs="Times New Roman"/>
                <w:color w:val="auto"/>
                <w:sz w:val="24"/>
                <w:lang w:val="en-US" w:eastAsia="zh-CN"/>
              </w:rPr>
              <w:t>恶臭物质种类繁多，常见的有：硫醇类、硫醚类、硫化物、醛类、脂肪类、胺类、酚类等，对污水处理设施而言，产生的恶臭污染物以</w:t>
            </w:r>
            <w:r>
              <w:rPr>
                <w:rFonts w:hint="default" w:ascii="Times New Roman" w:hAnsi="宋体" w:eastAsia="宋体" w:cs="Times New Roman"/>
                <w:color w:val="auto"/>
                <w:sz w:val="24"/>
                <w:lang w:val="en-US" w:eastAsia="zh-CN"/>
              </w:rPr>
              <w:t>NH</w:t>
            </w:r>
            <w:r>
              <w:rPr>
                <w:rFonts w:hint="eastAsia" w:ascii="Times New Roman" w:hAnsi="宋体" w:eastAsia="宋体" w:cs="Times New Roman"/>
                <w:color w:val="auto"/>
                <w:sz w:val="24"/>
                <w:vertAlign w:val="subscript"/>
                <w:lang w:val="en-US" w:eastAsia="zh-CN"/>
              </w:rPr>
              <w:t>3</w:t>
            </w:r>
            <w:r>
              <w:rPr>
                <w:rFonts w:hint="eastAsia" w:ascii="Times New Roman" w:hAnsi="宋体" w:eastAsia="宋体" w:cs="Times New Roman"/>
                <w:color w:val="auto"/>
                <w:sz w:val="24"/>
                <w:lang w:val="en-US" w:eastAsia="zh-CN"/>
              </w:rPr>
              <w:t>和</w:t>
            </w:r>
            <w:r>
              <w:rPr>
                <w:rFonts w:hint="default" w:ascii="Times New Roman" w:hAnsi="宋体" w:eastAsia="宋体" w:cs="Times New Roman"/>
                <w:color w:val="auto"/>
                <w:sz w:val="24"/>
                <w:lang w:val="en-US" w:eastAsia="zh-CN"/>
              </w:rPr>
              <w:t>H</w:t>
            </w:r>
            <w:r>
              <w:rPr>
                <w:rFonts w:hint="default" w:ascii="Times New Roman" w:hAnsi="宋体" w:eastAsia="宋体" w:cs="Times New Roman"/>
                <w:color w:val="auto"/>
                <w:sz w:val="24"/>
                <w:vertAlign w:val="subscript"/>
                <w:lang w:val="en-US" w:eastAsia="zh-CN"/>
              </w:rPr>
              <w:t>2</w:t>
            </w:r>
            <w:r>
              <w:rPr>
                <w:rFonts w:hint="default" w:ascii="Times New Roman" w:hAnsi="宋体" w:eastAsia="宋体" w:cs="Times New Roman"/>
                <w:color w:val="auto"/>
                <w:sz w:val="24"/>
                <w:lang w:val="en-US" w:eastAsia="zh-CN"/>
              </w:rPr>
              <w:t xml:space="preserve">S </w:t>
            </w:r>
            <w:r>
              <w:rPr>
                <w:rFonts w:hint="eastAsia" w:ascii="Times New Roman" w:hAnsi="宋体" w:eastAsia="宋体" w:cs="Times New Roman"/>
                <w:color w:val="auto"/>
                <w:sz w:val="24"/>
                <w:lang w:val="en-US" w:eastAsia="zh-CN"/>
              </w:rPr>
              <w:t>为主。</w:t>
            </w:r>
          </w:p>
          <w:p>
            <w:pPr>
              <w:spacing w:line="360" w:lineRule="auto"/>
              <w:ind w:firstLine="480" w:firstLineChars="200"/>
              <w:rPr>
                <w:rFonts w:hint="eastAsia" w:ascii="Times New Roman" w:hAnsi="宋体" w:eastAsia="宋体" w:cs="Times New Roman"/>
                <w:color w:val="auto"/>
                <w:sz w:val="24"/>
                <w:lang w:eastAsia="zh-CN"/>
              </w:rPr>
            </w:pPr>
            <w:r>
              <w:rPr>
                <w:rFonts w:hint="default" w:ascii="Times New Roman" w:hAnsi="宋体" w:eastAsia="宋体" w:cs="Times New Roman"/>
                <w:color w:val="auto"/>
                <w:sz w:val="24"/>
              </w:rPr>
              <w:t>由于恶臭物质的逸出和扩散机理比较复杂，恶臭源强难于计算，参考各城镇污水处理</w:t>
            </w:r>
            <w:r>
              <w:rPr>
                <w:rFonts w:hint="eastAsia" w:ascii="Times New Roman" w:hAnsi="宋体" w:eastAsia="宋体" w:cs="Times New Roman"/>
                <w:color w:val="auto"/>
                <w:sz w:val="24"/>
                <w:lang w:val="en-US" w:eastAsia="zh-CN"/>
              </w:rPr>
              <w:t>系统</w:t>
            </w:r>
            <w:r>
              <w:rPr>
                <w:rFonts w:hint="default" w:ascii="Times New Roman" w:hAnsi="宋体" w:eastAsia="宋体" w:cs="Times New Roman"/>
                <w:color w:val="auto"/>
                <w:sz w:val="24"/>
              </w:rPr>
              <w:t>资料，结合本项目实际情况来确定</w:t>
            </w:r>
            <w:r>
              <w:rPr>
                <w:rFonts w:hint="eastAsia" w:ascii="Times New Roman" w:hAnsi="宋体" w:eastAsia="宋体" w:cs="Times New Roman"/>
                <w:color w:val="auto"/>
                <w:sz w:val="24"/>
                <w:lang w:eastAsia="zh-CN"/>
              </w:rPr>
              <w:t>本项目废水处理</w:t>
            </w:r>
            <w:r>
              <w:rPr>
                <w:rFonts w:hint="eastAsia" w:ascii="Times New Roman" w:hAnsi="宋体" w:eastAsia="宋体" w:cs="Times New Roman"/>
                <w:color w:val="auto"/>
                <w:sz w:val="24"/>
                <w:lang w:val="en-US" w:eastAsia="zh-CN"/>
              </w:rPr>
              <w:t>设施</w:t>
            </w:r>
            <w:r>
              <w:rPr>
                <w:rFonts w:hint="default" w:ascii="Times New Roman" w:hAnsi="宋体" w:eastAsia="宋体" w:cs="Times New Roman"/>
                <w:color w:val="auto"/>
                <w:sz w:val="24"/>
              </w:rPr>
              <w:t>恶臭污染物的排放源强。参考污水处理</w:t>
            </w:r>
            <w:r>
              <w:rPr>
                <w:rFonts w:hint="eastAsia" w:ascii="Times New Roman" w:hAnsi="宋体" w:eastAsia="宋体" w:cs="Times New Roman"/>
                <w:color w:val="auto"/>
                <w:sz w:val="24"/>
                <w:lang w:val="en-US" w:eastAsia="zh-CN"/>
              </w:rPr>
              <w:t>系统</w:t>
            </w:r>
            <w:r>
              <w:rPr>
                <w:rFonts w:hint="default" w:ascii="Times New Roman" w:hAnsi="宋体" w:eastAsia="宋体" w:cs="Times New Roman"/>
                <w:color w:val="auto"/>
                <w:sz w:val="24"/>
              </w:rPr>
              <w:t>资料：在各处理单元的排污系数一般可通过单位时间内单位面积散发量表征</w:t>
            </w:r>
            <w:r>
              <w:rPr>
                <w:rFonts w:hint="eastAsia" w:ascii="Times New Roman" w:hAnsi="宋体" w:eastAsia="宋体" w:cs="Times New Roman"/>
                <w:color w:val="auto"/>
                <w:sz w:val="24"/>
                <w:lang w:eastAsia="zh-CN"/>
              </w:rPr>
              <w:t>。</w:t>
            </w:r>
          </w:p>
          <w:p>
            <w:pPr>
              <w:spacing w:line="360" w:lineRule="auto"/>
              <w:ind w:firstLine="480" w:firstLineChars="200"/>
              <w:rPr>
                <w:rFonts w:hint="eastAsia" w:ascii="Times New Roman" w:hAnsi="宋体" w:eastAsia="宋体" w:cs="Times New Roman"/>
                <w:color w:val="auto"/>
                <w:sz w:val="24"/>
                <w:lang w:val="en-US" w:eastAsia="zh-CN"/>
              </w:rPr>
            </w:pPr>
            <w:r>
              <w:rPr>
                <w:rFonts w:hint="default" w:ascii="Times New Roman" w:hAnsi="宋体" w:eastAsia="宋体" w:cs="Times New Roman"/>
                <w:color w:val="auto"/>
                <w:sz w:val="24"/>
                <w:lang w:val="en-US" w:eastAsia="zh-CN"/>
              </w:rPr>
              <w:t>参照《污水处理厂恶臭防治对策及环境影响评价的研究》(薛松，和</w:t>
            </w:r>
            <w:r>
              <w:rPr>
                <w:rFonts w:hint="eastAsia" w:ascii="Times New Roman" w:hAnsi="宋体" w:eastAsia="宋体" w:cs="Times New Roman"/>
                <w:color w:val="auto"/>
                <w:sz w:val="24"/>
                <w:lang w:val="en-US" w:eastAsia="zh-CN"/>
              </w:rPr>
              <w:t>慧</w:t>
            </w:r>
            <w:r>
              <w:rPr>
                <w:rFonts w:hint="default" w:ascii="Times New Roman" w:hAnsi="宋体" w:eastAsia="宋体" w:cs="Times New Roman"/>
                <w:color w:val="auto"/>
                <w:sz w:val="24"/>
                <w:lang w:val="en-US" w:eastAsia="zh-CN"/>
              </w:rPr>
              <w:t>，邓莉蕊，孙晶晶)及《城市污水处理厂恶</w:t>
            </w:r>
            <w:r>
              <w:rPr>
                <w:rFonts w:hint="eastAsia" w:ascii="Times New Roman" w:hAnsi="宋体" w:eastAsia="宋体" w:cs="Times New Roman"/>
                <w:color w:val="auto"/>
                <w:sz w:val="24"/>
                <w:lang w:val="en-US" w:eastAsia="zh-CN"/>
              </w:rPr>
              <w:t>臭</w:t>
            </w:r>
            <w:r>
              <w:rPr>
                <w:rFonts w:hint="default" w:ascii="Times New Roman" w:hAnsi="宋体" w:eastAsia="宋体" w:cs="Times New Roman"/>
                <w:color w:val="auto"/>
                <w:sz w:val="24"/>
                <w:lang w:val="en-US" w:eastAsia="zh-CN"/>
              </w:rPr>
              <w:t>影响及对策分析》(王喜红，黑龙江环境通报，2011年9月)，本项目根据设计的构筑物表面积对拟建项目主要</w:t>
            </w:r>
            <w:r>
              <w:rPr>
                <w:rFonts w:hint="eastAsia" w:ascii="Times New Roman" w:hAnsi="宋体" w:eastAsia="宋体" w:cs="Times New Roman"/>
                <w:color w:val="auto"/>
                <w:sz w:val="24"/>
                <w:lang w:val="en-US" w:eastAsia="zh-CN"/>
              </w:rPr>
              <w:t>臭</w:t>
            </w:r>
            <w:r>
              <w:rPr>
                <w:rFonts w:hint="default" w:ascii="Times New Roman" w:hAnsi="宋体" w:eastAsia="宋体" w:cs="Times New Roman"/>
                <w:color w:val="auto"/>
                <w:sz w:val="24"/>
                <w:lang w:val="en-US" w:eastAsia="zh-CN"/>
              </w:rPr>
              <w:t>气产生单元NH</w:t>
            </w:r>
            <w:r>
              <w:rPr>
                <w:rFonts w:hint="eastAsia" w:ascii="Times New Roman" w:hAnsi="宋体" w:eastAsia="宋体" w:cs="Times New Roman"/>
                <w:color w:val="auto"/>
                <w:sz w:val="24"/>
                <w:vertAlign w:val="subscript"/>
                <w:lang w:val="en-US" w:eastAsia="zh-CN"/>
              </w:rPr>
              <w:t>3</w:t>
            </w:r>
            <w:r>
              <w:rPr>
                <w:rFonts w:hint="default" w:ascii="Times New Roman" w:hAnsi="宋体" w:eastAsia="宋体" w:cs="Times New Roman"/>
                <w:color w:val="auto"/>
                <w:sz w:val="24"/>
                <w:lang w:val="en-US" w:eastAsia="zh-CN"/>
              </w:rPr>
              <w:t>和H</w:t>
            </w:r>
            <w:r>
              <w:rPr>
                <w:rFonts w:hint="eastAsia" w:ascii="Times New Roman" w:hAnsi="宋体" w:eastAsia="宋体" w:cs="Times New Roman"/>
                <w:color w:val="auto"/>
                <w:sz w:val="24"/>
                <w:vertAlign w:val="subscript"/>
                <w:lang w:val="en-US" w:eastAsia="zh-CN"/>
              </w:rPr>
              <w:t>2</w:t>
            </w:r>
            <w:r>
              <w:rPr>
                <w:rFonts w:hint="default" w:ascii="Times New Roman" w:hAnsi="宋体" w:eastAsia="宋体" w:cs="Times New Roman"/>
                <w:color w:val="auto"/>
                <w:sz w:val="24"/>
                <w:lang w:val="en-US" w:eastAsia="zh-CN"/>
              </w:rPr>
              <w:t>S的产生量进行估算</w:t>
            </w:r>
            <w:r>
              <w:rPr>
                <w:rFonts w:hint="eastAsia" w:ascii="Times New Roman" w:hAnsi="宋体" w:eastAsia="宋体" w:cs="Times New Roman"/>
                <w:color w:val="auto"/>
                <w:sz w:val="24"/>
                <w:lang w:val="en-US" w:eastAsia="zh-CN"/>
              </w:rPr>
              <w:t>。</w:t>
            </w:r>
          </w:p>
          <w:p>
            <w:pPr>
              <w:spacing w:line="360" w:lineRule="auto"/>
              <w:ind w:firstLine="480" w:firstLineChars="200"/>
              <w:rPr>
                <w:rFonts w:hint="default" w:ascii="Times New Roman" w:hAnsi="宋体" w:eastAsia="宋体" w:cs="Times New Roman"/>
                <w:color w:val="auto"/>
                <w:sz w:val="24"/>
              </w:rPr>
            </w:pPr>
            <w:r>
              <w:rPr>
                <w:rFonts w:hint="default" w:ascii="Times New Roman" w:hAnsi="宋体" w:eastAsia="宋体" w:cs="Times New Roman"/>
                <w:color w:val="auto"/>
                <w:sz w:val="24"/>
              </w:rPr>
              <w:t>其恶臭产污系数详见下表。</w:t>
            </w:r>
          </w:p>
          <w:p>
            <w:pPr>
              <w:ind w:firstLine="482" w:firstLineChars="20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表4-</w:t>
            </w:r>
            <w:r>
              <w:rPr>
                <w:rFonts w:hint="default" w:ascii="Times New Roman" w:hAnsi="Times New Roman" w:eastAsia="宋体" w:cs="Times New Roman"/>
                <w:b/>
                <w:bCs/>
                <w:color w:val="auto"/>
                <w:sz w:val="24"/>
                <w:szCs w:val="24"/>
                <w:lang w:val="en-US" w:eastAsia="zh-CN"/>
              </w:rPr>
              <w:t>2</w:t>
            </w:r>
            <w:r>
              <w:rPr>
                <w:rFonts w:hint="default" w:ascii="Times New Roman" w:hAnsi="Times New Roman" w:eastAsia="宋体" w:cs="Times New Roman"/>
                <w:b/>
                <w:bCs/>
                <w:color w:val="auto"/>
                <w:sz w:val="24"/>
                <w:szCs w:val="24"/>
              </w:rPr>
              <w:t>典型污水处理</w:t>
            </w:r>
            <w:r>
              <w:rPr>
                <w:rFonts w:hint="eastAsia" w:ascii="Times New Roman" w:hAnsi="Times New Roman" w:eastAsia="宋体" w:cs="Times New Roman"/>
                <w:b/>
                <w:bCs/>
                <w:color w:val="auto"/>
                <w:sz w:val="24"/>
                <w:szCs w:val="24"/>
                <w:lang w:val="en-US" w:eastAsia="zh-CN"/>
              </w:rPr>
              <w:t>设施</w:t>
            </w:r>
            <w:r>
              <w:rPr>
                <w:rFonts w:hint="default" w:ascii="Times New Roman" w:hAnsi="Times New Roman" w:eastAsia="宋体" w:cs="Times New Roman"/>
                <w:b/>
                <w:bCs/>
                <w:color w:val="auto"/>
                <w:sz w:val="24"/>
                <w:szCs w:val="24"/>
              </w:rPr>
              <w:t>恶臭产污系数</w:t>
            </w:r>
          </w:p>
          <w:tbl>
            <w:tblPr>
              <w:tblStyle w:val="23"/>
              <w:tblW w:w="799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684"/>
              <w:gridCol w:w="2155"/>
              <w:gridCol w:w="215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886" w:type="dxa"/>
                  <w:noWrap w:val="0"/>
                  <w:vAlign w:val="center"/>
                </w:tcPr>
                <w:p>
                  <w:pPr>
                    <w:pStyle w:val="84"/>
                    <w:tabs>
                      <w:tab w:val="left" w:pos="-2848"/>
                    </w:tabs>
                    <w:rPr>
                      <w:rFonts w:hint="default" w:ascii="Times New Roman" w:hAnsi="Times New Roman" w:cs="Times New Roman"/>
                      <w:b/>
                      <w:bCs/>
                      <w:color w:val="000000"/>
                      <w:kern w:val="0"/>
                      <w:sz w:val="24"/>
                    </w:rPr>
                  </w:pPr>
                  <w:r>
                    <w:rPr>
                      <w:rFonts w:hint="default" w:ascii="Times New Roman" w:hAnsi="Times New Roman" w:cs="Times New Roman"/>
                      <w:b/>
                      <w:bCs/>
                      <w:color w:val="000000"/>
                      <w:kern w:val="0"/>
                    </w:rPr>
                    <w:t>构筑物名称</w:t>
                  </w:r>
                </w:p>
              </w:tc>
              <w:tc>
                <w:tcPr>
                  <w:tcW w:w="2268" w:type="dxa"/>
                  <w:noWrap w:val="0"/>
                  <w:vAlign w:val="center"/>
                </w:tcPr>
                <w:p>
                  <w:pPr>
                    <w:pStyle w:val="84"/>
                    <w:tabs>
                      <w:tab w:val="left" w:pos="-2848"/>
                    </w:tabs>
                    <w:rPr>
                      <w:rFonts w:hint="default" w:ascii="Times New Roman" w:hAnsi="Times New Roman" w:cs="Times New Roman"/>
                      <w:b/>
                      <w:bCs/>
                      <w:color w:val="000000"/>
                      <w:szCs w:val="20"/>
                    </w:rPr>
                  </w:pPr>
                  <w:r>
                    <w:rPr>
                      <w:rFonts w:hint="default" w:ascii="Times New Roman" w:hAnsi="Times New Roman" w:cs="Times New Roman"/>
                      <w:b/>
                      <w:bCs/>
                      <w:color w:val="000000"/>
                      <w:szCs w:val="21"/>
                    </w:rPr>
                    <w:t>氨气（mg/s·m</w:t>
                  </w:r>
                  <w:r>
                    <w:rPr>
                      <w:rFonts w:hint="default" w:ascii="Times New Roman" w:hAnsi="Times New Roman" w:cs="Times New Roman"/>
                      <w:b/>
                      <w:bCs/>
                      <w:color w:val="000000"/>
                      <w:szCs w:val="14"/>
                      <w:vertAlign w:val="superscript"/>
                    </w:rPr>
                    <w:t>2</w:t>
                  </w:r>
                  <w:r>
                    <w:rPr>
                      <w:rFonts w:hint="default" w:ascii="Times New Roman" w:hAnsi="Times New Roman" w:cs="Times New Roman"/>
                      <w:b/>
                      <w:bCs/>
                      <w:color w:val="000000"/>
                      <w:szCs w:val="21"/>
                    </w:rPr>
                    <w:t>）</w:t>
                  </w:r>
                </w:p>
              </w:tc>
              <w:tc>
                <w:tcPr>
                  <w:tcW w:w="2268" w:type="dxa"/>
                  <w:noWrap w:val="0"/>
                  <w:vAlign w:val="center"/>
                </w:tcPr>
                <w:p>
                  <w:pPr>
                    <w:pStyle w:val="84"/>
                    <w:tabs>
                      <w:tab w:val="left" w:pos="-2848"/>
                    </w:tabs>
                    <w:rPr>
                      <w:rFonts w:hint="default" w:ascii="Times New Roman" w:hAnsi="Times New Roman" w:cs="Times New Roman"/>
                      <w:b/>
                      <w:bCs/>
                      <w:color w:val="000000"/>
                      <w:szCs w:val="20"/>
                    </w:rPr>
                  </w:pPr>
                  <w:r>
                    <w:rPr>
                      <w:rFonts w:hint="default" w:ascii="Times New Roman" w:hAnsi="Times New Roman" w:cs="Times New Roman"/>
                      <w:b/>
                      <w:bCs/>
                      <w:color w:val="000000"/>
                      <w:szCs w:val="21"/>
                    </w:rPr>
                    <w:t>硫化氢（mg/s·m</w:t>
                  </w:r>
                  <w:r>
                    <w:rPr>
                      <w:rFonts w:hint="default" w:ascii="Times New Roman" w:hAnsi="Times New Roman" w:cs="Times New Roman"/>
                      <w:b/>
                      <w:bCs/>
                      <w:color w:val="000000"/>
                      <w:szCs w:val="14"/>
                      <w:vertAlign w:val="superscript"/>
                    </w:rPr>
                    <w:t>2</w:t>
                  </w:r>
                  <w:r>
                    <w:rPr>
                      <w:rFonts w:hint="default" w:ascii="Times New Roman" w:hAnsi="Times New Roman" w:cs="Times New Roman"/>
                      <w:b/>
                      <w:bCs/>
                      <w:color w:val="000000"/>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38" w:hRule="exact"/>
              </w:trPr>
              <w:tc>
                <w:tcPr>
                  <w:tcW w:w="3886" w:type="dxa"/>
                  <w:noWrap w:val="0"/>
                  <w:vAlign w:val="center"/>
                </w:tcPr>
                <w:p>
                  <w:pPr>
                    <w:pStyle w:val="84"/>
                    <w:tabs>
                      <w:tab w:val="left" w:pos="-2848"/>
                    </w:tabs>
                    <w:rPr>
                      <w:rFonts w:hint="default" w:ascii="Times New Roman" w:hAnsi="Times New Roman" w:cs="Times New Roman"/>
                      <w:color w:val="000000"/>
                      <w:kern w:val="0"/>
                      <w:sz w:val="24"/>
                    </w:rPr>
                  </w:pPr>
                  <w:r>
                    <w:rPr>
                      <w:rFonts w:hint="default" w:ascii="Times New Roman" w:hAnsi="Times New Roman" w:cs="Times New Roman"/>
                      <w:color w:val="000000"/>
                      <w:kern w:val="0"/>
                      <w:lang w:eastAsia="zh-CN"/>
                    </w:rPr>
                    <w:t>格栅、</w:t>
                  </w:r>
                  <w:r>
                    <w:rPr>
                      <w:rFonts w:hint="default" w:ascii="Times New Roman" w:hAnsi="Times New Roman" w:cs="Times New Roman"/>
                      <w:color w:val="000000"/>
                      <w:kern w:val="0"/>
                    </w:rPr>
                    <w:t>调节</w:t>
                  </w:r>
                  <w:r>
                    <w:rPr>
                      <w:rFonts w:hint="default" w:ascii="Times New Roman" w:hAnsi="Times New Roman" w:cs="Times New Roman"/>
                      <w:color w:val="000000"/>
                      <w:spacing w:val="-2"/>
                      <w:kern w:val="0"/>
                    </w:rPr>
                    <w:t>池</w:t>
                  </w:r>
                </w:p>
              </w:tc>
              <w:tc>
                <w:tcPr>
                  <w:tcW w:w="2268" w:type="dxa"/>
                  <w:noWrap w:val="0"/>
                  <w:vAlign w:val="center"/>
                </w:tcPr>
                <w:p>
                  <w:pPr>
                    <w:pStyle w:val="84"/>
                    <w:tabs>
                      <w:tab w:val="left" w:pos="-2848"/>
                    </w:tabs>
                    <w:ind w:firstLine="0" w:firstLineChars="0"/>
                    <w:rPr>
                      <w:rFonts w:hint="default" w:ascii="Times New Roman" w:hAnsi="Times New Roman" w:eastAsia="宋体" w:cs="Times New Roman"/>
                      <w:color w:val="000000"/>
                      <w:kern w:val="0"/>
                      <w:position w:val="-10"/>
                      <w:sz w:val="21"/>
                      <w:szCs w:val="24"/>
                      <w:lang w:val="en-US" w:eastAsia="zh-CN" w:bidi="ar-SA"/>
                    </w:rPr>
                  </w:pPr>
                  <w:r>
                    <w:rPr>
                      <w:rFonts w:hint="default" w:ascii="Times New Roman" w:hAnsi="Times New Roman" w:cs="Times New Roman"/>
                      <w:color w:val="000000"/>
                      <w:kern w:val="0"/>
                    </w:rPr>
                    <w:t>0.</w:t>
                  </w:r>
                  <w:r>
                    <w:rPr>
                      <w:rFonts w:hint="default" w:ascii="Times New Roman" w:hAnsi="Times New Roman" w:cs="Times New Roman"/>
                      <w:color w:val="000000"/>
                      <w:kern w:val="0"/>
                      <w:lang w:val="en-US" w:eastAsia="zh-CN"/>
                    </w:rPr>
                    <w:t>08</w:t>
                  </w:r>
                </w:p>
              </w:tc>
              <w:tc>
                <w:tcPr>
                  <w:tcW w:w="2268" w:type="dxa"/>
                  <w:noWrap w:val="0"/>
                  <w:vAlign w:val="center"/>
                </w:tcPr>
                <w:p>
                  <w:pPr>
                    <w:pStyle w:val="84"/>
                    <w:tabs>
                      <w:tab w:val="left" w:pos="-2848"/>
                    </w:tabs>
                    <w:ind w:firstLine="0" w:firstLineChars="0"/>
                    <w:rPr>
                      <w:rFonts w:hint="default" w:ascii="Times New Roman" w:hAnsi="Times New Roman" w:cs="Times New Roman"/>
                      <w:color w:val="000000"/>
                      <w:kern w:val="0"/>
                      <w:position w:val="-10"/>
                      <w:sz w:val="21"/>
                      <w:szCs w:val="24"/>
                      <w:lang w:val="en-US" w:eastAsia="zh-CN" w:bidi="ar-SA"/>
                    </w:rPr>
                  </w:pPr>
                  <w:r>
                    <w:rPr>
                      <w:rFonts w:hint="default" w:ascii="Times New Roman" w:hAnsi="Times New Roman" w:cs="Times New Roman"/>
                      <w:color w:val="000000"/>
                      <w:kern w:val="0"/>
                      <w:lang w:val="en-US" w:eastAsia="zh-CN"/>
                    </w:rPr>
                    <w:t>0.0010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886" w:type="dxa"/>
                  <w:noWrap w:val="0"/>
                  <w:vAlign w:val="center"/>
                </w:tcPr>
                <w:p>
                  <w:pPr>
                    <w:pStyle w:val="84"/>
                    <w:tabs>
                      <w:tab w:val="left" w:pos="-2848"/>
                    </w:tabs>
                    <w:rPr>
                      <w:rFonts w:hint="default" w:ascii="Times New Roman" w:hAnsi="Times New Roman" w:cs="Times New Roman"/>
                      <w:color w:val="000000"/>
                      <w:kern w:val="0"/>
                      <w:sz w:val="24"/>
                    </w:rPr>
                  </w:pPr>
                  <w:r>
                    <w:rPr>
                      <w:rFonts w:hint="default" w:ascii="Times New Roman" w:hAnsi="Times New Roman" w:cs="Times New Roman"/>
                      <w:color w:val="000000"/>
                      <w:kern w:val="0"/>
                    </w:rPr>
                    <w:t>生化池</w:t>
                  </w:r>
                </w:p>
              </w:tc>
              <w:tc>
                <w:tcPr>
                  <w:tcW w:w="2268" w:type="dxa"/>
                  <w:noWrap w:val="0"/>
                  <w:vAlign w:val="center"/>
                </w:tcPr>
                <w:p>
                  <w:pPr>
                    <w:pStyle w:val="84"/>
                    <w:tabs>
                      <w:tab w:val="left" w:pos="-2848"/>
                    </w:tabs>
                    <w:ind w:firstLine="0" w:firstLineChars="0"/>
                    <w:rPr>
                      <w:rFonts w:hint="default" w:ascii="Times New Roman" w:hAnsi="Times New Roman" w:eastAsia="宋体" w:cs="Times New Roman"/>
                      <w:color w:val="000000"/>
                      <w:kern w:val="0"/>
                      <w:position w:val="-10"/>
                      <w:sz w:val="21"/>
                      <w:szCs w:val="24"/>
                      <w:lang w:val="en-US" w:eastAsia="zh-CN" w:bidi="ar-SA"/>
                    </w:rPr>
                  </w:pPr>
                  <w:r>
                    <w:rPr>
                      <w:rFonts w:hint="default" w:ascii="Times New Roman" w:hAnsi="Times New Roman" w:cs="Times New Roman"/>
                      <w:color w:val="000000"/>
                      <w:kern w:val="0"/>
                    </w:rPr>
                    <w:t>0.0</w:t>
                  </w:r>
                  <w:r>
                    <w:rPr>
                      <w:rFonts w:hint="default" w:ascii="Times New Roman" w:hAnsi="Times New Roman" w:cs="Times New Roman"/>
                      <w:color w:val="000000"/>
                      <w:kern w:val="0"/>
                      <w:lang w:val="en-US" w:eastAsia="zh-CN"/>
                    </w:rPr>
                    <w:t>16</w:t>
                  </w:r>
                </w:p>
              </w:tc>
              <w:tc>
                <w:tcPr>
                  <w:tcW w:w="2268" w:type="dxa"/>
                  <w:noWrap w:val="0"/>
                  <w:vAlign w:val="center"/>
                </w:tcPr>
                <w:p>
                  <w:pPr>
                    <w:pStyle w:val="84"/>
                    <w:tabs>
                      <w:tab w:val="left" w:pos="-2848"/>
                    </w:tabs>
                    <w:ind w:firstLine="0" w:firstLineChars="0"/>
                    <w:rPr>
                      <w:rFonts w:hint="default" w:ascii="Times New Roman" w:hAnsi="Times New Roman" w:cs="Times New Roman"/>
                      <w:color w:val="000000"/>
                      <w:kern w:val="0"/>
                      <w:position w:val="-10"/>
                      <w:sz w:val="21"/>
                      <w:szCs w:val="24"/>
                      <w:lang w:val="en-US" w:eastAsia="zh-CN" w:bidi="ar-SA"/>
                    </w:rPr>
                  </w:pPr>
                  <w:r>
                    <w:rPr>
                      <w:rFonts w:hint="default" w:ascii="Times New Roman" w:hAnsi="Times New Roman" w:cs="Times New Roman"/>
                      <w:color w:val="000000"/>
                      <w:kern w:val="0"/>
                      <w:lang w:val="en-US" w:eastAsia="zh-CN"/>
                    </w:rPr>
                    <w:t>0.00018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3886" w:type="dxa"/>
                  <w:noWrap w:val="0"/>
                  <w:vAlign w:val="center"/>
                </w:tcPr>
                <w:p>
                  <w:pPr>
                    <w:pStyle w:val="84"/>
                    <w:tabs>
                      <w:tab w:val="left" w:pos="-2848"/>
                    </w:tabs>
                    <w:rPr>
                      <w:rFonts w:hint="default" w:ascii="Times New Roman" w:hAnsi="Times New Roman" w:cs="Times New Roman"/>
                      <w:color w:val="000000"/>
                      <w:kern w:val="0"/>
                      <w:sz w:val="24"/>
                    </w:rPr>
                  </w:pPr>
                  <w:r>
                    <w:rPr>
                      <w:rFonts w:hint="default" w:ascii="Times New Roman" w:hAnsi="Times New Roman" w:cs="Times New Roman"/>
                      <w:color w:val="000000"/>
                      <w:kern w:val="0"/>
                    </w:rPr>
                    <w:t>污泥脱水区（含污泥收集池、脱水区、贮存区）</w:t>
                  </w:r>
                </w:p>
              </w:tc>
              <w:tc>
                <w:tcPr>
                  <w:tcW w:w="2268" w:type="dxa"/>
                  <w:noWrap w:val="0"/>
                  <w:vAlign w:val="center"/>
                </w:tcPr>
                <w:p>
                  <w:pPr>
                    <w:pStyle w:val="84"/>
                    <w:tabs>
                      <w:tab w:val="left" w:pos="-2848"/>
                    </w:tabs>
                    <w:ind w:firstLine="0" w:firstLineChars="0"/>
                    <w:rPr>
                      <w:rFonts w:hint="default" w:ascii="Times New Roman" w:hAnsi="Times New Roman" w:eastAsia="宋体" w:cs="Times New Roman"/>
                      <w:color w:val="000000"/>
                      <w:kern w:val="0"/>
                      <w:position w:val="-10"/>
                      <w:sz w:val="21"/>
                      <w:szCs w:val="24"/>
                      <w:lang w:val="en-US" w:eastAsia="zh-CN" w:bidi="ar-SA"/>
                    </w:rPr>
                  </w:pPr>
                  <w:r>
                    <w:rPr>
                      <w:rFonts w:hint="default" w:ascii="Times New Roman" w:hAnsi="Times New Roman" w:cs="Times New Roman"/>
                      <w:color w:val="000000"/>
                      <w:kern w:val="0"/>
                    </w:rPr>
                    <w:t>0.0</w:t>
                  </w:r>
                  <w:r>
                    <w:rPr>
                      <w:rFonts w:hint="default" w:ascii="Times New Roman" w:hAnsi="Times New Roman" w:cs="Times New Roman"/>
                      <w:color w:val="000000"/>
                      <w:kern w:val="0"/>
                      <w:lang w:val="en-US" w:eastAsia="zh-CN"/>
                    </w:rPr>
                    <w:t>8</w:t>
                  </w:r>
                </w:p>
              </w:tc>
              <w:tc>
                <w:tcPr>
                  <w:tcW w:w="2268" w:type="dxa"/>
                  <w:noWrap w:val="0"/>
                  <w:vAlign w:val="center"/>
                </w:tcPr>
                <w:p>
                  <w:pPr>
                    <w:pStyle w:val="84"/>
                    <w:tabs>
                      <w:tab w:val="left" w:pos="-2848"/>
                    </w:tabs>
                    <w:ind w:firstLine="0" w:firstLineChars="0"/>
                    <w:rPr>
                      <w:rFonts w:hint="default" w:ascii="Times New Roman" w:hAnsi="Times New Roman" w:cs="Times New Roman"/>
                      <w:color w:val="000000"/>
                      <w:kern w:val="0"/>
                      <w:position w:val="-10"/>
                      <w:sz w:val="21"/>
                      <w:szCs w:val="24"/>
                      <w:lang w:val="en-US" w:eastAsia="zh-CN" w:bidi="ar-SA"/>
                    </w:rPr>
                  </w:pPr>
                  <w:r>
                    <w:rPr>
                      <w:rFonts w:hint="default" w:ascii="Times New Roman" w:hAnsi="Times New Roman" w:cs="Times New Roman"/>
                      <w:color w:val="000000"/>
                      <w:kern w:val="0"/>
                      <w:lang w:val="en-US" w:eastAsia="zh-CN"/>
                    </w:rPr>
                    <w:t>0.00122</w:t>
                  </w:r>
                </w:p>
              </w:tc>
            </w:tr>
          </w:tbl>
          <w:p>
            <w:pPr>
              <w:keepNext w:val="0"/>
              <w:keepLines w:val="0"/>
              <w:pageBreakBefore w:val="0"/>
              <w:widowControl w:val="0"/>
              <w:kinsoku/>
              <w:wordWrap/>
              <w:overflowPunct/>
              <w:topLinePunct w:val="0"/>
              <w:autoSpaceDE/>
              <w:autoSpaceDN/>
              <w:bidi w:val="0"/>
              <w:adjustRightInd/>
              <w:snapToGrid/>
              <w:spacing w:before="157" w:beforeLines="50"/>
              <w:ind w:firstLine="482" w:firstLineChars="20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表4-</w:t>
            </w:r>
            <w:r>
              <w:rPr>
                <w:rFonts w:hint="default" w:ascii="Times New Roman" w:hAnsi="Times New Roman" w:eastAsia="宋体" w:cs="Times New Roman"/>
                <w:b/>
                <w:bCs/>
                <w:color w:val="auto"/>
                <w:sz w:val="24"/>
                <w:szCs w:val="24"/>
                <w:lang w:val="en-US" w:eastAsia="zh-CN"/>
              </w:rPr>
              <w:t>3</w:t>
            </w:r>
            <w:r>
              <w:rPr>
                <w:rFonts w:hint="default" w:ascii="Times New Roman" w:hAnsi="Times New Roman" w:eastAsia="宋体" w:cs="Times New Roman"/>
                <w:b/>
                <w:bCs/>
                <w:color w:val="auto"/>
                <w:sz w:val="24"/>
                <w:szCs w:val="24"/>
              </w:rPr>
              <w:t xml:space="preserve"> 项目恶臭污染物</w:t>
            </w:r>
            <w:r>
              <w:rPr>
                <w:rFonts w:hint="default" w:ascii="Times New Roman" w:hAnsi="Times New Roman" w:eastAsia="宋体" w:cs="Times New Roman"/>
                <w:b/>
                <w:bCs/>
                <w:color w:val="auto"/>
                <w:sz w:val="24"/>
                <w:szCs w:val="24"/>
                <w:lang w:eastAsia="zh-CN"/>
              </w:rPr>
              <w:t>产生量</w:t>
            </w:r>
            <w:r>
              <w:rPr>
                <w:rFonts w:hint="default" w:ascii="Times New Roman" w:hAnsi="Times New Roman" w:eastAsia="宋体" w:cs="Times New Roman"/>
                <w:b/>
                <w:bCs/>
                <w:color w:val="auto"/>
                <w:sz w:val="24"/>
                <w:szCs w:val="24"/>
              </w:rPr>
              <w:t>一览表</w:t>
            </w:r>
          </w:p>
          <w:p>
            <w:pPr>
              <w:autoSpaceDE w:val="0"/>
              <w:autoSpaceDN w:val="0"/>
              <w:adjustRightInd w:val="0"/>
              <w:spacing w:line="40" w:lineRule="exact"/>
              <w:ind w:firstLine="80"/>
              <w:rPr>
                <w:rFonts w:hint="default" w:ascii="Times New Roman" w:hAnsi="Times New Roman" w:eastAsia="微软雅黑" w:cs="Times New Roman"/>
                <w:color w:val="000000"/>
                <w:sz w:val="4"/>
                <w:szCs w:val="4"/>
              </w:rPr>
            </w:pPr>
          </w:p>
          <w:tbl>
            <w:tblPr>
              <w:tblStyle w:val="23"/>
              <w:tblW w:w="799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1" w:type="dxa"/>
                <w:bottom w:w="0" w:type="dxa"/>
                <w:right w:w="51" w:type="dxa"/>
              </w:tblCellMar>
            </w:tblPr>
            <w:tblGrid>
              <w:gridCol w:w="1338"/>
              <w:gridCol w:w="612"/>
              <w:gridCol w:w="1281"/>
              <w:gridCol w:w="856"/>
              <w:gridCol w:w="801"/>
              <w:gridCol w:w="1325"/>
              <w:gridCol w:w="975"/>
              <w:gridCol w:w="80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70" w:hRule="exact"/>
              </w:trPr>
              <w:tc>
                <w:tcPr>
                  <w:tcW w:w="1338" w:type="dxa"/>
                  <w:vMerge w:val="restart"/>
                  <w:noWrap w:val="0"/>
                  <w:vAlign w:val="center"/>
                </w:tcPr>
                <w:p>
                  <w:pPr>
                    <w:pStyle w:val="84"/>
                    <w:tabs>
                      <w:tab w:val="left" w:pos="-2848"/>
                    </w:tabs>
                    <w:spacing w:line="240" w:lineRule="auto"/>
                    <w:rPr>
                      <w:rFonts w:hint="default" w:ascii="Times New Roman" w:hAnsi="Times New Roman" w:cs="Times New Roman"/>
                      <w:b/>
                      <w:bCs/>
                      <w:color w:val="000000"/>
                      <w:kern w:val="0"/>
                    </w:rPr>
                  </w:pPr>
                  <w:r>
                    <w:rPr>
                      <w:rFonts w:hint="default" w:ascii="Times New Roman" w:hAnsi="Times New Roman" w:cs="Times New Roman"/>
                      <w:b/>
                      <w:bCs/>
                      <w:color w:val="000000"/>
                      <w:kern w:val="0"/>
                    </w:rPr>
                    <w:t>构</w:t>
                  </w:r>
                  <w:r>
                    <w:rPr>
                      <w:rFonts w:hint="default" w:ascii="Times New Roman" w:hAnsi="Times New Roman" w:cs="Times New Roman"/>
                      <w:b/>
                      <w:bCs/>
                      <w:color w:val="000000"/>
                      <w:spacing w:val="2"/>
                      <w:kern w:val="0"/>
                    </w:rPr>
                    <w:t>筑</w:t>
                  </w:r>
                  <w:r>
                    <w:rPr>
                      <w:rFonts w:hint="default" w:ascii="Times New Roman" w:hAnsi="Times New Roman" w:cs="Times New Roman"/>
                      <w:b/>
                      <w:bCs/>
                      <w:color w:val="000000"/>
                      <w:kern w:val="0"/>
                    </w:rPr>
                    <w:t>物</w:t>
                  </w:r>
                </w:p>
                <w:p>
                  <w:pPr>
                    <w:pStyle w:val="84"/>
                    <w:tabs>
                      <w:tab w:val="left" w:pos="-2848"/>
                    </w:tabs>
                    <w:spacing w:line="240" w:lineRule="auto"/>
                    <w:rPr>
                      <w:rFonts w:hint="default" w:ascii="Times New Roman" w:hAnsi="Times New Roman" w:cs="Times New Roman"/>
                      <w:b/>
                      <w:bCs/>
                      <w:color w:val="000000"/>
                      <w:kern w:val="0"/>
                    </w:rPr>
                  </w:pPr>
                  <w:r>
                    <w:rPr>
                      <w:rFonts w:hint="default" w:ascii="Times New Roman" w:hAnsi="Times New Roman" w:cs="Times New Roman"/>
                      <w:b/>
                      <w:bCs/>
                      <w:color w:val="000000"/>
                      <w:spacing w:val="2"/>
                      <w:kern w:val="0"/>
                    </w:rPr>
                    <w:t>名</w:t>
                  </w:r>
                  <w:r>
                    <w:rPr>
                      <w:rFonts w:hint="default" w:ascii="Times New Roman" w:hAnsi="Times New Roman" w:cs="Times New Roman"/>
                      <w:b/>
                      <w:bCs/>
                      <w:color w:val="000000"/>
                      <w:kern w:val="0"/>
                    </w:rPr>
                    <w:t>称</w:t>
                  </w:r>
                </w:p>
              </w:tc>
              <w:tc>
                <w:tcPr>
                  <w:tcW w:w="612" w:type="dxa"/>
                  <w:vMerge w:val="restart"/>
                  <w:noWrap w:val="0"/>
                  <w:vAlign w:val="center"/>
                </w:tcPr>
                <w:p>
                  <w:pPr>
                    <w:pStyle w:val="84"/>
                    <w:tabs>
                      <w:tab w:val="left" w:pos="-2848"/>
                    </w:tabs>
                    <w:spacing w:line="240" w:lineRule="auto"/>
                    <w:rPr>
                      <w:rFonts w:hint="default" w:ascii="Times New Roman" w:hAnsi="Times New Roman" w:cs="Times New Roman"/>
                      <w:b/>
                      <w:bCs/>
                      <w:color w:val="000000"/>
                      <w:kern w:val="0"/>
                    </w:rPr>
                  </w:pPr>
                  <w:r>
                    <w:rPr>
                      <w:rFonts w:hint="default" w:ascii="Times New Roman" w:hAnsi="Times New Roman" w:cs="Times New Roman"/>
                      <w:b/>
                      <w:bCs/>
                      <w:color w:val="000000"/>
                      <w:spacing w:val="1"/>
                      <w:kern w:val="0"/>
                    </w:rPr>
                    <w:t>面积m</w:t>
                  </w:r>
                  <w:r>
                    <w:rPr>
                      <w:rFonts w:hint="default" w:ascii="Times New Roman" w:hAnsi="Times New Roman" w:cs="Times New Roman"/>
                      <w:b/>
                      <w:bCs/>
                      <w:color w:val="000000"/>
                      <w:spacing w:val="1"/>
                      <w:kern w:val="0"/>
                      <w:vertAlign w:val="superscript"/>
                    </w:rPr>
                    <w:t>2</w:t>
                  </w:r>
                </w:p>
              </w:tc>
              <w:tc>
                <w:tcPr>
                  <w:tcW w:w="2938" w:type="dxa"/>
                  <w:gridSpan w:val="3"/>
                  <w:noWrap w:val="0"/>
                  <w:vAlign w:val="center"/>
                </w:tcPr>
                <w:p>
                  <w:pPr>
                    <w:pStyle w:val="84"/>
                    <w:tabs>
                      <w:tab w:val="left" w:pos="-2848"/>
                    </w:tabs>
                    <w:rPr>
                      <w:rFonts w:hint="default" w:ascii="Times New Roman" w:hAnsi="Times New Roman" w:cs="Times New Roman"/>
                      <w:b/>
                      <w:bCs/>
                      <w:color w:val="000000"/>
                      <w:szCs w:val="20"/>
                    </w:rPr>
                  </w:pPr>
                  <w:r>
                    <w:rPr>
                      <w:rFonts w:hint="default" w:ascii="Times New Roman" w:hAnsi="Times New Roman" w:cs="Times New Roman"/>
                      <w:b/>
                      <w:bCs/>
                      <w:color w:val="000000"/>
                      <w:szCs w:val="21"/>
                    </w:rPr>
                    <w:t>NH</w:t>
                  </w:r>
                  <w:r>
                    <w:rPr>
                      <w:rFonts w:hint="default" w:ascii="Times New Roman" w:hAnsi="Times New Roman" w:cs="Times New Roman"/>
                      <w:b/>
                      <w:bCs/>
                      <w:color w:val="000000"/>
                      <w:szCs w:val="13"/>
                      <w:vertAlign w:val="subscript"/>
                    </w:rPr>
                    <w:t>3</w:t>
                  </w:r>
                </w:p>
              </w:tc>
              <w:tc>
                <w:tcPr>
                  <w:tcW w:w="3106" w:type="dxa"/>
                  <w:gridSpan w:val="3"/>
                  <w:noWrap w:val="0"/>
                  <w:vAlign w:val="center"/>
                </w:tcPr>
                <w:p>
                  <w:pPr>
                    <w:pStyle w:val="84"/>
                    <w:tabs>
                      <w:tab w:val="left" w:pos="-2848"/>
                    </w:tabs>
                    <w:rPr>
                      <w:rFonts w:hint="default" w:ascii="Times New Roman" w:hAnsi="Times New Roman" w:cs="Times New Roman"/>
                      <w:b/>
                      <w:bCs/>
                      <w:color w:val="000000"/>
                      <w:szCs w:val="20"/>
                    </w:rPr>
                  </w:pPr>
                  <w:r>
                    <w:rPr>
                      <w:rFonts w:hint="default" w:ascii="Times New Roman" w:hAnsi="Times New Roman" w:cs="Times New Roman"/>
                      <w:b/>
                      <w:bCs/>
                      <w:color w:val="000000"/>
                      <w:szCs w:val="21"/>
                    </w:rPr>
                    <w:t>H</w:t>
                  </w:r>
                  <w:r>
                    <w:rPr>
                      <w:rFonts w:hint="default" w:ascii="Times New Roman" w:hAnsi="Times New Roman" w:cs="Times New Roman"/>
                      <w:b/>
                      <w:bCs/>
                      <w:color w:val="000000"/>
                      <w:szCs w:val="13"/>
                      <w:vertAlign w:val="subscript"/>
                    </w:rPr>
                    <w:t>2</w:t>
                  </w:r>
                  <w:r>
                    <w:rPr>
                      <w:rFonts w:hint="default" w:ascii="Times New Roman" w:hAnsi="Times New Roman" w:cs="Times New Roman"/>
                      <w:b/>
                      <w:bCs/>
                      <w:color w:val="000000"/>
                      <w:szCs w:val="21"/>
                    </w:rPr>
                    <w:t>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797" w:hRule="exact"/>
              </w:trPr>
              <w:tc>
                <w:tcPr>
                  <w:tcW w:w="1338" w:type="dxa"/>
                  <w:vMerge w:val="continue"/>
                  <w:noWrap w:val="0"/>
                  <w:vAlign w:val="center"/>
                </w:tcPr>
                <w:p>
                  <w:pPr>
                    <w:pStyle w:val="84"/>
                    <w:tabs>
                      <w:tab w:val="left" w:pos="-2848"/>
                    </w:tabs>
                    <w:spacing w:line="240" w:lineRule="auto"/>
                    <w:rPr>
                      <w:rFonts w:hint="default" w:ascii="Times New Roman" w:hAnsi="Times New Roman" w:cs="Times New Roman"/>
                      <w:b/>
                      <w:bCs/>
                      <w:color w:val="000000"/>
                      <w:kern w:val="0"/>
                      <w:sz w:val="24"/>
                    </w:rPr>
                  </w:pPr>
                </w:p>
              </w:tc>
              <w:tc>
                <w:tcPr>
                  <w:tcW w:w="612" w:type="dxa"/>
                  <w:vMerge w:val="continue"/>
                  <w:noWrap w:val="0"/>
                  <w:vAlign w:val="center"/>
                </w:tcPr>
                <w:p>
                  <w:pPr>
                    <w:pStyle w:val="84"/>
                    <w:tabs>
                      <w:tab w:val="left" w:pos="-2848"/>
                    </w:tabs>
                    <w:spacing w:line="240" w:lineRule="auto"/>
                    <w:rPr>
                      <w:rFonts w:hint="default" w:ascii="Times New Roman" w:hAnsi="Times New Roman" w:cs="Times New Roman"/>
                      <w:b/>
                      <w:bCs/>
                      <w:color w:val="000000"/>
                      <w:kern w:val="0"/>
                      <w:sz w:val="24"/>
                    </w:rPr>
                  </w:pPr>
                </w:p>
              </w:tc>
              <w:tc>
                <w:tcPr>
                  <w:tcW w:w="1281" w:type="dxa"/>
                  <w:noWrap w:val="0"/>
                  <w:vAlign w:val="center"/>
                </w:tcPr>
                <w:p>
                  <w:pPr>
                    <w:pStyle w:val="84"/>
                    <w:tabs>
                      <w:tab w:val="left" w:pos="-2848"/>
                    </w:tabs>
                    <w:spacing w:line="240" w:lineRule="auto"/>
                    <w:rPr>
                      <w:rFonts w:hint="default" w:ascii="Times New Roman" w:hAnsi="Times New Roman" w:cs="Times New Roman"/>
                      <w:b/>
                      <w:bCs/>
                      <w:color w:val="000000"/>
                      <w:kern w:val="0"/>
                    </w:rPr>
                  </w:pPr>
                  <w:r>
                    <w:rPr>
                      <w:rFonts w:hint="default" w:ascii="Times New Roman" w:hAnsi="Times New Roman" w:cs="Times New Roman"/>
                      <w:b/>
                      <w:bCs/>
                      <w:color w:val="000000"/>
                      <w:kern w:val="0"/>
                    </w:rPr>
                    <w:t>产</w:t>
                  </w:r>
                  <w:r>
                    <w:rPr>
                      <w:rFonts w:hint="default" w:ascii="Times New Roman" w:hAnsi="Times New Roman" w:cs="Times New Roman"/>
                      <w:b/>
                      <w:bCs/>
                      <w:color w:val="000000"/>
                      <w:spacing w:val="2"/>
                      <w:kern w:val="0"/>
                    </w:rPr>
                    <w:t>污</w:t>
                  </w:r>
                  <w:r>
                    <w:rPr>
                      <w:rFonts w:hint="default" w:ascii="Times New Roman" w:hAnsi="Times New Roman" w:cs="Times New Roman"/>
                      <w:b/>
                      <w:bCs/>
                      <w:color w:val="000000"/>
                      <w:kern w:val="0"/>
                    </w:rPr>
                    <w:t>系数</w:t>
                  </w:r>
                </w:p>
                <w:p>
                  <w:pPr>
                    <w:pStyle w:val="84"/>
                    <w:tabs>
                      <w:tab w:val="left" w:pos="-2848"/>
                    </w:tabs>
                    <w:spacing w:line="240" w:lineRule="auto"/>
                    <w:rPr>
                      <w:rFonts w:hint="default" w:ascii="Times New Roman" w:hAnsi="Times New Roman" w:cs="Times New Roman"/>
                      <w:b/>
                      <w:bCs/>
                      <w:color w:val="000000"/>
                      <w:kern w:val="0"/>
                      <w:sz w:val="24"/>
                    </w:rPr>
                  </w:pPr>
                  <w:r>
                    <w:rPr>
                      <w:rFonts w:hint="default" w:ascii="Times New Roman" w:hAnsi="Times New Roman" w:cs="Times New Roman"/>
                      <w:b/>
                      <w:bCs/>
                      <w:color w:val="000000"/>
                      <w:kern w:val="0"/>
                    </w:rPr>
                    <w:t>(</w:t>
                  </w:r>
                  <w:r>
                    <w:rPr>
                      <w:rFonts w:hint="default" w:ascii="Times New Roman" w:hAnsi="Times New Roman" w:cs="Times New Roman"/>
                      <w:b/>
                      <w:bCs/>
                      <w:color w:val="000000"/>
                      <w:spacing w:val="1"/>
                      <w:kern w:val="0"/>
                    </w:rPr>
                    <w:t>m</w:t>
                  </w:r>
                  <w:r>
                    <w:rPr>
                      <w:rFonts w:hint="default" w:ascii="Times New Roman" w:hAnsi="Times New Roman" w:cs="Times New Roman"/>
                      <w:b/>
                      <w:bCs/>
                      <w:color w:val="000000"/>
                      <w:spacing w:val="-1"/>
                      <w:kern w:val="0"/>
                    </w:rPr>
                    <w:t>g</w:t>
                  </w:r>
                  <w:r>
                    <w:rPr>
                      <w:rFonts w:hint="default" w:ascii="Times New Roman" w:hAnsi="Times New Roman" w:cs="Times New Roman"/>
                      <w:b/>
                      <w:bCs/>
                      <w:color w:val="000000"/>
                      <w:spacing w:val="2"/>
                      <w:kern w:val="0"/>
                    </w:rPr>
                    <w:t>/</w:t>
                  </w:r>
                  <w:r>
                    <w:rPr>
                      <w:rFonts w:hint="default" w:ascii="Times New Roman" w:hAnsi="Times New Roman" w:cs="Times New Roman"/>
                      <w:b/>
                      <w:bCs/>
                      <w:color w:val="000000"/>
                      <w:kern w:val="0"/>
                    </w:rPr>
                    <w:t>s</w:t>
                  </w:r>
                  <w:r>
                    <w:rPr>
                      <w:rFonts w:hint="default" w:ascii="Times New Roman" w:hAnsi="Times New Roman" w:cs="Times New Roman"/>
                      <w:b/>
                      <w:bCs/>
                      <w:color w:val="000000"/>
                      <w:spacing w:val="1"/>
                      <w:kern w:val="0"/>
                    </w:rPr>
                    <w:t>.m</w:t>
                  </w:r>
                  <w:r>
                    <w:rPr>
                      <w:rFonts w:hint="default" w:ascii="Times New Roman" w:hAnsi="Times New Roman" w:cs="Times New Roman"/>
                      <w:b/>
                      <w:bCs/>
                      <w:color w:val="000000"/>
                      <w:spacing w:val="1"/>
                      <w:kern w:val="0"/>
                      <w:vertAlign w:val="superscript"/>
                    </w:rPr>
                    <w:t>2</w:t>
                  </w:r>
                  <w:r>
                    <w:rPr>
                      <w:rFonts w:hint="default" w:ascii="Times New Roman" w:hAnsi="Times New Roman" w:cs="Times New Roman"/>
                      <w:b/>
                      <w:bCs/>
                      <w:color w:val="000000"/>
                      <w:kern w:val="0"/>
                    </w:rPr>
                    <w:t>)</w:t>
                  </w:r>
                </w:p>
              </w:tc>
              <w:tc>
                <w:tcPr>
                  <w:tcW w:w="856" w:type="dxa"/>
                  <w:noWrap w:val="0"/>
                  <w:vAlign w:val="center"/>
                </w:tcPr>
                <w:p>
                  <w:pPr>
                    <w:pStyle w:val="84"/>
                    <w:tabs>
                      <w:tab w:val="left" w:pos="-2848"/>
                    </w:tabs>
                    <w:spacing w:line="240" w:lineRule="auto"/>
                    <w:rPr>
                      <w:rFonts w:hint="default" w:ascii="Times New Roman" w:hAnsi="Times New Roman" w:cs="Times New Roman"/>
                      <w:b/>
                      <w:bCs/>
                      <w:color w:val="000000"/>
                      <w:kern w:val="0"/>
                      <w:sz w:val="24"/>
                    </w:rPr>
                  </w:pPr>
                  <w:r>
                    <w:rPr>
                      <w:rFonts w:hint="default" w:ascii="Times New Roman" w:hAnsi="Times New Roman" w:cs="Times New Roman"/>
                      <w:b/>
                      <w:bCs/>
                      <w:color w:val="000000"/>
                      <w:kern w:val="0"/>
                    </w:rPr>
                    <w:t>产</w:t>
                  </w:r>
                  <w:r>
                    <w:rPr>
                      <w:rFonts w:hint="default" w:ascii="Times New Roman" w:hAnsi="Times New Roman" w:cs="Times New Roman"/>
                      <w:b/>
                      <w:bCs/>
                      <w:color w:val="000000"/>
                      <w:spacing w:val="2"/>
                      <w:kern w:val="0"/>
                    </w:rPr>
                    <w:t>生</w:t>
                  </w:r>
                  <w:r>
                    <w:rPr>
                      <w:rFonts w:hint="default" w:ascii="Times New Roman" w:hAnsi="Times New Roman" w:cs="Times New Roman"/>
                      <w:b/>
                      <w:bCs/>
                      <w:color w:val="000000"/>
                      <w:kern w:val="0"/>
                    </w:rPr>
                    <w:t>速率</w:t>
                  </w:r>
                  <w:r>
                    <w:rPr>
                      <w:rFonts w:hint="default" w:ascii="Times New Roman" w:hAnsi="Times New Roman" w:cs="Times New Roman"/>
                      <w:b/>
                      <w:bCs/>
                      <w:color w:val="000000"/>
                      <w:spacing w:val="-1"/>
                      <w:kern w:val="0"/>
                    </w:rPr>
                    <w:t>kg</w:t>
                  </w:r>
                  <w:r>
                    <w:rPr>
                      <w:rFonts w:hint="default" w:ascii="Times New Roman" w:hAnsi="Times New Roman" w:cs="Times New Roman"/>
                      <w:b/>
                      <w:bCs/>
                      <w:color w:val="000000"/>
                      <w:spacing w:val="2"/>
                      <w:kern w:val="0"/>
                    </w:rPr>
                    <w:t>/</w:t>
                  </w:r>
                  <w:r>
                    <w:rPr>
                      <w:rFonts w:hint="default" w:ascii="Times New Roman" w:hAnsi="Times New Roman" w:cs="Times New Roman"/>
                      <w:b/>
                      <w:bCs/>
                      <w:color w:val="000000"/>
                      <w:kern w:val="0"/>
                    </w:rPr>
                    <w:t>h</w:t>
                  </w:r>
                </w:p>
              </w:tc>
              <w:tc>
                <w:tcPr>
                  <w:tcW w:w="801" w:type="dxa"/>
                  <w:noWrap w:val="0"/>
                  <w:vAlign w:val="center"/>
                </w:tcPr>
                <w:p>
                  <w:pPr>
                    <w:pStyle w:val="84"/>
                    <w:tabs>
                      <w:tab w:val="left" w:pos="-2848"/>
                    </w:tabs>
                    <w:spacing w:line="240" w:lineRule="auto"/>
                    <w:rPr>
                      <w:rFonts w:hint="default" w:ascii="Times New Roman" w:hAnsi="Times New Roman" w:cs="Times New Roman"/>
                      <w:b/>
                      <w:bCs/>
                      <w:color w:val="000000"/>
                      <w:kern w:val="0"/>
                      <w:sz w:val="24"/>
                    </w:rPr>
                  </w:pPr>
                  <w:r>
                    <w:rPr>
                      <w:rFonts w:hint="default" w:ascii="Times New Roman" w:hAnsi="Times New Roman" w:cs="Times New Roman"/>
                      <w:b/>
                      <w:bCs/>
                      <w:color w:val="000000"/>
                      <w:kern w:val="0"/>
                    </w:rPr>
                    <w:t>产生量t/a</w:t>
                  </w:r>
                </w:p>
              </w:tc>
              <w:tc>
                <w:tcPr>
                  <w:tcW w:w="1325" w:type="dxa"/>
                  <w:noWrap w:val="0"/>
                  <w:vAlign w:val="center"/>
                </w:tcPr>
                <w:p>
                  <w:pPr>
                    <w:pStyle w:val="84"/>
                    <w:tabs>
                      <w:tab w:val="left" w:pos="-2848"/>
                    </w:tabs>
                    <w:spacing w:line="240" w:lineRule="auto"/>
                    <w:rPr>
                      <w:rFonts w:hint="default" w:ascii="Times New Roman" w:hAnsi="Times New Roman" w:cs="Times New Roman"/>
                      <w:b/>
                      <w:bCs/>
                      <w:color w:val="000000"/>
                      <w:kern w:val="0"/>
                      <w:sz w:val="24"/>
                    </w:rPr>
                  </w:pPr>
                  <w:r>
                    <w:rPr>
                      <w:rFonts w:hint="default" w:ascii="Times New Roman" w:hAnsi="Times New Roman" w:cs="Times New Roman"/>
                      <w:b/>
                      <w:bCs/>
                      <w:color w:val="000000"/>
                      <w:kern w:val="0"/>
                    </w:rPr>
                    <w:t>产</w:t>
                  </w:r>
                  <w:r>
                    <w:rPr>
                      <w:rFonts w:hint="default" w:ascii="Times New Roman" w:hAnsi="Times New Roman" w:cs="Times New Roman"/>
                      <w:b/>
                      <w:bCs/>
                      <w:color w:val="000000"/>
                      <w:spacing w:val="2"/>
                      <w:kern w:val="0"/>
                    </w:rPr>
                    <w:t>污</w:t>
                  </w:r>
                  <w:r>
                    <w:rPr>
                      <w:rFonts w:hint="default" w:ascii="Times New Roman" w:hAnsi="Times New Roman" w:cs="Times New Roman"/>
                      <w:b/>
                      <w:bCs/>
                      <w:color w:val="000000"/>
                      <w:kern w:val="0"/>
                    </w:rPr>
                    <w:t>系数</w:t>
                  </w:r>
                  <w:r>
                    <w:rPr>
                      <w:rFonts w:hint="eastAsia" w:cs="Times New Roman"/>
                      <w:b/>
                      <w:bCs/>
                      <w:color w:val="000000"/>
                      <w:kern w:val="0"/>
                      <w:lang w:eastAsia="zh-CN"/>
                    </w:rPr>
                    <w:t>（</w:t>
                  </w:r>
                  <w:r>
                    <w:rPr>
                      <w:rFonts w:hint="default" w:ascii="Times New Roman" w:hAnsi="Times New Roman" w:cs="Times New Roman"/>
                      <w:b/>
                      <w:bCs/>
                      <w:color w:val="000000"/>
                      <w:spacing w:val="1"/>
                      <w:kern w:val="0"/>
                    </w:rPr>
                    <w:t>m</w:t>
                  </w:r>
                  <w:r>
                    <w:rPr>
                      <w:rFonts w:hint="default" w:ascii="Times New Roman" w:hAnsi="Times New Roman" w:cs="Times New Roman"/>
                      <w:b/>
                      <w:bCs/>
                      <w:color w:val="000000"/>
                      <w:spacing w:val="-1"/>
                      <w:kern w:val="0"/>
                    </w:rPr>
                    <w:t>g</w:t>
                  </w:r>
                  <w:r>
                    <w:rPr>
                      <w:rFonts w:hint="default" w:ascii="Times New Roman" w:hAnsi="Times New Roman" w:cs="Times New Roman"/>
                      <w:b/>
                      <w:bCs/>
                      <w:color w:val="000000"/>
                      <w:spacing w:val="2"/>
                      <w:kern w:val="0"/>
                    </w:rPr>
                    <w:t>/</w:t>
                  </w:r>
                  <w:r>
                    <w:rPr>
                      <w:rFonts w:hint="default" w:ascii="Times New Roman" w:hAnsi="Times New Roman" w:cs="Times New Roman"/>
                      <w:b/>
                      <w:bCs/>
                      <w:color w:val="000000"/>
                      <w:kern w:val="0"/>
                    </w:rPr>
                    <w:t>s</w:t>
                  </w:r>
                  <w:r>
                    <w:rPr>
                      <w:rFonts w:hint="default" w:ascii="Times New Roman" w:hAnsi="Times New Roman" w:cs="Times New Roman"/>
                      <w:b/>
                      <w:bCs/>
                      <w:color w:val="000000"/>
                      <w:spacing w:val="1"/>
                      <w:kern w:val="0"/>
                    </w:rPr>
                    <w:t>.m</w:t>
                  </w:r>
                  <w:r>
                    <w:rPr>
                      <w:rFonts w:hint="default" w:ascii="Times New Roman" w:hAnsi="Times New Roman" w:cs="Times New Roman"/>
                      <w:b/>
                      <w:bCs/>
                      <w:color w:val="000000"/>
                      <w:spacing w:val="1"/>
                      <w:kern w:val="0"/>
                      <w:vertAlign w:val="superscript"/>
                    </w:rPr>
                    <w:t>2</w:t>
                  </w:r>
                  <w:r>
                    <w:rPr>
                      <w:rFonts w:hint="default" w:ascii="Times New Roman" w:hAnsi="Times New Roman" w:cs="Times New Roman"/>
                      <w:b/>
                      <w:bCs/>
                      <w:color w:val="000000"/>
                      <w:kern w:val="0"/>
                    </w:rPr>
                    <w:t>)</w:t>
                  </w:r>
                </w:p>
              </w:tc>
              <w:tc>
                <w:tcPr>
                  <w:tcW w:w="975" w:type="dxa"/>
                  <w:noWrap w:val="0"/>
                  <w:vAlign w:val="center"/>
                </w:tcPr>
                <w:p>
                  <w:pPr>
                    <w:pStyle w:val="84"/>
                    <w:tabs>
                      <w:tab w:val="left" w:pos="-2848"/>
                    </w:tabs>
                    <w:spacing w:line="240" w:lineRule="auto"/>
                    <w:rPr>
                      <w:rFonts w:hint="default" w:ascii="Times New Roman" w:hAnsi="Times New Roman" w:cs="Times New Roman"/>
                      <w:b/>
                      <w:bCs/>
                      <w:color w:val="000000"/>
                      <w:kern w:val="0"/>
                      <w:sz w:val="24"/>
                    </w:rPr>
                  </w:pPr>
                  <w:r>
                    <w:rPr>
                      <w:rFonts w:hint="default" w:ascii="Times New Roman" w:hAnsi="Times New Roman" w:cs="Times New Roman"/>
                      <w:b/>
                      <w:bCs/>
                      <w:color w:val="000000"/>
                      <w:kern w:val="0"/>
                    </w:rPr>
                    <w:t>产</w:t>
                  </w:r>
                  <w:r>
                    <w:rPr>
                      <w:rFonts w:hint="default" w:ascii="Times New Roman" w:hAnsi="Times New Roman" w:cs="Times New Roman"/>
                      <w:b/>
                      <w:bCs/>
                      <w:color w:val="000000"/>
                      <w:spacing w:val="2"/>
                      <w:kern w:val="0"/>
                    </w:rPr>
                    <w:t>生速</w:t>
                  </w:r>
                  <w:r>
                    <w:rPr>
                      <w:rFonts w:hint="default" w:ascii="Times New Roman" w:hAnsi="Times New Roman" w:cs="Times New Roman"/>
                      <w:b/>
                      <w:bCs/>
                      <w:color w:val="000000"/>
                      <w:kern w:val="0"/>
                    </w:rPr>
                    <w:t>率</w:t>
                  </w:r>
                  <w:r>
                    <w:rPr>
                      <w:rFonts w:hint="default" w:ascii="Times New Roman" w:hAnsi="Times New Roman" w:cs="Times New Roman"/>
                      <w:b/>
                      <w:bCs/>
                      <w:color w:val="000000"/>
                      <w:spacing w:val="-1"/>
                      <w:kern w:val="0"/>
                    </w:rPr>
                    <w:t>kg</w:t>
                  </w:r>
                  <w:r>
                    <w:rPr>
                      <w:rFonts w:hint="default" w:ascii="Times New Roman" w:hAnsi="Times New Roman" w:cs="Times New Roman"/>
                      <w:b/>
                      <w:bCs/>
                      <w:color w:val="000000"/>
                      <w:spacing w:val="2"/>
                      <w:kern w:val="0"/>
                    </w:rPr>
                    <w:t>/</w:t>
                  </w:r>
                  <w:r>
                    <w:rPr>
                      <w:rFonts w:hint="default" w:ascii="Times New Roman" w:hAnsi="Times New Roman" w:cs="Times New Roman"/>
                      <w:b/>
                      <w:bCs/>
                      <w:color w:val="000000"/>
                      <w:kern w:val="0"/>
                    </w:rPr>
                    <w:t>h</w:t>
                  </w:r>
                </w:p>
              </w:tc>
              <w:tc>
                <w:tcPr>
                  <w:tcW w:w="806" w:type="dxa"/>
                  <w:noWrap w:val="0"/>
                  <w:vAlign w:val="center"/>
                </w:tcPr>
                <w:p>
                  <w:pPr>
                    <w:pStyle w:val="84"/>
                    <w:tabs>
                      <w:tab w:val="left" w:pos="-2848"/>
                    </w:tabs>
                    <w:spacing w:line="240" w:lineRule="auto"/>
                    <w:rPr>
                      <w:rFonts w:hint="default" w:ascii="Times New Roman" w:hAnsi="Times New Roman" w:cs="Times New Roman"/>
                      <w:b/>
                      <w:bCs/>
                      <w:color w:val="000000"/>
                      <w:kern w:val="0"/>
                    </w:rPr>
                  </w:pPr>
                  <w:r>
                    <w:rPr>
                      <w:rFonts w:hint="default" w:ascii="Times New Roman" w:hAnsi="Times New Roman" w:cs="Times New Roman"/>
                      <w:b/>
                      <w:bCs/>
                      <w:color w:val="000000"/>
                      <w:kern w:val="0"/>
                    </w:rPr>
                    <w:t>产</w:t>
                  </w:r>
                  <w:r>
                    <w:rPr>
                      <w:rFonts w:hint="default" w:ascii="Times New Roman" w:hAnsi="Times New Roman" w:cs="Times New Roman"/>
                      <w:b/>
                      <w:bCs/>
                      <w:color w:val="000000"/>
                      <w:spacing w:val="2"/>
                      <w:kern w:val="0"/>
                    </w:rPr>
                    <w:t>生</w:t>
                  </w:r>
                  <w:r>
                    <w:rPr>
                      <w:rFonts w:hint="default" w:ascii="Times New Roman" w:hAnsi="Times New Roman" w:cs="Times New Roman"/>
                      <w:b/>
                      <w:bCs/>
                      <w:color w:val="000000"/>
                      <w:kern w:val="0"/>
                    </w:rPr>
                    <w:t>量</w:t>
                  </w:r>
                </w:p>
                <w:p>
                  <w:pPr>
                    <w:pStyle w:val="84"/>
                    <w:tabs>
                      <w:tab w:val="left" w:pos="-2848"/>
                    </w:tabs>
                    <w:spacing w:line="240" w:lineRule="auto"/>
                    <w:rPr>
                      <w:rFonts w:hint="default" w:ascii="Times New Roman" w:hAnsi="Times New Roman" w:cs="Times New Roman"/>
                      <w:b/>
                      <w:bCs/>
                      <w:color w:val="000000"/>
                      <w:kern w:val="0"/>
                      <w:sz w:val="24"/>
                    </w:rPr>
                  </w:pPr>
                  <w:r>
                    <w:rPr>
                      <w:rFonts w:hint="default" w:ascii="Times New Roman" w:hAnsi="Times New Roman" w:cs="Times New Roman"/>
                      <w:b/>
                      <w:bCs/>
                      <w:color w:val="000000"/>
                      <w:kern w:val="0"/>
                    </w:rPr>
                    <w:t>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487" w:hRule="exact"/>
              </w:trPr>
              <w:tc>
                <w:tcPr>
                  <w:tcW w:w="1338" w:type="dxa"/>
                  <w:noWrap w:val="0"/>
                  <w:vAlign w:val="center"/>
                </w:tcPr>
                <w:p>
                  <w:pPr>
                    <w:pStyle w:val="84"/>
                    <w:tabs>
                      <w:tab w:val="left" w:pos="-2848"/>
                    </w:tabs>
                    <w:spacing w:line="240" w:lineRule="auto"/>
                    <w:rPr>
                      <w:rFonts w:hint="default" w:ascii="Times New Roman" w:hAnsi="Times New Roman" w:cs="Times New Roman"/>
                      <w:color w:val="000000"/>
                      <w:kern w:val="0"/>
                      <w:sz w:val="24"/>
                    </w:rPr>
                  </w:pPr>
                  <w:r>
                    <w:rPr>
                      <w:rFonts w:hint="default" w:ascii="Times New Roman" w:hAnsi="Times New Roman" w:cs="Times New Roman"/>
                      <w:color w:val="000000"/>
                      <w:kern w:val="0"/>
                      <w:lang w:eastAsia="zh-CN"/>
                    </w:rPr>
                    <w:t>格栅、</w:t>
                  </w:r>
                  <w:r>
                    <w:rPr>
                      <w:rFonts w:hint="default" w:ascii="Times New Roman" w:hAnsi="Times New Roman" w:cs="Times New Roman"/>
                      <w:color w:val="000000"/>
                      <w:kern w:val="0"/>
                    </w:rPr>
                    <w:t>调</w:t>
                  </w:r>
                  <w:r>
                    <w:rPr>
                      <w:rFonts w:hint="default" w:ascii="Times New Roman" w:hAnsi="Times New Roman" w:cs="Times New Roman"/>
                      <w:color w:val="000000"/>
                      <w:spacing w:val="2"/>
                      <w:kern w:val="0"/>
                    </w:rPr>
                    <w:t>节</w:t>
                  </w:r>
                  <w:r>
                    <w:rPr>
                      <w:rFonts w:hint="default" w:ascii="Times New Roman" w:hAnsi="Times New Roman" w:cs="Times New Roman"/>
                      <w:color w:val="000000"/>
                      <w:kern w:val="0"/>
                    </w:rPr>
                    <w:t>池</w:t>
                  </w:r>
                </w:p>
              </w:tc>
              <w:tc>
                <w:tcPr>
                  <w:tcW w:w="612"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281"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0.08</w:t>
                  </w:r>
                </w:p>
              </w:tc>
              <w:tc>
                <w:tcPr>
                  <w:tcW w:w="856"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0.0072</w:t>
                  </w:r>
                </w:p>
              </w:tc>
              <w:tc>
                <w:tcPr>
                  <w:tcW w:w="801"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0.063</w:t>
                  </w:r>
                </w:p>
              </w:tc>
              <w:tc>
                <w:tcPr>
                  <w:tcW w:w="1325"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975"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0.000090 </w:t>
                  </w:r>
                </w:p>
              </w:tc>
              <w:tc>
                <w:tcPr>
                  <w:tcW w:w="8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0.00079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70" w:hRule="exact"/>
              </w:trPr>
              <w:tc>
                <w:tcPr>
                  <w:tcW w:w="1338" w:type="dxa"/>
                  <w:noWrap w:val="0"/>
                  <w:vAlign w:val="center"/>
                </w:tcPr>
                <w:p>
                  <w:pPr>
                    <w:pStyle w:val="84"/>
                    <w:tabs>
                      <w:tab w:val="left" w:pos="-2848"/>
                    </w:tabs>
                    <w:spacing w:line="240" w:lineRule="auto"/>
                    <w:rPr>
                      <w:rFonts w:hint="default" w:ascii="Times New Roman" w:hAnsi="Times New Roman" w:cs="Times New Roman"/>
                      <w:color w:val="000000"/>
                      <w:kern w:val="0"/>
                      <w:sz w:val="24"/>
                    </w:rPr>
                  </w:pPr>
                  <w:r>
                    <w:rPr>
                      <w:rFonts w:hint="default" w:ascii="Times New Roman" w:hAnsi="Times New Roman" w:cs="Times New Roman"/>
                      <w:color w:val="000000"/>
                      <w:kern w:val="0"/>
                    </w:rPr>
                    <w:t>生化池</w:t>
                  </w:r>
                </w:p>
              </w:tc>
              <w:tc>
                <w:tcPr>
                  <w:tcW w:w="612"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125</w:t>
                  </w:r>
                </w:p>
              </w:tc>
              <w:tc>
                <w:tcPr>
                  <w:tcW w:w="1281"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0.016</w:t>
                  </w:r>
                </w:p>
              </w:tc>
              <w:tc>
                <w:tcPr>
                  <w:tcW w:w="856"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0.0072</w:t>
                  </w:r>
                </w:p>
              </w:tc>
              <w:tc>
                <w:tcPr>
                  <w:tcW w:w="801"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0.063</w:t>
                  </w:r>
                </w:p>
              </w:tc>
              <w:tc>
                <w:tcPr>
                  <w:tcW w:w="1325"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0.00018</w:t>
                  </w:r>
                </w:p>
              </w:tc>
              <w:tc>
                <w:tcPr>
                  <w:tcW w:w="975"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0.000081 </w:t>
                  </w:r>
                </w:p>
              </w:tc>
              <w:tc>
                <w:tcPr>
                  <w:tcW w:w="8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0.00071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472" w:hRule="exact"/>
              </w:trPr>
              <w:tc>
                <w:tcPr>
                  <w:tcW w:w="1338" w:type="dxa"/>
                  <w:noWrap w:val="0"/>
                  <w:vAlign w:val="center"/>
                </w:tcPr>
                <w:p>
                  <w:pPr>
                    <w:pStyle w:val="84"/>
                    <w:tabs>
                      <w:tab w:val="left" w:pos="-2848"/>
                    </w:tabs>
                    <w:spacing w:line="240" w:lineRule="auto"/>
                    <w:rPr>
                      <w:rFonts w:hint="default" w:ascii="Times New Roman" w:hAnsi="Times New Roman" w:cs="Times New Roman"/>
                      <w:color w:val="000000"/>
                      <w:kern w:val="0"/>
                    </w:rPr>
                  </w:pPr>
                  <w:r>
                    <w:rPr>
                      <w:rFonts w:hint="default" w:ascii="Times New Roman" w:hAnsi="Times New Roman" w:cs="Times New Roman"/>
                      <w:color w:val="000000"/>
                      <w:kern w:val="0"/>
                    </w:rPr>
                    <w:t>污泥脱水区</w:t>
                  </w:r>
                </w:p>
              </w:tc>
              <w:tc>
                <w:tcPr>
                  <w:tcW w:w="612"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281"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0.08</w:t>
                  </w:r>
                </w:p>
              </w:tc>
              <w:tc>
                <w:tcPr>
                  <w:tcW w:w="85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0.0043</w:t>
                  </w:r>
                </w:p>
              </w:tc>
              <w:tc>
                <w:tcPr>
                  <w:tcW w:w="801"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0.038</w:t>
                  </w:r>
                </w:p>
              </w:tc>
              <w:tc>
                <w:tcPr>
                  <w:tcW w:w="1325"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0.00122</w:t>
                  </w:r>
                </w:p>
              </w:tc>
              <w:tc>
                <w:tcPr>
                  <w:tcW w:w="975"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0.000066 </w:t>
                  </w:r>
                </w:p>
              </w:tc>
              <w:tc>
                <w:tcPr>
                  <w:tcW w:w="8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0.00058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370" w:hRule="exact"/>
              </w:trPr>
              <w:tc>
                <w:tcPr>
                  <w:tcW w:w="1338" w:type="dxa"/>
                  <w:noWrap w:val="0"/>
                  <w:vAlign w:val="center"/>
                </w:tcPr>
                <w:p>
                  <w:pPr>
                    <w:pStyle w:val="84"/>
                    <w:tabs>
                      <w:tab w:val="left" w:pos="-2848"/>
                    </w:tabs>
                    <w:spacing w:line="240" w:lineRule="auto"/>
                    <w:rPr>
                      <w:rFonts w:hint="default" w:ascii="Times New Roman" w:hAnsi="Times New Roman" w:cs="Times New Roman"/>
                      <w:color w:val="000000"/>
                      <w:kern w:val="0"/>
                      <w:sz w:val="24"/>
                    </w:rPr>
                  </w:pPr>
                  <w:r>
                    <w:rPr>
                      <w:rFonts w:hint="default" w:ascii="Times New Roman" w:hAnsi="Times New Roman" w:cs="Times New Roman"/>
                      <w:color w:val="000000"/>
                      <w:kern w:val="0"/>
                    </w:rPr>
                    <w:t>合计</w:t>
                  </w:r>
                </w:p>
              </w:tc>
              <w:tc>
                <w:tcPr>
                  <w:tcW w:w="612"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kern w:val="0"/>
                    </w:rPr>
                  </w:pPr>
                  <w:r>
                    <w:rPr>
                      <w:rStyle w:val="89"/>
                      <w:rFonts w:eastAsia="宋体"/>
                      <w:lang w:val="en-US" w:eastAsia="zh-CN" w:bidi="ar"/>
                    </w:rPr>
                    <w:t>/</w:t>
                  </w:r>
                </w:p>
              </w:tc>
              <w:tc>
                <w:tcPr>
                  <w:tcW w:w="1281"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lang w:val="en-US" w:eastAsia="zh-CN"/>
                    </w:rPr>
                  </w:pPr>
                  <w:r>
                    <w:rPr>
                      <w:rFonts w:hint="default" w:ascii="Times New Roman" w:hAnsi="Times New Roman" w:eastAsia="宋体" w:cs="Times New Roman"/>
                      <w:i w:val="0"/>
                      <w:iCs w:val="0"/>
                      <w:color w:val="000000"/>
                      <w:kern w:val="0"/>
                      <w:sz w:val="21"/>
                      <w:szCs w:val="21"/>
                      <w:u w:val="none"/>
                      <w:lang w:val="en-US" w:eastAsia="zh-CN" w:bidi="ar"/>
                    </w:rPr>
                    <w:t>/</w:t>
                  </w:r>
                </w:p>
              </w:tc>
              <w:tc>
                <w:tcPr>
                  <w:tcW w:w="85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0.019</w:t>
                  </w:r>
                </w:p>
              </w:tc>
              <w:tc>
                <w:tcPr>
                  <w:tcW w:w="801"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0.164</w:t>
                  </w:r>
                </w:p>
              </w:tc>
              <w:tc>
                <w:tcPr>
                  <w:tcW w:w="1325"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975"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0.00024 </w:t>
                  </w:r>
                </w:p>
              </w:tc>
              <w:tc>
                <w:tcPr>
                  <w:tcW w:w="80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0.0021 </w:t>
                  </w:r>
                </w:p>
              </w:tc>
            </w:tr>
          </w:tbl>
          <w:p>
            <w:pPr>
              <w:spacing w:line="360" w:lineRule="auto"/>
              <w:ind w:firstLine="480" w:firstLineChars="200"/>
              <w:rPr>
                <w:rFonts w:hint="default" w:ascii="Times New Roman" w:hAnsi="宋体" w:eastAsia="宋体" w:cs="Times New Roman"/>
                <w:color w:val="auto"/>
                <w:sz w:val="24"/>
                <w:lang w:val="en-US" w:eastAsia="zh-CN"/>
              </w:rPr>
            </w:pPr>
            <w:r>
              <w:rPr>
                <w:rFonts w:hint="default" w:ascii="Times New Roman" w:hAnsi="宋体" w:eastAsia="宋体" w:cs="Times New Roman"/>
                <w:color w:val="auto"/>
                <w:sz w:val="24"/>
                <w:lang w:val="en-US" w:eastAsia="zh-CN"/>
              </w:rPr>
              <w:t>根据《排污许可证申请与核发技术规范水处理（试行）》（HJ 978-2018）中“6.3.2 运行管理要求a）加强恶臭污染物的治理，污水预处理区和污泥处理区宜采用设置顶盖等密闭措施，配套建设恶臭污染治理设施”。</w:t>
            </w:r>
          </w:p>
          <w:p>
            <w:pPr>
              <w:spacing w:line="360" w:lineRule="auto"/>
              <w:ind w:firstLine="480" w:firstLineChars="200"/>
              <w:rPr>
                <w:rFonts w:hint="default" w:ascii="Times New Roman" w:hAnsi="宋体" w:eastAsia="宋体" w:cs="Times New Roman"/>
                <w:color w:val="auto"/>
                <w:sz w:val="24"/>
                <w:lang w:val="en-US" w:eastAsia="zh-CN"/>
              </w:rPr>
            </w:pPr>
            <w:r>
              <w:rPr>
                <w:rFonts w:hint="default" w:ascii="Times New Roman" w:hAnsi="宋体" w:eastAsia="宋体" w:cs="Times New Roman"/>
                <w:color w:val="auto"/>
                <w:sz w:val="24"/>
                <w:lang w:val="en-US" w:eastAsia="zh-CN"/>
              </w:rPr>
              <w:t>为减轻恶臭气体对周围环境的影响，本工程恶臭收集主要措施如下：</w:t>
            </w:r>
          </w:p>
          <w:p>
            <w:pPr>
              <w:spacing w:line="360" w:lineRule="auto"/>
              <w:ind w:firstLine="480" w:firstLineChars="200"/>
              <w:rPr>
                <w:rFonts w:hint="eastAsia" w:ascii="Times New Roman" w:hAnsi="宋体" w:eastAsia="宋体" w:cs="Times New Roman"/>
                <w:color w:val="auto"/>
                <w:sz w:val="24"/>
                <w:lang w:val="en-US" w:eastAsia="zh-CN"/>
              </w:rPr>
            </w:pPr>
            <w:r>
              <w:rPr>
                <w:rFonts w:hint="default" w:ascii="Times New Roman" w:hAnsi="宋体" w:eastAsia="宋体" w:cs="Times New Roman"/>
                <w:color w:val="auto"/>
                <w:sz w:val="24"/>
                <w:lang w:val="en-US" w:eastAsia="zh-CN"/>
              </w:rPr>
              <w:t>本项目格栅、调节池</w:t>
            </w:r>
            <w:r>
              <w:rPr>
                <w:rFonts w:hint="eastAsia" w:ascii="Times New Roman" w:hAnsi="宋体" w:eastAsia="宋体" w:cs="Times New Roman"/>
                <w:color w:val="auto"/>
                <w:sz w:val="24"/>
                <w:lang w:val="en-US" w:eastAsia="zh-CN"/>
              </w:rPr>
              <w:t>、污泥池等</w:t>
            </w:r>
            <w:r>
              <w:rPr>
                <w:rFonts w:hint="default" w:ascii="Times New Roman" w:hAnsi="宋体" w:eastAsia="宋体" w:cs="Times New Roman"/>
                <w:color w:val="auto"/>
                <w:sz w:val="24"/>
                <w:lang w:val="en-US" w:eastAsia="zh-CN"/>
              </w:rPr>
              <w:t>采取地埋式封闭池</w:t>
            </w:r>
            <w:r>
              <w:rPr>
                <w:rFonts w:hint="eastAsia" w:ascii="Times New Roman" w:hAnsi="宋体" w:eastAsia="宋体" w:cs="Times New Roman"/>
                <w:color w:val="auto"/>
                <w:sz w:val="24"/>
                <w:lang w:val="en-US" w:eastAsia="zh-CN"/>
              </w:rPr>
              <w:t>，一体化</w:t>
            </w:r>
            <w:r>
              <w:rPr>
                <w:rFonts w:hint="default" w:ascii="Times New Roman" w:hAnsi="宋体" w:eastAsia="宋体" w:cs="Times New Roman"/>
                <w:color w:val="auto"/>
                <w:sz w:val="24"/>
                <w:lang w:val="en-US" w:eastAsia="zh-CN"/>
              </w:rPr>
              <w:t>生化池</w:t>
            </w:r>
            <w:r>
              <w:rPr>
                <w:rFonts w:hint="eastAsia" w:ascii="Times New Roman" w:hAnsi="宋体" w:eastAsia="宋体" w:cs="Times New Roman"/>
                <w:color w:val="auto"/>
                <w:sz w:val="24"/>
                <w:lang w:val="en-US" w:eastAsia="zh-CN"/>
              </w:rPr>
              <w:t>、</w:t>
            </w:r>
            <w:r>
              <w:rPr>
                <w:rFonts w:hint="default" w:ascii="Times New Roman" w:hAnsi="宋体" w:eastAsia="宋体" w:cs="Times New Roman"/>
                <w:color w:val="auto"/>
                <w:sz w:val="24"/>
                <w:lang w:val="en-US" w:eastAsia="zh-CN"/>
              </w:rPr>
              <w:t>污泥泵房、污泥池采取加盖</w:t>
            </w:r>
            <w:r>
              <w:rPr>
                <w:rFonts w:hint="eastAsia" w:ascii="Times New Roman" w:hAnsi="宋体" w:eastAsia="宋体" w:cs="Times New Roman"/>
                <w:color w:val="auto"/>
                <w:sz w:val="24"/>
                <w:lang w:val="en-US" w:eastAsia="zh-CN"/>
              </w:rPr>
              <w:t>密闭设施</w:t>
            </w:r>
            <w:r>
              <w:rPr>
                <w:rFonts w:hint="default" w:ascii="Times New Roman" w:hAnsi="宋体" w:eastAsia="宋体" w:cs="Times New Roman"/>
                <w:color w:val="auto"/>
                <w:sz w:val="24"/>
                <w:lang w:val="en-US" w:eastAsia="zh-CN"/>
              </w:rPr>
              <w:t>，污泥脱水机房内污泥脱水机采用加罩封闭</w:t>
            </w:r>
            <w:r>
              <w:rPr>
                <w:rFonts w:hint="eastAsia" w:ascii="Times New Roman" w:hAnsi="宋体" w:eastAsia="宋体" w:cs="Times New Roman"/>
                <w:color w:val="auto"/>
                <w:sz w:val="24"/>
                <w:lang w:val="en-US" w:eastAsia="zh-CN"/>
              </w:rPr>
              <w:t>；</w:t>
            </w:r>
            <w:r>
              <w:rPr>
                <w:rFonts w:hint="default" w:ascii="Times New Roman" w:hAnsi="宋体" w:eastAsia="宋体" w:cs="Times New Roman"/>
                <w:color w:val="auto"/>
                <w:sz w:val="24"/>
                <w:lang w:val="en-US" w:eastAsia="zh-CN"/>
              </w:rPr>
              <w:t>污泥脱水后采用编制袋封装堆放置于污泥暂存间内</w:t>
            </w:r>
            <w:r>
              <w:rPr>
                <w:rFonts w:hint="eastAsia" w:ascii="Times New Roman" w:hAnsi="宋体" w:eastAsia="宋体" w:cs="Times New Roman"/>
                <w:color w:val="auto"/>
                <w:sz w:val="24"/>
                <w:lang w:val="en-US" w:eastAsia="zh-CN"/>
              </w:rPr>
              <w:t>及时清运不堆存；采取以上措施后，恶臭散逸量可至少降低50%以上；同时本项目通过喷酒除臭剂（共设置4处自动雾化喷淋除臭系统，每个喷嘴距离不超过1米，共设置喷嘴数量约为80个）去除废水处理过程排出的少量恶臭气体，</w:t>
            </w:r>
            <w:r>
              <w:rPr>
                <w:rFonts w:hint="default" w:ascii="Times New Roman" w:hAnsi="宋体" w:eastAsia="宋体" w:cs="Times New Roman"/>
                <w:color w:val="auto"/>
                <w:sz w:val="24"/>
                <w:lang w:val="en-US" w:eastAsia="zh-CN"/>
              </w:rPr>
              <w:t>根据《生活垃圾除臭剂技术要求》（CJ</w:t>
            </w:r>
            <w:r>
              <w:rPr>
                <w:rFonts w:hint="eastAsia" w:ascii="Times New Roman" w:hAnsi="宋体" w:eastAsia="宋体" w:cs="Times New Roman"/>
                <w:color w:val="auto"/>
                <w:sz w:val="24"/>
                <w:lang w:val="en-US" w:eastAsia="zh-CN"/>
              </w:rPr>
              <w:t>/</w:t>
            </w:r>
            <w:r>
              <w:rPr>
                <w:rFonts w:hint="default" w:ascii="Times New Roman" w:hAnsi="宋体" w:eastAsia="宋体" w:cs="Times New Roman"/>
                <w:color w:val="auto"/>
                <w:sz w:val="24"/>
                <w:lang w:val="en-US" w:eastAsia="zh-CN"/>
              </w:rPr>
              <w:t>T516-2017）中生物型除臭剂和植物型除臭剂技术指标，生物型除臭剂和植物型除臭剂对NH</w:t>
            </w:r>
            <w:r>
              <w:rPr>
                <w:rFonts w:hint="default" w:ascii="Times New Roman" w:hAnsi="宋体" w:eastAsia="宋体" w:cs="Times New Roman"/>
                <w:color w:val="auto"/>
                <w:sz w:val="24"/>
                <w:vertAlign w:val="subscript"/>
                <w:lang w:val="en-US" w:eastAsia="zh-CN"/>
              </w:rPr>
              <w:t>3</w:t>
            </w:r>
            <w:r>
              <w:rPr>
                <w:rFonts w:hint="default" w:ascii="Times New Roman" w:hAnsi="宋体" w:eastAsia="宋体" w:cs="Times New Roman"/>
                <w:color w:val="auto"/>
                <w:sz w:val="24"/>
                <w:lang w:val="en-US" w:eastAsia="zh-CN"/>
              </w:rPr>
              <w:t>、H</w:t>
            </w:r>
            <w:r>
              <w:rPr>
                <w:rFonts w:hint="default" w:ascii="Times New Roman" w:hAnsi="宋体" w:eastAsia="宋体" w:cs="Times New Roman"/>
                <w:color w:val="auto"/>
                <w:sz w:val="24"/>
                <w:vertAlign w:val="subscript"/>
                <w:lang w:val="en-US" w:eastAsia="zh-CN"/>
              </w:rPr>
              <w:t>2</w:t>
            </w:r>
            <w:r>
              <w:rPr>
                <w:rFonts w:hint="default" w:ascii="Times New Roman" w:hAnsi="宋体" w:eastAsia="宋体" w:cs="Times New Roman"/>
                <w:color w:val="auto"/>
                <w:sz w:val="24"/>
                <w:lang w:val="en-US" w:eastAsia="zh-CN"/>
              </w:rPr>
              <w:t>S的去除率为≥70％，本次环评取</w:t>
            </w:r>
            <w:r>
              <w:rPr>
                <w:rFonts w:hint="eastAsia" w:ascii="Times New Roman" w:hAnsi="宋体" w:eastAsia="宋体" w:cs="Times New Roman"/>
                <w:color w:val="auto"/>
                <w:sz w:val="24"/>
                <w:lang w:val="en-US" w:eastAsia="zh-CN"/>
              </w:rPr>
              <w:t>生物除臭剂除臭效率</w:t>
            </w:r>
            <w:r>
              <w:rPr>
                <w:rFonts w:hint="default" w:ascii="Times New Roman" w:hAnsi="宋体" w:eastAsia="宋体" w:cs="Times New Roman"/>
                <w:color w:val="auto"/>
                <w:sz w:val="24"/>
                <w:lang w:val="en-US" w:eastAsia="zh-CN"/>
              </w:rPr>
              <w:t>70</w:t>
            </w:r>
            <w:r>
              <w:rPr>
                <w:rFonts w:hint="eastAsia" w:ascii="Times New Roman" w:hAnsi="宋体" w:eastAsia="宋体" w:cs="Times New Roman"/>
                <w:color w:val="auto"/>
                <w:sz w:val="24"/>
                <w:lang w:val="en-US" w:eastAsia="zh-CN"/>
              </w:rPr>
              <w:t>%。综合上述治理措施，除臭效率综合取值85%，少量未去除的恶臭气体以无组织排放，最终无组织排放量</w:t>
            </w:r>
            <w:r>
              <w:rPr>
                <w:rFonts w:hint="default" w:ascii="Times New Roman" w:hAnsi="宋体" w:eastAsia="宋体" w:cs="Times New Roman"/>
                <w:color w:val="auto"/>
                <w:sz w:val="24"/>
                <w:lang w:val="en-US" w:eastAsia="zh-CN"/>
              </w:rPr>
              <w:t>NH</w:t>
            </w:r>
            <w:r>
              <w:rPr>
                <w:rFonts w:hint="default" w:ascii="Times New Roman" w:hAnsi="宋体" w:eastAsia="宋体" w:cs="Times New Roman"/>
                <w:color w:val="auto"/>
                <w:sz w:val="24"/>
                <w:vertAlign w:val="subscript"/>
                <w:lang w:val="en-US" w:eastAsia="zh-CN"/>
              </w:rPr>
              <w:t>3</w:t>
            </w:r>
            <w:r>
              <w:rPr>
                <w:rFonts w:hint="eastAsia" w:ascii="Times New Roman" w:hAnsi="宋体" w:eastAsia="宋体" w:cs="Times New Roman"/>
                <w:color w:val="auto"/>
                <w:sz w:val="24"/>
                <w:lang w:val="en-US" w:eastAsia="zh-CN"/>
              </w:rPr>
              <w:t>：</w:t>
            </w:r>
            <w:r>
              <w:rPr>
                <w:rFonts w:hint="default" w:ascii="Times New Roman" w:hAnsi="宋体" w:eastAsia="宋体" w:cs="Times New Roman"/>
                <w:color w:val="auto"/>
                <w:sz w:val="24"/>
                <w:lang w:val="en-US" w:eastAsia="zh-CN"/>
              </w:rPr>
              <w:t>0.</w:t>
            </w:r>
            <w:r>
              <w:rPr>
                <w:rFonts w:hint="eastAsia" w:ascii="Times New Roman" w:hAnsi="宋体" w:eastAsia="宋体" w:cs="Times New Roman"/>
                <w:color w:val="auto"/>
                <w:sz w:val="24"/>
                <w:lang w:val="en-US" w:eastAsia="zh-CN"/>
              </w:rPr>
              <w:t>0028</w:t>
            </w:r>
            <w:r>
              <w:rPr>
                <w:rFonts w:hint="default" w:ascii="Times New Roman" w:hAnsi="宋体" w:eastAsia="宋体" w:cs="Times New Roman"/>
                <w:color w:val="auto"/>
                <w:sz w:val="24"/>
                <w:lang w:val="en-US" w:eastAsia="zh-CN"/>
              </w:rPr>
              <w:t>kg/h</w:t>
            </w:r>
            <w:r>
              <w:rPr>
                <w:rFonts w:hint="eastAsia" w:ascii="Times New Roman" w:hAnsi="宋体" w:eastAsia="宋体" w:cs="Times New Roman"/>
                <w:color w:val="auto"/>
                <w:sz w:val="24"/>
                <w:lang w:val="en-US" w:eastAsia="zh-CN"/>
              </w:rPr>
              <w:t>（0.025</w:t>
            </w:r>
            <w:r>
              <w:rPr>
                <w:rFonts w:hint="default" w:ascii="Times New Roman" w:hAnsi="宋体" w:eastAsia="宋体" w:cs="Times New Roman"/>
                <w:color w:val="auto"/>
                <w:sz w:val="24"/>
                <w:lang w:val="en-US" w:eastAsia="zh-CN"/>
              </w:rPr>
              <w:t>t/a</w:t>
            </w:r>
            <w:r>
              <w:rPr>
                <w:rFonts w:hint="eastAsia" w:ascii="Times New Roman" w:hAnsi="宋体" w:eastAsia="宋体" w:cs="Times New Roman"/>
                <w:color w:val="auto"/>
                <w:sz w:val="24"/>
                <w:lang w:val="en-US" w:eastAsia="zh-CN"/>
              </w:rPr>
              <w:t>），</w:t>
            </w:r>
            <w:r>
              <w:rPr>
                <w:rFonts w:hint="default" w:ascii="Times New Roman" w:hAnsi="宋体" w:eastAsia="宋体" w:cs="Times New Roman"/>
                <w:color w:val="auto"/>
                <w:sz w:val="24"/>
                <w:lang w:val="en-US" w:eastAsia="zh-CN"/>
              </w:rPr>
              <w:t>H</w:t>
            </w:r>
            <w:r>
              <w:rPr>
                <w:rFonts w:hint="default" w:ascii="Times New Roman" w:hAnsi="宋体" w:eastAsia="宋体" w:cs="Times New Roman"/>
                <w:color w:val="auto"/>
                <w:sz w:val="24"/>
                <w:vertAlign w:val="subscript"/>
                <w:lang w:val="en-US" w:eastAsia="zh-CN"/>
              </w:rPr>
              <w:t>2</w:t>
            </w:r>
            <w:r>
              <w:rPr>
                <w:rFonts w:hint="default" w:ascii="Times New Roman" w:hAnsi="宋体" w:eastAsia="宋体" w:cs="Times New Roman"/>
                <w:color w:val="auto"/>
                <w:sz w:val="24"/>
                <w:lang w:val="en-US" w:eastAsia="zh-CN"/>
              </w:rPr>
              <w:t>S</w:t>
            </w:r>
            <w:r>
              <w:rPr>
                <w:rFonts w:hint="eastAsia" w:ascii="Times New Roman" w:hAnsi="宋体" w:eastAsia="宋体" w:cs="Times New Roman"/>
                <w:color w:val="auto"/>
                <w:sz w:val="24"/>
                <w:lang w:val="en-US" w:eastAsia="zh-CN"/>
              </w:rPr>
              <w:t>：</w:t>
            </w:r>
            <w:r>
              <w:rPr>
                <w:rFonts w:hint="default" w:ascii="Times New Roman" w:hAnsi="宋体" w:eastAsia="宋体" w:cs="Times New Roman"/>
                <w:color w:val="auto"/>
                <w:sz w:val="24"/>
                <w:lang w:val="en-US" w:eastAsia="zh-CN"/>
              </w:rPr>
              <w:t>0.</w:t>
            </w:r>
            <w:r>
              <w:rPr>
                <w:rFonts w:hint="eastAsia" w:ascii="Times New Roman" w:hAnsi="宋体" w:eastAsia="宋体" w:cs="Times New Roman"/>
                <w:color w:val="auto"/>
                <w:sz w:val="24"/>
                <w:lang w:val="en-US" w:eastAsia="zh-CN"/>
              </w:rPr>
              <w:t>000036</w:t>
            </w:r>
            <w:r>
              <w:rPr>
                <w:rFonts w:hint="default" w:ascii="Times New Roman" w:hAnsi="宋体" w:eastAsia="宋体" w:cs="Times New Roman"/>
                <w:color w:val="auto"/>
                <w:sz w:val="24"/>
                <w:lang w:val="en-US" w:eastAsia="zh-CN"/>
              </w:rPr>
              <w:t>kg/h</w:t>
            </w:r>
            <w:r>
              <w:rPr>
                <w:rFonts w:hint="eastAsia" w:ascii="Times New Roman" w:hAnsi="宋体" w:eastAsia="宋体" w:cs="Times New Roman"/>
                <w:color w:val="auto"/>
                <w:sz w:val="24"/>
                <w:lang w:val="en-US" w:eastAsia="zh-CN"/>
              </w:rPr>
              <w:t>（0.00031</w:t>
            </w:r>
            <w:r>
              <w:rPr>
                <w:rFonts w:hint="default" w:ascii="Times New Roman" w:hAnsi="宋体" w:eastAsia="宋体" w:cs="Times New Roman"/>
                <w:color w:val="auto"/>
                <w:sz w:val="24"/>
                <w:lang w:val="en-US" w:eastAsia="zh-CN"/>
              </w:rPr>
              <w:t>t/a</w:t>
            </w:r>
            <w:r>
              <w:rPr>
                <w:rFonts w:hint="eastAsia" w:ascii="Times New Roman" w:hAnsi="宋体" w:eastAsia="宋体" w:cs="Times New Roman"/>
                <w:color w:val="auto"/>
                <w:sz w:val="24"/>
                <w:lang w:val="en-US" w:eastAsia="zh-CN"/>
              </w:rPr>
              <w:t>），经周边大气环境稀释后对周边环境影响较小。</w:t>
            </w:r>
          </w:p>
          <w:p>
            <w:pPr>
              <w:keepNext w:val="0"/>
              <w:keepLines w:val="0"/>
              <w:pageBreakBefore w:val="0"/>
              <w:widowControl w:val="0"/>
              <w:kinsoku/>
              <w:wordWrap/>
              <w:overflowPunct/>
              <w:topLinePunct w:val="0"/>
              <w:autoSpaceDE/>
              <w:autoSpaceDN/>
              <w:bidi w:val="0"/>
              <w:adjustRightInd/>
              <w:snapToGrid/>
              <w:spacing w:before="157" w:beforeLines="50"/>
              <w:ind w:firstLine="482" w:firstLineChars="20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表4</w:t>
            </w:r>
            <w:r>
              <w:rPr>
                <w:rFonts w:hint="eastAsia" w:ascii="Times New Roman" w:hAnsi="Times New Roman" w:eastAsia="宋体" w:cs="Times New Roman"/>
                <w:b/>
                <w:bCs/>
                <w:color w:val="auto"/>
                <w:sz w:val="24"/>
                <w:szCs w:val="24"/>
                <w:lang w:val="en-US" w:eastAsia="zh-CN"/>
              </w:rPr>
              <w:t>-</w:t>
            </w:r>
            <w:r>
              <w:rPr>
                <w:rFonts w:hint="default" w:ascii="Times New Roman" w:hAnsi="Times New Roman" w:eastAsia="宋体" w:cs="Times New Roman"/>
                <w:b/>
                <w:bCs/>
                <w:color w:val="auto"/>
                <w:sz w:val="24"/>
                <w:szCs w:val="24"/>
                <w:lang w:val="en-US" w:eastAsia="zh-CN"/>
              </w:rPr>
              <w:t>4</w:t>
            </w:r>
            <w:r>
              <w:rPr>
                <w:rFonts w:hint="default" w:ascii="Times New Roman" w:hAnsi="Times New Roman" w:eastAsia="宋体" w:cs="Times New Roman"/>
                <w:b/>
                <w:bCs/>
                <w:color w:val="auto"/>
                <w:sz w:val="24"/>
                <w:szCs w:val="24"/>
              </w:rPr>
              <w:t xml:space="preserve"> 项目恶臭污染物</w:t>
            </w:r>
            <w:r>
              <w:rPr>
                <w:rFonts w:hint="default" w:ascii="Times New Roman" w:hAnsi="Times New Roman" w:eastAsia="宋体" w:cs="Times New Roman"/>
                <w:b/>
                <w:bCs/>
                <w:color w:val="auto"/>
                <w:sz w:val="24"/>
                <w:szCs w:val="24"/>
                <w:lang w:eastAsia="zh-CN"/>
              </w:rPr>
              <w:t>排放量</w:t>
            </w:r>
            <w:r>
              <w:rPr>
                <w:rFonts w:hint="default" w:ascii="Times New Roman" w:hAnsi="Times New Roman" w:eastAsia="宋体" w:cs="Times New Roman"/>
                <w:b/>
                <w:bCs/>
                <w:color w:val="auto"/>
                <w:sz w:val="24"/>
                <w:szCs w:val="24"/>
              </w:rPr>
              <w:t>一览表</w:t>
            </w:r>
          </w:p>
          <w:p>
            <w:pPr>
              <w:autoSpaceDE w:val="0"/>
              <w:autoSpaceDN w:val="0"/>
              <w:adjustRightInd w:val="0"/>
              <w:spacing w:line="40" w:lineRule="exact"/>
              <w:ind w:firstLine="80"/>
              <w:rPr>
                <w:rFonts w:hint="default" w:ascii="Times New Roman" w:hAnsi="Times New Roman" w:eastAsia="微软雅黑" w:cs="Times New Roman"/>
                <w:color w:val="000000"/>
                <w:sz w:val="4"/>
                <w:szCs w:val="4"/>
              </w:rPr>
            </w:pPr>
          </w:p>
          <w:tbl>
            <w:tblPr>
              <w:tblStyle w:val="23"/>
              <w:tblW w:w="799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3" w:type="dxa"/>
                <w:bottom w:w="0" w:type="dxa"/>
                <w:right w:w="23" w:type="dxa"/>
              </w:tblCellMar>
            </w:tblPr>
            <w:tblGrid>
              <w:gridCol w:w="786"/>
              <w:gridCol w:w="654"/>
              <w:gridCol w:w="733"/>
              <w:gridCol w:w="839"/>
              <w:gridCol w:w="648"/>
              <w:gridCol w:w="700"/>
              <w:gridCol w:w="788"/>
              <w:gridCol w:w="725"/>
              <w:gridCol w:w="819"/>
              <w:gridCol w:w="720"/>
              <w:gridCol w:w="5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3" w:type="dxa"/>
                  <w:bottom w:w="0" w:type="dxa"/>
                  <w:right w:w="23" w:type="dxa"/>
                </w:tblCellMar>
              </w:tblPrEx>
              <w:trPr>
                <w:trHeight w:val="367" w:hRule="atLeast"/>
                <w:jc w:val="center"/>
              </w:trPr>
              <w:tc>
                <w:tcPr>
                  <w:tcW w:w="871"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r>
                    <w:rPr>
                      <w:rFonts w:hint="default" w:ascii="Times New Roman" w:hAnsi="Times New Roman" w:eastAsia="宋体" w:cs="Times New Roman"/>
                      <w:b/>
                      <w:bCs w:val="0"/>
                      <w:color w:val="000000"/>
                      <w:kern w:val="0"/>
                      <w:sz w:val="21"/>
                      <w:szCs w:val="21"/>
                      <w:highlight w:val="none"/>
                      <w:u w:val="none"/>
                      <w:lang w:val="en-US" w:eastAsia="zh-CN" w:bidi="ar-SA"/>
                    </w:rPr>
                    <w:t>污染物</w:t>
                  </w:r>
                </w:p>
              </w:tc>
              <w:tc>
                <w:tcPr>
                  <w:tcW w:w="72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r>
                    <w:rPr>
                      <w:rFonts w:hint="default" w:ascii="Times New Roman" w:hAnsi="Times New Roman" w:eastAsia="宋体" w:cs="Times New Roman"/>
                      <w:b/>
                      <w:bCs w:val="0"/>
                      <w:color w:val="000000"/>
                      <w:kern w:val="0"/>
                      <w:sz w:val="21"/>
                      <w:szCs w:val="21"/>
                      <w:highlight w:val="none"/>
                      <w:u w:val="none"/>
                      <w:lang w:val="en-US" w:eastAsia="zh-CN" w:bidi="ar-SA"/>
                    </w:rPr>
                    <w:t>排气量m</w:t>
                  </w:r>
                  <w:r>
                    <w:rPr>
                      <w:rFonts w:hint="default" w:ascii="Times New Roman" w:hAnsi="Times New Roman" w:eastAsia="宋体" w:cs="Times New Roman"/>
                      <w:b/>
                      <w:bCs w:val="0"/>
                      <w:color w:val="000000"/>
                      <w:kern w:val="0"/>
                      <w:sz w:val="21"/>
                      <w:szCs w:val="21"/>
                      <w:highlight w:val="none"/>
                      <w:u w:val="none"/>
                      <w:vertAlign w:val="superscript"/>
                      <w:lang w:val="en-US" w:eastAsia="zh-CN" w:bidi="ar-SA"/>
                    </w:rPr>
                    <w:t>3</w:t>
                  </w:r>
                  <w:r>
                    <w:rPr>
                      <w:rFonts w:hint="default" w:ascii="Times New Roman" w:hAnsi="Times New Roman" w:eastAsia="宋体" w:cs="Times New Roman"/>
                      <w:b/>
                      <w:bCs w:val="0"/>
                      <w:color w:val="000000"/>
                      <w:kern w:val="0"/>
                      <w:sz w:val="21"/>
                      <w:szCs w:val="21"/>
                      <w:highlight w:val="none"/>
                      <w:u w:val="none"/>
                      <w:lang w:val="en-US" w:eastAsia="zh-CN" w:bidi="ar-SA"/>
                    </w:rPr>
                    <w:t>/h</w:t>
                  </w:r>
                </w:p>
              </w:tc>
              <w:tc>
                <w:tcPr>
                  <w:tcW w:w="2456" w:type="dxa"/>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r>
                    <w:rPr>
                      <w:rFonts w:hint="default" w:ascii="Times New Roman" w:hAnsi="Times New Roman" w:eastAsia="宋体" w:cs="Times New Roman"/>
                      <w:b/>
                      <w:bCs w:val="0"/>
                      <w:color w:val="000000"/>
                      <w:kern w:val="0"/>
                      <w:sz w:val="21"/>
                      <w:szCs w:val="21"/>
                      <w:highlight w:val="none"/>
                      <w:u w:val="none"/>
                      <w:lang w:val="en-US" w:eastAsia="zh-CN" w:bidi="ar-SA"/>
                    </w:rPr>
                    <w:t>产生情况</w:t>
                  </w:r>
                </w:p>
              </w:tc>
              <w:tc>
                <w:tcPr>
                  <w:tcW w:w="774"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r>
                    <w:rPr>
                      <w:rFonts w:hint="default" w:ascii="Times New Roman" w:hAnsi="Times New Roman" w:eastAsia="宋体" w:cs="Times New Roman"/>
                      <w:b/>
                      <w:bCs w:val="0"/>
                      <w:color w:val="000000"/>
                      <w:kern w:val="0"/>
                      <w:sz w:val="21"/>
                      <w:szCs w:val="21"/>
                      <w:highlight w:val="none"/>
                      <w:u w:val="none"/>
                      <w:lang w:val="en-US" w:eastAsia="zh-CN" w:bidi="ar-SA"/>
                    </w:rPr>
                    <w:t>治理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r>
                    <w:rPr>
                      <w:rFonts w:hint="default" w:ascii="Times New Roman" w:hAnsi="Times New Roman" w:eastAsia="宋体" w:cs="Times New Roman"/>
                      <w:b/>
                      <w:bCs w:val="0"/>
                      <w:color w:val="000000"/>
                      <w:kern w:val="0"/>
                      <w:sz w:val="21"/>
                      <w:szCs w:val="21"/>
                      <w:highlight w:val="none"/>
                      <w:u w:val="none"/>
                      <w:lang w:val="en-US" w:eastAsia="zh-CN" w:bidi="ar-SA"/>
                    </w:rPr>
                    <w:t>措施</w:t>
                  </w:r>
                </w:p>
              </w:tc>
              <w:tc>
                <w:tcPr>
                  <w:tcW w:w="87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r>
                    <w:rPr>
                      <w:rFonts w:hint="default" w:ascii="Times New Roman" w:hAnsi="Times New Roman" w:eastAsia="宋体" w:cs="Times New Roman"/>
                      <w:b/>
                      <w:bCs w:val="0"/>
                      <w:color w:val="000000"/>
                      <w:kern w:val="0"/>
                      <w:sz w:val="21"/>
                      <w:szCs w:val="21"/>
                      <w:highlight w:val="none"/>
                      <w:u w:val="none"/>
                      <w:lang w:val="en-US" w:eastAsia="zh-CN" w:bidi="ar-SA"/>
                    </w:rPr>
                    <w:t>处理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r>
                    <w:rPr>
                      <w:rFonts w:hint="default" w:ascii="Times New Roman" w:hAnsi="Times New Roman" w:eastAsia="宋体" w:cs="Times New Roman"/>
                      <w:b/>
                      <w:bCs w:val="0"/>
                      <w:color w:val="000000"/>
                      <w:kern w:val="0"/>
                      <w:sz w:val="21"/>
                      <w:szCs w:val="21"/>
                      <w:highlight w:val="none"/>
                      <w:u w:val="none"/>
                      <w:lang w:val="en-US" w:eastAsia="zh-CN" w:bidi="ar-SA"/>
                    </w:rPr>
                    <w:t>效率</w:t>
                  </w:r>
                </w:p>
              </w:tc>
              <w:tc>
                <w:tcPr>
                  <w:tcW w:w="2505" w:type="dxa"/>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r>
                    <w:rPr>
                      <w:rFonts w:hint="default" w:ascii="Times New Roman" w:hAnsi="Times New Roman" w:eastAsia="宋体" w:cs="Times New Roman"/>
                      <w:b/>
                      <w:bCs w:val="0"/>
                      <w:color w:val="000000"/>
                      <w:kern w:val="0"/>
                      <w:sz w:val="21"/>
                      <w:szCs w:val="21"/>
                      <w:highlight w:val="none"/>
                      <w:u w:val="none"/>
                      <w:lang w:val="en-US" w:eastAsia="zh-CN" w:bidi="ar-SA"/>
                    </w:rPr>
                    <w:t>排放情况</w:t>
                  </w:r>
                </w:p>
              </w:tc>
              <w:tc>
                <w:tcPr>
                  <w:tcW w:w="64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2"/>
                      <w:highlight w:val="none"/>
                      <w:u w:val="none"/>
                      <w:lang w:val="en-US" w:eastAsia="zh-CN" w:bidi="ar-SA"/>
                    </w:rPr>
                  </w:pPr>
                  <w:r>
                    <w:rPr>
                      <w:rFonts w:hint="default" w:ascii="Times New Roman" w:hAnsi="Times New Roman" w:eastAsia="宋体" w:cs="Times New Roman"/>
                      <w:b/>
                      <w:bCs w:val="0"/>
                      <w:color w:val="000000"/>
                      <w:kern w:val="0"/>
                      <w:sz w:val="21"/>
                      <w:szCs w:val="22"/>
                      <w:highlight w:val="none"/>
                      <w:u w:val="none"/>
                      <w:lang w:val="en-US" w:eastAsia="zh-CN" w:bidi="ar-SA"/>
                    </w:rPr>
                    <w:t>排放</w:t>
                  </w:r>
                </w:p>
                <w:p>
                  <w:pPr>
                    <w:keepNext w:val="0"/>
                    <w:keepLines w:val="0"/>
                    <w:pageBreakBefore w:val="0"/>
                    <w:widowControl/>
                    <w:suppressLineNumbers w:val="0"/>
                    <w:kinsoku/>
                    <w:wordWrap/>
                    <w:overflowPunct/>
                    <w:topLinePunct w:val="0"/>
                    <w:bidi w:val="0"/>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2"/>
                      <w:highlight w:val="none"/>
                      <w:u w:val="none"/>
                      <w:lang w:val="en-US" w:eastAsia="zh-CN" w:bidi="ar-SA"/>
                    </w:rPr>
                  </w:pPr>
                  <w:r>
                    <w:rPr>
                      <w:rFonts w:hint="default" w:ascii="Times New Roman" w:hAnsi="Times New Roman" w:eastAsia="宋体" w:cs="Times New Roman"/>
                      <w:b/>
                      <w:bCs w:val="0"/>
                      <w:color w:val="000000"/>
                      <w:kern w:val="0"/>
                      <w:sz w:val="21"/>
                      <w:szCs w:val="22"/>
                      <w:highlight w:val="none"/>
                      <w:u w:val="none"/>
                      <w:lang w:val="en-US" w:eastAsia="zh-CN" w:bidi="ar-SA"/>
                    </w:rPr>
                    <w:t>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3" w:type="dxa"/>
                  <w:bottom w:w="0" w:type="dxa"/>
                  <w:right w:w="23" w:type="dxa"/>
                </w:tblCellMar>
              </w:tblPrEx>
              <w:trPr>
                <w:jc w:val="center"/>
              </w:trPr>
              <w:tc>
                <w:tcPr>
                  <w:tcW w:w="871"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p>
              </w:tc>
              <w:tc>
                <w:tcPr>
                  <w:tcW w:w="72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p>
              </w:tc>
              <w:tc>
                <w:tcPr>
                  <w:tcW w:w="81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r>
                    <w:rPr>
                      <w:rFonts w:hint="default" w:ascii="Times New Roman" w:hAnsi="Times New Roman" w:eastAsia="宋体" w:cs="Times New Roman"/>
                      <w:b/>
                      <w:bCs w:val="0"/>
                      <w:color w:val="000000"/>
                      <w:kern w:val="0"/>
                      <w:sz w:val="21"/>
                      <w:szCs w:val="21"/>
                      <w:highlight w:val="none"/>
                      <w:u w:val="none"/>
                      <w:lang w:val="en-US" w:eastAsia="zh-CN" w:bidi="ar-SA"/>
                    </w:rPr>
                    <w:t>浓度mg/m</w:t>
                  </w:r>
                  <w:r>
                    <w:rPr>
                      <w:rFonts w:hint="default" w:ascii="Times New Roman" w:hAnsi="Times New Roman" w:eastAsia="宋体" w:cs="Times New Roman"/>
                      <w:b/>
                      <w:bCs w:val="0"/>
                      <w:color w:val="000000"/>
                      <w:kern w:val="0"/>
                      <w:sz w:val="21"/>
                      <w:szCs w:val="21"/>
                      <w:highlight w:val="none"/>
                      <w:u w:val="none"/>
                      <w:vertAlign w:val="superscript"/>
                      <w:lang w:val="en-US" w:eastAsia="zh-CN" w:bidi="ar-SA"/>
                    </w:rPr>
                    <w:t>3</w:t>
                  </w:r>
                </w:p>
              </w:tc>
              <w:tc>
                <w:tcPr>
                  <w:tcW w:w="929"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r>
                    <w:rPr>
                      <w:rFonts w:hint="default" w:ascii="Times New Roman" w:hAnsi="Times New Roman" w:eastAsia="宋体" w:cs="Times New Roman"/>
                      <w:b/>
                      <w:bCs w:val="0"/>
                      <w:color w:val="000000"/>
                      <w:kern w:val="0"/>
                      <w:sz w:val="21"/>
                      <w:szCs w:val="21"/>
                      <w:highlight w:val="none"/>
                      <w:u w:val="none"/>
                      <w:lang w:val="en-US" w:eastAsia="zh-CN" w:bidi="ar-SA"/>
                    </w:rPr>
                    <w:t>速率kg/h</w:t>
                  </w:r>
                </w:p>
              </w:tc>
              <w:tc>
                <w:tcPr>
                  <w:tcW w:w="71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r>
                    <w:rPr>
                      <w:rFonts w:hint="default" w:ascii="Times New Roman" w:hAnsi="Times New Roman" w:eastAsia="宋体" w:cs="Times New Roman"/>
                      <w:b/>
                      <w:bCs w:val="0"/>
                      <w:color w:val="000000"/>
                      <w:kern w:val="0"/>
                      <w:sz w:val="21"/>
                      <w:szCs w:val="21"/>
                      <w:highlight w:val="none"/>
                      <w:u w:val="none"/>
                      <w:lang w:val="en-US" w:eastAsia="zh-CN" w:bidi="ar-SA"/>
                    </w:rPr>
                    <w:t>产生量t/a</w:t>
                  </w:r>
                </w:p>
              </w:tc>
              <w:tc>
                <w:tcPr>
                  <w:tcW w:w="774"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p>
              </w:tc>
              <w:tc>
                <w:tcPr>
                  <w:tcW w:w="872"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p>
              </w:tc>
              <w:tc>
                <w:tcPr>
                  <w:tcW w:w="80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r>
                    <w:rPr>
                      <w:rFonts w:hint="default" w:ascii="Times New Roman" w:hAnsi="Times New Roman" w:eastAsia="宋体" w:cs="Times New Roman"/>
                      <w:b/>
                      <w:bCs w:val="0"/>
                      <w:color w:val="000000"/>
                      <w:kern w:val="0"/>
                      <w:sz w:val="21"/>
                      <w:szCs w:val="21"/>
                      <w:highlight w:val="none"/>
                      <w:u w:val="none"/>
                      <w:lang w:val="en-US" w:eastAsia="zh-CN" w:bidi="ar-SA"/>
                    </w:rPr>
                    <w:t>浓度mg/m</w:t>
                  </w:r>
                  <w:r>
                    <w:rPr>
                      <w:rFonts w:hint="default" w:ascii="Times New Roman" w:hAnsi="Times New Roman" w:eastAsia="宋体" w:cs="Times New Roman"/>
                      <w:b/>
                      <w:bCs w:val="0"/>
                      <w:color w:val="000000"/>
                      <w:kern w:val="0"/>
                      <w:sz w:val="21"/>
                      <w:szCs w:val="21"/>
                      <w:highlight w:val="none"/>
                      <w:u w:val="none"/>
                      <w:vertAlign w:val="superscript"/>
                      <w:lang w:val="en-US" w:eastAsia="zh-CN" w:bidi="ar-SA"/>
                    </w:rPr>
                    <w:t>3</w:t>
                  </w:r>
                </w:p>
              </w:tc>
              <w:tc>
                <w:tcPr>
                  <w:tcW w:w="90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r>
                    <w:rPr>
                      <w:rFonts w:hint="default" w:ascii="Times New Roman" w:hAnsi="Times New Roman" w:eastAsia="宋体" w:cs="Times New Roman"/>
                      <w:b/>
                      <w:bCs w:val="0"/>
                      <w:color w:val="000000"/>
                      <w:kern w:val="0"/>
                      <w:sz w:val="21"/>
                      <w:szCs w:val="21"/>
                      <w:highlight w:val="none"/>
                      <w:u w:val="none"/>
                      <w:lang w:val="en-US" w:eastAsia="zh-CN" w:bidi="ar-SA"/>
                    </w:rPr>
                    <w:t>速率kg/h</w:t>
                  </w:r>
                </w:p>
              </w:tc>
              <w:tc>
                <w:tcPr>
                  <w:tcW w:w="7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
                      <w:bCs w:val="0"/>
                      <w:color w:val="000000"/>
                      <w:kern w:val="0"/>
                      <w:sz w:val="21"/>
                      <w:szCs w:val="21"/>
                      <w:highlight w:val="none"/>
                      <w:u w:val="none"/>
                      <w:lang w:val="en-US" w:eastAsia="zh-CN" w:bidi="ar-SA"/>
                    </w:rPr>
                  </w:pPr>
                  <w:r>
                    <w:rPr>
                      <w:rFonts w:hint="default" w:ascii="Times New Roman" w:hAnsi="Times New Roman" w:eastAsia="宋体" w:cs="Times New Roman"/>
                      <w:b/>
                      <w:bCs w:val="0"/>
                      <w:color w:val="000000"/>
                      <w:kern w:val="0"/>
                      <w:sz w:val="21"/>
                      <w:szCs w:val="21"/>
                      <w:highlight w:val="none"/>
                      <w:u w:val="none"/>
                      <w:lang w:val="en-US" w:eastAsia="zh-CN" w:bidi="ar-SA"/>
                    </w:rPr>
                    <w:t>排放量t/a</w:t>
                  </w:r>
                </w:p>
              </w:tc>
              <w:tc>
                <w:tcPr>
                  <w:tcW w:w="64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2"/>
                      <w:highlight w:val="none"/>
                      <w:u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3" w:type="dxa"/>
                  <w:bottom w:w="0" w:type="dxa"/>
                  <w:right w:w="23" w:type="dxa"/>
                </w:tblCellMar>
              </w:tblPrEx>
              <w:trPr>
                <w:trHeight w:val="436" w:hRule="atLeast"/>
                <w:jc w:val="center"/>
              </w:trPr>
              <w:tc>
                <w:tcPr>
                  <w:tcW w:w="87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r>
                    <w:rPr>
                      <w:rFonts w:hint="default" w:ascii="Times New Roman" w:hAnsi="Times New Roman" w:cs="Times New Roman"/>
                      <w:color w:val="000000"/>
                      <w:sz w:val="21"/>
                      <w:szCs w:val="21"/>
                    </w:rPr>
                    <w:t>NH</w:t>
                  </w:r>
                  <w:r>
                    <w:rPr>
                      <w:rFonts w:hint="default" w:ascii="Times New Roman" w:hAnsi="Times New Roman" w:cs="Times New Roman"/>
                      <w:color w:val="000000"/>
                      <w:sz w:val="21"/>
                      <w:szCs w:val="21"/>
                      <w:vertAlign w:val="subscript"/>
                    </w:rPr>
                    <w:t>3</w:t>
                  </w:r>
                </w:p>
              </w:tc>
              <w:tc>
                <w:tcPr>
                  <w:tcW w:w="72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r>
                    <w:rPr>
                      <w:rFonts w:hint="default" w:ascii="Times New Roman" w:hAnsi="Times New Roman" w:eastAsia="宋体" w:cs="Times New Roman"/>
                      <w:bCs/>
                      <w:color w:val="000000"/>
                      <w:kern w:val="0"/>
                      <w:sz w:val="21"/>
                      <w:szCs w:val="21"/>
                      <w:highlight w:val="none"/>
                      <w:u w:val="none"/>
                      <w:lang w:val="en-US" w:eastAsia="zh-CN" w:bidi="ar-SA"/>
                    </w:rPr>
                    <w:t>/</w:t>
                  </w:r>
                </w:p>
              </w:tc>
              <w:tc>
                <w:tcPr>
                  <w:tcW w:w="81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929"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r>
                    <w:rPr>
                      <w:rFonts w:hint="eastAsia" w:ascii="Times New Roman" w:hAnsi="Times New Roman" w:eastAsia="宋体" w:cs="Times New Roman"/>
                      <w:bCs/>
                      <w:color w:val="000000"/>
                      <w:kern w:val="0"/>
                      <w:sz w:val="21"/>
                      <w:szCs w:val="21"/>
                      <w:highlight w:val="none"/>
                      <w:u w:val="none"/>
                      <w:lang w:val="en-US" w:eastAsia="zh-CN" w:bidi="ar-SA"/>
                    </w:rPr>
                    <w:t xml:space="preserve">0.019 </w:t>
                  </w:r>
                </w:p>
              </w:tc>
              <w:tc>
                <w:tcPr>
                  <w:tcW w:w="71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r>
                    <w:rPr>
                      <w:rFonts w:hint="eastAsia" w:ascii="Times New Roman" w:hAnsi="Times New Roman" w:eastAsia="宋体" w:cs="Times New Roman"/>
                      <w:bCs/>
                      <w:color w:val="000000"/>
                      <w:kern w:val="0"/>
                      <w:sz w:val="21"/>
                      <w:szCs w:val="21"/>
                      <w:highlight w:val="none"/>
                      <w:u w:val="none"/>
                      <w:lang w:val="en-US" w:eastAsia="zh-CN" w:bidi="ar-SA"/>
                    </w:rPr>
                    <w:t xml:space="preserve">0.16 </w:t>
                  </w:r>
                </w:p>
              </w:tc>
              <w:tc>
                <w:tcPr>
                  <w:tcW w:w="774"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r>
                    <w:rPr>
                      <w:rFonts w:hint="default" w:ascii="Times New Roman" w:hAnsi="Times New Roman" w:eastAsia="宋体" w:cs="Times New Roman"/>
                      <w:bCs/>
                      <w:color w:val="000000"/>
                      <w:kern w:val="0"/>
                      <w:sz w:val="21"/>
                      <w:szCs w:val="21"/>
                      <w:highlight w:val="none"/>
                      <w:u w:val="none"/>
                      <w:lang w:val="en-US" w:eastAsia="zh-CN" w:bidi="ar-SA"/>
                    </w:rPr>
                    <w:t>加强绿化</w:t>
                  </w:r>
                </w:p>
              </w:tc>
              <w:tc>
                <w:tcPr>
                  <w:tcW w:w="87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r>
                    <w:rPr>
                      <w:rFonts w:hint="eastAsia" w:ascii="Times New Roman" w:hAnsi="Times New Roman" w:eastAsia="宋体" w:cs="Times New Roman"/>
                      <w:bCs/>
                      <w:color w:val="000000"/>
                      <w:kern w:val="0"/>
                      <w:sz w:val="21"/>
                      <w:szCs w:val="21"/>
                      <w:highlight w:val="none"/>
                      <w:u w:val="none"/>
                      <w:lang w:val="en-US" w:eastAsia="zh-CN" w:bidi="ar-SA"/>
                    </w:rPr>
                    <w:t>密闭加盖、喷洒生物除臭剂85%</w:t>
                  </w:r>
                </w:p>
              </w:tc>
              <w:tc>
                <w:tcPr>
                  <w:tcW w:w="80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r>
                    <w:rPr>
                      <w:rFonts w:hint="default" w:ascii="Times New Roman" w:hAnsi="Times New Roman" w:eastAsia="宋体" w:cs="Times New Roman"/>
                      <w:bCs/>
                      <w:color w:val="000000"/>
                      <w:kern w:val="0"/>
                      <w:sz w:val="21"/>
                      <w:szCs w:val="21"/>
                      <w:highlight w:val="none"/>
                      <w:u w:val="none"/>
                      <w:lang w:val="en-US" w:eastAsia="zh-CN" w:bidi="ar-SA"/>
                    </w:rPr>
                    <w:t>/</w:t>
                  </w:r>
                </w:p>
              </w:tc>
              <w:tc>
                <w:tcPr>
                  <w:tcW w:w="90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r>
                    <w:rPr>
                      <w:rFonts w:hint="eastAsia" w:ascii="Times New Roman" w:hAnsi="Times New Roman" w:eastAsia="宋体" w:cs="Times New Roman"/>
                      <w:bCs/>
                      <w:color w:val="000000"/>
                      <w:kern w:val="0"/>
                      <w:sz w:val="21"/>
                      <w:szCs w:val="21"/>
                      <w:highlight w:val="none"/>
                      <w:u w:val="none"/>
                      <w:lang w:val="en-US" w:eastAsia="zh-CN" w:bidi="ar-SA"/>
                    </w:rPr>
                    <w:t>0.0028</w:t>
                  </w:r>
                </w:p>
              </w:tc>
              <w:tc>
                <w:tcPr>
                  <w:tcW w:w="7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r>
                    <w:rPr>
                      <w:rFonts w:hint="eastAsia" w:ascii="Times New Roman" w:hAnsi="Times New Roman" w:eastAsia="宋体" w:cs="Times New Roman"/>
                      <w:bCs/>
                      <w:color w:val="000000"/>
                      <w:kern w:val="0"/>
                      <w:sz w:val="21"/>
                      <w:szCs w:val="21"/>
                      <w:highlight w:val="none"/>
                      <w:u w:val="none"/>
                      <w:lang w:val="en-US" w:eastAsia="zh-CN" w:bidi="ar-SA"/>
                    </w:rPr>
                    <w:t>0.025</w:t>
                  </w:r>
                </w:p>
              </w:tc>
              <w:tc>
                <w:tcPr>
                  <w:tcW w:w="64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2"/>
                      <w:highlight w:val="none"/>
                      <w:u w:val="none"/>
                      <w:lang w:val="en-US" w:eastAsia="zh-CN" w:bidi="ar-SA"/>
                    </w:rPr>
                  </w:pPr>
                  <w:r>
                    <w:rPr>
                      <w:rFonts w:hint="default" w:ascii="Times New Roman" w:hAnsi="Times New Roman" w:eastAsia="宋体" w:cs="Times New Roman"/>
                      <w:bCs/>
                      <w:color w:val="000000"/>
                      <w:kern w:val="0"/>
                      <w:sz w:val="21"/>
                      <w:szCs w:val="22"/>
                      <w:highlight w:val="none"/>
                      <w:u w:val="none"/>
                      <w:lang w:val="en-US" w:eastAsia="zh-CN" w:bidi="ar-SA"/>
                    </w:rPr>
                    <w:t>无组织排放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3" w:type="dxa"/>
                  <w:bottom w:w="0" w:type="dxa"/>
                  <w:right w:w="23" w:type="dxa"/>
                </w:tblCellMar>
              </w:tblPrEx>
              <w:trPr>
                <w:trHeight w:val="436" w:hRule="atLeast"/>
                <w:jc w:val="center"/>
              </w:trPr>
              <w:tc>
                <w:tcPr>
                  <w:tcW w:w="87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r>
                    <w:rPr>
                      <w:rFonts w:hint="default" w:ascii="Times New Roman" w:hAnsi="Times New Roman" w:cs="Times New Roman"/>
                      <w:color w:val="000000"/>
                      <w:sz w:val="21"/>
                      <w:szCs w:val="21"/>
                    </w:rPr>
                    <w:t>H</w:t>
                  </w:r>
                  <w:r>
                    <w:rPr>
                      <w:rFonts w:hint="default" w:ascii="Times New Roman" w:hAnsi="Times New Roman" w:cs="Times New Roman"/>
                      <w:color w:val="000000"/>
                      <w:sz w:val="21"/>
                      <w:szCs w:val="21"/>
                      <w:vertAlign w:val="subscript"/>
                    </w:rPr>
                    <w:t>2</w:t>
                  </w:r>
                  <w:r>
                    <w:rPr>
                      <w:rFonts w:hint="default" w:ascii="Times New Roman" w:hAnsi="Times New Roman" w:cs="Times New Roman"/>
                      <w:color w:val="000000"/>
                      <w:sz w:val="21"/>
                      <w:szCs w:val="21"/>
                    </w:rPr>
                    <w:t>S</w:t>
                  </w:r>
                </w:p>
              </w:tc>
              <w:tc>
                <w:tcPr>
                  <w:tcW w:w="72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p>
              </w:tc>
              <w:tc>
                <w:tcPr>
                  <w:tcW w:w="81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929"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r>
                    <w:rPr>
                      <w:rFonts w:hint="eastAsia" w:ascii="Times New Roman" w:hAnsi="Times New Roman" w:eastAsia="宋体" w:cs="Times New Roman"/>
                      <w:bCs/>
                      <w:color w:val="000000"/>
                      <w:kern w:val="0"/>
                      <w:sz w:val="21"/>
                      <w:szCs w:val="21"/>
                      <w:highlight w:val="none"/>
                      <w:u w:val="none"/>
                      <w:lang w:val="en-US" w:eastAsia="zh-CN" w:bidi="ar-SA"/>
                    </w:rPr>
                    <w:t xml:space="preserve">0.00024 </w:t>
                  </w:r>
                </w:p>
              </w:tc>
              <w:tc>
                <w:tcPr>
                  <w:tcW w:w="71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r>
                    <w:rPr>
                      <w:rFonts w:hint="eastAsia" w:ascii="Times New Roman" w:hAnsi="Times New Roman" w:eastAsia="宋体" w:cs="Times New Roman"/>
                      <w:bCs/>
                      <w:color w:val="000000"/>
                      <w:kern w:val="0"/>
                      <w:sz w:val="21"/>
                      <w:szCs w:val="21"/>
                      <w:highlight w:val="none"/>
                      <w:u w:val="none"/>
                      <w:lang w:val="en-US" w:eastAsia="zh-CN" w:bidi="ar-SA"/>
                    </w:rPr>
                    <w:t xml:space="preserve">0.0021 </w:t>
                  </w:r>
                </w:p>
              </w:tc>
              <w:tc>
                <w:tcPr>
                  <w:tcW w:w="774"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p>
              </w:tc>
              <w:tc>
                <w:tcPr>
                  <w:tcW w:w="872"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p>
              </w:tc>
              <w:tc>
                <w:tcPr>
                  <w:tcW w:w="80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r>
                    <w:rPr>
                      <w:rFonts w:hint="default" w:ascii="Times New Roman" w:hAnsi="Times New Roman" w:eastAsia="宋体" w:cs="Times New Roman"/>
                      <w:bCs/>
                      <w:color w:val="000000"/>
                      <w:kern w:val="0"/>
                      <w:sz w:val="21"/>
                      <w:szCs w:val="21"/>
                      <w:highlight w:val="none"/>
                      <w:u w:val="none"/>
                      <w:lang w:val="en-US" w:eastAsia="zh-CN" w:bidi="ar-SA"/>
                    </w:rPr>
                    <w:t>/</w:t>
                  </w:r>
                </w:p>
              </w:tc>
              <w:tc>
                <w:tcPr>
                  <w:tcW w:w="90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r>
                    <w:rPr>
                      <w:rFonts w:hint="eastAsia" w:ascii="Times New Roman" w:hAnsi="Times New Roman" w:eastAsia="宋体" w:cs="Times New Roman"/>
                      <w:bCs/>
                      <w:color w:val="000000"/>
                      <w:kern w:val="0"/>
                      <w:sz w:val="21"/>
                      <w:szCs w:val="21"/>
                      <w:highlight w:val="none"/>
                      <w:u w:val="none"/>
                      <w:lang w:val="en-US" w:eastAsia="zh-CN" w:bidi="ar-SA"/>
                    </w:rPr>
                    <w:t>0.000036</w:t>
                  </w:r>
                </w:p>
              </w:tc>
              <w:tc>
                <w:tcPr>
                  <w:tcW w:w="796"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center"/>
                    <w:rPr>
                      <w:rFonts w:hint="default" w:ascii="Times New Roman" w:hAnsi="Times New Roman" w:eastAsia="宋体" w:cs="Times New Roman"/>
                      <w:bCs/>
                      <w:color w:val="000000"/>
                      <w:kern w:val="0"/>
                      <w:sz w:val="21"/>
                      <w:szCs w:val="21"/>
                      <w:highlight w:val="none"/>
                      <w:u w:val="none"/>
                      <w:lang w:val="en-US" w:eastAsia="zh-CN" w:bidi="ar-SA"/>
                    </w:rPr>
                  </w:pPr>
                  <w:r>
                    <w:rPr>
                      <w:rFonts w:hint="eastAsia" w:ascii="Times New Roman" w:hAnsi="Times New Roman" w:eastAsia="宋体" w:cs="Times New Roman"/>
                      <w:bCs/>
                      <w:color w:val="000000"/>
                      <w:kern w:val="0"/>
                      <w:sz w:val="21"/>
                      <w:szCs w:val="21"/>
                      <w:highlight w:val="none"/>
                      <w:u w:val="none"/>
                      <w:lang w:val="en-US" w:eastAsia="zh-CN" w:bidi="ar-SA"/>
                    </w:rPr>
                    <w:t>0.00031</w:t>
                  </w:r>
                </w:p>
              </w:tc>
              <w:tc>
                <w:tcPr>
                  <w:tcW w:w="643" w:type="dxa"/>
                  <w:vMerge w:val="continue"/>
                  <w:tcBorders>
                    <w:tl2br w:val="nil"/>
                    <w:tr2bl w:val="nil"/>
                  </w:tcBorders>
                  <w:noWrap w:val="0"/>
                  <w:vAlign w:val="center"/>
                </w:tcPr>
                <w:p>
                  <w:pPr>
                    <w:pStyle w:val="88"/>
                    <w:keepNext w:val="0"/>
                    <w:keepLines w:val="0"/>
                    <w:pageBreakBefore w:val="0"/>
                    <w:widowControl w:val="0"/>
                    <w:tabs>
                      <w:tab w:val="left" w:pos="2745"/>
                      <w:tab w:val="clear" w:pos="0"/>
                    </w:tabs>
                    <w:kinsoku/>
                    <w:wordWrap/>
                    <w:overflowPunct/>
                    <w:topLinePunct w:val="0"/>
                    <w:bidi w:val="0"/>
                    <w:snapToGrid/>
                    <w:spacing w:before="0" w:line="240" w:lineRule="auto"/>
                    <w:ind w:left="0" w:right="0" w:firstLine="0" w:firstLineChars="0"/>
                    <w:jc w:val="center"/>
                    <w:rPr>
                      <w:rFonts w:hint="default" w:ascii="Times New Roman" w:hAnsi="Times New Roman" w:cs="Times New Roman"/>
                      <w:color w:val="000000"/>
                      <w:highlight w:val="none"/>
                      <w:u w:val="singl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textAlignment w:val="auto"/>
              <w:rPr>
                <w:rFonts w:cs="宋体"/>
                <w:b/>
                <w:color w:val="auto"/>
                <w:spacing w:val="-10"/>
                <w:sz w:val="24"/>
                <w:szCs w:val="21"/>
              </w:rPr>
            </w:pPr>
            <w:r>
              <w:rPr>
                <w:rFonts w:hint="eastAsia" w:cs="宋体"/>
                <w:b/>
                <w:color w:val="auto"/>
                <w:spacing w:val="-10"/>
                <w:sz w:val="24"/>
                <w:szCs w:val="21"/>
                <w:lang w:val="en-US" w:eastAsia="zh-CN"/>
              </w:rPr>
              <w:t>3、</w:t>
            </w:r>
            <w:r>
              <w:rPr>
                <w:rFonts w:hint="eastAsia" w:cs="宋体"/>
                <w:b/>
                <w:color w:val="auto"/>
                <w:spacing w:val="-10"/>
                <w:sz w:val="24"/>
                <w:szCs w:val="21"/>
              </w:rPr>
              <w:t>废水环境影响分析</w:t>
            </w:r>
          </w:p>
          <w:p>
            <w:pPr>
              <w:pStyle w:val="56"/>
              <w:adjustRightInd w:val="0"/>
              <w:snapToGrid w:val="0"/>
              <w:spacing w:line="360" w:lineRule="auto"/>
              <w:ind w:firstLine="482"/>
              <w:rPr>
                <w:rFonts w:hint="eastAsia"/>
                <w:b/>
                <w:bCs/>
                <w:color w:val="auto"/>
                <w:sz w:val="24"/>
                <w:highlight w:val="none"/>
              </w:rPr>
            </w:pPr>
            <w:r>
              <w:rPr>
                <w:rFonts w:hint="eastAsia"/>
                <w:b/>
                <w:bCs/>
                <w:color w:val="auto"/>
                <w:sz w:val="24"/>
                <w:highlight w:val="none"/>
                <w:lang w:val="en-US" w:eastAsia="zh-CN"/>
              </w:rPr>
              <w:t>3.1</w:t>
            </w:r>
            <w:r>
              <w:rPr>
                <w:rFonts w:hint="eastAsia"/>
                <w:b/>
                <w:bCs/>
                <w:color w:val="auto"/>
                <w:sz w:val="24"/>
                <w:highlight w:val="none"/>
              </w:rPr>
              <w:t>废水污染源强分析</w:t>
            </w:r>
          </w:p>
          <w:p>
            <w:pPr>
              <w:pStyle w:val="64"/>
              <w:ind w:firstLine="480"/>
              <w:rPr>
                <w:rFonts w:hint="eastAsia" w:ascii="Times New Roman" w:hAnsi="Times New Roman" w:eastAsia="宋体" w:cs="Times New Roman"/>
                <w:color w:val="auto"/>
              </w:rPr>
            </w:pPr>
            <w:r>
              <w:rPr>
                <w:rFonts w:hint="eastAsia" w:cs="宋体"/>
                <w:bCs/>
                <w:color w:val="auto"/>
                <w:spacing w:val="-10"/>
                <w:sz w:val="24"/>
                <w:szCs w:val="21"/>
              </w:rPr>
              <w:t>根据工程分析，</w:t>
            </w:r>
            <w:r>
              <w:rPr>
                <w:rFonts w:hint="eastAsia" w:cs="宋体"/>
                <w:bCs/>
                <w:color w:val="auto"/>
                <w:spacing w:val="-10"/>
                <w:sz w:val="24"/>
                <w:szCs w:val="21"/>
                <w:lang w:val="en-US" w:eastAsia="zh-CN"/>
              </w:rPr>
              <w:t>项目给排水管网、绿化等配套设施运营期无废水产生，</w:t>
            </w:r>
            <w:r>
              <w:rPr>
                <w:rFonts w:hint="eastAsia" w:cs="宋体"/>
                <w:bCs/>
                <w:color w:val="auto"/>
                <w:spacing w:val="-10"/>
                <w:sz w:val="24"/>
                <w:szCs w:val="21"/>
              </w:rPr>
              <w:t>项目运营期间</w:t>
            </w:r>
            <w:r>
              <w:rPr>
                <w:rFonts w:hint="eastAsia" w:ascii="Times New Roman" w:hAnsi="Times New Roman" w:eastAsia="宋体" w:cs="Times New Roman"/>
                <w:color w:val="auto"/>
              </w:rPr>
              <w:t>废水主要为</w:t>
            </w:r>
            <w:r>
              <w:rPr>
                <w:rFonts w:hint="eastAsia" w:cs="Times New Roman"/>
                <w:color w:val="auto"/>
                <w:lang w:val="en-US" w:eastAsia="zh-CN"/>
              </w:rPr>
              <w:t>安置区内</w:t>
            </w:r>
            <w:r>
              <w:rPr>
                <w:rFonts w:hint="eastAsia" w:ascii="Times New Roman" w:hAnsi="Times New Roman" w:eastAsia="宋体" w:cs="Times New Roman"/>
                <w:color w:val="auto"/>
              </w:rPr>
              <w:t>生活污水</w:t>
            </w:r>
            <w:r>
              <w:rPr>
                <w:rFonts w:hint="eastAsia" w:cs="Times New Roman"/>
                <w:color w:val="auto"/>
                <w:lang w:eastAsia="zh-CN"/>
              </w:rPr>
              <w:t>（</w:t>
            </w:r>
            <w:r>
              <w:rPr>
                <w:rFonts w:hint="eastAsia" w:cs="Times New Roman"/>
                <w:color w:val="auto"/>
                <w:lang w:val="en-US" w:eastAsia="zh-CN"/>
              </w:rPr>
              <w:t>污水处理厂常驻员工较少且不在厂区内食宿，且厂内员工生活污水可直接排至污水处理厂系统内处理，本次不再单独定量计算</w:t>
            </w:r>
            <w:r>
              <w:rPr>
                <w:rFonts w:hint="eastAsia" w:cs="Times New Roman"/>
                <w:color w:val="auto"/>
                <w:lang w:eastAsia="zh-CN"/>
              </w:rPr>
              <w:t>）</w:t>
            </w: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根据</w:t>
            </w:r>
            <w:r>
              <w:rPr>
                <w:rFonts w:hint="eastAsia" w:cs="Times New Roman"/>
                <w:color w:val="auto"/>
                <w:lang w:val="en-US" w:eastAsia="zh-CN"/>
              </w:rPr>
              <w:t>前述</w:t>
            </w:r>
            <w:r>
              <w:rPr>
                <w:rFonts w:hint="eastAsia" w:ascii="Times New Roman" w:hAnsi="Times New Roman" w:eastAsia="宋体" w:cs="Times New Roman"/>
                <w:color w:val="auto"/>
                <w:lang w:val="en-US" w:eastAsia="zh-CN"/>
              </w:rPr>
              <w:t>计算，生活</w:t>
            </w:r>
            <w:r>
              <w:rPr>
                <w:rFonts w:hint="eastAsia" w:cs="Times New Roman"/>
                <w:color w:val="auto"/>
                <w:lang w:val="en-US" w:eastAsia="zh-CN"/>
              </w:rPr>
              <w:t>用水量为127750</w:t>
            </w:r>
            <w:r>
              <w:rPr>
                <w:rFonts w:hint="eastAsia" w:cs="宋体"/>
                <w:bCs/>
                <w:color w:val="auto"/>
                <w:sz w:val="24"/>
                <w:szCs w:val="21"/>
              </w:rPr>
              <w:t>t/</w:t>
            </w:r>
            <w:r>
              <w:rPr>
                <w:rFonts w:hint="eastAsia" w:cs="宋体"/>
                <w:bCs/>
                <w:color w:val="auto"/>
                <w:sz w:val="24"/>
                <w:szCs w:val="21"/>
                <w:lang w:val="en-US" w:eastAsia="zh-CN"/>
              </w:rPr>
              <w:t>a</w:t>
            </w:r>
            <w:r>
              <w:rPr>
                <w:rFonts w:hint="eastAsia" w:cs="Times New Roman"/>
                <w:color w:val="auto"/>
                <w:lang w:val="en-US" w:eastAsia="zh-CN"/>
              </w:rPr>
              <w:t>，产污率按80%计算，则</w:t>
            </w:r>
            <w:r>
              <w:rPr>
                <w:rFonts w:hint="eastAsia" w:ascii="Times New Roman" w:hAnsi="Times New Roman" w:eastAsia="宋体" w:cs="Times New Roman"/>
                <w:color w:val="auto"/>
                <w:lang w:val="en-US" w:eastAsia="zh-CN"/>
              </w:rPr>
              <w:t>污水排放量</w:t>
            </w:r>
            <w:r>
              <w:rPr>
                <w:rFonts w:hint="eastAsia" w:cs="Times New Roman"/>
                <w:color w:val="auto"/>
                <w:lang w:val="en-US" w:eastAsia="zh-CN"/>
              </w:rPr>
              <w:t>为102200</w:t>
            </w:r>
            <w:r>
              <w:rPr>
                <w:rFonts w:hint="eastAsia" w:cs="宋体"/>
                <w:bCs/>
                <w:color w:val="auto"/>
                <w:sz w:val="24"/>
                <w:szCs w:val="21"/>
              </w:rPr>
              <w:t>t/</w:t>
            </w:r>
            <w:r>
              <w:rPr>
                <w:rFonts w:hint="eastAsia" w:cs="宋体"/>
                <w:bCs/>
                <w:color w:val="auto"/>
                <w:sz w:val="24"/>
                <w:szCs w:val="21"/>
                <w:lang w:val="en-US" w:eastAsia="zh-CN"/>
              </w:rPr>
              <w:t>a，280</w:t>
            </w:r>
            <w:r>
              <w:rPr>
                <w:rFonts w:hint="eastAsia" w:cs="宋体"/>
                <w:bCs/>
                <w:color w:val="auto"/>
                <w:sz w:val="24"/>
                <w:szCs w:val="21"/>
              </w:rPr>
              <w:t>t/</w:t>
            </w:r>
            <w:r>
              <w:rPr>
                <w:rFonts w:hint="eastAsia" w:cs="宋体"/>
                <w:bCs/>
                <w:color w:val="auto"/>
                <w:sz w:val="24"/>
                <w:szCs w:val="21"/>
                <w:lang w:val="en-US" w:eastAsia="zh-CN"/>
              </w:rPr>
              <w:t>d</w:t>
            </w:r>
            <w:r>
              <w:rPr>
                <w:rFonts w:hint="eastAsia" w:cs="宋体"/>
                <w:bCs/>
                <w:color w:val="auto"/>
                <w:sz w:val="24"/>
                <w:szCs w:val="21"/>
              </w:rPr>
              <w:t>。</w:t>
            </w:r>
            <w:r>
              <w:rPr>
                <w:rFonts w:hint="eastAsia" w:ascii="Times New Roman" w:hAnsi="Times New Roman" w:eastAsia="宋体" w:cs="Times New Roman"/>
                <w:color w:val="auto"/>
              </w:rPr>
              <w:t>污染物浓度为</w:t>
            </w:r>
            <w:r>
              <w:rPr>
                <w:rFonts w:hint="default" w:ascii="Times New Roman" w:hAnsi="Times New Roman" w:eastAsia="宋体" w:cs="Times New Roman"/>
                <w:color w:val="auto"/>
              </w:rPr>
              <w:t>COD</w:t>
            </w:r>
            <w:r>
              <w:rPr>
                <w:rFonts w:hint="eastAsia" w:ascii="Times New Roman" w:hAnsi="Times New Roman" w:eastAsia="宋体" w:cs="Times New Roman"/>
                <w:color w:val="auto"/>
              </w:rPr>
              <w:t>为</w:t>
            </w:r>
            <w:r>
              <w:rPr>
                <w:rFonts w:hint="default" w:ascii="Times New Roman" w:hAnsi="Times New Roman" w:eastAsia="宋体" w:cs="Times New Roman"/>
                <w:color w:val="auto"/>
              </w:rPr>
              <w:t>350mg/L</w:t>
            </w:r>
            <w:r>
              <w:rPr>
                <w:rFonts w:hint="eastAsia" w:ascii="Times New Roman" w:hAnsi="Times New Roman" w:eastAsia="宋体" w:cs="Times New Roman"/>
                <w:color w:val="auto"/>
              </w:rPr>
              <w:t>、</w:t>
            </w:r>
            <w:r>
              <w:rPr>
                <w:rFonts w:hint="default" w:ascii="Times New Roman" w:hAnsi="Times New Roman" w:eastAsia="宋体" w:cs="Times New Roman"/>
                <w:color w:val="auto"/>
              </w:rPr>
              <w:t>BOD</w:t>
            </w:r>
            <w:r>
              <w:rPr>
                <w:rFonts w:hint="default" w:ascii="Times New Roman" w:hAnsi="Times New Roman" w:eastAsia="宋体" w:cs="Times New Roman"/>
                <w:color w:val="auto"/>
                <w:vertAlign w:val="subscript"/>
              </w:rPr>
              <w:t>5</w:t>
            </w:r>
            <w:r>
              <w:rPr>
                <w:rFonts w:hint="eastAsia" w:ascii="Times New Roman" w:hAnsi="Times New Roman" w:eastAsia="宋体" w:cs="Times New Roman"/>
                <w:color w:val="auto"/>
              </w:rPr>
              <w:t>为</w:t>
            </w:r>
            <w:r>
              <w:rPr>
                <w:rFonts w:hint="default" w:ascii="Times New Roman" w:hAnsi="Times New Roman" w:eastAsia="宋体" w:cs="Times New Roman"/>
                <w:color w:val="auto"/>
              </w:rPr>
              <w:t>200mg/L</w:t>
            </w:r>
            <w:r>
              <w:rPr>
                <w:rFonts w:hint="eastAsia" w:ascii="Times New Roman" w:hAnsi="Times New Roman" w:eastAsia="宋体" w:cs="Times New Roman"/>
                <w:color w:val="auto"/>
              </w:rPr>
              <w:t>、</w:t>
            </w:r>
            <w:r>
              <w:rPr>
                <w:rFonts w:hint="default" w:ascii="Times New Roman" w:hAnsi="Times New Roman" w:eastAsia="宋体" w:cs="Times New Roman"/>
                <w:color w:val="auto"/>
              </w:rPr>
              <w:t>SS</w:t>
            </w:r>
            <w:r>
              <w:rPr>
                <w:rFonts w:hint="eastAsia" w:ascii="Times New Roman" w:hAnsi="Times New Roman" w:eastAsia="宋体" w:cs="Times New Roman"/>
                <w:color w:val="auto"/>
              </w:rPr>
              <w:t>为</w:t>
            </w:r>
            <w:r>
              <w:rPr>
                <w:rFonts w:hint="default" w:ascii="Times New Roman" w:hAnsi="Times New Roman" w:eastAsia="宋体" w:cs="Times New Roman"/>
                <w:color w:val="auto"/>
              </w:rPr>
              <w:t>300mg/L</w:t>
            </w:r>
            <w:r>
              <w:rPr>
                <w:rFonts w:hint="eastAsia" w:ascii="Times New Roman" w:hAnsi="Times New Roman" w:eastAsia="宋体" w:cs="Times New Roman"/>
                <w:color w:val="auto"/>
              </w:rPr>
              <w:t>、</w:t>
            </w:r>
            <w:r>
              <w:rPr>
                <w:rFonts w:hint="default" w:ascii="Times New Roman" w:hAnsi="Times New Roman" w:eastAsia="宋体" w:cs="Times New Roman"/>
                <w:color w:val="auto"/>
              </w:rPr>
              <w:t>NH</w:t>
            </w:r>
            <w:r>
              <w:rPr>
                <w:rFonts w:hint="default" w:ascii="Times New Roman" w:hAnsi="Times New Roman" w:eastAsia="宋体" w:cs="Times New Roman"/>
                <w:color w:val="auto"/>
                <w:vertAlign w:val="subscript"/>
              </w:rPr>
              <w:t>3</w:t>
            </w:r>
            <w:r>
              <w:rPr>
                <w:rFonts w:hint="default" w:ascii="Times New Roman" w:hAnsi="Times New Roman" w:eastAsia="宋体" w:cs="Times New Roman"/>
                <w:color w:val="auto"/>
              </w:rPr>
              <w:t>-N</w:t>
            </w:r>
            <w:r>
              <w:rPr>
                <w:rFonts w:hint="eastAsia" w:ascii="Times New Roman" w:hAnsi="Times New Roman" w:eastAsia="宋体" w:cs="Times New Roman"/>
                <w:color w:val="auto"/>
              </w:rPr>
              <w:t>为</w:t>
            </w:r>
            <w:r>
              <w:rPr>
                <w:rFonts w:hint="default" w:ascii="Times New Roman" w:hAnsi="Times New Roman" w:eastAsia="宋体" w:cs="Times New Roman"/>
                <w:color w:val="auto"/>
              </w:rPr>
              <w:t>30mg/L</w:t>
            </w:r>
            <w:r>
              <w:rPr>
                <w:rFonts w:hint="eastAsia" w:cs="Times New Roman"/>
                <w:color w:val="auto"/>
                <w:lang w:eastAsia="zh-CN"/>
              </w:rPr>
              <w:t>、</w:t>
            </w:r>
            <w:r>
              <w:rPr>
                <w:rFonts w:hint="eastAsia" w:cs="Times New Roman"/>
                <w:color w:val="auto"/>
                <w:lang w:val="en-US" w:eastAsia="zh-CN"/>
              </w:rPr>
              <w:t>TP为10</w:t>
            </w:r>
            <w:r>
              <w:rPr>
                <w:rFonts w:hint="default" w:ascii="Times New Roman" w:hAnsi="Times New Roman" w:eastAsia="宋体" w:cs="Times New Roman"/>
                <w:color w:val="auto"/>
              </w:rPr>
              <w:t>mg/L</w:t>
            </w:r>
            <w:r>
              <w:rPr>
                <w:rFonts w:hint="eastAsia" w:ascii="Times New Roman" w:hAnsi="Times New Roman" w:eastAsia="宋体" w:cs="Times New Roman"/>
                <w:color w:val="auto"/>
              </w:rPr>
              <w:t>。</w:t>
            </w:r>
            <w:r>
              <w:rPr>
                <w:rFonts w:hint="eastAsia"/>
                <w:color w:val="auto"/>
                <w:spacing w:val="-3"/>
                <w:sz w:val="24"/>
                <w:szCs w:val="24"/>
              </w:rPr>
              <w:t>本项目生活污水经化粪池处理后</w:t>
            </w:r>
            <w:r>
              <w:rPr>
                <w:rFonts w:hint="eastAsia"/>
                <w:color w:val="auto"/>
                <w:spacing w:val="-3"/>
                <w:sz w:val="24"/>
                <w:szCs w:val="24"/>
                <w:lang w:val="en-US" w:eastAsia="zh-CN"/>
              </w:rPr>
              <w:t>达到</w:t>
            </w:r>
            <w:r>
              <w:rPr>
                <w:color w:val="auto"/>
                <w:sz w:val="24"/>
                <w:lang w:val="en-US" w:eastAsia="zh-CN"/>
              </w:rPr>
              <w:t>华容县团洲乡污水处理厂</w:t>
            </w:r>
            <w:r>
              <w:rPr>
                <w:rFonts w:hint="eastAsia"/>
                <w:color w:val="auto"/>
                <w:sz w:val="24"/>
                <w:lang w:val="en-US" w:eastAsia="zh-CN"/>
              </w:rPr>
              <w:t>进水水质标准后</w:t>
            </w:r>
            <w:r>
              <w:rPr>
                <w:rFonts w:hint="eastAsia"/>
                <w:color w:val="auto"/>
                <w:sz w:val="24"/>
              </w:rPr>
              <w:t>经</w:t>
            </w:r>
            <w:r>
              <w:rPr>
                <w:rFonts w:hint="eastAsia"/>
                <w:color w:val="auto"/>
                <w:sz w:val="24"/>
                <w:lang w:val="en-US" w:eastAsia="zh-CN"/>
              </w:rPr>
              <w:t>市政</w:t>
            </w:r>
            <w:r>
              <w:rPr>
                <w:rFonts w:hint="eastAsia"/>
                <w:color w:val="auto"/>
                <w:sz w:val="24"/>
              </w:rPr>
              <w:t>污水管网收集后</w:t>
            </w:r>
            <w:r>
              <w:rPr>
                <w:rFonts w:hint="eastAsia"/>
                <w:color w:val="auto"/>
                <w:sz w:val="24"/>
                <w:lang w:val="en-US" w:eastAsia="zh-CN"/>
              </w:rPr>
              <w:t>排入华</w:t>
            </w:r>
            <w:r>
              <w:rPr>
                <w:color w:val="auto"/>
                <w:sz w:val="24"/>
                <w:lang w:val="en-US" w:eastAsia="zh-CN"/>
              </w:rPr>
              <w:t>容县团洲乡污水处理厂</w:t>
            </w:r>
            <w:r>
              <w:rPr>
                <w:rFonts w:hint="eastAsia"/>
                <w:color w:val="auto"/>
                <w:sz w:val="24"/>
              </w:rPr>
              <w:t>进行深度处理</w:t>
            </w:r>
            <w:r>
              <w:rPr>
                <w:rFonts w:hint="eastAsia"/>
                <w:color w:val="auto"/>
                <w:sz w:val="24"/>
                <w:lang w:eastAsia="zh-CN"/>
              </w:rPr>
              <w:t>，</w:t>
            </w:r>
            <w:r>
              <w:rPr>
                <w:rFonts w:hint="eastAsia"/>
                <w:color w:val="auto"/>
                <w:sz w:val="24"/>
                <w:lang w:val="en-US" w:eastAsia="zh-CN"/>
              </w:rPr>
              <w:t>经处理</w:t>
            </w:r>
            <w:r>
              <w:rPr>
                <w:rFonts w:hint="eastAsia"/>
                <w:color w:val="auto"/>
                <w:sz w:val="24"/>
              </w:rPr>
              <w:t>排水水质达《城镇污水处理厂污染物排放标准》（GB</w:t>
            </w:r>
            <w:r>
              <w:rPr>
                <w:rFonts w:hint="eastAsia"/>
                <w:color w:val="auto"/>
                <w:sz w:val="24"/>
                <w:lang w:val="en-US" w:eastAsia="zh-CN"/>
              </w:rPr>
              <w:t xml:space="preserve"> </w:t>
            </w:r>
            <w:r>
              <w:rPr>
                <w:rFonts w:hint="eastAsia"/>
                <w:color w:val="auto"/>
                <w:sz w:val="24"/>
              </w:rPr>
              <w:t>18918-2002）</w:t>
            </w:r>
            <w:r>
              <w:rPr>
                <w:rFonts w:hint="eastAsia" w:eastAsia="宋体"/>
                <w:color w:val="auto"/>
                <w:sz w:val="24"/>
              </w:rPr>
              <w:t>一级A标准后，</w:t>
            </w:r>
            <w:r>
              <w:rPr>
                <w:rFonts w:hint="eastAsia"/>
                <w:color w:val="auto"/>
                <w:sz w:val="24"/>
                <w:lang w:val="en-US" w:eastAsia="zh-CN"/>
              </w:rPr>
              <w:t>汇入藕池河，对周边地表水环境影响较小</w:t>
            </w:r>
            <w:r>
              <w:rPr>
                <w:rFonts w:hint="eastAsia"/>
                <w:color w:val="auto"/>
                <w:sz w:val="24"/>
                <w:szCs w:val="24"/>
              </w:rPr>
              <w:t>。</w:t>
            </w:r>
          </w:p>
          <w:p>
            <w:pPr>
              <w:adjustRightInd w:val="0"/>
              <w:snapToGrid w:val="0"/>
              <w:ind w:firstLine="442" w:firstLineChars="200"/>
              <w:jc w:val="center"/>
              <w:rPr>
                <w:rFonts w:hint="eastAsia" w:cs="宋体"/>
                <w:b/>
                <w:color w:val="auto"/>
                <w:spacing w:val="-10"/>
                <w:sz w:val="24"/>
                <w:szCs w:val="21"/>
                <w:highlight w:val="none"/>
              </w:rPr>
            </w:pPr>
            <w:r>
              <w:rPr>
                <w:rFonts w:hint="eastAsia" w:cs="宋体"/>
                <w:b/>
                <w:color w:val="auto"/>
                <w:spacing w:val="-10"/>
                <w:sz w:val="24"/>
                <w:szCs w:val="21"/>
                <w:highlight w:val="none"/>
              </w:rPr>
              <w:t>表</w:t>
            </w:r>
            <w:r>
              <w:rPr>
                <w:rFonts w:hint="eastAsia" w:cs="宋体"/>
                <w:b/>
                <w:color w:val="auto"/>
                <w:spacing w:val="-10"/>
                <w:sz w:val="24"/>
                <w:szCs w:val="21"/>
                <w:highlight w:val="none"/>
                <w:lang w:val="en-US" w:eastAsia="zh-CN"/>
              </w:rPr>
              <w:t>4-5</w:t>
            </w:r>
            <w:r>
              <w:rPr>
                <w:rFonts w:hint="default" w:cs="宋体"/>
                <w:b/>
                <w:color w:val="auto"/>
                <w:spacing w:val="-10"/>
                <w:sz w:val="24"/>
                <w:szCs w:val="21"/>
                <w:highlight w:val="none"/>
              </w:rPr>
              <w:tab/>
            </w:r>
            <w:r>
              <w:rPr>
                <w:rFonts w:hint="eastAsia" w:cs="宋体"/>
                <w:b/>
                <w:color w:val="auto"/>
                <w:spacing w:val="-10"/>
                <w:sz w:val="24"/>
                <w:szCs w:val="21"/>
                <w:highlight w:val="none"/>
                <w:lang w:val="en-US" w:eastAsia="zh-CN"/>
              </w:rPr>
              <w:t xml:space="preserve"> </w:t>
            </w:r>
            <w:r>
              <w:rPr>
                <w:rFonts w:hint="eastAsia" w:cs="宋体"/>
                <w:b/>
                <w:color w:val="auto"/>
                <w:spacing w:val="-10"/>
                <w:sz w:val="24"/>
                <w:szCs w:val="21"/>
                <w:highlight w:val="none"/>
              </w:rPr>
              <w:t>项目运营期废水污染物产生情况一览表</w:t>
            </w:r>
          </w:p>
          <w:tbl>
            <w:tblPr>
              <w:tblStyle w:val="23"/>
              <w:tblW w:w="79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973"/>
              <w:gridCol w:w="1116"/>
              <w:gridCol w:w="1258"/>
              <w:gridCol w:w="1257"/>
              <w:gridCol w:w="1258"/>
              <w:gridCol w:w="12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60" w:hRule="atLeast"/>
                <w:jc w:val="center"/>
              </w:trPr>
              <w:tc>
                <w:tcPr>
                  <w:tcW w:w="817" w:type="dxa"/>
                  <w:tcBorders>
                    <w:tl2br w:val="nil"/>
                    <w:tr2bl w:val="nil"/>
                  </w:tcBorders>
                  <w:shd w:val="clear" w:color="auto" w:fill="F1F1F1"/>
                  <w:noWrap w:val="0"/>
                  <w:vAlign w:val="center"/>
                </w:tcPr>
                <w:p>
                  <w:pPr>
                    <w:pStyle w:val="53"/>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项目</w:t>
                  </w:r>
                </w:p>
              </w:tc>
              <w:tc>
                <w:tcPr>
                  <w:tcW w:w="973" w:type="dxa"/>
                  <w:tcBorders>
                    <w:tl2br w:val="nil"/>
                    <w:tr2bl w:val="nil"/>
                  </w:tcBorders>
                  <w:shd w:val="clear" w:color="auto" w:fill="F1F1F1"/>
                  <w:noWrap w:val="0"/>
                  <w:vAlign w:val="center"/>
                </w:tcPr>
                <w:p>
                  <w:pPr>
                    <w:pStyle w:val="53"/>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污染因子</w:t>
                  </w:r>
                </w:p>
              </w:tc>
              <w:tc>
                <w:tcPr>
                  <w:tcW w:w="1116" w:type="dxa"/>
                  <w:tcBorders>
                    <w:tl2br w:val="nil"/>
                    <w:tr2bl w:val="nil"/>
                  </w:tcBorders>
                  <w:shd w:val="clear" w:color="auto" w:fill="F1F1F1"/>
                  <w:noWrap w:val="0"/>
                  <w:vAlign w:val="center"/>
                </w:tcPr>
                <w:p>
                  <w:pPr>
                    <w:pStyle w:val="53"/>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产生浓度</w:t>
                  </w:r>
                </w:p>
                <w:p>
                  <w:pPr>
                    <w:pStyle w:val="53"/>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w:t>
                  </w:r>
                  <w:r>
                    <w:rPr>
                      <w:rFonts w:hint="default" w:ascii="Times New Roman" w:hAnsi="Times New Roman" w:eastAsia="宋体" w:cs="Times New Roman"/>
                      <w:b/>
                      <w:bCs/>
                      <w:color w:val="auto"/>
                    </w:rPr>
                    <w:t>mg/L</w:t>
                  </w:r>
                  <w:r>
                    <w:rPr>
                      <w:rFonts w:hint="eastAsia" w:ascii="Times New Roman" w:hAnsi="Times New Roman" w:eastAsia="宋体" w:cs="Times New Roman"/>
                      <w:b/>
                      <w:bCs/>
                      <w:color w:val="auto"/>
                    </w:rPr>
                    <w:t>）</w:t>
                  </w:r>
                </w:p>
              </w:tc>
              <w:tc>
                <w:tcPr>
                  <w:tcW w:w="1258" w:type="dxa"/>
                  <w:tcBorders>
                    <w:tl2br w:val="nil"/>
                    <w:tr2bl w:val="nil"/>
                  </w:tcBorders>
                  <w:shd w:val="clear" w:color="auto" w:fill="F1F1F1"/>
                  <w:noWrap w:val="0"/>
                  <w:vAlign w:val="center"/>
                </w:tcPr>
                <w:p>
                  <w:pPr>
                    <w:pStyle w:val="53"/>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产生量</w:t>
                  </w:r>
                </w:p>
                <w:p>
                  <w:pPr>
                    <w:pStyle w:val="53"/>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w:t>
                  </w:r>
                  <w:r>
                    <w:rPr>
                      <w:rFonts w:hint="default" w:ascii="Times New Roman" w:hAnsi="Times New Roman" w:eastAsia="宋体" w:cs="Times New Roman"/>
                      <w:b/>
                      <w:bCs/>
                      <w:color w:val="auto"/>
                    </w:rPr>
                    <w:t>t/a</w:t>
                  </w:r>
                  <w:r>
                    <w:rPr>
                      <w:rFonts w:hint="eastAsia" w:ascii="Times New Roman" w:hAnsi="Times New Roman" w:eastAsia="宋体" w:cs="Times New Roman"/>
                      <w:b/>
                      <w:bCs/>
                      <w:color w:val="auto"/>
                    </w:rPr>
                    <w:t>）</w:t>
                  </w:r>
                </w:p>
              </w:tc>
              <w:tc>
                <w:tcPr>
                  <w:tcW w:w="1257" w:type="dxa"/>
                  <w:tcBorders>
                    <w:tl2br w:val="nil"/>
                    <w:tr2bl w:val="nil"/>
                  </w:tcBorders>
                  <w:shd w:val="clear" w:color="auto" w:fill="F1F1F1"/>
                  <w:noWrap w:val="0"/>
                  <w:vAlign w:val="center"/>
                </w:tcPr>
                <w:p>
                  <w:pPr>
                    <w:pStyle w:val="53"/>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处置措施</w:t>
                  </w:r>
                </w:p>
              </w:tc>
              <w:tc>
                <w:tcPr>
                  <w:tcW w:w="1258" w:type="dxa"/>
                  <w:tcBorders>
                    <w:tl2br w:val="nil"/>
                    <w:tr2bl w:val="nil"/>
                  </w:tcBorders>
                  <w:shd w:val="clear" w:color="auto" w:fill="F1F1F1"/>
                  <w:noWrap w:val="0"/>
                  <w:vAlign w:val="center"/>
                </w:tcPr>
                <w:p>
                  <w:pPr>
                    <w:pStyle w:val="53"/>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排放浓度</w:t>
                  </w:r>
                </w:p>
                <w:p>
                  <w:pPr>
                    <w:pStyle w:val="53"/>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w:t>
                  </w:r>
                  <w:r>
                    <w:rPr>
                      <w:rFonts w:hint="default" w:ascii="Times New Roman" w:hAnsi="Times New Roman" w:eastAsia="宋体" w:cs="Times New Roman"/>
                      <w:b/>
                      <w:bCs/>
                      <w:color w:val="auto"/>
                    </w:rPr>
                    <w:t>mg/L</w:t>
                  </w:r>
                  <w:r>
                    <w:rPr>
                      <w:rFonts w:hint="eastAsia" w:ascii="Times New Roman" w:hAnsi="Times New Roman" w:eastAsia="宋体" w:cs="Times New Roman"/>
                      <w:b/>
                      <w:bCs/>
                      <w:color w:val="auto"/>
                    </w:rPr>
                    <w:t>）</w:t>
                  </w:r>
                </w:p>
              </w:tc>
              <w:tc>
                <w:tcPr>
                  <w:tcW w:w="1258" w:type="dxa"/>
                  <w:tcBorders>
                    <w:tl2br w:val="nil"/>
                    <w:tr2bl w:val="nil"/>
                  </w:tcBorders>
                  <w:shd w:val="clear" w:color="auto" w:fill="F1F1F1"/>
                  <w:noWrap w:val="0"/>
                  <w:vAlign w:val="center"/>
                </w:tcPr>
                <w:p>
                  <w:pPr>
                    <w:pStyle w:val="53"/>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排放量</w:t>
                  </w:r>
                </w:p>
                <w:p>
                  <w:pPr>
                    <w:pStyle w:val="53"/>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w:t>
                  </w:r>
                  <w:r>
                    <w:rPr>
                      <w:rFonts w:hint="default" w:ascii="Times New Roman" w:hAnsi="Times New Roman" w:eastAsia="宋体" w:cs="Times New Roman"/>
                      <w:b/>
                      <w:bCs/>
                      <w:color w:val="auto"/>
                    </w:rPr>
                    <w:t>t/a</w:t>
                  </w:r>
                  <w:r>
                    <w:rPr>
                      <w:rFonts w:hint="eastAsia" w:ascii="Times New Roman" w:hAnsi="Times New Roman" w:eastAsia="宋体" w:cs="Times New Roman"/>
                      <w:b/>
                      <w:bCs/>
                      <w:color w:val="auto"/>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817" w:type="dxa"/>
                  <w:vMerge w:val="restart"/>
                  <w:tcBorders>
                    <w:tl2br w:val="nil"/>
                    <w:tr2bl w:val="nil"/>
                  </w:tcBorders>
                  <w:noWrap w:val="0"/>
                  <w:vAlign w:val="center"/>
                </w:tcPr>
                <w:p>
                  <w:pPr>
                    <w:pStyle w:val="53"/>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生活污水</w:t>
                  </w:r>
                </w:p>
                <w:p>
                  <w:pPr>
                    <w:pStyle w:val="53"/>
                    <w:jc w:val="center"/>
                    <w:rPr>
                      <w:rFonts w:hint="default" w:ascii="Times New Roman" w:hAnsi="Times New Roman" w:eastAsia="宋体" w:cs="Times New Roman"/>
                      <w:color w:val="auto"/>
                    </w:rPr>
                  </w:pPr>
                  <w:r>
                    <w:rPr>
                      <w:rFonts w:hint="eastAsia" w:cs="Times New Roman"/>
                      <w:color w:val="auto"/>
                      <w:lang w:val="en-US" w:eastAsia="zh-CN"/>
                    </w:rPr>
                    <w:t>102200</w:t>
                  </w:r>
                  <w:r>
                    <w:rPr>
                      <w:rFonts w:hint="default"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/a</w:t>
                  </w:r>
                </w:p>
              </w:tc>
              <w:tc>
                <w:tcPr>
                  <w:tcW w:w="973" w:type="dxa"/>
                  <w:tcBorders>
                    <w:tl2br w:val="nil"/>
                    <w:tr2bl w:val="nil"/>
                  </w:tcBorders>
                  <w:noWrap w:val="0"/>
                  <w:vAlign w:val="center"/>
                </w:tcPr>
                <w:p>
                  <w:pPr>
                    <w:pStyle w:val="53"/>
                    <w:jc w:val="center"/>
                    <w:rPr>
                      <w:rFonts w:hint="default" w:ascii="Times New Roman" w:hAnsi="Times New Roman" w:eastAsia="宋体" w:cs="Times New Roman"/>
                      <w:color w:val="auto"/>
                    </w:rPr>
                  </w:pPr>
                  <w:r>
                    <w:rPr>
                      <w:rFonts w:hint="default" w:ascii="Times New Roman" w:hAnsi="Times New Roman" w:eastAsia="宋体" w:cs="Times New Roman"/>
                      <w:color w:val="auto"/>
                    </w:rPr>
                    <w:t>COD</w:t>
                  </w:r>
                </w:p>
              </w:tc>
              <w:tc>
                <w:tcPr>
                  <w:tcW w:w="111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350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35.770 </w:t>
                  </w:r>
                </w:p>
              </w:tc>
              <w:tc>
                <w:tcPr>
                  <w:tcW w:w="1257" w:type="dxa"/>
                  <w:vMerge w:val="restart"/>
                  <w:tcBorders>
                    <w:tl2br w:val="nil"/>
                    <w:tr2bl w:val="nil"/>
                  </w:tcBorders>
                  <w:noWrap w:val="0"/>
                  <w:vAlign w:val="center"/>
                </w:tcPr>
                <w:p>
                  <w:pPr>
                    <w:pStyle w:val="53"/>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化粪池</w:t>
                  </w:r>
                  <w:r>
                    <w:rPr>
                      <w:rFonts w:hint="default" w:ascii="Times New Roman" w:hAnsi="Times New Roman" w:eastAsia="宋体" w:cs="Times New Roman"/>
                      <w:color w:val="auto"/>
                    </w:rPr>
                    <w:t>+</w:t>
                  </w:r>
                  <w:r>
                    <w:rPr>
                      <w:rFonts w:hint="eastAsia"/>
                      <w:color w:val="auto"/>
                    </w:rPr>
                    <w:t>城镇污水处理厂</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50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000000"/>
                      <w:kern w:val="0"/>
                      <w:sz w:val="21"/>
                      <w:szCs w:val="21"/>
                      <w:u w:val="none"/>
                      <w:lang w:val="en-US" w:eastAsia="zh-CN" w:bidi="ar"/>
                    </w:rPr>
                    <w:t xml:space="preserve">5.110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817" w:type="dxa"/>
                  <w:vMerge w:val="continue"/>
                  <w:tcBorders>
                    <w:tl2br w:val="nil"/>
                    <w:tr2bl w:val="nil"/>
                  </w:tcBorders>
                  <w:noWrap w:val="0"/>
                  <w:vAlign w:val="center"/>
                </w:tcPr>
                <w:p>
                  <w:pPr>
                    <w:pStyle w:val="53"/>
                    <w:jc w:val="center"/>
                    <w:rPr>
                      <w:rFonts w:hint="eastAsia" w:ascii="Times New Roman" w:hAnsi="Times New Roman" w:eastAsia="宋体" w:cs="Times New Roman"/>
                      <w:color w:val="auto"/>
                    </w:rPr>
                  </w:pPr>
                </w:p>
              </w:tc>
              <w:tc>
                <w:tcPr>
                  <w:tcW w:w="973" w:type="dxa"/>
                  <w:tcBorders>
                    <w:tl2br w:val="nil"/>
                    <w:tr2bl w:val="nil"/>
                  </w:tcBorders>
                  <w:noWrap w:val="0"/>
                  <w:vAlign w:val="center"/>
                </w:tcPr>
                <w:p>
                  <w:pPr>
                    <w:pStyle w:val="53"/>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rPr>
                    <w:t>BOD</w:t>
                  </w:r>
                  <w:r>
                    <w:rPr>
                      <w:rFonts w:hint="eastAsia" w:ascii="Times New Roman" w:hAnsi="Times New Roman" w:eastAsia="宋体" w:cs="Times New Roman"/>
                      <w:color w:val="auto"/>
                      <w:vertAlign w:val="subscript"/>
                      <w:lang w:val="en-US" w:eastAsia="zh-CN"/>
                    </w:rPr>
                    <w:t>5</w:t>
                  </w:r>
                </w:p>
              </w:tc>
              <w:tc>
                <w:tcPr>
                  <w:tcW w:w="111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200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000000"/>
                      <w:kern w:val="0"/>
                      <w:sz w:val="21"/>
                      <w:szCs w:val="21"/>
                      <w:u w:val="none"/>
                      <w:lang w:val="en-US" w:eastAsia="zh-CN" w:bidi="ar"/>
                    </w:rPr>
                    <w:t xml:space="preserve">20.440 </w:t>
                  </w:r>
                </w:p>
              </w:tc>
              <w:tc>
                <w:tcPr>
                  <w:tcW w:w="1257" w:type="dxa"/>
                  <w:vMerge w:val="continue"/>
                  <w:tcBorders>
                    <w:tl2br w:val="nil"/>
                    <w:tr2bl w:val="nil"/>
                  </w:tcBorders>
                  <w:noWrap w:val="0"/>
                  <w:vAlign w:val="center"/>
                </w:tcPr>
                <w:p>
                  <w:pPr>
                    <w:pStyle w:val="53"/>
                    <w:jc w:val="center"/>
                    <w:rPr>
                      <w:rFonts w:hint="eastAsia" w:ascii="Times New Roman" w:hAnsi="Times New Roman" w:eastAsia="宋体" w:cs="Times New Roman"/>
                      <w:color w:val="auto"/>
                    </w:rPr>
                  </w:pP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10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000000"/>
                      <w:kern w:val="0"/>
                      <w:sz w:val="21"/>
                      <w:szCs w:val="21"/>
                      <w:u w:val="none"/>
                      <w:lang w:val="en-US" w:eastAsia="zh-CN" w:bidi="ar"/>
                    </w:rPr>
                    <w:t xml:space="preserve">1.022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17" w:type="dxa"/>
                  <w:vMerge w:val="continue"/>
                  <w:tcBorders>
                    <w:tl2br w:val="nil"/>
                    <w:tr2bl w:val="nil"/>
                  </w:tcBorders>
                  <w:noWrap w:val="0"/>
                  <w:vAlign w:val="center"/>
                </w:tcPr>
                <w:p>
                  <w:pPr>
                    <w:pStyle w:val="53"/>
                    <w:jc w:val="center"/>
                    <w:rPr>
                      <w:rFonts w:hint="eastAsia" w:ascii="Times New Roman" w:hAnsi="Times New Roman" w:eastAsia="宋体" w:cs="Times New Roman"/>
                      <w:color w:val="auto"/>
                    </w:rPr>
                  </w:pPr>
                </w:p>
              </w:tc>
              <w:tc>
                <w:tcPr>
                  <w:tcW w:w="973" w:type="dxa"/>
                  <w:tcBorders>
                    <w:tl2br w:val="nil"/>
                    <w:tr2bl w:val="nil"/>
                  </w:tcBorders>
                  <w:noWrap w:val="0"/>
                  <w:vAlign w:val="center"/>
                </w:tcPr>
                <w:p>
                  <w:pPr>
                    <w:pStyle w:val="53"/>
                    <w:jc w:val="center"/>
                    <w:rPr>
                      <w:rFonts w:hint="default" w:ascii="Times New Roman" w:hAnsi="Times New Roman" w:eastAsia="宋体" w:cs="Times New Roman"/>
                      <w:color w:val="auto"/>
                    </w:rPr>
                  </w:pPr>
                  <w:r>
                    <w:rPr>
                      <w:rFonts w:hint="default" w:ascii="Times New Roman" w:hAnsi="Times New Roman" w:eastAsia="宋体" w:cs="Times New Roman"/>
                      <w:color w:val="auto"/>
                    </w:rPr>
                    <w:t>NH</w:t>
                  </w:r>
                  <w:r>
                    <w:rPr>
                      <w:rFonts w:hint="default" w:ascii="Times New Roman" w:hAnsi="Times New Roman" w:eastAsia="宋体" w:cs="Times New Roman"/>
                      <w:color w:val="auto"/>
                      <w:vertAlign w:val="subscript"/>
                    </w:rPr>
                    <w:t>3</w:t>
                  </w:r>
                  <w:r>
                    <w:rPr>
                      <w:rFonts w:hint="default" w:ascii="Times New Roman" w:hAnsi="Times New Roman" w:eastAsia="宋体" w:cs="Times New Roman"/>
                      <w:color w:val="auto"/>
                    </w:rPr>
                    <w:t>-N</w:t>
                  </w:r>
                </w:p>
              </w:tc>
              <w:tc>
                <w:tcPr>
                  <w:tcW w:w="111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30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000000"/>
                      <w:kern w:val="0"/>
                      <w:sz w:val="21"/>
                      <w:szCs w:val="21"/>
                      <w:u w:val="none"/>
                      <w:lang w:val="en-US" w:eastAsia="zh-CN" w:bidi="ar"/>
                    </w:rPr>
                    <w:t xml:space="preserve">3.066 </w:t>
                  </w:r>
                </w:p>
              </w:tc>
              <w:tc>
                <w:tcPr>
                  <w:tcW w:w="1257" w:type="dxa"/>
                  <w:vMerge w:val="continue"/>
                  <w:tcBorders>
                    <w:tl2br w:val="nil"/>
                    <w:tr2bl w:val="nil"/>
                  </w:tcBorders>
                  <w:noWrap w:val="0"/>
                  <w:vAlign w:val="center"/>
                </w:tcPr>
                <w:p>
                  <w:pPr>
                    <w:pStyle w:val="53"/>
                    <w:jc w:val="center"/>
                    <w:rPr>
                      <w:rFonts w:hint="eastAsia" w:ascii="Times New Roman" w:hAnsi="Times New Roman" w:eastAsia="宋体" w:cs="Times New Roman"/>
                      <w:color w:val="auto"/>
                    </w:rPr>
                  </w:pP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8</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000000"/>
                      <w:kern w:val="0"/>
                      <w:sz w:val="21"/>
                      <w:szCs w:val="21"/>
                      <w:u w:val="none"/>
                      <w:lang w:val="en-US" w:eastAsia="zh-CN" w:bidi="ar"/>
                    </w:rPr>
                    <w:t xml:space="preserve">0.818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817" w:type="dxa"/>
                  <w:vMerge w:val="continue"/>
                  <w:tcBorders>
                    <w:tl2br w:val="nil"/>
                    <w:tr2bl w:val="nil"/>
                  </w:tcBorders>
                  <w:noWrap w:val="0"/>
                  <w:vAlign w:val="center"/>
                </w:tcPr>
                <w:p>
                  <w:pPr>
                    <w:pStyle w:val="53"/>
                    <w:jc w:val="center"/>
                    <w:rPr>
                      <w:rFonts w:hint="eastAsia" w:ascii="Times New Roman" w:hAnsi="Times New Roman" w:eastAsia="宋体" w:cs="Times New Roman"/>
                      <w:color w:val="auto"/>
                    </w:rPr>
                  </w:pPr>
                </w:p>
              </w:tc>
              <w:tc>
                <w:tcPr>
                  <w:tcW w:w="973" w:type="dxa"/>
                  <w:tcBorders>
                    <w:tl2br w:val="nil"/>
                    <w:tr2bl w:val="nil"/>
                  </w:tcBorders>
                  <w:noWrap w:val="0"/>
                  <w:vAlign w:val="center"/>
                </w:tcPr>
                <w:p>
                  <w:pPr>
                    <w:pStyle w:val="53"/>
                    <w:jc w:val="center"/>
                    <w:rPr>
                      <w:rFonts w:hint="default" w:ascii="Times New Roman" w:hAnsi="Times New Roman" w:eastAsia="宋体" w:cs="Times New Roman"/>
                      <w:color w:val="auto"/>
                    </w:rPr>
                  </w:pPr>
                  <w:r>
                    <w:rPr>
                      <w:rFonts w:hint="default" w:ascii="Times New Roman" w:hAnsi="Times New Roman" w:eastAsia="宋体" w:cs="Times New Roman"/>
                      <w:color w:val="auto"/>
                    </w:rPr>
                    <w:t>SS</w:t>
                  </w:r>
                </w:p>
              </w:tc>
              <w:tc>
                <w:tcPr>
                  <w:tcW w:w="111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eastAsia" w:cs="Times New Roman"/>
                      <w:b/>
                      <w:bCs/>
                      <w:i w:val="0"/>
                      <w:iCs w:val="0"/>
                      <w:color w:val="auto"/>
                      <w:kern w:val="0"/>
                      <w:sz w:val="21"/>
                      <w:szCs w:val="21"/>
                      <w:u w:val="none"/>
                      <w:lang w:val="en-US" w:eastAsia="zh-CN" w:bidi="ar"/>
                    </w:rPr>
                    <w:t>3</w:t>
                  </w:r>
                  <w:r>
                    <w:rPr>
                      <w:rFonts w:hint="default" w:ascii="Times New Roman" w:hAnsi="Times New Roman" w:eastAsia="宋体" w:cs="Times New Roman"/>
                      <w:b/>
                      <w:bCs/>
                      <w:i w:val="0"/>
                      <w:iCs w:val="0"/>
                      <w:color w:val="auto"/>
                      <w:kern w:val="0"/>
                      <w:sz w:val="21"/>
                      <w:szCs w:val="21"/>
                      <w:u w:val="none"/>
                      <w:lang w:val="en-US" w:eastAsia="zh-CN" w:bidi="ar"/>
                    </w:rPr>
                    <w:t>00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000000"/>
                      <w:kern w:val="0"/>
                      <w:sz w:val="21"/>
                      <w:szCs w:val="21"/>
                      <w:u w:val="none"/>
                      <w:lang w:val="en-US" w:eastAsia="zh-CN" w:bidi="ar"/>
                    </w:rPr>
                    <w:t xml:space="preserve">30.660 </w:t>
                  </w:r>
                </w:p>
              </w:tc>
              <w:tc>
                <w:tcPr>
                  <w:tcW w:w="1257" w:type="dxa"/>
                  <w:vMerge w:val="continue"/>
                  <w:tcBorders>
                    <w:tl2br w:val="nil"/>
                    <w:tr2bl w:val="nil"/>
                  </w:tcBorders>
                  <w:noWrap w:val="0"/>
                  <w:vAlign w:val="center"/>
                </w:tcPr>
                <w:p>
                  <w:pPr>
                    <w:pStyle w:val="53"/>
                    <w:jc w:val="center"/>
                    <w:rPr>
                      <w:rFonts w:hint="eastAsia" w:ascii="Times New Roman" w:hAnsi="Times New Roman" w:eastAsia="宋体" w:cs="Times New Roman"/>
                      <w:color w:val="auto"/>
                    </w:rPr>
                  </w:pP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10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000000"/>
                      <w:kern w:val="0"/>
                      <w:sz w:val="21"/>
                      <w:szCs w:val="21"/>
                      <w:u w:val="none"/>
                      <w:lang w:val="en-US" w:eastAsia="zh-CN" w:bidi="ar"/>
                    </w:rPr>
                    <w:t xml:space="preserve">1.022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817" w:type="dxa"/>
                  <w:vMerge w:val="continue"/>
                  <w:tcBorders>
                    <w:tl2br w:val="nil"/>
                    <w:tr2bl w:val="nil"/>
                  </w:tcBorders>
                  <w:noWrap w:val="0"/>
                  <w:vAlign w:val="center"/>
                </w:tcPr>
                <w:p>
                  <w:pPr>
                    <w:pStyle w:val="53"/>
                    <w:jc w:val="center"/>
                    <w:rPr>
                      <w:rFonts w:hint="eastAsia" w:ascii="Times New Roman" w:hAnsi="Times New Roman" w:eastAsia="宋体" w:cs="Times New Roman"/>
                      <w:color w:val="auto"/>
                    </w:rPr>
                  </w:pPr>
                </w:p>
              </w:tc>
              <w:tc>
                <w:tcPr>
                  <w:tcW w:w="973" w:type="dxa"/>
                  <w:tcBorders>
                    <w:tl2br w:val="nil"/>
                    <w:tr2bl w:val="nil"/>
                  </w:tcBorders>
                  <w:noWrap w:val="0"/>
                  <w:vAlign w:val="center"/>
                </w:tcPr>
                <w:p>
                  <w:pPr>
                    <w:pStyle w:val="53"/>
                    <w:jc w:val="center"/>
                    <w:rPr>
                      <w:rFonts w:hint="eastAsia" w:ascii="Times New Roman" w:hAnsi="Times New Roman" w:eastAsia="宋体" w:cs="Times New Roman"/>
                      <w:color w:val="auto"/>
                      <w:lang w:val="en-US" w:eastAsia="zh-CN"/>
                    </w:rPr>
                  </w:pPr>
                  <w:r>
                    <w:rPr>
                      <w:rFonts w:hint="eastAsia" w:cs="Times New Roman"/>
                      <w:color w:val="auto"/>
                      <w:lang w:val="en-US" w:eastAsia="zh-CN"/>
                    </w:rPr>
                    <w:t>TP</w:t>
                  </w:r>
                </w:p>
              </w:tc>
              <w:tc>
                <w:tcPr>
                  <w:tcW w:w="111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cs="Times New Roman"/>
                      <w:b/>
                      <w:bCs/>
                      <w:i w:val="0"/>
                      <w:iCs w:val="0"/>
                      <w:color w:val="auto"/>
                      <w:kern w:val="0"/>
                      <w:sz w:val="21"/>
                      <w:szCs w:val="21"/>
                      <w:u w:val="none"/>
                      <w:lang w:val="en-US" w:eastAsia="zh-CN" w:bidi="ar"/>
                    </w:rPr>
                    <w:t>10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1.022 </w:t>
                  </w:r>
                </w:p>
              </w:tc>
              <w:tc>
                <w:tcPr>
                  <w:tcW w:w="1257" w:type="dxa"/>
                  <w:vMerge w:val="continue"/>
                  <w:tcBorders>
                    <w:tl2br w:val="nil"/>
                    <w:tr2bl w:val="nil"/>
                  </w:tcBorders>
                  <w:noWrap w:val="0"/>
                  <w:vAlign w:val="center"/>
                </w:tcPr>
                <w:p>
                  <w:pPr>
                    <w:pStyle w:val="53"/>
                    <w:jc w:val="center"/>
                    <w:rPr>
                      <w:rFonts w:hint="eastAsia" w:ascii="Times New Roman" w:hAnsi="Times New Roman" w:eastAsia="宋体" w:cs="Times New Roman"/>
                      <w:color w:val="auto"/>
                    </w:rPr>
                  </w:pP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cs="Times New Roman"/>
                      <w:b/>
                      <w:bCs/>
                      <w:i w:val="0"/>
                      <w:iCs w:val="0"/>
                      <w:color w:val="auto"/>
                      <w:kern w:val="0"/>
                      <w:sz w:val="21"/>
                      <w:szCs w:val="21"/>
                      <w:u w:val="none"/>
                      <w:lang w:val="en-US" w:eastAsia="zh-CN" w:bidi="ar"/>
                    </w:rPr>
                    <w:t>0.5</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0.051 </w:t>
                  </w:r>
                </w:p>
              </w:tc>
            </w:tr>
          </w:tbl>
          <w:p>
            <w:pPr>
              <w:pStyle w:val="64"/>
              <w:ind w:firstLine="482"/>
              <w:rPr>
                <w:rFonts w:hint="default" w:ascii="Times New Roman" w:hAnsi="Times New Roman" w:eastAsia="宋体" w:cs="Times New Roman"/>
                <w:b/>
                <w:color w:val="auto"/>
                <w:lang w:val="en-US" w:eastAsia="zh-CN"/>
              </w:rPr>
            </w:pPr>
            <w:r>
              <w:rPr>
                <w:rFonts w:hint="eastAsia" w:cs="Times New Roman"/>
                <w:b/>
                <w:color w:val="auto"/>
                <w:lang w:val="en-US" w:eastAsia="zh-CN"/>
              </w:rPr>
              <w:t>3</w:t>
            </w:r>
            <w:r>
              <w:rPr>
                <w:rFonts w:hint="eastAsia" w:ascii="Times New Roman" w:hAnsi="Times New Roman" w:eastAsia="宋体" w:cs="Times New Roman"/>
                <w:b/>
                <w:color w:val="auto"/>
                <w:lang w:val="en-US" w:eastAsia="zh-CN"/>
              </w:rPr>
              <w:t>.</w:t>
            </w:r>
            <w:r>
              <w:rPr>
                <w:rFonts w:hint="eastAsia" w:cs="Times New Roman"/>
                <w:b/>
                <w:color w:val="auto"/>
                <w:lang w:val="en-US" w:eastAsia="zh-CN"/>
              </w:rPr>
              <w:t>2</w:t>
            </w:r>
            <w:r>
              <w:rPr>
                <w:rFonts w:hint="eastAsia" w:ascii="Times New Roman" w:hAnsi="Times New Roman" w:eastAsia="宋体" w:cs="Times New Roman"/>
                <w:b/>
                <w:color w:val="auto"/>
                <w:lang w:val="en-US" w:eastAsia="zh-CN"/>
              </w:rPr>
              <w:t>排放口基本情况</w:t>
            </w:r>
          </w:p>
          <w:p>
            <w:pPr>
              <w:adjustRightInd w:val="0"/>
              <w:snapToGrid w:val="0"/>
              <w:jc w:val="center"/>
              <w:rPr>
                <w:rFonts w:cs="宋体"/>
                <w:b/>
                <w:color w:val="auto"/>
                <w:spacing w:val="-10"/>
                <w:sz w:val="24"/>
                <w:szCs w:val="21"/>
              </w:rPr>
            </w:pPr>
            <w:r>
              <w:rPr>
                <w:rFonts w:hint="eastAsia" w:cs="宋体"/>
                <w:b/>
                <w:color w:val="auto"/>
                <w:spacing w:val="-10"/>
                <w:sz w:val="24"/>
                <w:szCs w:val="21"/>
              </w:rPr>
              <w:t>表4-</w:t>
            </w:r>
            <w:r>
              <w:rPr>
                <w:rFonts w:hint="eastAsia" w:cs="宋体"/>
                <w:b/>
                <w:color w:val="auto"/>
                <w:spacing w:val="-10"/>
                <w:sz w:val="24"/>
                <w:szCs w:val="21"/>
                <w:lang w:val="en-US" w:eastAsia="zh-CN"/>
              </w:rPr>
              <w:t>6</w:t>
            </w:r>
            <w:r>
              <w:rPr>
                <w:rFonts w:hint="eastAsia" w:cs="宋体"/>
                <w:b/>
                <w:color w:val="auto"/>
                <w:spacing w:val="-10"/>
                <w:sz w:val="24"/>
                <w:szCs w:val="21"/>
              </w:rPr>
              <w:t xml:space="preserve">  废水间接排放口基本情况表</w:t>
            </w:r>
          </w:p>
          <w:tbl>
            <w:tblPr>
              <w:tblStyle w:val="24"/>
              <w:tblW w:w="793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828"/>
              <w:gridCol w:w="860"/>
              <w:gridCol w:w="859"/>
              <w:gridCol w:w="661"/>
              <w:gridCol w:w="793"/>
              <w:gridCol w:w="711"/>
              <w:gridCol w:w="859"/>
              <w:gridCol w:w="789"/>
              <w:gridCol w:w="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restart"/>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排放口编号</w:t>
                  </w:r>
                </w:p>
              </w:tc>
              <w:tc>
                <w:tcPr>
                  <w:tcW w:w="1688" w:type="dxa"/>
                  <w:gridSpan w:val="2"/>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排放口地理坐标</w:t>
                  </w:r>
                </w:p>
              </w:tc>
              <w:tc>
                <w:tcPr>
                  <w:tcW w:w="859" w:type="dxa"/>
                  <w:vMerge w:val="restart"/>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废水</w:t>
                  </w:r>
                </w:p>
                <w:p>
                  <w:pPr>
                    <w:adjustRightInd w:val="0"/>
                    <w:snapToGrid w:val="0"/>
                    <w:jc w:val="center"/>
                    <w:rPr>
                      <w:rFonts w:cs="宋体"/>
                      <w:b/>
                      <w:color w:val="auto"/>
                      <w:spacing w:val="-10"/>
                      <w:sz w:val="21"/>
                      <w:szCs w:val="21"/>
                    </w:rPr>
                  </w:pPr>
                  <w:r>
                    <w:rPr>
                      <w:rFonts w:hint="eastAsia" w:cs="宋体"/>
                      <w:b/>
                      <w:color w:val="auto"/>
                      <w:spacing w:val="-10"/>
                      <w:sz w:val="21"/>
                      <w:szCs w:val="21"/>
                    </w:rPr>
                    <w:t>排放量</w:t>
                  </w:r>
                </w:p>
              </w:tc>
              <w:tc>
                <w:tcPr>
                  <w:tcW w:w="661" w:type="dxa"/>
                  <w:vMerge w:val="restart"/>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排放去向</w:t>
                  </w:r>
                </w:p>
              </w:tc>
              <w:tc>
                <w:tcPr>
                  <w:tcW w:w="793" w:type="dxa"/>
                  <w:vMerge w:val="restart"/>
                  <w:tcBorders>
                    <w:tl2br w:val="nil"/>
                    <w:tr2bl w:val="nil"/>
                  </w:tcBorders>
                  <w:vAlign w:val="center"/>
                </w:tcPr>
                <w:p>
                  <w:pPr>
                    <w:adjustRightInd w:val="0"/>
                    <w:snapToGrid w:val="0"/>
                    <w:jc w:val="center"/>
                    <w:rPr>
                      <w:rFonts w:cs="宋体"/>
                      <w:b/>
                      <w:color w:val="auto"/>
                      <w:spacing w:val="-10"/>
                      <w:szCs w:val="21"/>
                    </w:rPr>
                  </w:pPr>
                  <w:r>
                    <w:rPr>
                      <w:rFonts w:hint="eastAsia" w:cs="宋体"/>
                      <w:b/>
                      <w:color w:val="auto"/>
                      <w:spacing w:val="-10"/>
                      <w:sz w:val="21"/>
                      <w:szCs w:val="21"/>
                    </w:rPr>
                    <w:t>排放</w:t>
                  </w:r>
                </w:p>
                <w:p>
                  <w:pPr>
                    <w:adjustRightInd w:val="0"/>
                    <w:snapToGrid w:val="0"/>
                    <w:jc w:val="center"/>
                    <w:rPr>
                      <w:rFonts w:cs="宋体"/>
                      <w:b/>
                      <w:color w:val="auto"/>
                      <w:spacing w:val="-10"/>
                      <w:sz w:val="21"/>
                      <w:szCs w:val="21"/>
                    </w:rPr>
                  </w:pPr>
                  <w:r>
                    <w:rPr>
                      <w:rFonts w:hint="eastAsia" w:cs="宋体"/>
                      <w:b/>
                      <w:color w:val="auto"/>
                      <w:spacing w:val="-10"/>
                      <w:sz w:val="21"/>
                      <w:szCs w:val="21"/>
                    </w:rPr>
                    <w:t>规律</w:t>
                  </w:r>
                </w:p>
              </w:tc>
              <w:tc>
                <w:tcPr>
                  <w:tcW w:w="711" w:type="dxa"/>
                  <w:vMerge w:val="restart"/>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间接排放时段</w:t>
                  </w:r>
                </w:p>
              </w:tc>
              <w:tc>
                <w:tcPr>
                  <w:tcW w:w="2394" w:type="dxa"/>
                  <w:gridSpan w:val="3"/>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收纳污水处理厂信息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
                      <w:color w:val="auto"/>
                      <w:spacing w:val="-10"/>
                      <w:sz w:val="21"/>
                      <w:szCs w:val="21"/>
                    </w:rPr>
                  </w:pPr>
                </w:p>
              </w:tc>
              <w:tc>
                <w:tcPr>
                  <w:tcW w:w="828" w:type="dxa"/>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经度</w:t>
                  </w:r>
                </w:p>
              </w:tc>
              <w:tc>
                <w:tcPr>
                  <w:tcW w:w="860" w:type="dxa"/>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纬度</w:t>
                  </w:r>
                </w:p>
              </w:tc>
              <w:tc>
                <w:tcPr>
                  <w:tcW w:w="859" w:type="dxa"/>
                  <w:vMerge w:val="continue"/>
                  <w:tcBorders>
                    <w:tl2br w:val="nil"/>
                    <w:tr2bl w:val="nil"/>
                  </w:tcBorders>
                  <w:vAlign w:val="center"/>
                </w:tcPr>
                <w:p>
                  <w:pPr>
                    <w:adjustRightInd w:val="0"/>
                    <w:snapToGrid w:val="0"/>
                    <w:jc w:val="center"/>
                    <w:rPr>
                      <w:rFonts w:cs="宋体"/>
                      <w:b/>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
                      <w:color w:val="auto"/>
                      <w:spacing w:val="-10"/>
                      <w:sz w:val="21"/>
                      <w:szCs w:val="21"/>
                    </w:rPr>
                  </w:pPr>
                </w:p>
              </w:tc>
              <w:tc>
                <w:tcPr>
                  <w:tcW w:w="859" w:type="dxa"/>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名称</w:t>
                  </w:r>
                </w:p>
              </w:tc>
              <w:tc>
                <w:tcPr>
                  <w:tcW w:w="789" w:type="dxa"/>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污染物种类</w:t>
                  </w:r>
                </w:p>
              </w:tc>
              <w:tc>
                <w:tcPr>
                  <w:tcW w:w="746" w:type="dxa"/>
                  <w:tcBorders>
                    <w:tl2br w:val="nil"/>
                    <w:tr2bl w:val="nil"/>
                  </w:tcBorders>
                  <w:vAlign w:val="center"/>
                </w:tcPr>
                <w:p>
                  <w:pPr>
                    <w:adjustRightInd w:val="0"/>
                    <w:snapToGrid w:val="0"/>
                    <w:jc w:val="center"/>
                    <w:rPr>
                      <w:rFonts w:cs="宋体"/>
                      <w:b/>
                      <w:color w:val="auto"/>
                      <w:spacing w:val="-10"/>
                      <w:szCs w:val="21"/>
                    </w:rPr>
                  </w:pPr>
                  <w:r>
                    <w:rPr>
                      <w:rFonts w:hint="eastAsia" w:cs="宋体"/>
                      <w:b/>
                      <w:color w:val="auto"/>
                      <w:spacing w:val="-10"/>
                      <w:sz w:val="21"/>
                      <w:szCs w:val="21"/>
                    </w:rPr>
                    <w:t>浓度</w:t>
                  </w:r>
                </w:p>
                <w:p>
                  <w:pPr>
                    <w:adjustRightInd w:val="0"/>
                    <w:snapToGrid w:val="0"/>
                    <w:jc w:val="center"/>
                    <w:rPr>
                      <w:rFonts w:cs="宋体"/>
                      <w:b/>
                      <w:color w:val="auto"/>
                      <w:spacing w:val="-10"/>
                      <w:sz w:val="21"/>
                      <w:szCs w:val="21"/>
                    </w:rPr>
                  </w:pPr>
                  <w:r>
                    <w:rPr>
                      <w:rFonts w:hint="eastAsia" w:cs="宋体"/>
                      <w:b/>
                      <w:color w:val="auto"/>
                      <w:spacing w:val="-10"/>
                      <w:sz w:val="21"/>
                      <w:szCs w:val="21"/>
                    </w:rPr>
                    <w:t>限值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restart"/>
                  <w:tcBorders>
                    <w:tl2br w:val="nil"/>
                    <w:tr2bl w:val="nil"/>
                  </w:tcBorders>
                  <w:vAlign w:val="center"/>
                </w:tcPr>
                <w:p>
                  <w:pPr>
                    <w:adjustRightInd w:val="0"/>
                    <w:snapToGrid w:val="0"/>
                    <w:jc w:val="center"/>
                    <w:rPr>
                      <w:rFonts w:cs="宋体"/>
                      <w:bCs/>
                      <w:color w:val="auto"/>
                      <w:spacing w:val="-10"/>
                      <w:sz w:val="21"/>
                      <w:szCs w:val="21"/>
                    </w:rPr>
                  </w:pPr>
                  <w:r>
                    <w:rPr>
                      <w:rFonts w:cs="宋体"/>
                      <w:bCs/>
                      <w:color w:val="auto"/>
                      <w:spacing w:val="-10"/>
                      <w:sz w:val="21"/>
                      <w:szCs w:val="21"/>
                    </w:rPr>
                    <w:t>DW</w:t>
                  </w:r>
                </w:p>
                <w:p>
                  <w:pPr>
                    <w:adjustRightInd w:val="0"/>
                    <w:snapToGrid w:val="0"/>
                    <w:jc w:val="center"/>
                    <w:rPr>
                      <w:rFonts w:cs="宋体"/>
                      <w:bCs/>
                      <w:color w:val="auto"/>
                      <w:spacing w:val="-10"/>
                      <w:sz w:val="21"/>
                      <w:szCs w:val="21"/>
                    </w:rPr>
                  </w:pPr>
                  <w:r>
                    <w:rPr>
                      <w:rFonts w:cs="宋体"/>
                      <w:bCs/>
                      <w:color w:val="auto"/>
                      <w:spacing w:val="-10"/>
                      <w:sz w:val="21"/>
                      <w:szCs w:val="21"/>
                    </w:rPr>
                    <w:t>001</w:t>
                  </w:r>
                </w:p>
              </w:tc>
              <w:tc>
                <w:tcPr>
                  <w:tcW w:w="828" w:type="dxa"/>
                  <w:vMerge w:val="restart"/>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112.796014</w:t>
                  </w:r>
                </w:p>
              </w:tc>
              <w:tc>
                <w:tcPr>
                  <w:tcW w:w="860" w:type="dxa"/>
                  <w:vMerge w:val="restart"/>
                  <w:tcBorders>
                    <w:tl2br w:val="nil"/>
                    <w:tr2bl w:val="nil"/>
                  </w:tcBorders>
                  <w:vAlign w:val="center"/>
                </w:tcPr>
                <w:p>
                  <w:pPr>
                    <w:adjustRightInd w:val="0"/>
                    <w:snapToGrid w:val="0"/>
                    <w:jc w:val="center"/>
                    <w:rPr>
                      <w:rFonts w:hint="eastAsia"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29.337279</w:t>
                  </w:r>
                </w:p>
              </w:tc>
              <w:tc>
                <w:tcPr>
                  <w:tcW w:w="859" w:type="dxa"/>
                  <w:vMerge w:val="restart"/>
                  <w:tcBorders>
                    <w:tl2br w:val="nil"/>
                    <w:tr2bl w:val="nil"/>
                  </w:tcBorders>
                  <w:vAlign w:val="center"/>
                </w:tcPr>
                <w:p>
                  <w:pPr>
                    <w:adjustRightInd w:val="0"/>
                    <w:snapToGrid w:val="0"/>
                    <w:jc w:val="center"/>
                    <w:rPr>
                      <w:rFonts w:cs="宋体"/>
                      <w:bCs/>
                      <w:color w:val="auto"/>
                      <w:spacing w:val="-10"/>
                      <w:sz w:val="21"/>
                      <w:szCs w:val="21"/>
                    </w:rPr>
                  </w:pPr>
                  <w:r>
                    <w:rPr>
                      <w:rFonts w:hint="eastAsia" w:cs="宋体"/>
                      <w:bCs/>
                      <w:color w:val="auto"/>
                      <w:spacing w:val="-10"/>
                      <w:sz w:val="21"/>
                      <w:szCs w:val="21"/>
                      <w:lang w:val="en-US" w:eastAsia="zh-CN"/>
                    </w:rPr>
                    <w:t>14600</w:t>
                  </w:r>
                  <w:r>
                    <w:rPr>
                      <w:rFonts w:cs="宋体"/>
                      <w:bCs/>
                      <w:color w:val="auto"/>
                      <w:spacing w:val="-10"/>
                      <w:sz w:val="21"/>
                      <w:szCs w:val="21"/>
                    </w:rPr>
                    <w:t>m</w:t>
                  </w:r>
                  <w:r>
                    <w:rPr>
                      <w:rFonts w:cs="宋体"/>
                      <w:b/>
                      <w:color w:val="auto"/>
                      <w:spacing w:val="-10"/>
                      <w:sz w:val="21"/>
                      <w:szCs w:val="21"/>
                      <w:vertAlign w:val="superscript"/>
                    </w:rPr>
                    <w:t>3</w:t>
                  </w:r>
                  <w:r>
                    <w:rPr>
                      <w:rFonts w:cs="宋体"/>
                      <w:bCs/>
                      <w:color w:val="auto"/>
                      <w:spacing w:val="-10"/>
                      <w:sz w:val="21"/>
                      <w:szCs w:val="21"/>
                    </w:rPr>
                    <w:t>/a</w:t>
                  </w:r>
                </w:p>
              </w:tc>
              <w:tc>
                <w:tcPr>
                  <w:tcW w:w="661" w:type="dxa"/>
                  <w:vMerge w:val="restart"/>
                  <w:tcBorders>
                    <w:tl2br w:val="nil"/>
                    <w:tr2bl w:val="nil"/>
                  </w:tcBorders>
                  <w:vAlign w:val="center"/>
                </w:tcPr>
                <w:p>
                  <w:pPr>
                    <w:adjustRightInd w:val="0"/>
                    <w:snapToGrid w:val="0"/>
                    <w:jc w:val="center"/>
                    <w:rPr>
                      <w:rFonts w:cs="宋体"/>
                      <w:bCs/>
                      <w:color w:val="auto"/>
                      <w:spacing w:val="-10"/>
                      <w:sz w:val="21"/>
                      <w:szCs w:val="21"/>
                    </w:rPr>
                  </w:pPr>
                  <w:r>
                    <w:rPr>
                      <w:rFonts w:hint="eastAsia" w:cs="宋体"/>
                      <w:bCs/>
                      <w:color w:val="auto"/>
                      <w:spacing w:val="-10"/>
                      <w:sz w:val="21"/>
                      <w:szCs w:val="21"/>
                      <w:lang w:val="en-US" w:eastAsia="zh-CN"/>
                    </w:rPr>
                    <w:t>城镇</w:t>
                  </w:r>
                  <w:r>
                    <w:rPr>
                      <w:rFonts w:hint="eastAsia" w:cs="宋体"/>
                      <w:bCs/>
                      <w:color w:val="auto"/>
                      <w:spacing w:val="-10"/>
                      <w:sz w:val="21"/>
                      <w:szCs w:val="21"/>
                    </w:rPr>
                    <w:t>污水处理厂</w:t>
                  </w:r>
                </w:p>
              </w:tc>
              <w:tc>
                <w:tcPr>
                  <w:tcW w:w="793" w:type="dxa"/>
                  <w:vMerge w:val="restart"/>
                  <w:tcBorders>
                    <w:tl2br w:val="nil"/>
                    <w:tr2bl w:val="nil"/>
                  </w:tcBorders>
                  <w:vAlign w:val="center"/>
                </w:tcPr>
                <w:p>
                  <w:pPr>
                    <w:adjustRightInd w:val="0"/>
                    <w:snapToGrid w:val="0"/>
                    <w:jc w:val="center"/>
                    <w:rPr>
                      <w:rFonts w:cs="宋体"/>
                      <w:bCs/>
                      <w:color w:val="auto"/>
                      <w:spacing w:val="-10"/>
                      <w:sz w:val="21"/>
                      <w:szCs w:val="21"/>
                    </w:rPr>
                  </w:pPr>
                  <w:r>
                    <w:rPr>
                      <w:rFonts w:hint="eastAsia" w:cs="宋体"/>
                      <w:bCs/>
                      <w:color w:val="auto"/>
                      <w:spacing w:val="-10"/>
                      <w:sz w:val="21"/>
                      <w:szCs w:val="21"/>
                    </w:rPr>
                    <w:t>间断排放，流量不稳定且无规律.</w:t>
                  </w:r>
                </w:p>
              </w:tc>
              <w:tc>
                <w:tcPr>
                  <w:tcW w:w="711" w:type="dxa"/>
                  <w:vMerge w:val="restart"/>
                  <w:tcBorders>
                    <w:tl2br w:val="nil"/>
                    <w:tr2bl w:val="nil"/>
                  </w:tcBorders>
                  <w:vAlign w:val="center"/>
                </w:tcPr>
                <w:p>
                  <w:pPr>
                    <w:adjustRightInd w:val="0"/>
                    <w:snapToGrid w:val="0"/>
                    <w:jc w:val="center"/>
                    <w:rPr>
                      <w:rFonts w:cs="宋体"/>
                      <w:bCs/>
                      <w:color w:val="auto"/>
                      <w:spacing w:val="-10"/>
                      <w:sz w:val="21"/>
                      <w:szCs w:val="21"/>
                    </w:rPr>
                  </w:pPr>
                  <w:r>
                    <w:rPr>
                      <w:rFonts w:cs="宋体"/>
                      <w:bCs/>
                      <w:color w:val="auto"/>
                      <w:spacing w:val="-10"/>
                      <w:sz w:val="21"/>
                      <w:szCs w:val="21"/>
                    </w:rPr>
                    <w:t>/</w:t>
                  </w:r>
                </w:p>
              </w:tc>
              <w:tc>
                <w:tcPr>
                  <w:tcW w:w="859" w:type="dxa"/>
                  <w:vMerge w:val="restart"/>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华容县团洲乡污水处理厂</w:t>
                  </w:r>
                </w:p>
              </w:tc>
              <w:tc>
                <w:tcPr>
                  <w:tcW w:w="789"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COD</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28"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6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BOD</w:t>
                  </w:r>
                  <w:r>
                    <w:rPr>
                      <w:rFonts w:hint="eastAsia" w:ascii="Times New Roman" w:hAnsi="Times New Roman" w:eastAsia="宋体" w:cs="宋体"/>
                      <w:bCs/>
                      <w:color w:val="auto"/>
                      <w:spacing w:val="-10"/>
                      <w:sz w:val="21"/>
                      <w:szCs w:val="21"/>
                      <w:vertAlign w:val="subscript"/>
                      <w:lang w:val="en-US" w:eastAsia="zh-CN"/>
                    </w:rPr>
                    <w:t>5</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28"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6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NH</w:t>
                  </w:r>
                  <w:r>
                    <w:rPr>
                      <w:rFonts w:hint="default" w:ascii="Times New Roman" w:hAnsi="Times New Roman" w:eastAsia="宋体" w:cs="宋体"/>
                      <w:bCs/>
                      <w:color w:val="auto"/>
                      <w:spacing w:val="-10"/>
                      <w:sz w:val="21"/>
                      <w:szCs w:val="21"/>
                      <w:vertAlign w:val="subscript"/>
                      <w:lang w:val="en-US" w:eastAsia="zh-CN"/>
                    </w:rPr>
                    <w:t>3</w:t>
                  </w:r>
                  <w:r>
                    <w:rPr>
                      <w:rFonts w:hint="default" w:ascii="Times New Roman" w:hAnsi="Times New Roman" w:eastAsia="宋体" w:cs="宋体"/>
                      <w:bCs/>
                      <w:color w:val="auto"/>
                      <w:spacing w:val="-10"/>
                      <w:sz w:val="21"/>
                      <w:szCs w:val="21"/>
                      <w:lang w:val="en-US" w:eastAsia="zh-CN"/>
                    </w:rPr>
                    <w:t>-N</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28"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6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SS</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28"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6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TP</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3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28"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6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vMerge w:val="restart"/>
                  <w:tcBorders>
                    <w:tl2br w:val="nil"/>
                    <w:tr2bl w:val="nil"/>
                  </w:tcBorders>
                  <w:vAlign w:val="center"/>
                </w:tcPr>
                <w:p>
                  <w:pPr>
                    <w:adjustRightInd w:val="0"/>
                    <w:snapToGrid w:val="0"/>
                    <w:jc w:val="center"/>
                    <w:rPr>
                      <w:rFonts w:hint="eastAsia"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pH</w:t>
                  </w:r>
                </w:p>
              </w:tc>
              <w:tc>
                <w:tcPr>
                  <w:tcW w:w="746" w:type="dxa"/>
                  <w:vMerge w:val="restart"/>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tcBorders>
                    <w:tl2br w:val="nil"/>
                    <w:tr2bl w:val="nil"/>
                  </w:tcBorders>
                  <w:vAlign w:val="center"/>
                </w:tcPr>
                <w:p>
                  <w:pPr>
                    <w:adjustRightInd w:val="0"/>
                    <w:snapToGrid w:val="0"/>
                    <w:jc w:val="center"/>
                    <w:rPr>
                      <w:rFonts w:cs="宋体"/>
                      <w:bCs/>
                      <w:color w:val="auto"/>
                      <w:spacing w:val="-10"/>
                      <w:sz w:val="21"/>
                      <w:szCs w:val="21"/>
                    </w:rPr>
                  </w:pPr>
                  <w:r>
                    <w:rPr>
                      <w:rFonts w:cs="宋体"/>
                      <w:bCs/>
                      <w:color w:val="auto"/>
                      <w:spacing w:val="-10"/>
                      <w:sz w:val="21"/>
                      <w:szCs w:val="21"/>
                    </w:rPr>
                    <w:t>DW</w:t>
                  </w:r>
                </w:p>
                <w:p>
                  <w:pPr>
                    <w:adjustRightInd w:val="0"/>
                    <w:snapToGrid w:val="0"/>
                    <w:jc w:val="center"/>
                    <w:rPr>
                      <w:rFonts w:hint="eastAsia" w:eastAsia="宋体" w:cs="宋体"/>
                      <w:bCs/>
                      <w:color w:val="auto"/>
                      <w:spacing w:val="-10"/>
                      <w:sz w:val="21"/>
                      <w:szCs w:val="21"/>
                      <w:lang w:eastAsia="zh-CN"/>
                    </w:rPr>
                  </w:pPr>
                  <w:r>
                    <w:rPr>
                      <w:rFonts w:cs="宋体"/>
                      <w:bCs/>
                      <w:color w:val="auto"/>
                      <w:spacing w:val="-10"/>
                      <w:sz w:val="21"/>
                      <w:szCs w:val="21"/>
                    </w:rPr>
                    <w:t>00</w:t>
                  </w:r>
                  <w:r>
                    <w:rPr>
                      <w:rFonts w:hint="eastAsia" w:cs="宋体"/>
                      <w:bCs/>
                      <w:color w:val="auto"/>
                      <w:spacing w:val="-10"/>
                      <w:sz w:val="21"/>
                      <w:szCs w:val="21"/>
                      <w:lang w:val="en-US" w:eastAsia="zh-CN"/>
                    </w:rPr>
                    <w:t>2</w:t>
                  </w:r>
                </w:p>
              </w:tc>
              <w:tc>
                <w:tcPr>
                  <w:tcW w:w="828" w:type="dxa"/>
                  <w:tcBorders>
                    <w:tl2br w:val="nil"/>
                    <w:tr2bl w:val="nil"/>
                  </w:tcBorders>
                  <w:vAlign w:val="center"/>
                </w:tcPr>
                <w:p>
                  <w:pPr>
                    <w:adjustRightInd w:val="0"/>
                    <w:snapToGrid w:val="0"/>
                    <w:jc w:val="center"/>
                    <w:rPr>
                      <w:rFonts w:cs="宋体"/>
                      <w:bCs/>
                      <w:color w:val="auto"/>
                      <w:spacing w:val="-10"/>
                      <w:sz w:val="21"/>
                      <w:szCs w:val="21"/>
                    </w:rPr>
                  </w:pPr>
                  <w:r>
                    <w:rPr>
                      <w:rFonts w:hint="eastAsia" w:ascii="Times New Roman" w:hAnsi="Times New Roman" w:eastAsia="宋体" w:cs="宋体"/>
                      <w:bCs/>
                      <w:color w:val="auto"/>
                      <w:spacing w:val="-10"/>
                      <w:sz w:val="21"/>
                      <w:szCs w:val="21"/>
                      <w:lang w:val="en-US" w:eastAsia="zh-CN"/>
                    </w:rPr>
                    <w:t>112.800832</w:t>
                  </w:r>
                </w:p>
              </w:tc>
              <w:tc>
                <w:tcPr>
                  <w:tcW w:w="860" w:type="dxa"/>
                  <w:tcBorders>
                    <w:tl2br w:val="nil"/>
                    <w:tr2bl w:val="nil"/>
                  </w:tcBorders>
                  <w:vAlign w:val="center"/>
                </w:tcPr>
                <w:p>
                  <w:pPr>
                    <w:adjustRightInd w:val="0"/>
                    <w:snapToGrid w:val="0"/>
                    <w:jc w:val="center"/>
                    <w:rPr>
                      <w:rFonts w:cs="宋体"/>
                      <w:bCs/>
                      <w:color w:val="auto"/>
                      <w:spacing w:val="-10"/>
                      <w:sz w:val="21"/>
                      <w:szCs w:val="21"/>
                    </w:rPr>
                  </w:pPr>
                  <w:r>
                    <w:rPr>
                      <w:rFonts w:hint="eastAsia" w:ascii="Times New Roman" w:hAnsi="Times New Roman" w:eastAsia="宋体" w:cs="宋体"/>
                      <w:bCs/>
                      <w:color w:val="auto"/>
                      <w:spacing w:val="-10"/>
                      <w:sz w:val="21"/>
                      <w:szCs w:val="21"/>
                      <w:lang w:val="en-US" w:eastAsia="zh-CN"/>
                    </w:rPr>
                    <w:t>29.33653</w:t>
                  </w:r>
                  <w:r>
                    <w:rPr>
                      <w:rFonts w:hint="eastAsia" w:cs="宋体"/>
                      <w:bCs/>
                      <w:color w:val="auto"/>
                      <w:spacing w:val="-10"/>
                      <w:sz w:val="21"/>
                      <w:szCs w:val="21"/>
                      <w:lang w:val="en-US" w:eastAsia="zh-CN"/>
                    </w:rPr>
                    <w:t>1</w:t>
                  </w:r>
                </w:p>
              </w:tc>
              <w:tc>
                <w:tcPr>
                  <w:tcW w:w="859" w:type="dxa"/>
                  <w:tcBorders>
                    <w:tl2br w:val="nil"/>
                    <w:tr2bl w:val="nil"/>
                  </w:tcBorders>
                  <w:vAlign w:val="center"/>
                </w:tcPr>
                <w:p>
                  <w:pPr>
                    <w:adjustRightInd w:val="0"/>
                    <w:snapToGrid w:val="0"/>
                    <w:jc w:val="center"/>
                    <w:rPr>
                      <w:rFonts w:cs="宋体"/>
                      <w:bCs/>
                      <w:color w:val="auto"/>
                      <w:spacing w:val="-10"/>
                      <w:sz w:val="21"/>
                      <w:szCs w:val="21"/>
                    </w:rPr>
                  </w:pPr>
                  <w:r>
                    <w:rPr>
                      <w:rFonts w:hint="eastAsia" w:cs="宋体"/>
                      <w:bCs/>
                      <w:color w:val="auto"/>
                      <w:spacing w:val="-10"/>
                      <w:sz w:val="21"/>
                      <w:szCs w:val="21"/>
                      <w:lang w:val="en-US" w:eastAsia="zh-CN"/>
                    </w:rPr>
                    <w:t>29200</w:t>
                  </w:r>
                  <w:r>
                    <w:rPr>
                      <w:rFonts w:cs="宋体"/>
                      <w:bCs/>
                      <w:color w:val="auto"/>
                      <w:spacing w:val="-10"/>
                      <w:sz w:val="21"/>
                      <w:szCs w:val="21"/>
                    </w:rPr>
                    <w:t>m</w:t>
                  </w:r>
                  <w:r>
                    <w:rPr>
                      <w:rFonts w:cs="宋体"/>
                      <w:b/>
                      <w:color w:val="auto"/>
                      <w:spacing w:val="-10"/>
                      <w:sz w:val="21"/>
                      <w:szCs w:val="21"/>
                      <w:vertAlign w:val="superscript"/>
                    </w:rPr>
                    <w:t>3</w:t>
                  </w:r>
                  <w:r>
                    <w:rPr>
                      <w:rFonts w:cs="宋体"/>
                      <w:bCs/>
                      <w:color w:val="auto"/>
                      <w:spacing w:val="-10"/>
                      <w:sz w:val="21"/>
                      <w:szCs w:val="21"/>
                    </w:rPr>
                    <w:t>/a</w:t>
                  </w: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tcBorders>
                    <w:tl2br w:val="nil"/>
                    <w:tr2bl w:val="nil"/>
                  </w:tcBorders>
                  <w:vAlign w:val="center"/>
                </w:tcPr>
                <w:p>
                  <w:pPr>
                    <w:adjustRightInd w:val="0"/>
                    <w:snapToGrid w:val="0"/>
                    <w:jc w:val="center"/>
                    <w:rPr>
                      <w:rFonts w:cs="宋体"/>
                      <w:bCs/>
                      <w:color w:val="auto"/>
                      <w:spacing w:val="-10"/>
                      <w:sz w:val="21"/>
                      <w:szCs w:val="21"/>
                    </w:rPr>
                  </w:pPr>
                  <w:r>
                    <w:rPr>
                      <w:rFonts w:cs="宋体"/>
                      <w:bCs/>
                      <w:color w:val="auto"/>
                      <w:spacing w:val="-10"/>
                      <w:sz w:val="21"/>
                      <w:szCs w:val="21"/>
                    </w:rPr>
                    <w:t>/</w:t>
                  </w:r>
                </w:p>
              </w:tc>
              <w:tc>
                <w:tcPr>
                  <w:tcW w:w="859" w:type="dxa"/>
                  <w:vMerge w:val="restart"/>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团洲新村污水处理厂</w:t>
                  </w:r>
                </w:p>
              </w:tc>
              <w:tc>
                <w:tcPr>
                  <w:tcW w:w="789" w:type="dxa"/>
                  <w:vMerge w:val="continue"/>
                  <w:tcBorders>
                    <w:tl2br w:val="nil"/>
                    <w:tr2bl w:val="nil"/>
                  </w:tcBorders>
                  <w:vAlign w:val="center"/>
                </w:tcPr>
                <w:p>
                  <w:pPr>
                    <w:adjustRightInd w:val="0"/>
                    <w:snapToGrid w:val="0"/>
                    <w:jc w:val="center"/>
                    <w:rPr>
                      <w:rFonts w:hint="eastAsia" w:ascii="Times New Roman" w:hAnsi="Times New Roman" w:eastAsia="宋体" w:cs="宋体"/>
                      <w:bCs/>
                      <w:color w:val="auto"/>
                      <w:spacing w:val="-10"/>
                      <w:sz w:val="21"/>
                      <w:szCs w:val="21"/>
                      <w:lang w:val="en-US" w:eastAsia="zh-CN"/>
                    </w:rPr>
                  </w:pPr>
                </w:p>
              </w:tc>
              <w:tc>
                <w:tcPr>
                  <w:tcW w:w="746"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tcBorders>
                    <w:tl2br w:val="nil"/>
                    <w:tr2bl w:val="nil"/>
                  </w:tcBorders>
                  <w:vAlign w:val="center"/>
                </w:tcPr>
                <w:p>
                  <w:pPr>
                    <w:adjustRightInd w:val="0"/>
                    <w:snapToGrid w:val="0"/>
                    <w:jc w:val="center"/>
                    <w:rPr>
                      <w:rFonts w:cs="宋体"/>
                      <w:bCs/>
                      <w:color w:val="auto"/>
                      <w:spacing w:val="-10"/>
                      <w:sz w:val="21"/>
                      <w:szCs w:val="21"/>
                    </w:rPr>
                  </w:pPr>
                  <w:r>
                    <w:rPr>
                      <w:rFonts w:cs="宋体"/>
                      <w:bCs/>
                      <w:color w:val="auto"/>
                      <w:spacing w:val="-10"/>
                      <w:sz w:val="21"/>
                      <w:szCs w:val="21"/>
                    </w:rPr>
                    <w:t>DW</w:t>
                  </w:r>
                </w:p>
                <w:p>
                  <w:pPr>
                    <w:adjustRightInd w:val="0"/>
                    <w:snapToGrid w:val="0"/>
                    <w:jc w:val="center"/>
                    <w:rPr>
                      <w:rFonts w:hint="eastAsia" w:eastAsia="宋体" w:cs="宋体"/>
                      <w:bCs/>
                      <w:color w:val="auto"/>
                      <w:spacing w:val="-10"/>
                      <w:sz w:val="21"/>
                      <w:szCs w:val="21"/>
                      <w:lang w:eastAsia="zh-CN"/>
                    </w:rPr>
                  </w:pPr>
                  <w:r>
                    <w:rPr>
                      <w:rFonts w:cs="宋体"/>
                      <w:bCs/>
                      <w:color w:val="auto"/>
                      <w:spacing w:val="-10"/>
                      <w:sz w:val="21"/>
                      <w:szCs w:val="21"/>
                    </w:rPr>
                    <w:t>00</w:t>
                  </w:r>
                  <w:r>
                    <w:rPr>
                      <w:rFonts w:hint="eastAsia" w:cs="宋体"/>
                      <w:bCs/>
                      <w:color w:val="auto"/>
                      <w:spacing w:val="-10"/>
                      <w:sz w:val="21"/>
                      <w:szCs w:val="21"/>
                      <w:lang w:val="en-US" w:eastAsia="zh-CN"/>
                    </w:rPr>
                    <w:t>3</w:t>
                  </w:r>
                </w:p>
              </w:tc>
              <w:tc>
                <w:tcPr>
                  <w:tcW w:w="828" w:type="dxa"/>
                  <w:tcBorders>
                    <w:tl2br w:val="nil"/>
                    <w:tr2bl w:val="nil"/>
                  </w:tcBorders>
                  <w:shd w:val="clear" w:color="auto" w:fill="auto"/>
                  <w:vAlign w:val="center"/>
                </w:tcPr>
                <w:p>
                  <w:pPr>
                    <w:adjustRightInd w:val="0"/>
                    <w:snapToGrid w:val="0"/>
                    <w:jc w:val="center"/>
                    <w:rPr>
                      <w:rFonts w:ascii="Times New Roman" w:hAnsi="Times New Roman" w:eastAsia="宋体" w:cs="宋体"/>
                      <w:bCs/>
                      <w:color w:val="auto"/>
                      <w:spacing w:val="-10"/>
                      <w:kern w:val="2"/>
                      <w:sz w:val="21"/>
                      <w:szCs w:val="21"/>
                      <w:lang w:val="en-US" w:eastAsia="zh-CN" w:bidi="ar-SA"/>
                    </w:rPr>
                  </w:pPr>
                  <w:r>
                    <w:rPr>
                      <w:rFonts w:hint="eastAsia" w:ascii="Times New Roman" w:hAnsi="Times New Roman" w:eastAsia="宋体" w:cs="宋体"/>
                      <w:bCs/>
                      <w:color w:val="auto"/>
                      <w:spacing w:val="-10"/>
                      <w:sz w:val="21"/>
                      <w:szCs w:val="21"/>
                      <w:lang w:val="en-US" w:eastAsia="zh-CN"/>
                    </w:rPr>
                    <w:t>112.79957</w:t>
                  </w:r>
                  <w:r>
                    <w:rPr>
                      <w:rFonts w:hint="eastAsia" w:cs="宋体"/>
                      <w:bCs/>
                      <w:color w:val="auto"/>
                      <w:spacing w:val="-10"/>
                      <w:sz w:val="21"/>
                      <w:szCs w:val="21"/>
                      <w:lang w:val="en-US" w:eastAsia="zh-CN"/>
                    </w:rPr>
                    <w:t>7</w:t>
                  </w:r>
                </w:p>
              </w:tc>
              <w:tc>
                <w:tcPr>
                  <w:tcW w:w="860" w:type="dxa"/>
                  <w:tcBorders>
                    <w:tl2br w:val="nil"/>
                    <w:tr2bl w:val="nil"/>
                  </w:tcBorders>
                  <w:shd w:val="clear" w:color="auto" w:fill="auto"/>
                  <w:vAlign w:val="center"/>
                </w:tcPr>
                <w:p>
                  <w:pPr>
                    <w:adjustRightInd w:val="0"/>
                    <w:snapToGrid w:val="0"/>
                    <w:jc w:val="center"/>
                    <w:rPr>
                      <w:rFonts w:ascii="Times New Roman" w:hAnsi="Times New Roman" w:eastAsia="宋体" w:cs="宋体"/>
                      <w:bCs/>
                      <w:color w:val="auto"/>
                      <w:spacing w:val="-10"/>
                      <w:kern w:val="2"/>
                      <w:sz w:val="21"/>
                      <w:szCs w:val="21"/>
                      <w:lang w:val="en-US" w:eastAsia="zh-CN" w:bidi="ar-SA"/>
                    </w:rPr>
                  </w:pPr>
                  <w:r>
                    <w:rPr>
                      <w:rFonts w:hint="eastAsia" w:ascii="Times New Roman" w:hAnsi="Times New Roman" w:eastAsia="宋体" w:cs="宋体"/>
                      <w:bCs/>
                      <w:color w:val="auto"/>
                      <w:spacing w:val="-10"/>
                      <w:sz w:val="21"/>
                      <w:szCs w:val="21"/>
                      <w:lang w:val="en-US" w:eastAsia="zh-CN"/>
                    </w:rPr>
                    <w:t>29.332099</w:t>
                  </w:r>
                </w:p>
              </w:tc>
              <w:tc>
                <w:tcPr>
                  <w:tcW w:w="859" w:type="dxa"/>
                  <w:tcBorders>
                    <w:tl2br w:val="nil"/>
                    <w:tr2bl w:val="nil"/>
                  </w:tcBorders>
                  <w:shd w:val="clear" w:color="auto" w:fill="auto"/>
                  <w:vAlign w:val="center"/>
                </w:tcPr>
                <w:p>
                  <w:pPr>
                    <w:adjustRightInd w:val="0"/>
                    <w:snapToGrid w:val="0"/>
                    <w:jc w:val="center"/>
                    <w:rPr>
                      <w:rFonts w:ascii="Times New Roman" w:hAnsi="Times New Roman" w:eastAsia="宋体" w:cs="宋体"/>
                      <w:bCs/>
                      <w:color w:val="auto"/>
                      <w:spacing w:val="-10"/>
                      <w:kern w:val="2"/>
                      <w:sz w:val="21"/>
                      <w:szCs w:val="21"/>
                      <w:lang w:val="en-US" w:eastAsia="zh-CN" w:bidi="ar-SA"/>
                    </w:rPr>
                  </w:pPr>
                  <w:r>
                    <w:rPr>
                      <w:rFonts w:hint="eastAsia" w:cs="宋体"/>
                      <w:bCs/>
                      <w:color w:val="auto"/>
                      <w:spacing w:val="-10"/>
                      <w:sz w:val="21"/>
                      <w:szCs w:val="21"/>
                      <w:lang w:val="en-US" w:eastAsia="zh-CN"/>
                    </w:rPr>
                    <w:t>58400</w:t>
                  </w:r>
                  <w:r>
                    <w:rPr>
                      <w:rFonts w:cs="宋体"/>
                      <w:bCs/>
                      <w:color w:val="auto"/>
                      <w:spacing w:val="-10"/>
                      <w:sz w:val="21"/>
                      <w:szCs w:val="21"/>
                    </w:rPr>
                    <w:t>m</w:t>
                  </w:r>
                  <w:r>
                    <w:rPr>
                      <w:rFonts w:cs="宋体"/>
                      <w:b/>
                      <w:color w:val="auto"/>
                      <w:spacing w:val="-10"/>
                      <w:sz w:val="21"/>
                      <w:szCs w:val="21"/>
                      <w:vertAlign w:val="superscript"/>
                    </w:rPr>
                    <w:t>3</w:t>
                  </w:r>
                  <w:r>
                    <w:rPr>
                      <w:rFonts w:cs="宋体"/>
                      <w:bCs/>
                      <w:color w:val="auto"/>
                      <w:spacing w:val="-10"/>
                      <w:sz w:val="21"/>
                      <w:szCs w:val="21"/>
                    </w:rPr>
                    <w:t>/a</w:t>
                  </w: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tcBorders>
                    <w:tl2br w:val="nil"/>
                    <w:tr2bl w:val="nil"/>
                  </w:tcBorders>
                  <w:vAlign w:val="center"/>
                </w:tcPr>
                <w:p>
                  <w:pPr>
                    <w:adjustRightInd w:val="0"/>
                    <w:snapToGrid w:val="0"/>
                    <w:jc w:val="center"/>
                    <w:rPr>
                      <w:rFonts w:cs="宋体"/>
                      <w:bCs/>
                      <w:color w:val="auto"/>
                      <w:spacing w:val="-10"/>
                      <w:sz w:val="21"/>
                      <w:szCs w:val="21"/>
                    </w:rPr>
                  </w:pPr>
                  <w:r>
                    <w:rPr>
                      <w:rFonts w:cs="宋体"/>
                      <w:bCs/>
                      <w:color w:val="auto"/>
                      <w:spacing w:val="-10"/>
                      <w:sz w:val="21"/>
                      <w:szCs w:val="21"/>
                    </w:rPr>
                    <w:t>/</w:t>
                  </w: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vMerge w:val="continue"/>
                  <w:tcBorders>
                    <w:tl2br w:val="nil"/>
                    <w:tr2bl w:val="nil"/>
                  </w:tcBorders>
                  <w:vAlign w:val="center"/>
                </w:tcPr>
                <w:p>
                  <w:pPr>
                    <w:adjustRightInd w:val="0"/>
                    <w:snapToGrid w:val="0"/>
                    <w:jc w:val="center"/>
                    <w:rPr>
                      <w:rFonts w:hint="eastAsia" w:ascii="Times New Roman" w:hAnsi="Times New Roman" w:eastAsia="宋体" w:cs="宋体"/>
                      <w:bCs/>
                      <w:color w:val="auto"/>
                      <w:spacing w:val="-10"/>
                      <w:sz w:val="21"/>
                      <w:szCs w:val="21"/>
                      <w:lang w:val="en-US" w:eastAsia="zh-CN"/>
                    </w:rPr>
                  </w:pPr>
                </w:p>
              </w:tc>
              <w:tc>
                <w:tcPr>
                  <w:tcW w:w="746"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r>
          </w:tbl>
          <w:p>
            <w:pPr>
              <w:numPr>
                <w:ilvl w:val="0"/>
                <w:numId w:val="0"/>
              </w:numPr>
              <w:adjustRightInd w:val="0"/>
              <w:snapToGrid w:val="0"/>
              <w:spacing w:line="360" w:lineRule="auto"/>
              <w:rPr>
                <w:rFonts w:cs="宋体"/>
                <w:b/>
                <w:color w:val="auto"/>
                <w:spacing w:val="-10"/>
                <w:sz w:val="24"/>
                <w:szCs w:val="21"/>
              </w:rPr>
            </w:pPr>
            <w:r>
              <w:rPr>
                <w:rFonts w:hint="eastAsia" w:cs="宋体"/>
                <w:b/>
                <w:color w:val="auto"/>
                <w:spacing w:val="-10"/>
                <w:sz w:val="24"/>
                <w:szCs w:val="21"/>
                <w:lang w:val="en-US" w:eastAsia="zh-CN"/>
              </w:rPr>
              <w:t>4、</w:t>
            </w:r>
            <w:r>
              <w:rPr>
                <w:rFonts w:hint="eastAsia" w:cs="宋体"/>
                <w:b/>
                <w:color w:val="auto"/>
                <w:spacing w:val="-10"/>
                <w:sz w:val="24"/>
                <w:szCs w:val="21"/>
              </w:rPr>
              <w:t>声环境影响分析</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根据对本项目噪声污染源的分析及同类型项目的调研可知，</w:t>
            </w:r>
            <w:r>
              <w:rPr>
                <w:rFonts w:hint="eastAsia" w:cs="宋体"/>
                <w:bCs/>
                <w:i w:val="0"/>
                <w:iCs w:val="0"/>
                <w:color w:val="auto"/>
                <w:sz w:val="24"/>
                <w:szCs w:val="21"/>
                <w:u w:val="none"/>
                <w:lang w:val="en-US" w:eastAsia="zh-CN"/>
              </w:rPr>
              <w:t>安置区内的</w:t>
            </w:r>
            <w:r>
              <w:rPr>
                <w:rFonts w:hint="default" w:ascii="Times New Roman" w:hAnsi="Times New Roman" w:eastAsia="宋体" w:cs="宋体"/>
                <w:bCs/>
                <w:i w:val="0"/>
                <w:iCs w:val="0"/>
                <w:color w:val="auto"/>
                <w:sz w:val="24"/>
                <w:szCs w:val="21"/>
                <w:u w:val="none"/>
                <w:lang w:val="en-US" w:eastAsia="zh-CN"/>
              </w:rPr>
              <w:t>噪声污染源主要为车辆进出、</w:t>
            </w:r>
            <w:r>
              <w:rPr>
                <w:rFonts w:hint="eastAsia" w:ascii="Times New Roman" w:hAnsi="Times New Roman" w:eastAsia="宋体" w:cs="宋体"/>
                <w:bCs/>
                <w:i w:val="0"/>
                <w:iCs w:val="0"/>
                <w:color w:val="auto"/>
                <w:sz w:val="24"/>
                <w:szCs w:val="21"/>
                <w:u w:val="none"/>
                <w:lang w:val="en-US" w:eastAsia="zh-CN"/>
              </w:rPr>
              <w:t>人群活动</w:t>
            </w:r>
            <w:r>
              <w:rPr>
                <w:rFonts w:hint="default" w:ascii="Times New Roman" w:hAnsi="Times New Roman" w:eastAsia="宋体" w:cs="宋体"/>
                <w:bCs/>
                <w:i w:val="0"/>
                <w:iCs w:val="0"/>
                <w:color w:val="auto"/>
                <w:sz w:val="24"/>
                <w:szCs w:val="21"/>
                <w:u w:val="none"/>
                <w:lang w:val="en-US" w:eastAsia="zh-CN"/>
              </w:rPr>
              <w:t>和各类设备运行噪声等，</w:t>
            </w:r>
            <w:r>
              <w:rPr>
                <w:rFonts w:hint="eastAsia" w:ascii="Times New Roman" w:hAnsi="Times New Roman" w:eastAsia="宋体" w:cs="宋体"/>
                <w:bCs/>
                <w:i w:val="0"/>
                <w:iCs w:val="0"/>
                <w:color w:val="auto"/>
                <w:sz w:val="24"/>
                <w:szCs w:val="21"/>
                <w:u w:val="none"/>
                <w:lang w:val="en-US" w:eastAsia="zh-CN"/>
              </w:rPr>
              <w:t>电梯机组</w:t>
            </w:r>
            <w:r>
              <w:rPr>
                <w:rFonts w:hint="default" w:ascii="Times New Roman" w:hAnsi="Times New Roman" w:eastAsia="宋体" w:cs="宋体"/>
                <w:bCs/>
                <w:i w:val="0"/>
                <w:iCs w:val="0"/>
                <w:color w:val="auto"/>
                <w:sz w:val="24"/>
                <w:szCs w:val="21"/>
                <w:u w:val="none"/>
                <w:lang w:val="en-US" w:eastAsia="zh-CN"/>
              </w:rPr>
              <w:t>以及配电房等设备噪声</w:t>
            </w:r>
            <w:r>
              <w:rPr>
                <w:rFonts w:hint="eastAsia" w:cs="宋体"/>
                <w:bCs/>
                <w:i w:val="0"/>
                <w:iCs w:val="0"/>
                <w:color w:val="auto"/>
                <w:sz w:val="24"/>
                <w:szCs w:val="21"/>
                <w:u w:val="none"/>
                <w:lang w:val="en-US" w:eastAsia="zh-CN"/>
              </w:rPr>
              <w:t>；污水处理厂噪声主要为各类泵、风机等的运行噪声。</w:t>
            </w:r>
            <w:r>
              <w:rPr>
                <w:rFonts w:hint="default" w:ascii="Times New Roman" w:hAnsi="Times New Roman" w:eastAsia="宋体" w:cs="宋体"/>
                <w:bCs/>
                <w:i w:val="0"/>
                <w:iCs w:val="0"/>
                <w:color w:val="auto"/>
                <w:sz w:val="24"/>
                <w:szCs w:val="21"/>
                <w:u w:val="none"/>
                <w:lang w:val="en-US" w:eastAsia="zh-CN"/>
              </w:rPr>
              <w:t>本评价根据对同类型设备的类比监测，了解各噪声源正常作业时的噪声源强，具体见表</w:t>
            </w:r>
            <w:r>
              <w:rPr>
                <w:rFonts w:hint="eastAsia" w:ascii="Times New Roman" w:hAnsi="Times New Roman" w:eastAsia="宋体" w:cs="宋体"/>
                <w:bCs/>
                <w:i w:val="0"/>
                <w:iCs w:val="0"/>
                <w:color w:val="auto"/>
                <w:sz w:val="24"/>
                <w:szCs w:val="21"/>
                <w:u w:val="none"/>
                <w:lang w:val="en-US" w:eastAsia="zh-CN"/>
              </w:rPr>
              <w:t>4-</w:t>
            </w:r>
            <w:r>
              <w:rPr>
                <w:rFonts w:hint="eastAsia" w:cs="宋体"/>
                <w:bCs/>
                <w:i w:val="0"/>
                <w:iCs w:val="0"/>
                <w:color w:val="auto"/>
                <w:sz w:val="24"/>
                <w:szCs w:val="21"/>
                <w:u w:val="none"/>
                <w:lang w:val="en-US" w:eastAsia="zh-CN"/>
              </w:rPr>
              <w:t>7</w:t>
            </w:r>
            <w:r>
              <w:rPr>
                <w:rFonts w:hint="default" w:ascii="Times New Roman" w:hAnsi="Times New Roman" w:eastAsia="宋体" w:cs="宋体"/>
                <w:bCs/>
                <w:i w:val="0"/>
                <w:iCs w:val="0"/>
                <w:color w:val="auto"/>
                <w:sz w:val="24"/>
                <w:szCs w:val="21"/>
                <w:u w:val="none"/>
                <w:lang w:val="en-US" w:eastAsia="zh-CN"/>
              </w:rPr>
              <w:t>。</w:t>
            </w:r>
          </w:p>
          <w:p>
            <w:pPr>
              <w:adjustRightInd w:val="0"/>
              <w:snapToGrid w:val="0"/>
              <w:jc w:val="center"/>
              <w:rPr>
                <w:rFonts w:hint="default" w:ascii="Times New Roman" w:hAnsi="Times New Roman" w:eastAsia="宋体" w:cs="Times New Roman"/>
                <w:b/>
                <w:color w:val="auto"/>
                <w:sz w:val="24"/>
                <w:szCs w:val="21"/>
                <w:lang w:val="en-US" w:eastAsia="zh-CN"/>
              </w:rPr>
            </w:pPr>
            <w:r>
              <w:rPr>
                <w:rFonts w:hint="default" w:ascii="Times New Roman" w:hAnsi="Times New Roman" w:eastAsia="宋体" w:cs="Times New Roman"/>
                <w:b/>
                <w:color w:val="auto"/>
                <w:sz w:val="24"/>
                <w:szCs w:val="21"/>
                <w:lang w:val="en-US" w:eastAsia="zh-CN"/>
              </w:rPr>
              <w:t>表</w:t>
            </w:r>
            <w:r>
              <w:rPr>
                <w:rFonts w:hint="eastAsia" w:ascii="Times New Roman" w:hAnsi="Times New Roman" w:eastAsia="宋体" w:cs="Times New Roman"/>
                <w:b/>
                <w:color w:val="auto"/>
                <w:sz w:val="24"/>
                <w:szCs w:val="21"/>
                <w:lang w:val="en-US" w:eastAsia="zh-CN"/>
              </w:rPr>
              <w:t>4-</w:t>
            </w:r>
            <w:r>
              <w:rPr>
                <w:rFonts w:hint="eastAsia" w:cs="Times New Roman"/>
                <w:b/>
                <w:color w:val="auto"/>
                <w:sz w:val="24"/>
                <w:szCs w:val="21"/>
                <w:lang w:val="en-US" w:eastAsia="zh-CN"/>
              </w:rPr>
              <w:t>7</w:t>
            </w:r>
            <w:r>
              <w:rPr>
                <w:rFonts w:hint="default" w:ascii="Times New Roman" w:hAnsi="Times New Roman" w:eastAsia="宋体" w:cs="Times New Roman"/>
                <w:b/>
                <w:color w:val="auto"/>
                <w:sz w:val="24"/>
                <w:szCs w:val="21"/>
                <w:lang w:val="en-US" w:eastAsia="zh-CN"/>
              </w:rPr>
              <w:t xml:space="preserve">  项目噪声源强  单位：dB(A)</w:t>
            </w:r>
          </w:p>
          <w:tbl>
            <w:tblPr>
              <w:tblStyle w:val="23"/>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2256"/>
              <w:gridCol w:w="1845"/>
              <w:gridCol w:w="24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噪声类型</w:t>
                  </w:r>
                </w:p>
              </w:tc>
              <w:tc>
                <w:tcPr>
                  <w:tcW w:w="2256"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位置</w:t>
                  </w:r>
                </w:p>
              </w:tc>
              <w:tc>
                <w:tcPr>
                  <w:tcW w:w="1845"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源强值</w:t>
                  </w:r>
                </w:p>
              </w:tc>
              <w:tc>
                <w:tcPr>
                  <w:tcW w:w="2402"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车辆噪声</w:t>
                  </w:r>
                </w:p>
              </w:tc>
              <w:tc>
                <w:tcPr>
                  <w:tcW w:w="2256"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小型汽车行驶(7.5m处)</w:t>
                  </w: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怠速50～60</w:t>
                  </w:r>
                </w:p>
              </w:tc>
              <w:tc>
                <w:tcPr>
                  <w:tcW w:w="2402" w:type="dxa"/>
                  <w:vMerge w:val="restart"/>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加强管理，加强安置区周边绿化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256"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正常60～70</w:t>
                  </w:r>
                </w:p>
              </w:tc>
              <w:tc>
                <w:tcPr>
                  <w:tcW w:w="240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256"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highlight w:val="none"/>
                    </w:rPr>
                    <w:t>鸣笛</w:t>
                  </w:r>
                  <w:r>
                    <w:rPr>
                      <w:rFonts w:hint="default" w:ascii="Times New Roman" w:hAnsi="Times New Roman" w:eastAsia="宋体" w:cs="Times New Roman"/>
                      <w:color w:val="auto"/>
                      <w:szCs w:val="21"/>
                    </w:rPr>
                    <w:t>70～75</w:t>
                  </w:r>
                </w:p>
              </w:tc>
              <w:tc>
                <w:tcPr>
                  <w:tcW w:w="240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设备噪声</w:t>
                  </w:r>
                </w:p>
              </w:tc>
              <w:tc>
                <w:tcPr>
                  <w:tcW w:w="2256"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配电房</w:t>
                  </w: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70～80</w:t>
                  </w:r>
                </w:p>
              </w:tc>
              <w:tc>
                <w:tcPr>
                  <w:tcW w:w="2402"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地面</w:t>
                  </w:r>
                  <w:r>
                    <w:rPr>
                      <w:rFonts w:hint="eastAsia" w:cs="Times New Roman"/>
                      <w:color w:val="auto"/>
                      <w:szCs w:val="21"/>
                      <w:lang w:val="en-US" w:eastAsia="zh-CN"/>
                    </w:rPr>
                    <w:t>封闭空间内，</w:t>
                  </w:r>
                  <w:r>
                    <w:rPr>
                      <w:rFonts w:hint="default" w:ascii="Times New Roman" w:hAnsi="Times New Roman" w:eastAsia="宋体" w:cs="Times New Roman"/>
                      <w:b w:val="0"/>
                      <w:bCs/>
                      <w:color w:val="000000"/>
                      <w:sz w:val="21"/>
                      <w:szCs w:val="21"/>
                      <w:highlight w:val="none"/>
                      <w:u w:val="none" w:color="auto"/>
                    </w:rPr>
                    <w:t>隔声、减振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256"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电梯机组</w:t>
                  </w: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75～80</w:t>
                  </w:r>
                </w:p>
              </w:tc>
              <w:tc>
                <w:tcPr>
                  <w:tcW w:w="2402"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楼顶封闭空间内，</w:t>
                  </w:r>
                  <w:r>
                    <w:rPr>
                      <w:rFonts w:hint="default" w:ascii="Times New Roman" w:hAnsi="Times New Roman" w:eastAsia="宋体" w:cs="Times New Roman"/>
                      <w:b w:val="0"/>
                      <w:bCs/>
                      <w:color w:val="000000"/>
                      <w:sz w:val="21"/>
                      <w:szCs w:val="21"/>
                      <w:highlight w:val="none"/>
                      <w:u w:val="none" w:color="auto"/>
                    </w:rPr>
                    <w:t>隔声、减振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大型</w:t>
                  </w:r>
                  <w:r>
                    <w:rPr>
                      <w:rFonts w:hint="eastAsia" w:ascii="Times New Roman" w:hAnsi="Times New Roman" w:eastAsia="宋体" w:cs="Times New Roman"/>
                      <w:color w:val="auto"/>
                      <w:szCs w:val="21"/>
                      <w:lang w:val="en-US" w:eastAsia="zh-CN"/>
                    </w:rPr>
                    <w:t>活动</w:t>
                  </w:r>
                  <w:r>
                    <w:rPr>
                      <w:rFonts w:hint="default" w:ascii="Times New Roman" w:hAnsi="Times New Roman" w:eastAsia="宋体" w:cs="Times New Roman"/>
                      <w:color w:val="auto"/>
                      <w:szCs w:val="21"/>
                    </w:rPr>
                    <w:t>（文娱活动）噪声</w:t>
                  </w:r>
                </w:p>
              </w:tc>
              <w:tc>
                <w:tcPr>
                  <w:tcW w:w="2256"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社会噪声</w:t>
                  </w: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85~</w:t>
                  </w:r>
                  <w:r>
                    <w:rPr>
                      <w:rFonts w:hint="eastAsia" w:ascii="Times New Roman" w:hAnsi="Times New Roman" w:eastAsia="宋体" w:cs="Times New Roman"/>
                      <w:color w:val="auto"/>
                      <w:szCs w:val="21"/>
                      <w:lang w:val="en-US" w:eastAsia="zh-CN"/>
                    </w:rPr>
                    <w:t>90</w:t>
                  </w:r>
                </w:p>
              </w:tc>
              <w:tc>
                <w:tcPr>
                  <w:tcW w:w="2402"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休闲空地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434" w:type="dxa"/>
                  <w:vMerge w:val="restart"/>
                  <w:tcBorders>
                    <w:tl2br w:val="nil"/>
                    <w:tr2bl w:val="nil"/>
                  </w:tcBorders>
                  <w:noWrap w:val="0"/>
                  <w:vAlign w:val="center"/>
                </w:tcPr>
                <w:p>
                  <w:pPr>
                    <w:jc w:val="center"/>
                    <w:rPr>
                      <w:rFonts w:hint="eastAsia" w:ascii="Times New Roman" w:hAnsi="Times New Roman" w:eastAsia="宋体" w:cs="Times New Roman"/>
                      <w:color w:val="auto"/>
                      <w:szCs w:val="21"/>
                      <w:lang w:val="en-US" w:eastAsia="zh-CN"/>
                    </w:rPr>
                  </w:pPr>
                  <w:r>
                    <w:rPr>
                      <w:rFonts w:hint="eastAsia" w:cs="Times New Roman"/>
                      <w:color w:val="auto"/>
                      <w:szCs w:val="21"/>
                      <w:lang w:val="en-US" w:eastAsia="zh-CN"/>
                    </w:rPr>
                    <w:t>污水处理</w:t>
                  </w:r>
                </w:p>
              </w:tc>
              <w:tc>
                <w:tcPr>
                  <w:tcW w:w="2256"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eastAsia" w:ascii="Times New Roman" w:hAnsi="Times New Roman" w:eastAsia="宋体" w:cs="Times New Roman"/>
                      <w:i w:val="0"/>
                      <w:color w:val="000000"/>
                      <w:kern w:val="0"/>
                      <w:sz w:val="21"/>
                      <w:szCs w:val="21"/>
                      <w:u w:val="none"/>
                      <w:lang w:val="en-US" w:eastAsia="zh-CN" w:bidi="ar"/>
                    </w:rPr>
                    <w:t>提升</w:t>
                  </w:r>
                  <w:r>
                    <w:rPr>
                      <w:rFonts w:hint="default" w:ascii="Times New Roman" w:hAnsi="Times New Roman" w:eastAsia="宋体" w:cs="Times New Roman"/>
                      <w:i w:val="0"/>
                      <w:color w:val="000000"/>
                      <w:kern w:val="0"/>
                      <w:sz w:val="21"/>
                      <w:szCs w:val="21"/>
                      <w:u w:val="none"/>
                      <w:lang w:val="en-US" w:eastAsia="zh-CN" w:bidi="ar"/>
                    </w:rPr>
                    <w:t>泵</w:t>
                  </w: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75～80</w:t>
                  </w:r>
                </w:p>
              </w:tc>
              <w:tc>
                <w:tcPr>
                  <w:tcW w:w="2402" w:type="dxa"/>
                  <w:tcBorders>
                    <w:tl2br w:val="nil"/>
                    <w:tr2bl w:val="nil"/>
                  </w:tcBorders>
                  <w:noWrap w:val="0"/>
                  <w:vAlign w:val="center"/>
                </w:tcPr>
                <w:p>
                  <w:pPr>
                    <w:jc w:val="center"/>
                    <w:rPr>
                      <w:rFonts w:hint="eastAsia" w:ascii="Times New Roman" w:hAnsi="Times New Roman" w:eastAsia="宋体" w:cs="Times New Roman"/>
                      <w:color w:val="auto"/>
                      <w:szCs w:val="21"/>
                      <w:lang w:val="en-US" w:eastAsia="zh-CN"/>
                    </w:rPr>
                  </w:pPr>
                  <w:r>
                    <w:rPr>
                      <w:rFonts w:hint="default" w:ascii="Times New Roman" w:hAnsi="Times New Roman" w:eastAsia="宋体" w:cs="Times New Roman"/>
                      <w:b w:val="0"/>
                      <w:bCs/>
                      <w:color w:val="000000"/>
                      <w:sz w:val="21"/>
                      <w:szCs w:val="21"/>
                      <w:highlight w:val="none"/>
                      <w:u w:val="none" w:color="auto"/>
                    </w:rPr>
                    <w:t>隔声、减振</w:t>
                  </w:r>
                  <w:r>
                    <w:rPr>
                      <w:rFonts w:hint="default" w:ascii="Times New Roman" w:hAnsi="Times New Roman" w:eastAsia="宋体" w:cs="Times New Roman"/>
                      <w:b w:val="0"/>
                      <w:bCs/>
                      <w:color w:val="000000"/>
                      <w:sz w:val="21"/>
                      <w:szCs w:val="21"/>
                      <w:highlight w:val="none"/>
                      <w:u w:val="none" w:color="auto"/>
                      <w:lang w:eastAsia="zh-CN"/>
                    </w:rPr>
                    <w:t>；地埋式安装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tcBorders>
                    <w:tl2br w:val="nil"/>
                    <w:tr2bl w:val="nil"/>
                  </w:tcBorders>
                  <w:noWrap w:val="0"/>
                  <w:vAlign w:val="center"/>
                </w:tcPr>
                <w:p>
                  <w:pPr>
                    <w:jc w:val="center"/>
                    <w:rPr>
                      <w:rFonts w:hint="eastAsia" w:cs="Times New Roman"/>
                      <w:color w:val="auto"/>
                      <w:szCs w:val="21"/>
                      <w:lang w:val="en-US" w:eastAsia="zh-CN"/>
                    </w:rPr>
                  </w:pPr>
                </w:p>
              </w:tc>
              <w:tc>
                <w:tcPr>
                  <w:tcW w:w="2256"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000000"/>
                      <w:sz w:val="21"/>
                      <w:szCs w:val="21"/>
                      <w:lang w:val="en-US" w:eastAsia="zh-CN"/>
                    </w:rPr>
                    <w:t>鼓风机</w:t>
                  </w: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85~</w:t>
                  </w:r>
                  <w:r>
                    <w:rPr>
                      <w:rFonts w:hint="eastAsia" w:ascii="Times New Roman" w:hAnsi="Times New Roman" w:eastAsia="宋体" w:cs="Times New Roman"/>
                      <w:color w:val="auto"/>
                      <w:szCs w:val="21"/>
                      <w:lang w:val="en-US" w:eastAsia="zh-CN"/>
                    </w:rPr>
                    <w:t>90</w:t>
                  </w:r>
                </w:p>
              </w:tc>
              <w:tc>
                <w:tcPr>
                  <w:tcW w:w="2402" w:type="dxa"/>
                  <w:tcBorders>
                    <w:tl2br w:val="nil"/>
                    <w:tr2bl w:val="nil"/>
                  </w:tcBorders>
                  <w:noWrap w:val="0"/>
                  <w:vAlign w:val="center"/>
                </w:tcPr>
                <w:p>
                  <w:pPr>
                    <w:jc w:val="center"/>
                    <w:rPr>
                      <w:rFonts w:hint="eastAsia" w:ascii="Times New Roman" w:hAnsi="Times New Roman" w:eastAsia="宋体" w:cs="Times New Roman"/>
                      <w:color w:val="auto"/>
                      <w:szCs w:val="21"/>
                      <w:lang w:val="en-US" w:eastAsia="zh-CN"/>
                    </w:rPr>
                  </w:pPr>
                  <w:r>
                    <w:rPr>
                      <w:rFonts w:hint="default" w:ascii="Times New Roman" w:hAnsi="Times New Roman" w:eastAsia="宋体" w:cs="Times New Roman"/>
                      <w:b w:val="0"/>
                      <w:bCs/>
                      <w:color w:val="000000"/>
                      <w:sz w:val="21"/>
                      <w:szCs w:val="21"/>
                      <w:highlight w:val="none"/>
                      <w:u w:val="none" w:color="auto"/>
                    </w:rPr>
                    <w:t>隔声、减振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tcBorders>
                    <w:tl2br w:val="nil"/>
                    <w:tr2bl w:val="nil"/>
                  </w:tcBorders>
                  <w:noWrap w:val="0"/>
                  <w:vAlign w:val="center"/>
                </w:tcPr>
                <w:p>
                  <w:pPr>
                    <w:jc w:val="center"/>
                    <w:rPr>
                      <w:rFonts w:hint="eastAsia" w:cs="Times New Roman"/>
                      <w:color w:val="auto"/>
                      <w:szCs w:val="21"/>
                      <w:lang w:val="en-US" w:eastAsia="zh-CN"/>
                    </w:rPr>
                  </w:pPr>
                </w:p>
              </w:tc>
              <w:tc>
                <w:tcPr>
                  <w:tcW w:w="2256"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污泥提升泵</w:t>
                  </w: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75～80</w:t>
                  </w:r>
                </w:p>
              </w:tc>
              <w:tc>
                <w:tcPr>
                  <w:tcW w:w="2402" w:type="dxa"/>
                  <w:tcBorders>
                    <w:tl2br w:val="nil"/>
                    <w:tr2bl w:val="nil"/>
                  </w:tcBorders>
                  <w:noWrap w:val="0"/>
                  <w:vAlign w:val="center"/>
                </w:tcPr>
                <w:p>
                  <w:pPr>
                    <w:jc w:val="center"/>
                    <w:rPr>
                      <w:rFonts w:hint="eastAsia" w:ascii="Times New Roman" w:hAnsi="Times New Roman" w:eastAsia="宋体" w:cs="Times New Roman"/>
                      <w:color w:val="auto"/>
                      <w:szCs w:val="21"/>
                      <w:lang w:val="en-US" w:eastAsia="zh-CN"/>
                    </w:rPr>
                  </w:pPr>
                  <w:r>
                    <w:rPr>
                      <w:rFonts w:hint="default" w:ascii="Times New Roman" w:hAnsi="Times New Roman" w:eastAsia="宋体" w:cs="Times New Roman"/>
                      <w:b w:val="0"/>
                      <w:bCs/>
                      <w:color w:val="000000"/>
                      <w:sz w:val="21"/>
                      <w:szCs w:val="21"/>
                      <w:highlight w:val="none"/>
                      <w:u w:val="none" w:color="auto"/>
                    </w:rPr>
                    <w:t>隔声、减振</w:t>
                  </w:r>
                  <w:r>
                    <w:rPr>
                      <w:rFonts w:hint="default" w:ascii="Times New Roman" w:hAnsi="Times New Roman" w:eastAsia="宋体" w:cs="Times New Roman"/>
                      <w:b w:val="0"/>
                      <w:bCs/>
                      <w:color w:val="000000"/>
                      <w:sz w:val="21"/>
                      <w:szCs w:val="21"/>
                      <w:highlight w:val="none"/>
                      <w:u w:val="none" w:color="auto"/>
                      <w:lang w:eastAsia="zh-CN"/>
                    </w:rPr>
                    <w:t>；地埋式安装</w:t>
                  </w:r>
                </w:p>
              </w:tc>
            </w:tr>
          </w:tbl>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w:t>
            </w:r>
            <w:r>
              <w:rPr>
                <w:rFonts w:hint="eastAsia" w:ascii="Times New Roman" w:hAnsi="Times New Roman" w:eastAsia="宋体" w:cs="宋体"/>
                <w:bCs/>
                <w:i w:val="0"/>
                <w:iCs w:val="0"/>
                <w:color w:val="auto"/>
                <w:sz w:val="24"/>
                <w:szCs w:val="21"/>
                <w:u w:val="none"/>
                <w:lang w:val="en-US" w:eastAsia="zh-CN"/>
              </w:rPr>
              <w:t>1</w:t>
            </w:r>
            <w:r>
              <w:rPr>
                <w:rFonts w:hint="default" w:ascii="Times New Roman" w:hAnsi="Times New Roman" w:eastAsia="宋体" w:cs="宋体"/>
                <w:bCs/>
                <w:i w:val="0"/>
                <w:iCs w:val="0"/>
                <w:color w:val="auto"/>
                <w:sz w:val="24"/>
                <w:szCs w:val="21"/>
                <w:u w:val="none"/>
                <w:lang w:val="en-US" w:eastAsia="zh-CN"/>
              </w:rPr>
              <w:t>）地面设备噪声</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地面设备噪声主要为</w:t>
            </w:r>
            <w:r>
              <w:rPr>
                <w:rFonts w:hint="eastAsia" w:ascii="Times New Roman" w:hAnsi="Times New Roman" w:eastAsia="宋体" w:cs="宋体"/>
                <w:bCs/>
                <w:i w:val="0"/>
                <w:iCs w:val="0"/>
                <w:color w:val="auto"/>
                <w:sz w:val="24"/>
                <w:szCs w:val="21"/>
                <w:u w:val="none"/>
                <w:lang w:val="en-US" w:eastAsia="zh-CN"/>
              </w:rPr>
              <w:t>配电房噪声以及电梯机组噪声</w:t>
            </w:r>
            <w:r>
              <w:rPr>
                <w:rFonts w:hint="default" w:ascii="Times New Roman" w:hAnsi="Times New Roman" w:eastAsia="宋体" w:cs="宋体"/>
                <w:bCs/>
                <w:i w:val="0"/>
                <w:iCs w:val="0"/>
                <w:color w:val="auto"/>
                <w:sz w:val="24"/>
                <w:szCs w:val="21"/>
                <w:u w:val="none"/>
                <w:lang w:val="en-US" w:eastAsia="zh-CN"/>
              </w:rPr>
              <w:t>。</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变配电室变压器声源强约为7</w:t>
            </w:r>
            <w:r>
              <w:rPr>
                <w:rFonts w:hint="default" w:ascii="Times New Roman" w:hAnsi="Times New Roman" w:eastAsia="宋体" w:cs="宋体"/>
                <w:bCs/>
                <w:i w:val="0"/>
                <w:iCs w:val="0"/>
                <w:color w:val="auto"/>
                <w:sz w:val="24"/>
                <w:szCs w:val="21"/>
                <w:u w:val="none"/>
                <w:lang w:val="en-US" w:eastAsia="zh-CN"/>
              </w:rPr>
              <w:t>5dB(A)</w:t>
            </w:r>
            <w:r>
              <w:rPr>
                <w:rFonts w:hint="eastAsia" w:ascii="Times New Roman" w:hAnsi="Times New Roman" w:eastAsia="宋体" w:cs="宋体"/>
                <w:bCs/>
                <w:i w:val="0"/>
                <w:iCs w:val="0"/>
                <w:color w:val="auto"/>
                <w:sz w:val="24"/>
                <w:szCs w:val="21"/>
                <w:u w:val="none"/>
                <w:lang w:val="en-US" w:eastAsia="zh-CN"/>
              </w:rPr>
              <w:t>，变配电室位于场地西南角，采用吸声、基础减震等措施，通过建筑物隔声后，对外界影响较小，不会影响到校区的正常运行。少量</w:t>
            </w:r>
            <w:r>
              <w:rPr>
                <w:rFonts w:hint="default" w:ascii="Times New Roman" w:hAnsi="Times New Roman" w:eastAsia="宋体" w:cs="宋体"/>
                <w:bCs/>
                <w:i w:val="0"/>
                <w:iCs w:val="0"/>
                <w:color w:val="auto"/>
                <w:sz w:val="24"/>
                <w:szCs w:val="21"/>
                <w:u w:val="none"/>
                <w:lang w:val="en-US" w:eastAsia="zh-CN"/>
              </w:rPr>
              <w:t>空调</w:t>
            </w:r>
            <w:r>
              <w:rPr>
                <w:rFonts w:hint="eastAsia" w:ascii="Times New Roman" w:hAnsi="Times New Roman" w:eastAsia="宋体" w:cs="宋体"/>
                <w:bCs/>
                <w:i w:val="0"/>
                <w:iCs w:val="0"/>
                <w:color w:val="auto"/>
                <w:sz w:val="24"/>
                <w:szCs w:val="21"/>
                <w:u w:val="none"/>
                <w:lang w:val="en-US" w:eastAsia="zh-CN"/>
              </w:rPr>
              <w:t>外机</w:t>
            </w:r>
            <w:r>
              <w:rPr>
                <w:rFonts w:hint="default" w:ascii="Times New Roman" w:hAnsi="Times New Roman" w:eastAsia="宋体" w:cs="宋体"/>
                <w:bCs/>
                <w:i w:val="0"/>
                <w:iCs w:val="0"/>
                <w:color w:val="auto"/>
                <w:sz w:val="24"/>
                <w:szCs w:val="21"/>
                <w:u w:val="none"/>
                <w:lang w:val="en-US" w:eastAsia="zh-CN"/>
              </w:rPr>
              <w:t>选用低噪声型号，并按设计位置布置，基础设减振垫；同时加强设备的日常检修和维护。</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本项目电梯机组安装于每栋楼房顶楼位置，设置于密闭房间内。经墙壁隔声后噪声可大大降低。</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w:t>
            </w:r>
            <w:r>
              <w:rPr>
                <w:rFonts w:hint="eastAsia" w:ascii="Times New Roman" w:hAnsi="Times New Roman" w:eastAsia="宋体" w:cs="宋体"/>
                <w:bCs/>
                <w:i w:val="0"/>
                <w:iCs w:val="0"/>
                <w:color w:val="auto"/>
                <w:sz w:val="24"/>
                <w:szCs w:val="21"/>
                <w:u w:val="none"/>
                <w:lang w:val="en-US" w:eastAsia="zh-CN"/>
              </w:rPr>
              <w:t>2</w:t>
            </w:r>
            <w:r>
              <w:rPr>
                <w:rFonts w:hint="default" w:ascii="Times New Roman" w:hAnsi="Times New Roman" w:eastAsia="宋体" w:cs="宋体"/>
                <w:bCs/>
                <w:i w:val="0"/>
                <w:iCs w:val="0"/>
                <w:color w:val="auto"/>
                <w:sz w:val="24"/>
                <w:szCs w:val="21"/>
                <w:u w:val="none"/>
                <w:lang w:val="en-US" w:eastAsia="zh-CN"/>
              </w:rPr>
              <w:t>）人群活动噪声</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营运期噪声源还有来自师生教学、生活的社会生活噪声，源强较小，此类噪声源对声环境的影响较小。主要噪声来源于</w:t>
            </w:r>
            <w:r>
              <w:rPr>
                <w:rFonts w:hint="eastAsia" w:ascii="Times New Roman" w:hAnsi="Times New Roman" w:eastAsia="宋体" w:cs="宋体"/>
                <w:bCs/>
                <w:i w:val="0"/>
                <w:iCs w:val="0"/>
                <w:color w:val="auto"/>
                <w:sz w:val="24"/>
                <w:szCs w:val="21"/>
                <w:u w:val="none"/>
                <w:lang w:val="en-US" w:eastAsia="zh-CN"/>
              </w:rPr>
              <w:t>上学放学交通高峰期、</w:t>
            </w:r>
            <w:r>
              <w:rPr>
                <w:rFonts w:hint="default" w:ascii="Times New Roman" w:hAnsi="Times New Roman" w:eastAsia="宋体" w:cs="宋体"/>
                <w:bCs/>
                <w:i w:val="0"/>
                <w:iCs w:val="0"/>
                <w:color w:val="auto"/>
                <w:sz w:val="24"/>
                <w:szCs w:val="21"/>
                <w:u w:val="none"/>
                <w:lang w:val="en-US" w:eastAsia="zh-CN"/>
              </w:rPr>
              <w:t>课间活动或大型场外活动产生的噪声，一般情况下对周边居民影响有限，不会造成扰民现象，处于其可接受水平内。</w:t>
            </w:r>
          </w:p>
          <w:p>
            <w:pPr>
              <w:pStyle w:val="56"/>
              <w:adjustRightInd w:val="0"/>
              <w:snapToGrid w:val="0"/>
              <w:spacing w:line="360" w:lineRule="auto"/>
              <w:ind w:firstLine="482"/>
              <w:rPr>
                <w:rFonts w:hint="default" w:ascii="Times New Roman" w:hAnsi="Times New Roman" w:eastAsia="宋体" w:cs="Times New Roman"/>
                <w:color w:val="auto"/>
                <w:sz w:val="24"/>
              </w:rPr>
            </w:pPr>
            <w:r>
              <w:rPr>
                <w:rFonts w:hint="eastAsia"/>
                <w:color w:val="auto"/>
                <w:sz w:val="24"/>
              </w:rPr>
              <w:t>在</w:t>
            </w:r>
            <w:r>
              <w:rPr>
                <w:rFonts w:hint="eastAsia"/>
                <w:color w:val="auto"/>
                <w:sz w:val="24"/>
                <w:lang w:val="en-US" w:eastAsia="zh-CN"/>
              </w:rPr>
              <w:t>采取了降噪措施后</w:t>
            </w:r>
            <w:r>
              <w:rPr>
                <w:rFonts w:hint="eastAsia"/>
                <w:color w:val="auto"/>
                <w:sz w:val="24"/>
              </w:rPr>
              <w:t>，</w:t>
            </w:r>
            <w:r>
              <w:rPr>
                <w:rFonts w:hint="eastAsia"/>
                <w:color w:val="auto"/>
                <w:sz w:val="24"/>
                <w:lang w:eastAsia="zh-CN"/>
              </w:rPr>
              <w:t>经距离衰减后，</w:t>
            </w:r>
            <w:r>
              <w:rPr>
                <w:rFonts w:hint="eastAsia"/>
                <w:color w:val="auto"/>
                <w:sz w:val="24"/>
              </w:rPr>
              <w:t>本项目噪声</w:t>
            </w:r>
            <w:r>
              <w:rPr>
                <w:rFonts w:hint="eastAsia"/>
                <w:color w:val="auto"/>
                <w:sz w:val="24"/>
                <w:lang w:eastAsia="zh-CN"/>
              </w:rPr>
              <w:t>在厂界可达标排放，</w:t>
            </w:r>
            <w:r>
              <w:rPr>
                <w:rFonts w:hint="eastAsia"/>
                <w:color w:val="auto"/>
                <w:sz w:val="24"/>
              </w:rPr>
              <w:t>对周边声环境影响较小。</w:t>
            </w:r>
          </w:p>
          <w:p>
            <w:pPr>
              <w:pStyle w:val="56"/>
              <w:numPr>
                <w:ilvl w:val="0"/>
                <w:numId w:val="5"/>
              </w:numPr>
              <w:adjustRightInd w:val="0"/>
              <w:snapToGrid w:val="0"/>
              <w:spacing w:line="360" w:lineRule="auto"/>
              <w:ind w:firstLine="482"/>
              <w:rPr>
                <w:rFonts w:hint="default" w:ascii="Times New Roman" w:hAnsi="Times New Roman" w:eastAsia="宋体" w:cs="Times New Roman"/>
                <w:color w:val="auto"/>
                <w:sz w:val="24"/>
              </w:rPr>
            </w:pPr>
            <w:r>
              <w:rPr>
                <w:rFonts w:hint="eastAsia" w:cs="Times New Roman"/>
                <w:color w:val="auto"/>
                <w:sz w:val="24"/>
                <w:lang w:val="en-US" w:eastAsia="zh-CN"/>
              </w:rPr>
              <w:t>污水处理站</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本项目所有设备均按照工业设备安装的有关规范安装，采取减振隔声措施，并将大多数噪声源设置在室内。对于室外噪声源等安装时尽可能的安装在远离厂界的位置，采用隔声房或隔声罩等隔声措施进行处理；另外在厂区四周设置绿化带，以降低噪声对环境的影响。</w:t>
            </w:r>
          </w:p>
          <w:p>
            <w:pPr>
              <w:adjustRightInd w:val="0"/>
              <w:snapToGrid w:val="0"/>
              <w:spacing w:line="360" w:lineRule="auto"/>
              <w:ind w:firstLine="480" w:firstLineChars="200"/>
              <w:jc w:val="left"/>
              <w:rPr>
                <w:rFonts w:hint="default" w:ascii="Times New Roman" w:hAnsi="Times New Roman" w:eastAsia="宋体" w:cs="Times New Roman"/>
                <w:color w:val="auto"/>
                <w:sz w:val="24"/>
                <w:lang w:val="en-US" w:eastAsia="zh-CN"/>
              </w:rPr>
            </w:pPr>
            <w:r>
              <w:rPr>
                <w:rFonts w:hint="default" w:ascii="Times New Roman" w:hAnsi="Times New Roman" w:eastAsia="宋体" w:cs="宋体"/>
                <w:bCs/>
                <w:i w:val="0"/>
                <w:iCs w:val="0"/>
                <w:color w:val="auto"/>
                <w:sz w:val="24"/>
                <w:szCs w:val="21"/>
                <w:u w:val="none"/>
                <w:lang w:val="en-US" w:eastAsia="zh-CN"/>
              </w:rPr>
              <w:t>综上所述，在落实各项噪声污染防治措施的情况下，项目厂界噪声可达到《工业企业厂界环境噪声排放标准》（GB12348－2008）</w:t>
            </w:r>
            <w:r>
              <w:rPr>
                <w:rFonts w:hint="eastAsia" w:ascii="Times New Roman" w:hAnsi="Times New Roman" w:eastAsia="宋体" w:cs="宋体"/>
                <w:bCs/>
                <w:i w:val="0"/>
                <w:iCs w:val="0"/>
                <w:color w:val="auto"/>
                <w:sz w:val="24"/>
                <w:szCs w:val="21"/>
                <w:u w:val="none"/>
                <w:lang w:val="en-US" w:eastAsia="zh-CN"/>
              </w:rPr>
              <w:t>2</w:t>
            </w:r>
            <w:r>
              <w:rPr>
                <w:rFonts w:hint="default" w:ascii="Times New Roman" w:hAnsi="Times New Roman" w:eastAsia="宋体" w:cs="宋体"/>
                <w:bCs/>
                <w:i w:val="0"/>
                <w:iCs w:val="0"/>
                <w:color w:val="auto"/>
                <w:sz w:val="24"/>
                <w:szCs w:val="21"/>
                <w:u w:val="none"/>
                <w:lang w:val="en-US" w:eastAsia="zh-CN"/>
              </w:rPr>
              <w:t>类标准，对周围声环境影响较小。</w:t>
            </w:r>
          </w:p>
          <w:p>
            <w:pPr>
              <w:numPr>
                <w:ilvl w:val="0"/>
                <w:numId w:val="0"/>
              </w:numPr>
              <w:adjustRightInd w:val="0"/>
              <w:snapToGrid w:val="0"/>
              <w:spacing w:line="360" w:lineRule="auto"/>
              <w:rPr>
                <w:rFonts w:cs="宋体"/>
                <w:b/>
                <w:color w:val="auto"/>
                <w:spacing w:val="-10"/>
                <w:sz w:val="24"/>
                <w:szCs w:val="21"/>
              </w:rPr>
            </w:pPr>
            <w:r>
              <w:rPr>
                <w:rFonts w:hint="eastAsia" w:cs="宋体"/>
                <w:b/>
                <w:color w:val="auto"/>
                <w:spacing w:val="-10"/>
                <w:sz w:val="24"/>
                <w:szCs w:val="21"/>
                <w:lang w:val="en-US" w:eastAsia="zh-CN"/>
              </w:rPr>
              <w:t>5、</w:t>
            </w:r>
            <w:r>
              <w:rPr>
                <w:rFonts w:hint="eastAsia" w:cs="宋体"/>
                <w:b/>
                <w:color w:val="auto"/>
                <w:spacing w:val="-10"/>
                <w:sz w:val="24"/>
                <w:szCs w:val="21"/>
              </w:rPr>
              <w:t>固体废弃物环境影响分析</w:t>
            </w:r>
          </w:p>
          <w:p>
            <w:pPr>
              <w:pStyle w:val="56"/>
              <w:adjustRightInd w:val="0"/>
              <w:snapToGrid w:val="0"/>
              <w:spacing w:line="360" w:lineRule="auto"/>
              <w:ind w:firstLine="482"/>
              <w:rPr>
                <w:b/>
                <w:color w:val="auto"/>
                <w:sz w:val="24"/>
                <w:szCs w:val="21"/>
              </w:rPr>
            </w:pPr>
            <w:r>
              <w:rPr>
                <w:rFonts w:hint="eastAsia"/>
                <w:b/>
                <w:color w:val="auto"/>
                <w:sz w:val="24"/>
                <w:szCs w:val="21"/>
                <w:lang w:val="en-US" w:eastAsia="zh-CN"/>
              </w:rPr>
              <w:t>5.1</w:t>
            </w:r>
            <w:r>
              <w:rPr>
                <w:rFonts w:hint="eastAsia" w:cs="宋体"/>
                <w:b/>
                <w:color w:val="auto"/>
                <w:spacing w:val="-10"/>
                <w:sz w:val="24"/>
                <w:szCs w:val="21"/>
              </w:rPr>
              <w:t>污染源</w:t>
            </w:r>
            <w:r>
              <w:rPr>
                <w:rFonts w:hint="eastAsia"/>
                <w:b/>
                <w:color w:val="auto"/>
                <w:sz w:val="24"/>
                <w:szCs w:val="21"/>
              </w:rPr>
              <w:t>分析</w:t>
            </w:r>
          </w:p>
          <w:p>
            <w:pPr>
              <w:adjustRightInd w:val="0"/>
              <w:snapToGrid w:val="0"/>
              <w:spacing w:line="360" w:lineRule="auto"/>
              <w:ind w:firstLine="440" w:firstLineChars="200"/>
              <w:rPr>
                <w:bCs/>
                <w:color w:val="auto"/>
                <w:sz w:val="24"/>
                <w:szCs w:val="21"/>
              </w:rPr>
            </w:pPr>
            <w:r>
              <w:rPr>
                <w:rFonts w:hint="eastAsia" w:cs="宋体"/>
                <w:bCs/>
                <w:color w:val="auto"/>
                <w:spacing w:val="-10"/>
                <w:sz w:val="24"/>
                <w:szCs w:val="21"/>
              </w:rPr>
              <w:t>根据工程分析，</w:t>
            </w:r>
            <w:r>
              <w:rPr>
                <w:rFonts w:hint="eastAsia" w:cs="宋体"/>
                <w:bCs/>
                <w:color w:val="auto"/>
                <w:spacing w:val="-10"/>
                <w:sz w:val="24"/>
                <w:szCs w:val="21"/>
                <w:lang w:val="en-US" w:eastAsia="zh-CN"/>
              </w:rPr>
              <w:t>项目给排水管网、绿化等配套设施运营期基本无固废产生，</w:t>
            </w:r>
            <w:r>
              <w:rPr>
                <w:rFonts w:hint="eastAsia" w:cs="宋体"/>
                <w:bCs/>
                <w:color w:val="auto"/>
                <w:spacing w:val="-10"/>
                <w:sz w:val="24"/>
                <w:szCs w:val="21"/>
              </w:rPr>
              <w:t>项目运营期间产生</w:t>
            </w:r>
            <w:r>
              <w:rPr>
                <w:rFonts w:hint="eastAsia" w:cs="宋体"/>
                <w:bCs/>
                <w:color w:val="auto"/>
                <w:spacing w:val="-10"/>
                <w:sz w:val="24"/>
                <w:szCs w:val="21"/>
                <w:lang w:val="en-US" w:eastAsia="zh-CN"/>
              </w:rPr>
              <w:t>的固体废物</w:t>
            </w:r>
            <w:r>
              <w:rPr>
                <w:rFonts w:hint="eastAsia" w:cs="宋体"/>
                <w:bCs/>
                <w:color w:val="auto"/>
                <w:spacing w:val="-10"/>
                <w:sz w:val="24"/>
                <w:szCs w:val="21"/>
              </w:rPr>
              <w:t>主要为</w:t>
            </w:r>
            <w:r>
              <w:rPr>
                <w:rFonts w:hint="eastAsia" w:cs="宋体"/>
                <w:bCs/>
                <w:color w:val="auto"/>
                <w:spacing w:val="-10"/>
                <w:sz w:val="24"/>
                <w:szCs w:val="21"/>
                <w:lang w:val="en-US" w:eastAsia="zh-CN"/>
              </w:rPr>
              <w:t>安置区内居民</w:t>
            </w:r>
            <w:r>
              <w:rPr>
                <w:rFonts w:hint="eastAsia" w:ascii="Times New Roman" w:hAnsi="Times New Roman" w:eastAsia="宋体" w:cs="Times New Roman"/>
                <w:bCs/>
                <w:color w:val="auto"/>
                <w:sz w:val="24"/>
                <w:szCs w:val="21"/>
              </w:rPr>
              <w:t>生活垃圾</w:t>
            </w:r>
            <w:r>
              <w:rPr>
                <w:rFonts w:hint="eastAsia" w:ascii="Times New Roman" w:hAnsi="Times New Roman" w:eastAsia="宋体" w:cs="Times New Roman"/>
                <w:bCs/>
                <w:color w:val="auto"/>
                <w:sz w:val="24"/>
                <w:szCs w:val="21"/>
                <w:lang w:val="en-US" w:eastAsia="zh-CN"/>
              </w:rPr>
              <w:t>以及配套污水处理站产生的</w:t>
            </w:r>
            <w:r>
              <w:rPr>
                <w:rFonts w:hint="default" w:ascii="Times New Roman" w:hAnsi="Times New Roman" w:eastAsia="宋体" w:cs="Times New Roman"/>
                <w:bCs/>
                <w:color w:val="auto"/>
                <w:sz w:val="24"/>
                <w:szCs w:val="21"/>
                <w:lang w:eastAsia="zh-CN"/>
              </w:rPr>
              <w:t>格栅栅渣、</w:t>
            </w:r>
            <w:r>
              <w:rPr>
                <w:rFonts w:hint="default" w:ascii="Times New Roman" w:hAnsi="Times New Roman" w:eastAsia="宋体" w:cs="Times New Roman"/>
                <w:bCs/>
                <w:color w:val="auto"/>
                <w:sz w:val="24"/>
                <w:szCs w:val="21"/>
              </w:rPr>
              <w:t>污泥、机修含油废物、</w:t>
            </w:r>
            <w:r>
              <w:rPr>
                <w:rFonts w:hint="default" w:ascii="Times New Roman" w:hAnsi="Times New Roman" w:eastAsia="宋体" w:cs="Times New Roman"/>
                <w:bCs/>
                <w:color w:val="auto"/>
                <w:sz w:val="24"/>
                <w:szCs w:val="21"/>
                <w:lang w:eastAsia="zh-CN"/>
              </w:rPr>
              <w:t>废紫外灯管等</w:t>
            </w:r>
            <w:r>
              <w:rPr>
                <w:rFonts w:hint="eastAsia" w:ascii="Times New Roman" w:hAnsi="Times New Roman" w:eastAsia="宋体" w:cs="Times New Roman"/>
                <w:bCs/>
                <w:color w:val="auto"/>
                <w:sz w:val="24"/>
                <w:szCs w:val="21"/>
              </w:rPr>
              <w:t>。</w:t>
            </w:r>
          </w:p>
          <w:p>
            <w:pPr>
              <w:pStyle w:val="20"/>
              <w:widowControl w:val="0"/>
              <w:numPr>
                <w:ilvl w:val="0"/>
                <w:numId w:val="6"/>
              </w:numPr>
              <w:adjustRightInd w:val="0"/>
              <w:snapToGrid w:val="0"/>
              <w:spacing w:before="0" w:beforeAutospacing="0" w:after="0" w:afterAutospacing="0" w:line="360" w:lineRule="auto"/>
              <w:ind w:left="360" w:leftChars="0" w:firstLine="480" w:firstLineChars="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生活垃圾</w:t>
            </w:r>
          </w:p>
          <w:p>
            <w:pPr>
              <w:adjustRightInd w:val="0"/>
              <w:snapToGrid w:val="0"/>
              <w:spacing w:line="360" w:lineRule="auto"/>
              <w:ind w:firstLine="480" w:firstLineChars="200"/>
              <w:rPr>
                <w:rFonts w:hint="default" w:ascii="Times New Roman" w:hAnsi="Times New Roman" w:eastAsia="宋体" w:cs="Times New Roman"/>
                <w:color w:val="auto"/>
                <w:sz w:val="24"/>
              </w:rPr>
            </w:pPr>
            <w:r>
              <w:rPr>
                <w:rFonts w:hint="eastAsia" w:ascii="Times New Roman" w:hAnsi="Times New Roman" w:cs="Times New Roman"/>
                <w:color w:val="auto"/>
                <w:sz w:val="24"/>
                <w:lang w:val="en-US" w:eastAsia="zh-CN"/>
              </w:rPr>
              <w:t>污水处理厂内常驻员工较少，一般为2-3名，且不在厂区内食宿，本项目主要</w:t>
            </w:r>
            <w:r>
              <w:rPr>
                <w:rFonts w:hint="default" w:ascii="Times New Roman" w:hAnsi="Times New Roman" w:eastAsia="宋体" w:cs="Times New Roman"/>
                <w:color w:val="auto"/>
                <w:sz w:val="24"/>
              </w:rPr>
              <w:t>生活垃圾</w:t>
            </w:r>
            <w:r>
              <w:rPr>
                <w:rFonts w:hint="eastAsia" w:ascii="Times New Roman" w:hAnsi="Times New Roman" w:cs="Times New Roman"/>
                <w:color w:val="auto"/>
                <w:sz w:val="24"/>
                <w:lang w:val="en-US" w:eastAsia="zh-CN"/>
              </w:rPr>
              <w:t>来源为</w:t>
            </w:r>
            <w:r>
              <w:rPr>
                <w:rFonts w:hint="eastAsia" w:ascii="Times New Roman" w:hAnsi="Times New Roman" w:eastAsia="宋体" w:cs="Times New Roman"/>
                <w:color w:val="auto"/>
                <w:sz w:val="24"/>
                <w:lang w:val="en-US" w:eastAsia="zh-CN"/>
              </w:rPr>
              <w:t>安置区内</w:t>
            </w:r>
            <w:r>
              <w:rPr>
                <w:rFonts w:hint="eastAsia" w:ascii="Times New Roman" w:hAnsi="Times New Roman" w:cs="Times New Roman"/>
                <w:color w:val="auto"/>
                <w:sz w:val="24"/>
                <w:lang w:val="en-US" w:eastAsia="zh-CN"/>
              </w:rPr>
              <w:t>建好后</w:t>
            </w:r>
            <w:r>
              <w:rPr>
                <w:rFonts w:hint="eastAsia" w:ascii="Times New Roman" w:hAnsi="Times New Roman" w:eastAsia="宋体" w:cs="Times New Roman"/>
                <w:color w:val="auto"/>
                <w:sz w:val="24"/>
                <w:lang w:val="en-US" w:eastAsia="zh-CN"/>
              </w:rPr>
              <w:t>居民居住过程</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eastAsia="zh-CN"/>
              </w:rPr>
              <w:t>项目内</w:t>
            </w:r>
            <w:r>
              <w:rPr>
                <w:rFonts w:hint="eastAsia" w:ascii="Times New Roman" w:hAnsi="Times New Roman" w:eastAsia="宋体" w:cs="Times New Roman"/>
                <w:color w:val="auto"/>
                <w:sz w:val="24"/>
                <w:lang w:val="en-US" w:eastAsia="zh-CN"/>
              </w:rPr>
              <w:t>设计住户</w:t>
            </w:r>
            <w:r>
              <w:rPr>
                <w:rFonts w:hint="eastAsia" w:ascii="Times New Roman" w:hAnsi="Times New Roman" w:cs="Times New Roman"/>
                <w:color w:val="auto"/>
                <w:sz w:val="24"/>
                <w:lang w:val="en-US" w:eastAsia="zh-CN"/>
              </w:rPr>
              <w:t>2236</w:t>
            </w:r>
            <w:r>
              <w:rPr>
                <w:rFonts w:hint="eastAsia" w:ascii="Times New Roman" w:hAnsi="Times New Roman" w:eastAsia="宋体" w:cs="Times New Roman"/>
                <w:color w:val="auto"/>
                <w:sz w:val="24"/>
                <w:lang w:val="en-US" w:eastAsia="zh-CN"/>
              </w:rPr>
              <w:t>户，</w:t>
            </w:r>
            <w:r>
              <w:rPr>
                <w:rFonts w:hint="eastAsia" w:ascii="Times New Roman" w:hAnsi="Times New Roman" w:cs="Times New Roman"/>
                <w:color w:val="auto"/>
                <w:sz w:val="24"/>
                <w:lang w:val="en-US" w:eastAsia="zh-CN"/>
              </w:rPr>
              <w:t>根据华容县实际情况，按入住率50%及，</w:t>
            </w:r>
            <w:r>
              <w:rPr>
                <w:rFonts w:hint="eastAsia" w:ascii="Times New Roman" w:hAnsi="Times New Roman" w:eastAsia="宋体" w:cs="Times New Roman"/>
                <w:color w:val="auto"/>
                <w:sz w:val="24"/>
                <w:lang w:val="en-US" w:eastAsia="zh-CN"/>
              </w:rPr>
              <w:t>居民数</w:t>
            </w:r>
            <w:r>
              <w:rPr>
                <w:rFonts w:hint="eastAsia" w:ascii="Times New Roman" w:hAnsi="Times New Roman" w:eastAsia="宋体" w:cs="Times New Roman"/>
                <w:color w:val="auto"/>
                <w:sz w:val="24"/>
                <w:lang w:eastAsia="zh-CN"/>
              </w:rPr>
              <w:t>约</w:t>
            </w:r>
            <w:r>
              <w:rPr>
                <w:rFonts w:hint="eastAsia" w:ascii="Times New Roman" w:hAnsi="Times New Roman" w:cs="Times New Roman"/>
                <w:color w:val="auto"/>
                <w:sz w:val="24"/>
                <w:lang w:val="en-US" w:eastAsia="zh-CN"/>
              </w:rPr>
              <w:t>3500</w:t>
            </w:r>
            <w:r>
              <w:rPr>
                <w:rFonts w:hint="eastAsia" w:ascii="Times New Roman" w:hAnsi="Times New Roman" w:eastAsia="宋体" w:cs="Times New Roman"/>
                <w:color w:val="auto"/>
                <w:sz w:val="24"/>
                <w:lang w:val="en-US" w:eastAsia="zh-CN"/>
              </w:rPr>
              <w:t>人</w:t>
            </w:r>
            <w:r>
              <w:rPr>
                <w:rFonts w:hint="default" w:ascii="Times New Roman" w:hAnsi="Times New Roman" w:eastAsia="宋体" w:cs="Times New Roman"/>
                <w:color w:val="auto"/>
                <w:sz w:val="24"/>
              </w:rPr>
              <w:t>，人均产垃圾量以</w:t>
            </w:r>
            <w:r>
              <w:rPr>
                <w:rFonts w:hint="eastAsia" w:ascii="Times New Roman" w:hAnsi="Times New Roman" w:eastAsia="宋体" w:cs="Times New Roman"/>
                <w:color w:val="auto"/>
                <w:sz w:val="24"/>
                <w:lang w:val="en-US" w:eastAsia="zh-CN"/>
              </w:rPr>
              <w:t>1.0</w:t>
            </w:r>
            <w:r>
              <w:rPr>
                <w:rFonts w:hint="default" w:ascii="Times New Roman" w:hAnsi="Times New Roman" w:eastAsia="宋体" w:cs="Times New Roman"/>
                <w:color w:val="auto"/>
                <w:sz w:val="24"/>
              </w:rPr>
              <w:t>kg/人·d计</w:t>
            </w:r>
            <w:r>
              <w:rPr>
                <w:rFonts w:hint="eastAsia" w:ascii="Times New Roman" w:hAnsi="Times New Roman" w:eastAsia="宋体" w:cs="Times New Roman"/>
                <w:color w:val="auto"/>
                <w:sz w:val="24"/>
                <w:lang w:eastAsia="zh-CN"/>
              </w:rPr>
              <w:t>，则</w:t>
            </w:r>
            <w:r>
              <w:rPr>
                <w:rFonts w:hint="default" w:ascii="Times New Roman" w:hAnsi="Times New Roman" w:eastAsia="宋体" w:cs="Times New Roman"/>
                <w:color w:val="auto"/>
                <w:sz w:val="24"/>
              </w:rPr>
              <w:t>生活垃圾产生量约为</w:t>
            </w:r>
            <w:r>
              <w:rPr>
                <w:rFonts w:hint="eastAsia" w:ascii="Times New Roman" w:hAnsi="Times New Roman" w:cs="Times New Roman"/>
                <w:color w:val="auto"/>
                <w:sz w:val="24"/>
                <w:lang w:val="en-US" w:eastAsia="zh-CN"/>
              </w:rPr>
              <w:t>3.5</w:t>
            </w:r>
            <w:r>
              <w:rPr>
                <w:rFonts w:hint="default" w:ascii="Times New Roman" w:hAnsi="Times New Roman" w:eastAsia="宋体" w:cs="Times New Roman"/>
                <w:color w:val="auto"/>
                <w:sz w:val="24"/>
              </w:rPr>
              <w:t>t/d、</w:t>
            </w:r>
            <w:r>
              <w:rPr>
                <w:rFonts w:hint="eastAsia" w:ascii="Times New Roman" w:hAnsi="Times New Roman" w:cs="Times New Roman"/>
                <w:color w:val="auto"/>
                <w:sz w:val="24"/>
                <w:lang w:val="en-US" w:eastAsia="zh-CN"/>
              </w:rPr>
              <w:t>1277.5</w:t>
            </w:r>
            <w:r>
              <w:rPr>
                <w:rFonts w:hint="default" w:ascii="Times New Roman" w:hAnsi="Times New Roman" w:eastAsia="宋体" w:cs="Times New Roman"/>
                <w:color w:val="auto"/>
                <w:sz w:val="24"/>
              </w:rPr>
              <w:t>t/a。生活垃圾由</w:t>
            </w:r>
            <w:r>
              <w:rPr>
                <w:rFonts w:hint="eastAsia" w:ascii="Times New Roman" w:hAnsi="Times New Roman" w:eastAsia="宋体" w:cs="Times New Roman"/>
                <w:color w:val="auto"/>
                <w:sz w:val="24"/>
                <w:lang w:val="en-US" w:eastAsia="zh-CN"/>
              </w:rPr>
              <w:t>安置区内</w:t>
            </w:r>
            <w:r>
              <w:rPr>
                <w:rFonts w:hint="default" w:ascii="Times New Roman" w:hAnsi="Times New Roman" w:eastAsia="宋体" w:cs="Times New Roman"/>
                <w:color w:val="auto"/>
                <w:sz w:val="24"/>
              </w:rPr>
              <w:t>垃圾桶收集，由环卫人员送至</w:t>
            </w:r>
            <w:r>
              <w:rPr>
                <w:rFonts w:hint="eastAsia" w:ascii="Times New Roman" w:hAnsi="Times New Roman" w:eastAsia="宋体" w:cs="Times New Roman"/>
                <w:color w:val="auto"/>
                <w:sz w:val="24"/>
                <w:lang w:val="en-US" w:eastAsia="zh-CN"/>
              </w:rPr>
              <w:t>安置区附近</w:t>
            </w:r>
            <w:r>
              <w:rPr>
                <w:rFonts w:hint="default" w:ascii="Times New Roman" w:hAnsi="Times New Roman" w:eastAsia="宋体" w:cs="Times New Roman"/>
                <w:color w:val="auto"/>
                <w:sz w:val="24"/>
              </w:rPr>
              <w:t>垃圾站压缩处理，</w:t>
            </w:r>
            <w:r>
              <w:rPr>
                <w:rFonts w:hint="eastAsia" w:ascii="Times New Roman" w:hAnsi="Times New Roman" w:eastAsia="宋体" w:cs="Times New Roman"/>
                <w:color w:val="auto"/>
                <w:sz w:val="24"/>
                <w:lang w:eastAsia="zh-CN"/>
              </w:rPr>
              <w:t>之后</w:t>
            </w:r>
            <w:r>
              <w:rPr>
                <w:rFonts w:hint="default" w:ascii="Times New Roman" w:hAnsi="Times New Roman" w:eastAsia="宋体" w:cs="Times New Roman"/>
                <w:color w:val="auto"/>
                <w:sz w:val="24"/>
              </w:rPr>
              <w:t>由环卫部门统一收集外运处理。</w:t>
            </w:r>
          </w:p>
          <w:p>
            <w:pPr>
              <w:adjustRightInd w:val="0"/>
              <w:snapToGrid w:val="0"/>
              <w:spacing w:line="360" w:lineRule="auto"/>
              <w:ind w:firstLine="480" w:firstLineChars="200"/>
              <w:rPr>
                <w:rFonts w:hint="default"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val="en-US" w:eastAsia="zh-CN"/>
              </w:rPr>
              <w:t>（2）格栅拦渣及沉渣</w:t>
            </w:r>
          </w:p>
          <w:p>
            <w:pPr>
              <w:adjustRightInd w:val="0"/>
              <w:snapToGrid w:val="0"/>
              <w:spacing w:line="360" w:lineRule="auto"/>
              <w:ind w:firstLine="480" w:firstLineChars="200"/>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eastAsia="zh-CN"/>
              </w:rPr>
              <w:t>格栅渣多为块状固体物质，其中包括无机物质和有机物质，性状类似生活垃圾，拦截直径大于10mm的杂物。</w:t>
            </w:r>
            <w:r>
              <w:rPr>
                <w:rFonts w:hint="eastAsia" w:ascii="Times New Roman" w:hAnsi="Times New Roman" w:eastAsia="宋体" w:cs="Times New Roman"/>
                <w:color w:val="auto"/>
                <w:sz w:val="24"/>
                <w:lang w:val="en-US" w:eastAsia="zh-CN"/>
              </w:rPr>
              <w:t>根据《污水处理厂工艺设计手册》（高俊发，王社平主编，化学工业出版社，</w:t>
            </w:r>
            <w:r>
              <w:rPr>
                <w:rFonts w:hint="default" w:ascii="Times New Roman" w:hAnsi="Times New Roman" w:eastAsia="宋体" w:cs="Times New Roman"/>
                <w:color w:val="auto"/>
                <w:sz w:val="24"/>
                <w:lang w:val="en-US" w:eastAsia="zh-CN"/>
              </w:rPr>
              <w:t>2003</w:t>
            </w:r>
            <w:r>
              <w:rPr>
                <w:rFonts w:hint="eastAsia" w:ascii="Times New Roman" w:hAnsi="Times New Roman" w:eastAsia="宋体" w:cs="Times New Roman"/>
                <w:color w:val="auto"/>
                <w:sz w:val="24"/>
                <w:lang w:val="en-US" w:eastAsia="zh-CN"/>
              </w:rPr>
              <w:t>年），污水处理系统格栅拦渣产生一般为0</w:t>
            </w:r>
            <w:r>
              <w:rPr>
                <w:rFonts w:hint="default" w:ascii="Times New Roman" w:hAnsi="Times New Roman" w:eastAsia="宋体" w:cs="Times New Roman"/>
                <w:color w:val="auto"/>
                <w:sz w:val="24"/>
                <w:lang w:val="en-US" w:eastAsia="zh-CN"/>
              </w:rPr>
              <w:t>.05~0.1m</w:t>
            </w:r>
            <w:r>
              <w:rPr>
                <w:rFonts w:hint="eastAsia" w:ascii="Times New Roman" w:hAnsi="Times New Roman" w:eastAsia="宋体" w:cs="Times New Roman"/>
                <w:color w:val="auto"/>
                <w:sz w:val="24"/>
                <w:vertAlign w:val="superscript"/>
                <w:lang w:val="en-US" w:eastAsia="zh-CN"/>
              </w:rPr>
              <w:t>3</w:t>
            </w:r>
            <w:r>
              <w:rPr>
                <w:rFonts w:hint="default" w:ascii="Times New Roman" w:hAnsi="Times New Roman" w:eastAsia="宋体" w:cs="Times New Roman"/>
                <w:color w:val="auto"/>
                <w:sz w:val="24"/>
                <w:lang w:val="en-US" w:eastAsia="zh-CN"/>
              </w:rPr>
              <w:t>/1000m</w:t>
            </w:r>
            <w:r>
              <w:rPr>
                <w:rFonts w:hint="eastAsia" w:ascii="Times New Roman" w:hAnsi="Times New Roman" w:eastAsia="宋体" w:cs="Times New Roman"/>
                <w:color w:val="auto"/>
                <w:sz w:val="24"/>
                <w:vertAlign w:val="superscript"/>
                <w:lang w:val="en-US" w:eastAsia="zh-CN"/>
              </w:rPr>
              <w:t>3</w:t>
            </w:r>
            <w:r>
              <w:rPr>
                <w:rFonts w:hint="default" w:ascii="Times New Roman" w:hAnsi="Times New Roman" w:eastAsia="宋体" w:cs="Times New Roman"/>
                <w:color w:val="auto"/>
                <w:sz w:val="24"/>
                <w:lang w:val="en-US" w:eastAsia="zh-CN"/>
              </w:rPr>
              <w:t>·d</w:t>
            </w:r>
            <w:r>
              <w:rPr>
                <w:rFonts w:hint="eastAsia" w:ascii="Times New Roman" w:hAnsi="Times New Roman" w:eastAsia="宋体" w:cs="Times New Roman"/>
                <w:color w:val="auto"/>
                <w:sz w:val="24"/>
                <w:lang w:val="en-US" w:eastAsia="zh-CN"/>
              </w:rPr>
              <w:t>，本项目取</w:t>
            </w:r>
            <w:r>
              <w:rPr>
                <w:rFonts w:hint="default" w:ascii="Times New Roman" w:hAnsi="Times New Roman" w:eastAsia="宋体" w:cs="Times New Roman"/>
                <w:color w:val="auto"/>
                <w:sz w:val="24"/>
                <w:lang w:val="en-US" w:eastAsia="zh-CN"/>
              </w:rPr>
              <w:t>0.07m</w:t>
            </w:r>
            <w:r>
              <w:rPr>
                <w:rFonts w:hint="eastAsia" w:ascii="Times New Roman" w:hAnsi="Times New Roman" w:eastAsia="宋体" w:cs="Times New Roman"/>
                <w:color w:val="auto"/>
                <w:sz w:val="24"/>
                <w:vertAlign w:val="superscript"/>
                <w:lang w:val="en-US" w:eastAsia="zh-CN"/>
              </w:rPr>
              <w:t>3</w:t>
            </w:r>
            <w:r>
              <w:rPr>
                <w:rFonts w:hint="default" w:ascii="Times New Roman" w:hAnsi="Times New Roman" w:eastAsia="宋体" w:cs="Times New Roman"/>
                <w:color w:val="auto"/>
                <w:sz w:val="24"/>
                <w:lang w:val="en-US" w:eastAsia="zh-CN"/>
              </w:rPr>
              <w:t>/1000m</w:t>
            </w:r>
            <w:r>
              <w:rPr>
                <w:rFonts w:hint="eastAsia" w:ascii="Times New Roman" w:hAnsi="Times New Roman" w:eastAsia="宋体" w:cs="Times New Roman"/>
                <w:color w:val="auto"/>
                <w:sz w:val="24"/>
                <w:vertAlign w:val="superscript"/>
                <w:lang w:val="en-US" w:eastAsia="zh-CN"/>
              </w:rPr>
              <w:t>3</w:t>
            </w:r>
            <w:r>
              <w:rPr>
                <w:rFonts w:hint="default" w:ascii="Times New Roman" w:hAnsi="Times New Roman" w:eastAsia="宋体" w:cs="Times New Roman"/>
                <w:color w:val="auto"/>
                <w:sz w:val="24"/>
                <w:lang w:val="en-US" w:eastAsia="zh-CN"/>
              </w:rPr>
              <w:t>·d</w:t>
            </w:r>
            <w:r>
              <w:rPr>
                <w:rFonts w:hint="eastAsia" w:ascii="Times New Roman" w:hAnsi="Times New Roman" w:eastAsia="宋体" w:cs="Times New Roman"/>
                <w:color w:val="auto"/>
                <w:sz w:val="24"/>
                <w:lang w:val="en-US" w:eastAsia="zh-CN"/>
              </w:rPr>
              <w:t>，栅渣容重取</w:t>
            </w:r>
            <w:r>
              <w:rPr>
                <w:rFonts w:hint="default" w:ascii="Times New Roman" w:hAnsi="Times New Roman" w:eastAsia="宋体" w:cs="Times New Roman"/>
                <w:color w:val="auto"/>
                <w:sz w:val="24"/>
                <w:lang w:val="en-US" w:eastAsia="zh-CN"/>
              </w:rPr>
              <w:t>960kg/m</w:t>
            </w:r>
            <w:r>
              <w:rPr>
                <w:rFonts w:hint="eastAsia" w:ascii="Times New Roman" w:hAnsi="Times New Roman" w:eastAsia="宋体" w:cs="Times New Roman"/>
                <w:color w:val="auto"/>
                <w:sz w:val="24"/>
                <w:vertAlign w:val="superscript"/>
                <w:lang w:val="en-US" w:eastAsia="zh-CN"/>
              </w:rPr>
              <w:t>3</w:t>
            </w:r>
            <w:r>
              <w:rPr>
                <w:rFonts w:hint="eastAsia" w:ascii="Times New Roman" w:hAnsi="Times New Roman" w:eastAsia="宋体" w:cs="Times New Roman"/>
                <w:color w:val="auto"/>
                <w:sz w:val="24"/>
                <w:lang w:val="en-US" w:eastAsia="zh-CN"/>
              </w:rPr>
              <w:t>，则栅渣量</w:t>
            </w:r>
            <w:r>
              <w:rPr>
                <w:rFonts w:hint="default" w:ascii="Times New Roman" w:hAnsi="Times New Roman" w:eastAsia="宋体" w:cs="Times New Roman"/>
                <w:color w:val="auto"/>
                <w:sz w:val="24"/>
                <w:lang w:val="en-US" w:eastAsia="zh-CN"/>
              </w:rPr>
              <w:t>0.</w:t>
            </w:r>
            <w:r>
              <w:rPr>
                <w:rFonts w:hint="eastAsia" w:ascii="Times New Roman" w:hAnsi="Times New Roman" w:eastAsia="宋体" w:cs="Times New Roman"/>
                <w:color w:val="auto"/>
                <w:sz w:val="24"/>
                <w:lang w:val="en-US" w:eastAsia="zh-CN"/>
              </w:rPr>
              <w:t>020</w:t>
            </w:r>
            <w:r>
              <w:rPr>
                <w:rFonts w:hint="default" w:ascii="Times New Roman" w:hAnsi="Times New Roman" w:eastAsia="宋体" w:cs="Times New Roman"/>
                <w:color w:val="auto"/>
                <w:sz w:val="24"/>
                <w:lang w:val="en-US" w:eastAsia="zh-CN"/>
              </w:rPr>
              <w:t>t/d</w:t>
            </w:r>
            <w:r>
              <w:rPr>
                <w:rFonts w:hint="eastAsia" w:ascii="Times New Roman" w:hAnsi="Times New Roman" w:eastAsia="宋体" w:cs="Times New Roman"/>
                <w:color w:val="auto"/>
                <w:sz w:val="24"/>
                <w:lang w:val="en-US" w:eastAsia="zh-CN"/>
              </w:rPr>
              <w:t>（7.3</w:t>
            </w:r>
            <w:r>
              <w:rPr>
                <w:rFonts w:hint="default" w:ascii="Times New Roman" w:hAnsi="Times New Roman" w:eastAsia="宋体" w:cs="Times New Roman"/>
                <w:color w:val="auto"/>
                <w:sz w:val="24"/>
                <w:lang w:val="en-US" w:eastAsia="zh-CN"/>
              </w:rPr>
              <w:t>t/a</w:t>
            </w:r>
            <w:r>
              <w:rPr>
                <w:rFonts w:hint="eastAsia" w:ascii="Times New Roman" w:hAnsi="Times New Roman" w:eastAsia="宋体" w:cs="Times New Roman"/>
                <w:color w:val="auto"/>
                <w:sz w:val="24"/>
                <w:lang w:val="en-US" w:eastAsia="zh-CN"/>
              </w:rPr>
              <w:t>）。</w:t>
            </w:r>
          </w:p>
          <w:p>
            <w:pPr>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3</w:t>
            </w:r>
            <w:r>
              <w:rPr>
                <w:rFonts w:hint="default" w:ascii="Times New Roman" w:hAnsi="Times New Roman" w:eastAsia="宋体" w:cs="Times New Roman"/>
                <w:color w:val="auto"/>
                <w:sz w:val="24"/>
              </w:rPr>
              <w:t>）污泥</w:t>
            </w:r>
          </w:p>
          <w:p>
            <w:pPr>
              <w:pStyle w:val="95"/>
              <w:spacing w:before="0" w:beforeLines="0" w:line="360" w:lineRule="auto"/>
              <w:rPr>
                <w:color w:val="auto"/>
              </w:rPr>
            </w:pPr>
            <w:r>
              <w:rPr>
                <w:rFonts w:hint="default" w:ascii="Times New Roman" w:hAnsi="Times New Roman" w:eastAsia="宋体" w:cs="Times New Roman"/>
                <w:color w:val="auto"/>
                <w:sz w:val="24"/>
                <w:lang w:eastAsia="zh-CN"/>
              </w:rPr>
              <w:t>本项目废水生化段污泥为</w:t>
            </w:r>
            <w:r>
              <w:rPr>
                <w:rFonts w:hint="default" w:ascii="Times New Roman" w:hAnsi="Times New Roman" w:eastAsia="宋体" w:cs="Times New Roman"/>
                <w:color w:val="auto"/>
                <w:sz w:val="24"/>
              </w:rPr>
              <w:t>生化处理阶段产生大量的活性污泥，一部分留在系统以维持</w:t>
            </w:r>
            <w:r>
              <w:rPr>
                <w:rFonts w:hint="default" w:ascii="Times New Roman" w:hAnsi="Times New Roman" w:eastAsia="宋体" w:cs="Times New Roman"/>
                <w:color w:val="auto"/>
                <w:sz w:val="24"/>
                <w:lang w:eastAsia="zh-CN"/>
              </w:rPr>
              <w:t>生化</w:t>
            </w:r>
            <w:r>
              <w:rPr>
                <w:rFonts w:hint="default" w:ascii="Times New Roman" w:hAnsi="Times New Roman" w:eastAsia="宋体" w:cs="Times New Roman"/>
                <w:color w:val="auto"/>
                <w:sz w:val="24"/>
              </w:rPr>
              <w:t>池内的污泥浓度，剩余活性污泥</w:t>
            </w:r>
            <w:r>
              <w:rPr>
                <w:rFonts w:hint="default" w:ascii="Times New Roman" w:hAnsi="Times New Roman" w:eastAsia="宋体" w:cs="Times New Roman"/>
                <w:color w:val="auto"/>
                <w:sz w:val="24"/>
                <w:lang w:eastAsia="zh-CN"/>
              </w:rPr>
              <w:t>经</w:t>
            </w:r>
            <w:r>
              <w:rPr>
                <w:rFonts w:hint="default" w:ascii="Times New Roman" w:hAnsi="Times New Roman" w:eastAsia="宋体" w:cs="Times New Roman"/>
                <w:color w:val="auto"/>
                <w:sz w:val="24"/>
                <w:lang w:val="en-US" w:eastAsia="zh-CN"/>
              </w:rPr>
              <w:t>MBR膜处理后污泥</w:t>
            </w:r>
            <w:r>
              <w:rPr>
                <w:rFonts w:hint="default" w:ascii="Times New Roman" w:hAnsi="Times New Roman" w:eastAsia="宋体" w:cs="Times New Roman"/>
                <w:color w:val="auto"/>
                <w:sz w:val="24"/>
              </w:rPr>
              <w:t>进入</w:t>
            </w:r>
            <w:r>
              <w:rPr>
                <w:rFonts w:hint="eastAsia" w:ascii="Times New Roman" w:hAnsi="Times New Roman" w:eastAsia="宋体" w:cs="Times New Roman"/>
                <w:color w:val="auto"/>
                <w:sz w:val="24"/>
                <w:lang w:val="en-US" w:eastAsia="zh-CN"/>
              </w:rPr>
              <w:t>污泥池</w:t>
            </w:r>
            <w:r>
              <w:rPr>
                <w:rFonts w:hint="default" w:ascii="Times New Roman" w:hAnsi="Times New Roman" w:eastAsia="宋体" w:cs="Times New Roman"/>
                <w:color w:val="auto"/>
                <w:sz w:val="24"/>
              </w:rPr>
              <w:t>，</w:t>
            </w:r>
            <w:r>
              <w:rPr>
                <w:rFonts w:hint="eastAsia"/>
                <w:color w:val="auto"/>
              </w:rPr>
              <w:t>经类比污水处理厂现状污泥产生量并参照项目设计资料，项目绝干污泥量为</w:t>
            </w:r>
            <w:r>
              <w:rPr>
                <w:rFonts w:hint="eastAsia"/>
                <w:color w:val="auto"/>
                <w:lang w:val="en-US" w:eastAsia="zh-CN"/>
              </w:rPr>
              <w:t>1</w:t>
            </w:r>
            <w:r>
              <w:rPr>
                <w:rFonts w:hint="eastAsia"/>
                <w:color w:val="auto"/>
              </w:rPr>
              <w:t>.5t/d。</w:t>
            </w:r>
          </w:p>
          <w:p>
            <w:pPr>
              <w:adjustRightInd w:val="0"/>
              <w:snapToGrid w:val="0"/>
              <w:spacing w:line="360" w:lineRule="auto"/>
              <w:ind w:firstLine="480" w:firstLineChars="200"/>
              <w:rPr>
                <w:rFonts w:hint="default" w:ascii="Times New Roman" w:hAnsi="Times New Roman" w:cs="Times New Roman"/>
                <w:color w:val="000000"/>
                <w:lang w:val="en-US" w:eastAsia="zh-CN"/>
              </w:rPr>
            </w:pPr>
            <w:r>
              <w:rPr>
                <w:rFonts w:hint="eastAsia" w:ascii="Times New Roman" w:hAnsi="Times New Roman" w:eastAsia="宋体" w:cs="Times New Roman"/>
                <w:color w:val="auto"/>
                <w:kern w:val="0"/>
                <w:sz w:val="24"/>
                <w:szCs w:val="20"/>
                <w:lang w:val="en-US" w:eastAsia="zh-CN" w:bidi="ar-SA"/>
              </w:rPr>
              <w:t>本项目处理废水为生活污水，不含工业废水，因此污泥可不作为危废进行处置，污泥定期交由市政部门吸污车吸走</w:t>
            </w:r>
            <w:r>
              <w:rPr>
                <w:rFonts w:hint="default" w:ascii="Times New Roman" w:hAnsi="Times New Roman" w:cs="Times New Roman"/>
                <w:color w:val="000000"/>
                <w:lang w:val="en-US" w:eastAsia="zh-CN"/>
              </w:rPr>
              <w:t>。</w:t>
            </w:r>
          </w:p>
          <w:p>
            <w:pPr>
              <w:adjustRightInd w:val="0"/>
              <w:snapToGrid w:val="0"/>
              <w:spacing w:line="360" w:lineRule="auto"/>
              <w:ind w:firstLine="480" w:firstLineChars="200"/>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（4）废</w:t>
            </w:r>
            <w:r>
              <w:rPr>
                <w:rFonts w:hint="default" w:ascii="Times New Roman" w:hAnsi="Times New Roman" w:eastAsia="宋体" w:cs="Times New Roman"/>
                <w:color w:val="auto"/>
                <w:sz w:val="24"/>
                <w:lang w:val="en-US" w:eastAsia="zh-CN"/>
              </w:rPr>
              <w:t>MBR</w:t>
            </w:r>
            <w:r>
              <w:rPr>
                <w:rFonts w:hint="eastAsia" w:ascii="Times New Roman" w:hAnsi="Times New Roman" w:eastAsia="宋体" w:cs="Times New Roman"/>
                <w:color w:val="auto"/>
                <w:sz w:val="24"/>
                <w:lang w:val="en-US" w:eastAsia="zh-CN"/>
              </w:rPr>
              <w:t>膜</w:t>
            </w:r>
          </w:p>
          <w:p>
            <w:pPr>
              <w:adjustRightInd w:val="0"/>
              <w:snapToGrid w:val="0"/>
              <w:spacing w:line="360" w:lineRule="auto"/>
              <w:ind w:firstLine="480" w:firstLineChars="200"/>
              <w:rPr>
                <w:rFonts w:hint="default" w:ascii="Times New Roman" w:hAnsi="Times New Roman" w:eastAsia="宋体" w:cs="Times New Roman"/>
                <w:color w:val="auto"/>
                <w:kern w:val="0"/>
                <w:sz w:val="24"/>
                <w:szCs w:val="20"/>
                <w:lang w:val="en-US" w:eastAsia="zh-CN" w:bidi="ar-SA"/>
              </w:rPr>
            </w:pPr>
            <w:r>
              <w:rPr>
                <w:rFonts w:hint="eastAsia" w:ascii="Times New Roman" w:hAnsi="Times New Roman" w:eastAsia="宋体" w:cs="Times New Roman"/>
                <w:color w:val="auto"/>
                <w:sz w:val="24"/>
                <w:lang w:val="en-US" w:eastAsia="zh-CN"/>
              </w:rPr>
              <w:t>为保证污水处理系统的处理效率，委托第三方单位对</w:t>
            </w:r>
            <w:r>
              <w:rPr>
                <w:rFonts w:hint="default" w:ascii="Times New Roman" w:hAnsi="Times New Roman" w:eastAsia="宋体" w:cs="Times New Roman"/>
                <w:color w:val="auto"/>
                <w:sz w:val="24"/>
                <w:lang w:val="en-US" w:eastAsia="zh-CN"/>
              </w:rPr>
              <w:t>MBR</w:t>
            </w:r>
            <w:r>
              <w:rPr>
                <w:rFonts w:hint="eastAsia" w:ascii="Times New Roman" w:hAnsi="Times New Roman" w:eastAsia="宋体" w:cs="Times New Roman"/>
                <w:color w:val="auto"/>
                <w:sz w:val="24"/>
                <w:lang w:val="en-US" w:eastAsia="zh-CN"/>
              </w:rPr>
              <w:t>膜进行每三年更换一次，产生量约0.2t，更换下的废</w:t>
            </w:r>
            <w:r>
              <w:rPr>
                <w:rFonts w:hint="default" w:ascii="Times New Roman" w:hAnsi="Times New Roman" w:eastAsia="宋体" w:cs="Times New Roman"/>
                <w:color w:val="auto"/>
                <w:sz w:val="24"/>
                <w:lang w:val="en-US" w:eastAsia="zh-CN"/>
              </w:rPr>
              <w:t>MBR</w:t>
            </w:r>
            <w:r>
              <w:rPr>
                <w:rFonts w:hint="eastAsia" w:ascii="Times New Roman" w:hAnsi="Times New Roman" w:eastAsia="宋体" w:cs="Times New Roman"/>
                <w:color w:val="auto"/>
                <w:sz w:val="24"/>
                <w:lang w:val="en-US" w:eastAsia="zh-CN"/>
              </w:rPr>
              <w:t>膜由更换单位及时带走，不在厂</w:t>
            </w:r>
            <w:r>
              <w:rPr>
                <w:rFonts w:hint="eastAsia" w:ascii="Times New Roman" w:hAnsi="Times New Roman" w:eastAsia="宋体" w:cs="Times New Roman"/>
                <w:color w:val="auto"/>
                <w:kern w:val="0"/>
                <w:sz w:val="24"/>
                <w:szCs w:val="20"/>
                <w:lang w:val="en-US" w:eastAsia="zh-CN" w:bidi="ar-SA"/>
              </w:rPr>
              <w:t>内暂存。</w:t>
            </w:r>
          </w:p>
          <w:p>
            <w:pPr>
              <w:adjustRightInd w:val="0"/>
              <w:snapToGrid w:val="0"/>
              <w:spacing w:line="360" w:lineRule="auto"/>
              <w:ind w:firstLine="480" w:firstLineChars="200"/>
              <w:rPr>
                <w:rFonts w:hint="default" w:ascii="Times New Roman" w:hAnsi="Times New Roman" w:eastAsia="宋体" w:cs="Times New Roman"/>
                <w:color w:val="auto"/>
                <w:kern w:val="0"/>
                <w:sz w:val="24"/>
                <w:szCs w:val="20"/>
                <w:lang w:val="en-US" w:eastAsia="zh-CN" w:bidi="ar-SA"/>
              </w:rPr>
            </w:pPr>
            <w:r>
              <w:rPr>
                <w:rFonts w:hint="eastAsia" w:ascii="Times New Roman" w:hAnsi="Times New Roman" w:eastAsia="宋体" w:cs="Times New Roman"/>
                <w:color w:val="auto"/>
                <w:kern w:val="0"/>
                <w:sz w:val="24"/>
                <w:szCs w:val="20"/>
                <w:lang w:val="en-US" w:eastAsia="zh-CN" w:bidi="ar-SA"/>
              </w:rPr>
              <w:t>（5）</w:t>
            </w:r>
            <w:r>
              <w:rPr>
                <w:rFonts w:hint="default" w:ascii="Times New Roman" w:hAnsi="Times New Roman" w:eastAsia="宋体" w:cs="Times New Roman"/>
                <w:color w:val="auto"/>
                <w:kern w:val="0"/>
                <w:sz w:val="24"/>
                <w:szCs w:val="20"/>
                <w:lang w:val="en-US" w:eastAsia="zh-CN" w:bidi="ar-SA"/>
              </w:rPr>
              <w:t>机修含油废物</w:t>
            </w:r>
          </w:p>
          <w:p>
            <w:pPr>
              <w:adjustRightInd w:val="0"/>
              <w:snapToGrid w:val="0"/>
              <w:spacing w:line="360" w:lineRule="auto"/>
              <w:ind w:firstLine="480" w:firstLineChars="200"/>
              <w:rPr>
                <w:rFonts w:hint="default" w:ascii="Times New Roman" w:hAnsi="Times New Roman" w:eastAsia="宋体" w:cs="Times New Roman"/>
                <w:color w:val="auto"/>
                <w:kern w:val="0"/>
                <w:sz w:val="24"/>
                <w:szCs w:val="20"/>
                <w:lang w:val="en-US" w:eastAsia="zh-CN" w:bidi="ar-SA"/>
              </w:rPr>
            </w:pPr>
            <w:r>
              <w:rPr>
                <w:rFonts w:hint="default" w:ascii="Times New Roman" w:hAnsi="Times New Roman" w:eastAsia="宋体" w:cs="Times New Roman"/>
                <w:color w:val="auto"/>
                <w:kern w:val="0"/>
                <w:sz w:val="24"/>
                <w:szCs w:val="20"/>
                <w:lang w:val="en-US" w:eastAsia="zh-CN" w:bidi="ar-SA"/>
              </w:rPr>
              <w:t>项目</w:t>
            </w:r>
            <w:r>
              <w:rPr>
                <w:rFonts w:hint="eastAsia" w:ascii="Times New Roman" w:hAnsi="Times New Roman" w:eastAsia="宋体" w:cs="Times New Roman"/>
                <w:color w:val="auto"/>
                <w:kern w:val="0"/>
                <w:sz w:val="24"/>
                <w:szCs w:val="20"/>
                <w:lang w:val="en-US" w:eastAsia="zh-CN" w:bidi="ar-SA"/>
              </w:rPr>
              <w:t>配套污水</w:t>
            </w:r>
            <w:r>
              <w:rPr>
                <w:rFonts w:hint="default" w:ascii="Times New Roman" w:hAnsi="Times New Roman" w:eastAsia="宋体" w:cs="Times New Roman"/>
                <w:color w:val="auto"/>
                <w:kern w:val="0"/>
                <w:sz w:val="24"/>
                <w:szCs w:val="20"/>
                <w:lang w:val="en-US" w:eastAsia="zh-CN" w:bidi="ar-SA"/>
              </w:rPr>
              <w:t>处理厂运营期机械设备维修过程中会产生少量机修含油废物</w:t>
            </w:r>
            <w:r>
              <w:rPr>
                <w:rFonts w:hint="eastAsia" w:ascii="Times New Roman" w:hAnsi="Times New Roman" w:eastAsia="宋体" w:cs="Times New Roman"/>
                <w:color w:val="auto"/>
                <w:kern w:val="0"/>
                <w:sz w:val="24"/>
                <w:szCs w:val="20"/>
                <w:lang w:val="en-US" w:eastAsia="zh-CN" w:bidi="ar-SA"/>
              </w:rPr>
              <w:t>（含油手套、废机油桶等）</w:t>
            </w:r>
            <w:r>
              <w:rPr>
                <w:rFonts w:hint="default" w:ascii="Times New Roman" w:hAnsi="Times New Roman" w:eastAsia="宋体" w:cs="Times New Roman"/>
                <w:color w:val="auto"/>
                <w:kern w:val="0"/>
                <w:sz w:val="24"/>
                <w:szCs w:val="20"/>
                <w:lang w:val="en-US" w:eastAsia="zh-CN" w:bidi="ar-SA"/>
              </w:rPr>
              <w:t>，年产生量约为0.</w:t>
            </w:r>
            <w:r>
              <w:rPr>
                <w:rFonts w:hint="eastAsia" w:ascii="Times New Roman" w:hAnsi="Times New Roman" w:eastAsia="宋体" w:cs="Times New Roman"/>
                <w:color w:val="auto"/>
                <w:kern w:val="0"/>
                <w:sz w:val="24"/>
                <w:szCs w:val="20"/>
                <w:lang w:val="en-US" w:eastAsia="zh-CN" w:bidi="ar-SA"/>
              </w:rPr>
              <w:t>05</w:t>
            </w:r>
            <w:r>
              <w:rPr>
                <w:rFonts w:hint="default" w:ascii="Times New Roman" w:hAnsi="Times New Roman" w:eastAsia="宋体" w:cs="Times New Roman"/>
                <w:color w:val="auto"/>
                <w:kern w:val="0"/>
                <w:sz w:val="24"/>
                <w:szCs w:val="20"/>
                <w:lang w:val="en-US" w:eastAsia="zh-CN" w:bidi="ar-SA"/>
              </w:rPr>
              <w:t>t/a，根据《国家危险废物名录（202</w:t>
            </w:r>
            <w:r>
              <w:rPr>
                <w:rFonts w:hint="eastAsia" w:ascii="Times New Roman" w:hAnsi="Times New Roman" w:eastAsia="宋体" w:cs="Times New Roman"/>
                <w:color w:val="auto"/>
                <w:kern w:val="0"/>
                <w:sz w:val="24"/>
                <w:szCs w:val="20"/>
                <w:lang w:val="en-US" w:eastAsia="zh-CN" w:bidi="ar-SA"/>
              </w:rPr>
              <w:t>5</w:t>
            </w:r>
            <w:r>
              <w:rPr>
                <w:rFonts w:hint="default" w:ascii="Times New Roman" w:hAnsi="Times New Roman" w:eastAsia="宋体" w:cs="Times New Roman"/>
                <w:color w:val="auto"/>
                <w:kern w:val="0"/>
                <w:sz w:val="24"/>
                <w:szCs w:val="20"/>
                <w:lang w:val="en-US" w:eastAsia="zh-CN" w:bidi="ar-SA"/>
              </w:rPr>
              <w:t>年版）》，机修含油废物属于危险废物（废物类别HW08</w:t>
            </w:r>
            <w:r>
              <w:rPr>
                <w:rFonts w:hint="eastAsia" w:ascii="Times New Roman" w:hAnsi="Times New Roman" w:eastAsia="宋体" w:cs="Times New Roman"/>
                <w:color w:val="auto"/>
                <w:kern w:val="0"/>
                <w:sz w:val="24"/>
                <w:szCs w:val="20"/>
                <w:lang w:val="en-US" w:eastAsia="zh-CN" w:bidi="ar-SA"/>
              </w:rPr>
              <w:t>，行业来源为</w:t>
            </w:r>
            <w:r>
              <w:rPr>
                <w:rFonts w:hint="default" w:ascii="Times New Roman" w:hAnsi="Times New Roman" w:eastAsia="宋体" w:cs="Times New Roman"/>
                <w:color w:val="auto"/>
                <w:kern w:val="0"/>
                <w:sz w:val="24"/>
                <w:szCs w:val="20"/>
                <w:lang w:val="en-US" w:eastAsia="zh-CN" w:bidi="ar-SA"/>
              </w:rPr>
              <w:t>非特定行业，废物代码900-249-08其他生产、销售、使用过程中产生的废矿物油及沾染矿物油的废弃包装物），机修含油废物经收集后</w:t>
            </w:r>
            <w:r>
              <w:rPr>
                <w:rFonts w:hint="eastAsia" w:ascii="Times New Roman" w:hAnsi="Times New Roman" w:eastAsia="宋体" w:cs="Times New Roman"/>
                <w:color w:val="auto"/>
                <w:kern w:val="0"/>
                <w:sz w:val="24"/>
                <w:szCs w:val="20"/>
                <w:lang w:val="en-US" w:eastAsia="zh-CN" w:bidi="ar-SA"/>
              </w:rPr>
              <w:t>分类</w:t>
            </w:r>
            <w:r>
              <w:rPr>
                <w:rFonts w:hint="default" w:ascii="Times New Roman" w:hAnsi="Times New Roman" w:eastAsia="宋体" w:cs="Times New Roman"/>
                <w:color w:val="auto"/>
                <w:kern w:val="0"/>
                <w:sz w:val="24"/>
                <w:szCs w:val="20"/>
                <w:lang w:val="en-US" w:eastAsia="zh-CN" w:bidi="ar-SA"/>
              </w:rPr>
              <w:t>暂存在危废暂存间，定期委托有资质单位处置。</w:t>
            </w:r>
          </w:p>
          <w:p>
            <w:pPr>
              <w:adjustRightInd w:val="0"/>
              <w:snapToGrid w:val="0"/>
              <w:spacing w:line="360" w:lineRule="auto"/>
              <w:ind w:firstLine="480" w:firstLineChars="200"/>
              <w:rPr>
                <w:rFonts w:hint="default" w:ascii="Times New Roman" w:hAnsi="Times New Roman" w:eastAsia="宋体" w:cs="Times New Roman"/>
                <w:color w:val="auto"/>
                <w:kern w:val="0"/>
                <w:sz w:val="24"/>
                <w:szCs w:val="20"/>
                <w:lang w:val="en-US" w:eastAsia="zh-CN" w:bidi="ar-SA"/>
              </w:rPr>
            </w:pPr>
            <w:r>
              <w:rPr>
                <w:rFonts w:hint="eastAsia" w:ascii="Times New Roman" w:hAnsi="Times New Roman" w:eastAsia="宋体" w:cs="Times New Roman"/>
                <w:color w:val="auto"/>
                <w:kern w:val="0"/>
                <w:sz w:val="24"/>
                <w:szCs w:val="20"/>
                <w:lang w:val="en-US" w:eastAsia="zh-CN" w:bidi="ar-SA"/>
              </w:rPr>
              <w:t>（6）在线监测</w:t>
            </w:r>
            <w:r>
              <w:rPr>
                <w:rFonts w:hint="default" w:ascii="Times New Roman" w:hAnsi="Times New Roman" w:eastAsia="宋体" w:cs="Times New Roman"/>
                <w:color w:val="auto"/>
                <w:kern w:val="0"/>
                <w:sz w:val="24"/>
                <w:szCs w:val="20"/>
                <w:lang w:val="en-US" w:eastAsia="zh-CN" w:bidi="ar-SA"/>
              </w:rPr>
              <w:t>废液</w:t>
            </w:r>
          </w:p>
          <w:p>
            <w:pPr>
              <w:adjustRightInd w:val="0"/>
              <w:snapToGrid w:val="0"/>
              <w:spacing w:line="360" w:lineRule="auto"/>
              <w:ind w:firstLine="480" w:firstLineChars="200"/>
              <w:rPr>
                <w:rFonts w:hint="default" w:ascii="Times New Roman" w:hAnsi="Times New Roman" w:eastAsia="宋体" w:cs="Times New Roman"/>
                <w:color w:val="000000"/>
                <w:u w:val="none" w:color="auto"/>
                <w:lang w:val="en-US" w:eastAsia="zh-CN"/>
              </w:rPr>
            </w:pPr>
            <w:r>
              <w:rPr>
                <w:rFonts w:hint="default" w:ascii="Times New Roman" w:hAnsi="Times New Roman" w:eastAsia="宋体" w:cs="Times New Roman"/>
                <w:color w:val="auto"/>
                <w:kern w:val="0"/>
                <w:sz w:val="24"/>
                <w:szCs w:val="20"/>
                <w:lang w:val="en-US" w:eastAsia="zh-CN" w:bidi="ar-SA"/>
              </w:rPr>
              <w:t>建设单位对出口水质进行在线监测，需使用化学试剂，</w:t>
            </w:r>
            <w:r>
              <w:rPr>
                <w:rFonts w:hint="eastAsia" w:ascii="Times New Roman" w:hAnsi="Times New Roman" w:eastAsia="宋体" w:cs="Times New Roman"/>
                <w:color w:val="auto"/>
                <w:kern w:val="0"/>
                <w:sz w:val="24"/>
                <w:szCs w:val="20"/>
                <w:lang w:val="en-US" w:eastAsia="zh-CN" w:bidi="ar-SA"/>
              </w:rPr>
              <w:t>监测</w:t>
            </w:r>
            <w:r>
              <w:rPr>
                <w:rFonts w:hint="default" w:ascii="Times New Roman" w:hAnsi="Times New Roman" w:eastAsia="宋体" w:cs="Times New Roman"/>
                <w:color w:val="auto"/>
                <w:kern w:val="0"/>
                <w:sz w:val="24"/>
                <w:szCs w:val="20"/>
                <w:lang w:val="en-US" w:eastAsia="zh-CN" w:bidi="ar-SA"/>
              </w:rPr>
              <w:t>过程中产生的废试剂、废试剂瓶及在线监测废液等。废试剂、废试剂瓶及在线监测废液</w:t>
            </w:r>
            <w:r>
              <w:rPr>
                <w:rFonts w:hint="default" w:ascii="Times New Roman" w:hAnsi="Times New Roman" w:eastAsia="宋体" w:cs="Times New Roman"/>
                <w:color w:val="auto"/>
                <w:kern w:val="0"/>
                <w:sz w:val="24"/>
                <w:szCs w:val="24"/>
                <w:lang w:val="en-US" w:eastAsia="zh-CN" w:bidi="ar-SA"/>
              </w:rPr>
              <w:t>产生量约为</w:t>
            </w:r>
            <w:r>
              <w:rPr>
                <w:rFonts w:hint="eastAsia" w:ascii="Times New Roman" w:hAnsi="Times New Roman" w:eastAsia="宋体" w:cs="Times New Roman"/>
                <w:color w:val="auto"/>
                <w:kern w:val="0"/>
                <w:sz w:val="24"/>
                <w:szCs w:val="24"/>
                <w:lang w:val="en-US" w:eastAsia="zh-CN" w:bidi="ar-SA"/>
              </w:rPr>
              <w:t>0.1</w:t>
            </w:r>
            <w:r>
              <w:rPr>
                <w:rFonts w:hint="default" w:ascii="Times New Roman" w:hAnsi="Times New Roman" w:eastAsia="宋体" w:cs="Times New Roman"/>
                <w:color w:val="000000"/>
                <w:sz w:val="24"/>
                <w:szCs w:val="24"/>
                <w:u w:val="none" w:color="auto"/>
                <w:lang w:val="en-US" w:eastAsia="zh-CN"/>
              </w:rPr>
              <w:t>t</w:t>
            </w:r>
            <w:r>
              <w:rPr>
                <w:rFonts w:hint="default" w:ascii="Times New Roman" w:hAnsi="Times New Roman" w:eastAsia="宋体" w:cs="Times New Roman"/>
                <w:color w:val="000000"/>
                <w:sz w:val="24"/>
                <w:szCs w:val="24"/>
                <w:u w:val="none" w:color="auto"/>
                <w:lang w:eastAsia="zh-CN"/>
              </w:rPr>
              <w:t>/a，</w:t>
            </w:r>
            <w:r>
              <w:rPr>
                <w:rFonts w:hint="default" w:ascii="Times New Roman" w:hAnsi="Times New Roman" w:eastAsia="宋体" w:cs="Times New Roman"/>
                <w:color w:val="000000"/>
                <w:sz w:val="24"/>
                <w:szCs w:val="24"/>
                <w:u w:val="none" w:color="auto"/>
              </w:rPr>
              <w:t>根据《国家危险废物名录（202</w:t>
            </w:r>
            <w:r>
              <w:rPr>
                <w:rFonts w:hint="eastAsia" w:ascii="Times New Roman" w:hAnsi="Times New Roman" w:eastAsia="宋体" w:cs="Times New Roman"/>
                <w:color w:val="000000"/>
                <w:sz w:val="24"/>
                <w:szCs w:val="24"/>
                <w:u w:val="none" w:color="auto"/>
                <w:lang w:val="en-US" w:eastAsia="zh-CN"/>
              </w:rPr>
              <w:t>5</w:t>
            </w:r>
            <w:r>
              <w:rPr>
                <w:rFonts w:hint="default" w:ascii="Times New Roman" w:hAnsi="Times New Roman" w:eastAsia="宋体" w:cs="Times New Roman"/>
                <w:color w:val="000000"/>
                <w:sz w:val="24"/>
                <w:szCs w:val="24"/>
                <w:u w:val="none" w:color="auto"/>
              </w:rPr>
              <w:t>年版）》，</w:t>
            </w:r>
            <w:r>
              <w:rPr>
                <w:rFonts w:hint="default" w:ascii="Times New Roman" w:hAnsi="Times New Roman" w:eastAsia="宋体" w:cs="Times New Roman"/>
                <w:color w:val="000000"/>
                <w:sz w:val="24"/>
                <w:szCs w:val="24"/>
                <w:u w:val="none" w:color="auto"/>
                <w:lang w:val="en-US" w:eastAsia="zh-CN"/>
              </w:rPr>
              <w:t>废试剂、废试剂瓶及在线监测废液</w:t>
            </w:r>
            <w:r>
              <w:rPr>
                <w:rFonts w:hint="default" w:ascii="Times New Roman" w:hAnsi="Times New Roman" w:eastAsia="宋体" w:cs="Times New Roman"/>
                <w:color w:val="000000"/>
                <w:sz w:val="24"/>
                <w:szCs w:val="24"/>
                <w:u w:val="none" w:color="auto"/>
              </w:rPr>
              <w:t>属于危险废物（</w:t>
            </w:r>
            <w:r>
              <w:rPr>
                <w:rFonts w:hint="default" w:ascii="Times New Roman" w:hAnsi="Times New Roman" w:eastAsia="宋体" w:cs="Times New Roman"/>
                <w:color w:val="000000"/>
                <w:sz w:val="24"/>
                <w:szCs w:val="24"/>
                <w:u w:val="none" w:color="auto"/>
                <w:lang w:val="en-US" w:eastAsia="zh-CN"/>
              </w:rPr>
              <w:t>废物类别</w:t>
            </w:r>
            <w:r>
              <w:rPr>
                <w:rFonts w:hint="default" w:ascii="Times New Roman" w:hAnsi="Times New Roman" w:eastAsia="宋体" w:cs="Times New Roman"/>
                <w:color w:val="000000"/>
                <w:sz w:val="24"/>
                <w:szCs w:val="24"/>
                <w:u w:val="none" w:color="auto"/>
              </w:rPr>
              <w:t>HW49其他废物，行业来源为非特定行业，废物代码900-047-49</w:t>
            </w:r>
            <w:r>
              <w:rPr>
                <w:rFonts w:hint="eastAsia" w:ascii="Times New Roman" w:hAnsi="Times New Roman" w:eastAsia="宋体" w:cs="Times New Roman"/>
                <w:color w:val="000000"/>
                <w:sz w:val="24"/>
                <w:szCs w:val="24"/>
                <w:u w:val="none" w:color="auto"/>
                <w:lang w:val="en-US" w:eastAsia="zh-CN"/>
              </w:rPr>
              <w:t>生产、研究、开发、教学、环境检测活动中，化学和生物实验室产生的含氰、氟、重金属无机废液及无机废液处理产生的残渣、残液，含矿物油、有机溶剂、甲醛有机废液，废酸、废碱，具有危险特性的残留样品，以及沾染上述物质的一次性实验用品、包装物、过滤吸附介质等</w:t>
            </w:r>
            <w:r>
              <w:rPr>
                <w:rFonts w:hint="default" w:ascii="Times New Roman" w:hAnsi="Times New Roman" w:eastAsia="宋体" w:cs="Times New Roman"/>
                <w:color w:val="000000"/>
                <w:sz w:val="24"/>
                <w:szCs w:val="24"/>
                <w:u w:val="none" w:color="auto"/>
              </w:rPr>
              <w:t>）</w:t>
            </w:r>
            <w:r>
              <w:rPr>
                <w:rFonts w:hint="default" w:ascii="Times New Roman" w:hAnsi="Times New Roman" w:eastAsia="宋体" w:cs="Times New Roman"/>
                <w:color w:val="000000"/>
                <w:sz w:val="24"/>
                <w:szCs w:val="24"/>
                <w:u w:val="none" w:color="auto"/>
                <w:lang w:eastAsia="zh-CN"/>
              </w:rPr>
              <w:t>，经收集后</w:t>
            </w:r>
            <w:r>
              <w:rPr>
                <w:rFonts w:hint="eastAsia" w:ascii="Times New Roman" w:hAnsi="Times New Roman" w:eastAsia="宋体" w:cs="Times New Roman"/>
                <w:color w:val="000000"/>
                <w:sz w:val="24"/>
                <w:szCs w:val="24"/>
                <w:u w:val="none" w:color="auto"/>
                <w:lang w:val="en-US" w:eastAsia="zh-CN"/>
              </w:rPr>
              <w:t>分类</w:t>
            </w:r>
            <w:r>
              <w:rPr>
                <w:rFonts w:hint="default" w:ascii="Times New Roman" w:hAnsi="Times New Roman" w:eastAsia="宋体" w:cs="Times New Roman"/>
                <w:color w:val="000000"/>
                <w:sz w:val="24"/>
                <w:szCs w:val="24"/>
                <w:u w:val="none" w:color="auto"/>
                <w:lang w:eastAsia="zh-CN"/>
              </w:rPr>
              <w:t>暂存在危废暂存间，定期委托有资质单位处置。</w:t>
            </w:r>
          </w:p>
          <w:p>
            <w:pPr>
              <w:adjustRightInd w:val="0"/>
              <w:snapToGrid w:val="0"/>
              <w:spacing w:line="360" w:lineRule="auto"/>
              <w:ind w:firstLine="480" w:firstLineChars="200"/>
              <w:rPr>
                <w:rFonts w:hint="default" w:ascii="Times New Roman" w:hAnsi="Times New Roman" w:eastAsia="宋体" w:cs="Times New Roman"/>
                <w:color w:val="000000"/>
                <w:sz w:val="24"/>
                <w:szCs w:val="24"/>
                <w:u w:val="none" w:color="auto"/>
                <w:lang w:val="en-US" w:eastAsia="zh-CN"/>
              </w:rPr>
            </w:pPr>
            <w:r>
              <w:rPr>
                <w:rFonts w:hint="eastAsia" w:ascii="Times New Roman" w:hAnsi="Times New Roman" w:eastAsia="宋体" w:cs="Times New Roman"/>
                <w:color w:val="000000"/>
                <w:sz w:val="24"/>
                <w:szCs w:val="24"/>
                <w:u w:val="none" w:color="auto"/>
                <w:lang w:val="en-US" w:eastAsia="zh-CN"/>
              </w:rPr>
              <w:t>（7）</w:t>
            </w:r>
            <w:r>
              <w:rPr>
                <w:rFonts w:hint="default" w:ascii="Times New Roman" w:hAnsi="Times New Roman" w:eastAsia="宋体" w:cs="Times New Roman"/>
                <w:color w:val="000000"/>
                <w:sz w:val="24"/>
                <w:szCs w:val="24"/>
                <w:u w:val="none" w:color="auto"/>
                <w:lang w:val="en-US" w:eastAsia="zh-CN"/>
              </w:rPr>
              <w:t>废紫外灯管</w:t>
            </w:r>
          </w:p>
          <w:p>
            <w:pPr>
              <w:adjustRightInd w:val="0"/>
              <w:snapToGrid w:val="0"/>
              <w:spacing w:line="360" w:lineRule="auto"/>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本项目紫外线消毒工艺对污水进行消毒，紫外线消毒槽共使用灯管</w:t>
            </w:r>
            <w:r>
              <w:rPr>
                <w:rFonts w:hint="eastAsia" w:ascii="Times New Roman" w:hAnsi="Times New Roman" w:eastAsia="宋体" w:cs="Times New Roman"/>
                <w:color w:val="000000"/>
                <w:sz w:val="24"/>
                <w:szCs w:val="24"/>
                <w:u w:val="none" w:color="auto"/>
                <w:lang w:val="en-US" w:eastAsia="zh-CN"/>
              </w:rPr>
              <w:t>10</w:t>
            </w:r>
            <w:r>
              <w:rPr>
                <w:rFonts w:hint="default" w:ascii="Times New Roman" w:hAnsi="Times New Roman" w:eastAsia="宋体" w:cs="Times New Roman"/>
                <w:color w:val="000000"/>
                <w:sz w:val="24"/>
                <w:szCs w:val="24"/>
                <w:u w:val="none" w:color="auto"/>
                <w:lang w:val="en-US" w:eastAsia="zh-CN"/>
              </w:rPr>
              <w:t>个，根据建设方经验，每年的损坏率约为30%，则产生的紫外线废灯管约</w:t>
            </w:r>
            <w:r>
              <w:rPr>
                <w:rFonts w:hint="eastAsia" w:ascii="Times New Roman" w:hAnsi="Times New Roman" w:eastAsia="宋体" w:cs="Times New Roman"/>
                <w:color w:val="000000"/>
                <w:sz w:val="24"/>
                <w:szCs w:val="24"/>
                <w:u w:val="none" w:color="auto"/>
                <w:lang w:val="en-US" w:eastAsia="zh-CN"/>
              </w:rPr>
              <w:t>3</w:t>
            </w:r>
            <w:r>
              <w:rPr>
                <w:rFonts w:hint="default" w:ascii="Times New Roman" w:hAnsi="Times New Roman" w:eastAsia="宋体" w:cs="Times New Roman"/>
                <w:color w:val="000000"/>
                <w:sz w:val="24"/>
                <w:szCs w:val="24"/>
                <w:u w:val="none" w:color="auto"/>
                <w:lang w:val="en-US" w:eastAsia="zh-CN"/>
              </w:rPr>
              <w:t>个/a，每个废弃灯管的重量0.3kg-0.4kg，产生量约为0.00</w:t>
            </w:r>
            <w:r>
              <w:rPr>
                <w:rFonts w:hint="eastAsia" w:ascii="Times New Roman" w:hAnsi="Times New Roman" w:eastAsia="宋体" w:cs="Times New Roman"/>
                <w:color w:val="000000"/>
                <w:sz w:val="24"/>
                <w:szCs w:val="24"/>
                <w:u w:val="none" w:color="auto"/>
                <w:lang w:val="en-US" w:eastAsia="zh-CN"/>
              </w:rPr>
              <w:t>1</w:t>
            </w:r>
            <w:r>
              <w:rPr>
                <w:rFonts w:hint="default" w:ascii="Times New Roman" w:hAnsi="Times New Roman" w:eastAsia="宋体" w:cs="Times New Roman"/>
                <w:color w:val="000000"/>
                <w:sz w:val="24"/>
                <w:szCs w:val="24"/>
                <w:u w:val="none" w:color="auto"/>
                <w:lang w:val="en-US" w:eastAsia="zh-CN"/>
              </w:rPr>
              <w:t>t/a，按照《国家危险废物名录》（202</w:t>
            </w:r>
            <w:r>
              <w:rPr>
                <w:rFonts w:hint="eastAsia" w:ascii="Times New Roman" w:hAnsi="Times New Roman" w:eastAsia="宋体" w:cs="Times New Roman"/>
                <w:color w:val="000000"/>
                <w:sz w:val="24"/>
                <w:szCs w:val="24"/>
                <w:u w:val="none" w:color="auto"/>
                <w:lang w:val="en-US" w:eastAsia="zh-CN"/>
              </w:rPr>
              <w:t>5年</w:t>
            </w:r>
            <w:r>
              <w:rPr>
                <w:rFonts w:hint="default" w:ascii="Times New Roman" w:hAnsi="Times New Roman" w:eastAsia="宋体" w:cs="Times New Roman"/>
                <w:color w:val="000000"/>
                <w:sz w:val="24"/>
                <w:szCs w:val="24"/>
                <w:u w:val="none" w:color="auto"/>
                <w:lang w:val="en-US" w:eastAsia="zh-CN"/>
              </w:rPr>
              <w:t>版）废紫外灯管属于</w:t>
            </w:r>
            <w:r>
              <w:rPr>
                <w:rFonts w:hint="eastAsia" w:ascii="Times New Roman" w:hAnsi="Times New Roman" w:eastAsia="宋体" w:cs="Times New Roman"/>
                <w:color w:val="000000"/>
                <w:sz w:val="24"/>
                <w:szCs w:val="24"/>
                <w:u w:val="none" w:color="auto"/>
                <w:lang w:val="en-US" w:eastAsia="zh-CN"/>
              </w:rPr>
              <w:t>危险废物（废物类别</w:t>
            </w:r>
            <w:r>
              <w:rPr>
                <w:rFonts w:hint="default" w:ascii="Times New Roman" w:hAnsi="Times New Roman" w:eastAsia="宋体" w:cs="Times New Roman"/>
                <w:color w:val="000000"/>
                <w:sz w:val="24"/>
                <w:szCs w:val="24"/>
                <w:u w:val="none" w:color="auto"/>
                <w:lang w:val="en-US" w:eastAsia="zh-CN"/>
              </w:rPr>
              <w:t>HW29含汞废物，行业来源为非特定行业，危废代码900-023-29</w:t>
            </w:r>
            <w:r>
              <w:rPr>
                <w:rFonts w:hint="eastAsia" w:ascii="Times New Roman" w:hAnsi="Times New Roman" w:eastAsia="宋体" w:cs="Times New Roman"/>
                <w:color w:val="000000"/>
                <w:sz w:val="24"/>
                <w:szCs w:val="24"/>
                <w:u w:val="none" w:color="auto"/>
                <w:lang w:val="en-US" w:eastAsia="zh-CN"/>
              </w:rPr>
              <w:t>生产、销售及使用过程中产生的废含汞荧光灯管及其他废含汞电光源，及废弃含汞电光源处理处置过程中产生的废荧光粉、废活性炭和废水处理污泥），</w:t>
            </w:r>
            <w:r>
              <w:rPr>
                <w:rFonts w:hint="default" w:ascii="Times New Roman" w:hAnsi="Times New Roman" w:eastAsia="宋体" w:cs="Times New Roman"/>
                <w:color w:val="000000"/>
                <w:sz w:val="24"/>
                <w:szCs w:val="24"/>
                <w:u w:val="none" w:color="auto"/>
                <w:lang w:val="en-US" w:eastAsia="zh-CN"/>
              </w:rPr>
              <w:t>建设方应</w:t>
            </w:r>
            <w:r>
              <w:rPr>
                <w:rFonts w:hint="eastAsia" w:ascii="Times New Roman" w:hAnsi="Times New Roman" w:eastAsia="宋体" w:cs="Times New Roman"/>
                <w:color w:val="000000"/>
                <w:sz w:val="24"/>
                <w:szCs w:val="24"/>
                <w:u w:val="none" w:color="auto"/>
                <w:lang w:val="en-US" w:eastAsia="zh-CN"/>
              </w:rPr>
              <w:t>在污水处理厂内</w:t>
            </w:r>
            <w:r>
              <w:rPr>
                <w:rFonts w:hint="default" w:ascii="Times New Roman" w:hAnsi="Times New Roman" w:eastAsia="宋体" w:cs="Times New Roman"/>
                <w:color w:val="000000"/>
                <w:sz w:val="24"/>
                <w:szCs w:val="24"/>
                <w:u w:val="none" w:color="auto"/>
                <w:lang w:val="en-US" w:eastAsia="zh-CN"/>
              </w:rPr>
              <w:t>设置</w:t>
            </w:r>
            <w:r>
              <w:rPr>
                <w:rFonts w:hint="eastAsia" w:ascii="Times New Roman" w:hAnsi="Times New Roman" w:eastAsia="宋体" w:cs="Times New Roman"/>
                <w:color w:val="000000"/>
                <w:sz w:val="24"/>
                <w:szCs w:val="24"/>
                <w:u w:val="none" w:color="auto"/>
                <w:lang w:val="en-US" w:eastAsia="zh-CN"/>
              </w:rPr>
              <w:t>专门的</w:t>
            </w:r>
            <w:r>
              <w:rPr>
                <w:rFonts w:hint="default" w:ascii="Times New Roman" w:hAnsi="Times New Roman" w:eastAsia="宋体" w:cs="Times New Roman"/>
                <w:color w:val="000000"/>
                <w:sz w:val="24"/>
                <w:szCs w:val="24"/>
                <w:u w:val="none" w:color="auto"/>
                <w:lang w:val="en-US" w:eastAsia="zh-CN"/>
              </w:rPr>
              <w:t>危废暂存间，经收集后</w:t>
            </w:r>
            <w:r>
              <w:rPr>
                <w:rFonts w:hint="eastAsia" w:ascii="Times New Roman" w:hAnsi="Times New Roman" w:eastAsia="宋体" w:cs="Times New Roman"/>
                <w:color w:val="000000"/>
                <w:sz w:val="24"/>
                <w:szCs w:val="24"/>
                <w:u w:val="none" w:color="auto"/>
                <w:lang w:val="en-US" w:eastAsia="zh-CN"/>
              </w:rPr>
              <w:t>分类</w:t>
            </w:r>
            <w:r>
              <w:rPr>
                <w:rFonts w:hint="default" w:ascii="Times New Roman" w:hAnsi="Times New Roman" w:eastAsia="宋体" w:cs="Times New Roman"/>
                <w:color w:val="000000"/>
                <w:sz w:val="24"/>
                <w:szCs w:val="24"/>
                <w:u w:val="none" w:color="auto"/>
                <w:lang w:val="en-US" w:eastAsia="zh-CN"/>
              </w:rPr>
              <w:t>暂存在危废暂存间</w:t>
            </w:r>
            <w:r>
              <w:rPr>
                <w:rFonts w:hint="eastAsia" w:ascii="Times New Roman" w:hAnsi="Times New Roman" w:eastAsia="宋体" w:cs="Times New Roman"/>
                <w:color w:val="000000"/>
                <w:sz w:val="24"/>
                <w:szCs w:val="24"/>
                <w:u w:val="none" w:color="auto"/>
                <w:lang w:val="en-US" w:eastAsia="zh-CN"/>
              </w:rPr>
              <w:t>，</w:t>
            </w:r>
            <w:r>
              <w:rPr>
                <w:rFonts w:hint="default" w:ascii="Times New Roman" w:hAnsi="Times New Roman" w:eastAsia="宋体" w:cs="Times New Roman"/>
                <w:color w:val="000000"/>
                <w:sz w:val="24"/>
                <w:szCs w:val="24"/>
                <w:u w:val="none" w:color="auto"/>
                <w:lang w:val="en-US" w:eastAsia="zh-CN"/>
              </w:rPr>
              <w:t>并委托有资质的单位进行处置。</w:t>
            </w:r>
          </w:p>
          <w:p>
            <w:pPr>
              <w:pStyle w:val="91"/>
              <w:ind w:left="48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表4.2-</w:t>
            </w:r>
            <w:r>
              <w:rPr>
                <w:rFonts w:hint="default" w:ascii="Times New Roman" w:hAnsi="Times New Roman" w:cs="Times New Roman"/>
                <w:color w:val="000000"/>
                <w:sz w:val="24"/>
                <w:szCs w:val="24"/>
                <w:lang w:val="en-US" w:eastAsia="zh-CN"/>
              </w:rPr>
              <w:t xml:space="preserve">7 </w:t>
            </w:r>
            <w:r>
              <w:rPr>
                <w:rFonts w:hint="default" w:ascii="Times New Roman" w:hAnsi="Times New Roman" w:cs="Times New Roman"/>
                <w:color w:val="000000"/>
                <w:sz w:val="24"/>
                <w:szCs w:val="24"/>
              </w:rPr>
              <w:t xml:space="preserve"> 固体废物产生量及处置措施</w:t>
            </w:r>
          </w:p>
          <w:tbl>
            <w:tblPr>
              <w:tblStyle w:val="23"/>
              <w:tblW w:w="50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36"/>
              <w:gridCol w:w="1577"/>
              <w:gridCol w:w="1157"/>
              <w:gridCol w:w="1772"/>
              <w:gridCol w:w="293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2" w:hRule="atLeast"/>
                <w:tblHeader/>
                <w:jc w:val="center"/>
              </w:trPr>
              <w:tc>
                <w:tcPr>
                  <w:tcW w:w="393" w:type="pct"/>
                  <w:noWrap w:val="0"/>
                  <w:vAlign w:val="center"/>
                </w:tcPr>
                <w:p>
                  <w:pPr>
                    <w:pStyle w:val="92"/>
                    <w:adjustRightInd w:val="0"/>
                    <w:snapToGrid w:val="0"/>
                    <w:spacing w:line="240" w:lineRule="auto"/>
                    <w:jc w:val="center"/>
                    <w:rPr>
                      <w:rFonts w:hint="default" w:ascii="Times New Roman" w:hAnsi="Times New Roman" w:eastAsia="宋体" w:cs="Times New Roman"/>
                      <w:b/>
                      <w:color w:val="000000"/>
                      <w:szCs w:val="21"/>
                      <w:lang w:eastAsia="zh-CN"/>
                    </w:rPr>
                  </w:pPr>
                  <w:r>
                    <w:rPr>
                      <w:rFonts w:hint="default" w:ascii="Times New Roman" w:hAnsi="Times New Roman" w:cs="Times New Roman"/>
                      <w:b/>
                      <w:color w:val="000000"/>
                      <w:szCs w:val="21"/>
                      <w:lang w:eastAsia="zh-CN"/>
                    </w:rPr>
                    <w:t>序号</w:t>
                  </w:r>
                </w:p>
              </w:tc>
              <w:tc>
                <w:tcPr>
                  <w:tcW w:w="976" w:type="pct"/>
                  <w:noWrap w:val="0"/>
                  <w:vAlign w:val="center"/>
                </w:tcPr>
                <w:p>
                  <w:pPr>
                    <w:pStyle w:val="92"/>
                    <w:adjustRightInd w:val="0"/>
                    <w:snapToGrid w:val="0"/>
                    <w:spacing w:line="240" w:lineRule="auto"/>
                    <w:jc w:val="center"/>
                    <w:rPr>
                      <w:rFonts w:hint="default" w:ascii="Times New Roman" w:hAnsi="Times New Roman" w:cs="Times New Roman"/>
                      <w:b/>
                      <w:color w:val="000000"/>
                      <w:szCs w:val="21"/>
                    </w:rPr>
                  </w:pPr>
                  <w:r>
                    <w:rPr>
                      <w:rFonts w:hint="default" w:ascii="Times New Roman" w:hAnsi="Times New Roman" w:cs="Times New Roman"/>
                      <w:b/>
                      <w:color w:val="000000"/>
                      <w:szCs w:val="21"/>
                    </w:rPr>
                    <w:t>固废类别</w:t>
                  </w:r>
                </w:p>
              </w:tc>
              <w:tc>
                <w:tcPr>
                  <w:tcW w:w="716" w:type="pct"/>
                  <w:noWrap w:val="0"/>
                  <w:vAlign w:val="center"/>
                </w:tcPr>
                <w:p>
                  <w:pPr>
                    <w:pStyle w:val="92"/>
                    <w:adjustRightInd w:val="0"/>
                    <w:snapToGrid w:val="0"/>
                    <w:spacing w:line="240" w:lineRule="auto"/>
                    <w:jc w:val="center"/>
                    <w:rPr>
                      <w:rFonts w:hint="default" w:ascii="Times New Roman" w:hAnsi="Times New Roman" w:cs="Times New Roman"/>
                      <w:b/>
                      <w:color w:val="000000"/>
                      <w:szCs w:val="21"/>
                    </w:rPr>
                  </w:pPr>
                  <w:r>
                    <w:rPr>
                      <w:rFonts w:hint="default" w:ascii="Times New Roman" w:hAnsi="Times New Roman" w:cs="Times New Roman"/>
                      <w:b/>
                      <w:color w:val="000000"/>
                      <w:szCs w:val="21"/>
                    </w:rPr>
                    <w:t>产生量（</w:t>
                  </w:r>
                  <w:r>
                    <w:rPr>
                      <w:rFonts w:hint="default" w:ascii="Times New Roman" w:hAnsi="Times New Roman" w:cs="Times New Roman"/>
                      <w:color w:val="000000"/>
                      <w:szCs w:val="21"/>
                    </w:rPr>
                    <w:t>t/a</w:t>
                  </w:r>
                  <w:r>
                    <w:rPr>
                      <w:rFonts w:hint="default" w:ascii="Times New Roman" w:hAnsi="Times New Roman" w:cs="Times New Roman"/>
                      <w:b/>
                      <w:color w:val="000000"/>
                      <w:szCs w:val="21"/>
                    </w:rPr>
                    <w:t>）</w:t>
                  </w:r>
                </w:p>
              </w:tc>
              <w:tc>
                <w:tcPr>
                  <w:tcW w:w="1097" w:type="pct"/>
                  <w:noWrap w:val="0"/>
                  <w:vAlign w:val="center"/>
                </w:tcPr>
                <w:p>
                  <w:pPr>
                    <w:pStyle w:val="92"/>
                    <w:adjustRightInd w:val="0"/>
                    <w:snapToGrid w:val="0"/>
                    <w:spacing w:line="240" w:lineRule="auto"/>
                    <w:jc w:val="center"/>
                    <w:rPr>
                      <w:rFonts w:hint="default" w:ascii="Times New Roman" w:hAnsi="Times New Roman" w:cs="Times New Roman"/>
                      <w:b/>
                      <w:color w:val="000000"/>
                      <w:szCs w:val="21"/>
                    </w:rPr>
                  </w:pPr>
                  <w:r>
                    <w:rPr>
                      <w:rFonts w:hint="default" w:ascii="Times New Roman" w:hAnsi="Times New Roman" w:cs="Times New Roman"/>
                      <w:b/>
                      <w:bCs/>
                      <w:color w:val="000000"/>
                    </w:rPr>
                    <w:t>固废性质</w:t>
                  </w:r>
                </w:p>
              </w:tc>
              <w:tc>
                <w:tcPr>
                  <w:tcW w:w="1815" w:type="pct"/>
                  <w:noWrap w:val="0"/>
                  <w:vAlign w:val="center"/>
                </w:tcPr>
                <w:p>
                  <w:pPr>
                    <w:pStyle w:val="92"/>
                    <w:adjustRightInd w:val="0"/>
                    <w:snapToGrid w:val="0"/>
                    <w:spacing w:line="240" w:lineRule="auto"/>
                    <w:jc w:val="center"/>
                    <w:rPr>
                      <w:rFonts w:hint="default" w:ascii="Times New Roman" w:hAnsi="Times New Roman" w:cs="Times New Roman"/>
                      <w:b/>
                      <w:color w:val="000000"/>
                      <w:szCs w:val="21"/>
                    </w:rPr>
                  </w:pPr>
                  <w:r>
                    <w:rPr>
                      <w:rFonts w:hint="default" w:ascii="Times New Roman" w:hAnsi="Times New Roman" w:cs="Times New Roman"/>
                      <w:b/>
                      <w:color w:val="000000"/>
                      <w:szCs w:val="21"/>
                    </w:rPr>
                    <w:t>处置方式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06" w:hRule="atLeast"/>
                <w:tblHeader/>
                <w:jc w:val="center"/>
              </w:trPr>
              <w:tc>
                <w:tcPr>
                  <w:tcW w:w="393" w:type="pct"/>
                  <w:noWrap w:val="0"/>
                  <w:vAlign w:val="center"/>
                </w:tcPr>
                <w:p>
                  <w:pPr>
                    <w:pStyle w:val="92"/>
                    <w:adjustRightInd w:val="0"/>
                    <w:snapToGrid w:val="0"/>
                    <w:spacing w:line="240" w:lineRule="auto"/>
                    <w:jc w:val="center"/>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1</w:t>
                  </w:r>
                </w:p>
              </w:tc>
              <w:tc>
                <w:tcPr>
                  <w:tcW w:w="976" w:type="pct"/>
                  <w:noWrap w:val="0"/>
                  <w:vAlign w:val="center"/>
                </w:tcPr>
                <w:p>
                  <w:pPr>
                    <w:pStyle w:val="92"/>
                    <w:adjustRightInd w:val="0"/>
                    <w:snapToGrid w:val="0"/>
                    <w:spacing w:line="240" w:lineRule="auto"/>
                    <w:ind w:firstLine="0" w:firstLineChars="0"/>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lang w:eastAsia="zh-CN"/>
                    </w:rPr>
                    <w:t>格栅栅渣</w:t>
                  </w:r>
                </w:p>
              </w:tc>
              <w:tc>
                <w:tcPr>
                  <w:tcW w:w="716" w:type="pct"/>
                  <w:noWrap w:val="0"/>
                  <w:vAlign w:val="center"/>
                </w:tcPr>
                <w:p>
                  <w:pPr>
                    <w:pStyle w:val="92"/>
                    <w:adjustRightInd w:val="0"/>
                    <w:snapToGrid w:val="0"/>
                    <w:spacing w:line="240" w:lineRule="auto"/>
                    <w:jc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7.3</w:t>
                  </w:r>
                </w:p>
              </w:tc>
              <w:tc>
                <w:tcPr>
                  <w:tcW w:w="1097" w:type="pct"/>
                  <w:noWrap w:val="0"/>
                  <w:vAlign w:val="center"/>
                </w:tcPr>
                <w:p>
                  <w:pPr>
                    <w:pStyle w:val="92"/>
                    <w:adjustRightInd w:val="0"/>
                    <w:snapToGrid w:val="0"/>
                    <w:spacing w:line="240" w:lineRule="auto"/>
                    <w:jc w:val="center"/>
                    <w:rPr>
                      <w:rFonts w:hint="default" w:ascii="Times New Roman" w:hAnsi="Times New Roman" w:cs="Times New Roman"/>
                      <w:color w:val="000000"/>
                      <w:szCs w:val="21"/>
                    </w:rPr>
                  </w:pPr>
                  <w:r>
                    <w:rPr>
                      <w:rFonts w:hint="default" w:ascii="Times New Roman" w:hAnsi="Times New Roman" w:cs="Times New Roman"/>
                      <w:color w:val="000000"/>
                      <w:szCs w:val="21"/>
                    </w:rPr>
                    <w:t>一般固废</w:t>
                  </w:r>
                </w:p>
              </w:tc>
              <w:tc>
                <w:tcPr>
                  <w:tcW w:w="1815" w:type="pct"/>
                  <w:tcBorders>
                    <w:bottom w:val="single" w:color="auto" w:sz="4" w:space="0"/>
                  </w:tcBorders>
                  <w:noWrap w:val="0"/>
                  <w:vAlign w:val="center"/>
                </w:tcPr>
                <w:p>
                  <w:pPr>
                    <w:pStyle w:val="92"/>
                    <w:adjustRightInd w:val="0"/>
                    <w:snapToGrid w:val="0"/>
                    <w:spacing w:line="240" w:lineRule="auto"/>
                    <w:jc w:val="center"/>
                    <w:rPr>
                      <w:rFonts w:hint="default" w:ascii="Times New Roman" w:hAnsi="Times New Roman" w:cs="Times New Roman"/>
                      <w:color w:val="000000"/>
                      <w:szCs w:val="21"/>
                    </w:rPr>
                  </w:pPr>
                  <w:r>
                    <w:rPr>
                      <w:rFonts w:hint="default" w:ascii="Times New Roman" w:hAnsi="Times New Roman" w:cs="Times New Roman"/>
                      <w:color w:val="000000"/>
                      <w:u w:val="none" w:color="auto"/>
                      <w:lang w:eastAsia="zh-CN"/>
                    </w:rPr>
                    <w:t>委托</w:t>
                  </w:r>
                  <w:r>
                    <w:rPr>
                      <w:rFonts w:hint="default" w:ascii="Times New Roman" w:hAnsi="Times New Roman" w:cs="Times New Roman"/>
                      <w:color w:val="000000"/>
                      <w:u w:val="none" w:color="auto"/>
                    </w:rPr>
                    <w:t>环卫部门收集处理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06" w:hRule="atLeast"/>
                <w:tblHeader/>
                <w:jc w:val="center"/>
              </w:trPr>
              <w:tc>
                <w:tcPr>
                  <w:tcW w:w="393" w:type="pct"/>
                  <w:noWrap w:val="0"/>
                  <w:vAlign w:val="center"/>
                </w:tcPr>
                <w:p>
                  <w:pPr>
                    <w:pStyle w:val="92"/>
                    <w:adjustRightInd w:val="0"/>
                    <w:snapToGrid w:val="0"/>
                    <w:spacing w:line="240" w:lineRule="auto"/>
                    <w:jc w:val="center"/>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2</w:t>
                  </w:r>
                </w:p>
              </w:tc>
              <w:tc>
                <w:tcPr>
                  <w:tcW w:w="976" w:type="pct"/>
                  <w:noWrap w:val="0"/>
                  <w:vAlign w:val="center"/>
                </w:tcPr>
                <w:p>
                  <w:pPr>
                    <w:pStyle w:val="92"/>
                    <w:adjustRightInd w:val="0"/>
                    <w:snapToGrid w:val="0"/>
                    <w:spacing w:line="240" w:lineRule="auto"/>
                    <w:ind w:firstLine="0" w:firstLineChars="0"/>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eastAsia="宋体" w:cs="Times New Roman"/>
                      <w:color w:val="000000"/>
                      <w:lang w:eastAsia="zh-CN"/>
                    </w:rPr>
                    <w:t>污泥</w:t>
                  </w:r>
                </w:p>
              </w:tc>
              <w:tc>
                <w:tcPr>
                  <w:tcW w:w="716" w:type="pct"/>
                  <w:noWrap w:val="0"/>
                  <w:vAlign w:val="center"/>
                </w:tcPr>
                <w:p>
                  <w:pPr>
                    <w:pStyle w:val="92"/>
                    <w:adjustRightInd w:val="0"/>
                    <w:snapToGrid w:val="0"/>
                    <w:spacing w:line="240" w:lineRule="auto"/>
                    <w:jc w:val="both"/>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547.5（干污泥）</w:t>
                  </w:r>
                </w:p>
              </w:tc>
              <w:tc>
                <w:tcPr>
                  <w:tcW w:w="1097" w:type="pct"/>
                  <w:noWrap w:val="0"/>
                  <w:vAlign w:val="center"/>
                </w:tcPr>
                <w:p>
                  <w:pPr>
                    <w:pStyle w:val="92"/>
                    <w:adjustRightInd w:val="0"/>
                    <w:snapToGrid w:val="0"/>
                    <w:spacing w:line="240" w:lineRule="auto"/>
                    <w:jc w:val="center"/>
                    <w:rPr>
                      <w:rFonts w:hint="default" w:ascii="Times New Roman" w:hAnsi="Times New Roman" w:cs="Times New Roman"/>
                      <w:color w:val="000000"/>
                      <w:szCs w:val="21"/>
                    </w:rPr>
                  </w:pPr>
                  <w:r>
                    <w:rPr>
                      <w:rFonts w:hint="default" w:ascii="Times New Roman" w:hAnsi="Times New Roman" w:cs="Times New Roman"/>
                      <w:color w:val="000000"/>
                      <w:szCs w:val="21"/>
                    </w:rPr>
                    <w:t>一般固废</w:t>
                  </w:r>
                </w:p>
              </w:tc>
              <w:tc>
                <w:tcPr>
                  <w:tcW w:w="1815" w:type="pct"/>
                  <w:tcBorders>
                    <w:top w:val="single" w:color="auto" w:sz="4" w:space="0"/>
                    <w:bottom w:val="single" w:color="auto" w:sz="4" w:space="0"/>
                  </w:tcBorders>
                  <w:noWrap w:val="0"/>
                  <w:vAlign w:val="center"/>
                </w:tcPr>
                <w:p>
                  <w:pPr>
                    <w:adjustRightInd w:val="0"/>
                    <w:snapToGrid w:val="0"/>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u w:val="none" w:color="auto"/>
                      <w:lang w:eastAsia="zh-CN"/>
                    </w:rPr>
                    <w:t>委托</w:t>
                  </w:r>
                  <w:r>
                    <w:rPr>
                      <w:rFonts w:hint="eastAsia" w:ascii="Times New Roman" w:hAnsi="Times New Roman" w:cs="Times New Roman"/>
                      <w:color w:val="000000"/>
                      <w:u w:val="none" w:color="auto"/>
                      <w:lang w:val="en-US" w:eastAsia="zh-CN"/>
                    </w:rPr>
                    <w:t>市政部门</w:t>
                  </w:r>
                  <w:r>
                    <w:rPr>
                      <w:rFonts w:hint="default" w:ascii="Times New Roman" w:hAnsi="Times New Roman" w:cs="Times New Roman"/>
                      <w:color w:val="000000"/>
                      <w:u w:val="none" w:color="auto"/>
                    </w:rPr>
                    <w:t>收集处理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06" w:hRule="atLeast"/>
                <w:tblHeader/>
                <w:jc w:val="center"/>
              </w:trPr>
              <w:tc>
                <w:tcPr>
                  <w:tcW w:w="393" w:type="pct"/>
                  <w:noWrap w:val="0"/>
                  <w:vAlign w:val="center"/>
                </w:tcPr>
                <w:p>
                  <w:pPr>
                    <w:pStyle w:val="92"/>
                    <w:adjustRightInd w:val="0"/>
                    <w:snapToGrid w:val="0"/>
                    <w:spacing w:line="240" w:lineRule="auto"/>
                    <w:jc w:val="center"/>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3</w:t>
                  </w:r>
                </w:p>
              </w:tc>
              <w:tc>
                <w:tcPr>
                  <w:tcW w:w="976"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0"/>
                      <w:lang w:val="en-US" w:eastAsia="zh-CN" w:bidi="ar-SA"/>
                    </w:rPr>
                  </w:pPr>
                  <w:r>
                    <w:rPr>
                      <w:rFonts w:hint="eastAsia" w:ascii="Times New Roman" w:hAnsi="Times New Roman" w:eastAsia="宋体" w:cs="Times New Roman"/>
                      <w:color w:val="000000"/>
                      <w:lang w:val="en-US" w:eastAsia="zh-CN"/>
                    </w:rPr>
                    <w:t>废</w:t>
                  </w:r>
                  <w:r>
                    <w:rPr>
                      <w:rFonts w:hint="default" w:ascii="Times New Roman" w:hAnsi="Times New Roman" w:eastAsia="宋体" w:cs="Times New Roman"/>
                      <w:color w:val="000000"/>
                      <w:lang w:val="en-US" w:eastAsia="zh-CN"/>
                    </w:rPr>
                    <w:t>MBR</w:t>
                  </w:r>
                  <w:r>
                    <w:rPr>
                      <w:rFonts w:hint="eastAsia" w:ascii="Times New Roman" w:hAnsi="Times New Roman" w:eastAsia="宋体" w:cs="Times New Roman"/>
                      <w:color w:val="000000"/>
                      <w:lang w:val="en-US" w:eastAsia="zh-CN"/>
                    </w:rPr>
                    <w:t>膜</w:t>
                  </w:r>
                </w:p>
              </w:tc>
              <w:tc>
                <w:tcPr>
                  <w:tcW w:w="716"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0"/>
                      <w:lang w:val="en-US" w:eastAsia="zh-CN" w:bidi="ar-SA"/>
                    </w:rPr>
                  </w:pPr>
                  <w:r>
                    <w:rPr>
                      <w:rFonts w:hint="eastAsia" w:ascii="Times New Roman" w:hAnsi="Times New Roman" w:eastAsia="宋体" w:cs="Times New Roman"/>
                      <w:color w:val="000000"/>
                      <w:lang w:val="en-US" w:eastAsia="zh-CN"/>
                    </w:rPr>
                    <w:t>0.1</w:t>
                  </w:r>
                  <w:r>
                    <w:rPr>
                      <w:rFonts w:hint="default" w:ascii="Times New Roman" w:hAnsi="Times New Roman" w:cs="Times New Roman"/>
                      <w:b/>
                      <w:color w:val="000000"/>
                      <w:szCs w:val="21"/>
                    </w:rPr>
                    <w:t>（</w:t>
                  </w:r>
                  <w:r>
                    <w:rPr>
                      <w:rFonts w:hint="default" w:ascii="Times New Roman" w:hAnsi="Times New Roman" w:cs="Times New Roman"/>
                      <w:color w:val="000000"/>
                      <w:szCs w:val="21"/>
                    </w:rPr>
                    <w:t>t/</w:t>
                  </w:r>
                  <w:r>
                    <w:rPr>
                      <w:rFonts w:hint="eastAsia" w:ascii="Times New Roman" w:hAnsi="Times New Roman" w:cs="Times New Roman"/>
                      <w:color w:val="000000"/>
                      <w:szCs w:val="21"/>
                      <w:lang w:val="en-US" w:eastAsia="zh-CN"/>
                    </w:rPr>
                    <w:t>次</w:t>
                  </w:r>
                  <w:r>
                    <w:rPr>
                      <w:rFonts w:hint="default" w:ascii="Times New Roman" w:hAnsi="Times New Roman" w:cs="Times New Roman"/>
                      <w:b/>
                      <w:color w:val="000000"/>
                      <w:szCs w:val="21"/>
                    </w:rPr>
                    <w:t>）</w:t>
                  </w:r>
                </w:p>
              </w:tc>
              <w:tc>
                <w:tcPr>
                  <w:tcW w:w="1097"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0"/>
                      <w:lang w:val="en-US" w:eastAsia="zh-CN" w:bidi="ar-SA"/>
                    </w:rPr>
                  </w:pPr>
                  <w:r>
                    <w:rPr>
                      <w:rFonts w:hint="eastAsia" w:ascii="Times New Roman" w:hAnsi="Times New Roman" w:eastAsia="宋体" w:cs="Times New Roman"/>
                      <w:color w:val="000000"/>
                      <w:lang w:val="en-US" w:eastAsia="zh-CN"/>
                    </w:rPr>
                    <w:t>一般固废</w:t>
                  </w:r>
                </w:p>
              </w:tc>
              <w:tc>
                <w:tcPr>
                  <w:tcW w:w="1815" w:type="pct"/>
                  <w:tcBorders>
                    <w:top w:val="single" w:color="auto" w:sz="4" w:space="0"/>
                  </w:tcBorders>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0"/>
                      <w:lang w:val="en-US" w:eastAsia="zh-CN" w:bidi="ar-SA"/>
                    </w:rPr>
                  </w:pPr>
                  <w:r>
                    <w:rPr>
                      <w:rFonts w:hint="eastAsia" w:ascii="Times New Roman" w:hAnsi="Times New Roman" w:eastAsia="宋体" w:cs="Times New Roman"/>
                      <w:color w:val="000000"/>
                      <w:lang w:val="en-US" w:eastAsia="zh-CN"/>
                    </w:rPr>
                    <w:t>更换单位收集带走，不在厂内暂存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blHeader/>
                <w:jc w:val="center"/>
              </w:trPr>
              <w:tc>
                <w:tcPr>
                  <w:tcW w:w="393" w:type="pct"/>
                  <w:noWrap w:val="0"/>
                  <w:vAlign w:val="center"/>
                </w:tcPr>
                <w:p>
                  <w:pPr>
                    <w:pStyle w:val="92"/>
                    <w:adjustRightInd w:val="0"/>
                    <w:snapToGrid w:val="0"/>
                    <w:spacing w:line="240" w:lineRule="auto"/>
                    <w:jc w:val="center"/>
                    <w:rPr>
                      <w:rFonts w:hint="default" w:ascii="Times New Roman" w:hAnsi="Times New Roman" w:eastAsia="宋体" w:cs="Times New Roman"/>
                      <w:color w:val="000000"/>
                      <w:lang w:val="en-US" w:eastAsia="zh-CN"/>
                    </w:rPr>
                  </w:pPr>
                  <w:r>
                    <w:rPr>
                      <w:rFonts w:hint="default" w:ascii="Times New Roman" w:hAnsi="Times New Roman" w:cs="Times New Roman"/>
                      <w:color w:val="000000"/>
                      <w:lang w:val="en-US" w:eastAsia="zh-CN"/>
                    </w:rPr>
                    <w:t>4</w:t>
                  </w:r>
                </w:p>
              </w:tc>
              <w:tc>
                <w:tcPr>
                  <w:tcW w:w="976"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0"/>
                      <w:lang w:val="en-US" w:eastAsia="zh-CN" w:bidi="ar-SA"/>
                    </w:rPr>
                  </w:pPr>
                  <w:r>
                    <w:rPr>
                      <w:rFonts w:hint="default" w:ascii="Times New Roman" w:hAnsi="Times New Roman" w:cs="Times New Roman"/>
                      <w:color w:val="000000"/>
                      <w:lang w:eastAsia="zh-CN"/>
                    </w:rPr>
                    <w:t>机修含油废物</w:t>
                  </w:r>
                </w:p>
              </w:tc>
              <w:tc>
                <w:tcPr>
                  <w:tcW w:w="716"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Cs w:val="21"/>
                      <w:lang w:val="en-US" w:eastAsia="zh-CN"/>
                    </w:rPr>
                    <w:t>0.05</w:t>
                  </w:r>
                </w:p>
              </w:tc>
              <w:tc>
                <w:tcPr>
                  <w:tcW w:w="1097"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0"/>
                      <w:lang w:val="en-US" w:eastAsia="zh-CN" w:bidi="ar-SA"/>
                    </w:rPr>
                  </w:pPr>
                  <w:r>
                    <w:rPr>
                      <w:rFonts w:hint="default" w:ascii="Times New Roman" w:hAnsi="Times New Roman" w:cs="Times New Roman"/>
                      <w:color w:val="000000"/>
                    </w:rPr>
                    <w:t>危险废物HW</w:t>
                  </w:r>
                  <w:r>
                    <w:rPr>
                      <w:rFonts w:hint="default" w:ascii="Times New Roman" w:hAnsi="Times New Roman" w:cs="Times New Roman"/>
                      <w:color w:val="000000"/>
                      <w:lang w:val="en-US" w:eastAsia="zh-CN"/>
                    </w:rPr>
                    <w:t>08</w:t>
                  </w:r>
                  <w:r>
                    <w:rPr>
                      <w:rFonts w:hint="default" w:ascii="Times New Roman" w:hAnsi="Times New Roman" w:cs="Times New Roman"/>
                      <w:color w:val="000000"/>
                    </w:rPr>
                    <w:t>（</w:t>
                  </w:r>
                  <w:r>
                    <w:rPr>
                      <w:rFonts w:hint="default" w:ascii="Times New Roman" w:hAnsi="Times New Roman" w:cs="Times New Roman"/>
                      <w:color w:val="000000"/>
                      <w:highlight w:val="none"/>
                      <w:u w:val="none" w:color="auto"/>
                    </w:rPr>
                    <w:t>900-</w:t>
                  </w:r>
                  <w:r>
                    <w:rPr>
                      <w:rFonts w:hint="default" w:ascii="Times New Roman" w:hAnsi="Times New Roman" w:cs="Times New Roman"/>
                      <w:color w:val="000000"/>
                      <w:highlight w:val="none"/>
                      <w:u w:val="none" w:color="auto"/>
                      <w:lang w:val="en-US" w:eastAsia="zh-CN"/>
                    </w:rPr>
                    <w:t>249</w:t>
                  </w:r>
                  <w:r>
                    <w:rPr>
                      <w:rFonts w:hint="default" w:ascii="Times New Roman" w:hAnsi="Times New Roman" w:cs="Times New Roman"/>
                      <w:color w:val="000000"/>
                      <w:highlight w:val="none"/>
                      <w:u w:val="none" w:color="auto"/>
                    </w:rPr>
                    <w:t>-</w:t>
                  </w:r>
                  <w:r>
                    <w:rPr>
                      <w:rFonts w:hint="default" w:ascii="Times New Roman" w:hAnsi="Times New Roman" w:cs="Times New Roman"/>
                      <w:color w:val="000000"/>
                      <w:highlight w:val="none"/>
                      <w:u w:val="none" w:color="auto"/>
                      <w:lang w:val="en-US" w:eastAsia="zh-CN"/>
                    </w:rPr>
                    <w:t>08</w:t>
                  </w:r>
                  <w:r>
                    <w:rPr>
                      <w:rFonts w:hint="default" w:ascii="Times New Roman" w:hAnsi="Times New Roman" w:cs="Times New Roman"/>
                      <w:color w:val="000000"/>
                    </w:rPr>
                    <w:t>）</w:t>
                  </w:r>
                </w:p>
              </w:tc>
              <w:tc>
                <w:tcPr>
                  <w:tcW w:w="1815"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0"/>
                      <w:lang w:val="en-US" w:eastAsia="zh-CN" w:bidi="ar-SA"/>
                    </w:rPr>
                  </w:pPr>
                  <w:r>
                    <w:rPr>
                      <w:rFonts w:hint="default" w:ascii="Times New Roman" w:hAnsi="Times New Roman" w:cs="Times New Roman"/>
                      <w:color w:val="000000"/>
                      <w:lang w:eastAsia="zh-CN"/>
                    </w:rPr>
                    <w:t>暂存于危废暂存间内，定期交有资质单位处置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blHeader/>
                <w:jc w:val="center"/>
              </w:trPr>
              <w:tc>
                <w:tcPr>
                  <w:tcW w:w="393" w:type="pct"/>
                  <w:noWrap w:val="0"/>
                  <w:vAlign w:val="center"/>
                </w:tcPr>
                <w:p>
                  <w:pPr>
                    <w:pStyle w:val="92"/>
                    <w:adjustRightInd w:val="0"/>
                    <w:snapToGrid w:val="0"/>
                    <w:spacing w:line="240" w:lineRule="auto"/>
                    <w:jc w:val="center"/>
                    <w:rPr>
                      <w:rFonts w:hint="default" w:ascii="Times New Roman" w:hAnsi="Times New Roman" w:cs="Times New Roman"/>
                      <w:color w:val="000000"/>
                      <w:lang w:val="en-US" w:eastAsia="zh-CN"/>
                    </w:rPr>
                  </w:pPr>
                  <w:r>
                    <w:rPr>
                      <w:rFonts w:hint="eastAsia" w:ascii="Times New Roman" w:hAnsi="Times New Roman" w:cs="Times New Roman"/>
                      <w:color w:val="000000"/>
                      <w:lang w:val="en-US" w:eastAsia="zh-CN"/>
                    </w:rPr>
                    <w:t>5</w:t>
                  </w:r>
                </w:p>
              </w:tc>
              <w:tc>
                <w:tcPr>
                  <w:tcW w:w="976"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0"/>
                      <w:lang w:val="en-US" w:eastAsia="zh-CN" w:bidi="ar-SA"/>
                    </w:rPr>
                  </w:pPr>
                  <w:r>
                    <w:rPr>
                      <w:rFonts w:hint="eastAsia" w:ascii="Times New Roman" w:hAnsi="Times New Roman" w:cs="Times New Roman"/>
                      <w:color w:val="000000"/>
                      <w:lang w:val="en-US" w:eastAsia="zh-CN"/>
                    </w:rPr>
                    <w:t>在线监测</w:t>
                  </w:r>
                  <w:r>
                    <w:rPr>
                      <w:rFonts w:hint="default" w:ascii="Times New Roman" w:hAnsi="Times New Roman" w:cs="Times New Roman"/>
                      <w:color w:val="000000"/>
                      <w:lang w:eastAsia="zh-CN"/>
                    </w:rPr>
                    <w:t>废液</w:t>
                  </w:r>
                </w:p>
              </w:tc>
              <w:tc>
                <w:tcPr>
                  <w:tcW w:w="716"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Cs w:val="21"/>
                      <w:lang w:val="en-US" w:eastAsia="zh-CN"/>
                    </w:rPr>
                    <w:t>0.1</w:t>
                  </w:r>
                </w:p>
              </w:tc>
              <w:tc>
                <w:tcPr>
                  <w:tcW w:w="1097"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0"/>
                      <w:lang w:val="en-US" w:eastAsia="zh-CN" w:bidi="ar-SA"/>
                    </w:rPr>
                  </w:pPr>
                  <w:r>
                    <w:rPr>
                      <w:rFonts w:hint="default" w:ascii="Times New Roman" w:hAnsi="Times New Roman" w:cs="Times New Roman"/>
                      <w:color w:val="000000"/>
                    </w:rPr>
                    <w:t>危险废物HW</w:t>
                  </w:r>
                  <w:r>
                    <w:rPr>
                      <w:rFonts w:hint="default" w:ascii="Times New Roman" w:hAnsi="Times New Roman" w:cs="Times New Roman"/>
                      <w:color w:val="000000"/>
                      <w:lang w:val="en-US" w:eastAsia="zh-CN"/>
                    </w:rPr>
                    <w:t>49</w:t>
                  </w:r>
                  <w:r>
                    <w:rPr>
                      <w:rFonts w:hint="default" w:ascii="Times New Roman" w:hAnsi="Times New Roman" w:cs="Times New Roman"/>
                      <w:color w:val="000000"/>
                    </w:rPr>
                    <w:t>（900-047-49）</w:t>
                  </w:r>
                </w:p>
              </w:tc>
              <w:tc>
                <w:tcPr>
                  <w:tcW w:w="1815"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0"/>
                      <w:lang w:val="en-US" w:eastAsia="zh-CN" w:bidi="ar-SA"/>
                    </w:rPr>
                  </w:pPr>
                  <w:r>
                    <w:rPr>
                      <w:rFonts w:hint="default" w:ascii="Times New Roman" w:hAnsi="Times New Roman" w:cs="Times New Roman"/>
                      <w:color w:val="000000"/>
                      <w:lang w:eastAsia="zh-CN"/>
                    </w:rPr>
                    <w:t>暂存于危废暂存间内，定期交有资质单位处置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5" w:hRule="atLeast"/>
                <w:tblHeader/>
                <w:jc w:val="center"/>
              </w:trPr>
              <w:tc>
                <w:tcPr>
                  <w:tcW w:w="393" w:type="pct"/>
                  <w:noWrap w:val="0"/>
                  <w:vAlign w:val="center"/>
                </w:tcPr>
                <w:p>
                  <w:pPr>
                    <w:pStyle w:val="92"/>
                    <w:adjustRightInd w:val="0"/>
                    <w:snapToGrid w:val="0"/>
                    <w:spacing w:line="240" w:lineRule="auto"/>
                    <w:ind w:firstLine="0" w:firstLineChars="0"/>
                    <w:jc w:val="center"/>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6</w:t>
                  </w:r>
                </w:p>
              </w:tc>
              <w:tc>
                <w:tcPr>
                  <w:tcW w:w="976"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0"/>
                      <w:lang w:val="en-US" w:eastAsia="zh-CN" w:bidi="ar-SA"/>
                    </w:rPr>
                  </w:pPr>
                  <w:r>
                    <w:rPr>
                      <w:rFonts w:hint="default" w:ascii="Times New Roman" w:hAnsi="Times New Roman" w:cs="Times New Roman"/>
                      <w:color w:val="000000"/>
                      <w:lang w:eastAsia="zh-CN"/>
                    </w:rPr>
                    <w:t>废紫外灯管</w:t>
                  </w:r>
                </w:p>
              </w:tc>
              <w:tc>
                <w:tcPr>
                  <w:tcW w:w="716"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val="en-US" w:eastAsia="zh-CN"/>
                    </w:rPr>
                    <w:t>0.00</w:t>
                  </w:r>
                  <w:r>
                    <w:rPr>
                      <w:rFonts w:hint="eastAsia" w:ascii="Times New Roman" w:hAnsi="Times New Roman" w:cs="Times New Roman"/>
                      <w:color w:val="000000"/>
                      <w:szCs w:val="21"/>
                      <w:lang w:val="en-US" w:eastAsia="zh-CN"/>
                    </w:rPr>
                    <w:t>1</w:t>
                  </w:r>
                </w:p>
              </w:tc>
              <w:tc>
                <w:tcPr>
                  <w:tcW w:w="1097"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rPr>
                    <w:t>危险废物HW</w:t>
                  </w:r>
                  <w:r>
                    <w:rPr>
                      <w:rFonts w:hint="default" w:ascii="Times New Roman" w:hAnsi="Times New Roman" w:cs="Times New Roman"/>
                      <w:color w:val="000000"/>
                      <w:lang w:val="en-US" w:eastAsia="zh-CN"/>
                    </w:rPr>
                    <w:t>29</w:t>
                  </w:r>
                  <w:r>
                    <w:rPr>
                      <w:rFonts w:hint="default" w:ascii="Times New Roman" w:hAnsi="Times New Roman" w:cs="Times New Roman"/>
                      <w:color w:val="000000"/>
                    </w:rPr>
                    <w:t>（900-0</w:t>
                  </w:r>
                  <w:r>
                    <w:rPr>
                      <w:rFonts w:hint="default" w:ascii="Times New Roman" w:hAnsi="Times New Roman" w:cs="Times New Roman"/>
                      <w:color w:val="000000"/>
                      <w:lang w:val="en-US" w:eastAsia="zh-CN"/>
                    </w:rPr>
                    <w:t>23</w:t>
                  </w:r>
                  <w:r>
                    <w:rPr>
                      <w:rFonts w:hint="default" w:ascii="Times New Roman" w:hAnsi="Times New Roman" w:cs="Times New Roman"/>
                      <w:color w:val="000000"/>
                    </w:rPr>
                    <w:t>-</w:t>
                  </w:r>
                  <w:r>
                    <w:rPr>
                      <w:rFonts w:hint="default" w:ascii="Times New Roman" w:hAnsi="Times New Roman" w:cs="Times New Roman"/>
                      <w:color w:val="000000"/>
                      <w:lang w:val="en-US" w:eastAsia="zh-CN"/>
                    </w:rPr>
                    <w:t>29</w:t>
                  </w:r>
                  <w:r>
                    <w:rPr>
                      <w:rFonts w:hint="default" w:ascii="Times New Roman" w:hAnsi="Times New Roman" w:cs="Times New Roman"/>
                      <w:color w:val="000000"/>
                    </w:rPr>
                    <w:t>）</w:t>
                  </w:r>
                </w:p>
              </w:tc>
              <w:tc>
                <w:tcPr>
                  <w:tcW w:w="1815"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lang w:eastAsia="zh-CN"/>
                    </w:rPr>
                    <w:t>暂存于危废暂存间内，定期交有资质单位处置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1" w:hRule="atLeast"/>
                <w:tblHeader/>
                <w:jc w:val="center"/>
              </w:trPr>
              <w:tc>
                <w:tcPr>
                  <w:tcW w:w="393" w:type="pct"/>
                  <w:noWrap w:val="0"/>
                  <w:vAlign w:val="center"/>
                </w:tcPr>
                <w:p>
                  <w:pPr>
                    <w:pStyle w:val="92"/>
                    <w:adjustRightInd w:val="0"/>
                    <w:snapToGrid w:val="0"/>
                    <w:spacing w:line="240" w:lineRule="auto"/>
                    <w:ind w:firstLine="0" w:firstLineChars="0"/>
                    <w:jc w:val="center"/>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7</w:t>
                  </w:r>
                </w:p>
              </w:tc>
              <w:tc>
                <w:tcPr>
                  <w:tcW w:w="976"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0"/>
                      <w:lang w:val="en-US" w:eastAsia="zh-CN" w:bidi="ar-SA"/>
                    </w:rPr>
                  </w:pPr>
                  <w:r>
                    <w:rPr>
                      <w:rFonts w:hint="default" w:ascii="Times New Roman" w:hAnsi="Times New Roman" w:cs="Times New Roman"/>
                      <w:color w:val="000000"/>
                    </w:rPr>
                    <w:t>生活垃圾</w:t>
                  </w:r>
                </w:p>
              </w:tc>
              <w:tc>
                <w:tcPr>
                  <w:tcW w:w="716"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Cs w:val="21"/>
                      <w:lang w:val="en-US" w:eastAsia="zh-CN"/>
                    </w:rPr>
                    <w:t>1277.5</w:t>
                  </w:r>
                </w:p>
              </w:tc>
              <w:tc>
                <w:tcPr>
                  <w:tcW w:w="1097"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Cs w:val="21"/>
                      <w:lang w:eastAsia="zh-CN"/>
                    </w:rPr>
                    <w:t>一般固废</w:t>
                  </w:r>
                </w:p>
              </w:tc>
              <w:tc>
                <w:tcPr>
                  <w:tcW w:w="1815" w:type="pct"/>
                  <w:shd w:val="clear" w:color="auto" w:fill="auto"/>
                  <w:noWrap w:val="0"/>
                  <w:vAlign w:val="center"/>
                </w:tcPr>
                <w:p>
                  <w:pPr>
                    <w:pStyle w:val="92"/>
                    <w:adjustRightInd w:val="0"/>
                    <w:snapToGrid w:val="0"/>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 w:val="21"/>
                      <w:szCs w:val="21"/>
                      <w:lang w:eastAsia="zh-CN"/>
                    </w:rPr>
                    <w:t>委托</w:t>
                  </w:r>
                  <w:r>
                    <w:rPr>
                      <w:rFonts w:hint="default" w:ascii="Times New Roman" w:hAnsi="Times New Roman" w:cs="Times New Roman"/>
                      <w:color w:val="000000"/>
                      <w:sz w:val="21"/>
                      <w:szCs w:val="21"/>
                    </w:rPr>
                    <w:t>环卫部门收集处理</w:t>
                  </w:r>
                </w:p>
              </w:tc>
            </w:tr>
          </w:tbl>
          <w:p>
            <w:pPr>
              <w:pStyle w:val="56"/>
              <w:adjustRightInd w:val="0"/>
              <w:snapToGrid w:val="0"/>
              <w:spacing w:line="360" w:lineRule="auto"/>
              <w:ind w:firstLine="482"/>
              <w:rPr>
                <w:b/>
                <w:color w:val="auto"/>
                <w:sz w:val="24"/>
                <w:szCs w:val="21"/>
              </w:rPr>
            </w:pPr>
            <w:r>
              <w:rPr>
                <w:rFonts w:hint="eastAsia"/>
                <w:b/>
                <w:color w:val="auto"/>
                <w:sz w:val="24"/>
                <w:szCs w:val="21"/>
                <w:lang w:val="en-US" w:eastAsia="zh-CN"/>
              </w:rPr>
              <w:t>5.2</w:t>
            </w:r>
            <w:r>
              <w:rPr>
                <w:rFonts w:hint="eastAsia"/>
                <w:b/>
                <w:color w:val="auto"/>
                <w:sz w:val="24"/>
                <w:szCs w:val="21"/>
              </w:rPr>
              <w:t>影响分析</w:t>
            </w:r>
          </w:p>
          <w:p>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生活垃圾由</w:t>
            </w:r>
            <w:r>
              <w:rPr>
                <w:rFonts w:hint="eastAsia" w:cs="Times New Roman"/>
                <w:color w:val="auto"/>
                <w:sz w:val="24"/>
                <w:highlight w:val="none"/>
                <w:lang w:val="en-US" w:eastAsia="zh-CN"/>
              </w:rPr>
              <w:t>安置区内分散布置的</w:t>
            </w:r>
            <w:r>
              <w:rPr>
                <w:rFonts w:hint="default" w:ascii="Times New Roman" w:hAnsi="Times New Roman" w:eastAsia="宋体" w:cs="Times New Roman"/>
                <w:color w:val="auto"/>
                <w:sz w:val="24"/>
                <w:highlight w:val="none"/>
              </w:rPr>
              <w:t>垃圾桶收集，</w:t>
            </w:r>
            <w:r>
              <w:rPr>
                <w:rFonts w:hint="eastAsia" w:cs="Times New Roman"/>
                <w:color w:val="auto"/>
                <w:sz w:val="24"/>
                <w:highlight w:val="none"/>
                <w:lang w:val="en-US" w:eastAsia="zh-CN"/>
              </w:rPr>
              <w:t>之后由安置区内</w:t>
            </w:r>
            <w:r>
              <w:rPr>
                <w:rFonts w:hint="default" w:ascii="Times New Roman" w:hAnsi="Times New Roman" w:eastAsia="宋体" w:cs="Times New Roman"/>
                <w:color w:val="auto"/>
                <w:sz w:val="24"/>
                <w:highlight w:val="none"/>
              </w:rPr>
              <w:t>环卫人员送至</w:t>
            </w:r>
            <w:r>
              <w:rPr>
                <w:rFonts w:hint="eastAsia" w:cs="Times New Roman"/>
                <w:color w:val="auto"/>
                <w:sz w:val="24"/>
                <w:highlight w:val="none"/>
                <w:lang w:val="en-US" w:eastAsia="zh-CN"/>
              </w:rPr>
              <w:t>附</w:t>
            </w:r>
            <w:r>
              <w:rPr>
                <w:rFonts w:hint="eastAsia" w:ascii="Times New Roman" w:hAnsi="Times New Roman" w:eastAsia="宋体" w:cs="Times New Roman"/>
                <w:color w:val="auto"/>
                <w:sz w:val="24"/>
                <w:highlight w:val="none"/>
                <w:lang w:val="en-US" w:eastAsia="zh-CN"/>
              </w:rPr>
              <w:t>件</w:t>
            </w:r>
            <w:r>
              <w:rPr>
                <w:rFonts w:hint="default" w:ascii="Times New Roman" w:hAnsi="Times New Roman" w:eastAsia="宋体" w:cs="Times New Roman"/>
                <w:color w:val="auto"/>
                <w:sz w:val="24"/>
                <w:highlight w:val="none"/>
              </w:rPr>
              <w:t>垃圾站压缩处理，</w:t>
            </w:r>
            <w:r>
              <w:rPr>
                <w:rFonts w:hint="eastAsia" w:ascii="Times New Roman" w:hAnsi="Times New Roman" w:eastAsia="宋体" w:cs="Times New Roman"/>
                <w:color w:val="auto"/>
                <w:sz w:val="24"/>
                <w:highlight w:val="none"/>
                <w:lang w:val="en-US" w:eastAsia="zh-CN"/>
              </w:rPr>
              <w:t>之后再</w:t>
            </w:r>
            <w:r>
              <w:rPr>
                <w:rFonts w:hint="default" w:ascii="Times New Roman" w:hAnsi="Times New Roman" w:eastAsia="宋体" w:cs="Times New Roman"/>
                <w:color w:val="auto"/>
                <w:sz w:val="24"/>
                <w:highlight w:val="none"/>
              </w:rPr>
              <w:t>由环卫部门统一收集外运处理，对周围环境影响很小</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配套污水处理厂产生的格栅渣及污泥等一般固废可交由市政环卫部门有效处置；废</w:t>
            </w:r>
            <w:r>
              <w:rPr>
                <w:rFonts w:hint="default" w:ascii="Times New Roman" w:hAnsi="Times New Roman" w:eastAsia="宋体" w:cs="Times New Roman"/>
                <w:color w:val="auto"/>
                <w:sz w:val="24"/>
                <w:highlight w:val="none"/>
                <w:lang w:val="en-US" w:eastAsia="zh-CN"/>
              </w:rPr>
              <w:t>MBR</w:t>
            </w:r>
            <w:r>
              <w:rPr>
                <w:rFonts w:hint="eastAsia" w:ascii="Times New Roman" w:hAnsi="Times New Roman" w:eastAsia="宋体" w:cs="Times New Roman"/>
                <w:color w:val="auto"/>
                <w:sz w:val="24"/>
                <w:highlight w:val="none"/>
                <w:lang w:val="en-US" w:eastAsia="zh-CN"/>
              </w:rPr>
              <w:t>由厂商更换带走；机修含油废物、在线监测废液、废紫外灯管等危险废物经收集后暂存于</w:t>
            </w:r>
            <w:r>
              <w:rPr>
                <w:rFonts w:hint="default" w:ascii="Times New Roman" w:hAnsi="Times New Roman" w:eastAsia="宋体" w:cs="Times New Roman"/>
                <w:color w:val="auto"/>
                <w:sz w:val="24"/>
                <w:highlight w:val="none"/>
                <w:lang w:val="en-US" w:eastAsia="zh-CN"/>
              </w:rPr>
              <w:t>危废暂存间</w:t>
            </w:r>
            <w:r>
              <w:rPr>
                <w:rFonts w:hint="eastAsia" w:ascii="Times New Roman" w:hAnsi="Times New Roman" w:eastAsia="宋体" w:cs="Times New Roman"/>
                <w:color w:val="auto"/>
                <w:sz w:val="24"/>
                <w:highlight w:val="none"/>
                <w:lang w:val="en-US" w:eastAsia="zh-CN"/>
              </w:rPr>
              <w:t>内，之后交由有资质单位处置</w:t>
            </w:r>
            <w:r>
              <w:rPr>
                <w:rFonts w:hint="default" w:ascii="Times New Roman" w:hAnsi="Times New Roman" w:eastAsia="宋体" w:cs="Times New Roman"/>
                <w:color w:val="auto"/>
                <w:sz w:val="24"/>
                <w:highlight w:val="none"/>
              </w:rPr>
              <w:t>。</w:t>
            </w:r>
          </w:p>
          <w:p>
            <w:pPr>
              <w:spacing w:line="360" w:lineRule="auto"/>
              <w:ind w:firstLine="480" w:firstLineChars="200"/>
              <w:rPr>
                <w:rFonts w:hint="eastAsia"/>
                <w:color w:val="auto"/>
                <w:sz w:val="24"/>
              </w:rPr>
            </w:pPr>
            <w:r>
              <w:rPr>
                <w:rFonts w:hint="eastAsia"/>
                <w:color w:val="auto"/>
                <w:sz w:val="24"/>
              </w:rPr>
              <w:t>本项目</w:t>
            </w:r>
            <w:r>
              <w:rPr>
                <w:rFonts w:hint="eastAsia"/>
                <w:color w:val="auto"/>
                <w:sz w:val="24"/>
                <w:lang w:val="en-US" w:eastAsia="zh-CN"/>
              </w:rPr>
              <w:t>拟在污水处理厂</w:t>
            </w:r>
            <w:r>
              <w:rPr>
                <w:rFonts w:hint="eastAsia"/>
                <w:color w:val="auto"/>
                <w:sz w:val="24"/>
              </w:rPr>
              <w:t>南侧设置一单独的危废暂存间（</w:t>
            </w:r>
            <w:r>
              <w:rPr>
                <w:rFonts w:hint="eastAsia"/>
                <w:color w:val="auto"/>
                <w:sz w:val="24"/>
                <w:lang w:val="en-US" w:eastAsia="zh-CN"/>
              </w:rPr>
              <w:t>10</w:t>
            </w:r>
            <w:r>
              <w:rPr>
                <w:rFonts w:hint="eastAsia"/>
                <w:color w:val="auto"/>
                <w:sz w:val="24"/>
              </w:rPr>
              <w:t>m</w:t>
            </w:r>
            <w:r>
              <w:rPr>
                <w:rFonts w:hint="eastAsia"/>
                <w:color w:val="auto"/>
                <w:sz w:val="24"/>
                <w:vertAlign w:val="superscript"/>
              </w:rPr>
              <w:t>2</w:t>
            </w:r>
            <w:r>
              <w:rPr>
                <w:rFonts w:hint="eastAsia"/>
                <w:color w:val="auto"/>
                <w:sz w:val="24"/>
              </w:rPr>
              <w:t>），将严格按照《建设项目危险废物环境影响评价指南》（环境保护部公告2017年第43号）《危险废物贮存污染控制标准》（GB18597-2023）的相关要求进行，不同危废在暂存间内分开存放。在做好各项措施的前提下，可满足“防风、防雨、防晒、防漏、防渗、防腐”要求；贮存场所内采用安全照明设施，并设置观察窗口；废物贮存设施周围设置围墙</w:t>
            </w:r>
            <w:r>
              <w:rPr>
                <w:rFonts w:hint="eastAsia"/>
                <w:color w:val="auto"/>
                <w:sz w:val="24"/>
                <w:lang w:eastAsia="zh-CN"/>
              </w:rPr>
              <w:t>或其他</w:t>
            </w:r>
            <w:r>
              <w:rPr>
                <w:rFonts w:hint="eastAsia"/>
                <w:color w:val="auto"/>
                <w:sz w:val="24"/>
              </w:rPr>
              <w:t>防护栅栏，并配备通讯设备、照明设施、安全防护服装及工具，并设有应急防护设施；废物贮存设施内清理出来的泄漏物，一律按危险废物处理。</w:t>
            </w:r>
          </w:p>
          <w:p>
            <w:pPr>
              <w:spacing w:line="360" w:lineRule="auto"/>
              <w:ind w:firstLine="480" w:firstLineChars="200"/>
              <w:rPr>
                <w:rFonts w:hint="eastAsia" w:eastAsia="宋体"/>
                <w:color w:val="auto"/>
                <w:sz w:val="24"/>
                <w:lang w:val="en-US" w:eastAsia="zh-CN"/>
              </w:rPr>
            </w:pPr>
            <w:r>
              <w:rPr>
                <w:rFonts w:hint="eastAsia"/>
                <w:color w:val="auto"/>
                <w:sz w:val="24"/>
              </w:rPr>
              <w:t>危废暂存、运输、处置要求</w:t>
            </w:r>
            <w:r>
              <w:rPr>
                <w:rFonts w:hint="eastAsia"/>
                <w:color w:val="auto"/>
                <w:sz w:val="24"/>
                <w:lang w:val="en-US" w:eastAsia="zh-CN"/>
              </w:rPr>
              <w:t>:</w:t>
            </w:r>
          </w:p>
          <w:p>
            <w:pPr>
              <w:spacing w:line="360" w:lineRule="auto"/>
              <w:ind w:firstLine="482" w:firstLineChars="200"/>
              <w:rPr>
                <w:color w:val="auto"/>
                <w:sz w:val="24"/>
              </w:rPr>
            </w:pPr>
            <w:r>
              <w:rPr>
                <w:rFonts w:hint="eastAsia"/>
                <w:b/>
                <w:bCs/>
                <w:color w:val="auto"/>
                <w:sz w:val="24"/>
              </w:rPr>
              <w:t>储存：</w:t>
            </w:r>
            <w:r>
              <w:rPr>
                <w:rFonts w:hint="eastAsia"/>
                <w:color w:val="auto"/>
                <w:sz w:val="24"/>
              </w:rPr>
              <w:t>在固体废物储存过程中，严禁将危险废物随意露天堆放，</w:t>
            </w:r>
          </w:p>
          <w:p>
            <w:pPr>
              <w:spacing w:line="360" w:lineRule="auto"/>
              <w:ind w:firstLine="480" w:firstLineChars="200"/>
              <w:rPr>
                <w:color w:val="auto"/>
                <w:sz w:val="24"/>
              </w:rPr>
            </w:pPr>
            <w:r>
              <w:rPr>
                <w:rFonts w:hint="eastAsia"/>
                <w:color w:val="auto"/>
                <w:sz w:val="24"/>
              </w:rPr>
              <w:t>危废暂存间按照《危险废物贮存污染物控制标准》（GB18597-2023）进行设置，将危废对周边环境的影响降到最小，应遵循的设置要求如下：</w:t>
            </w:r>
          </w:p>
          <w:p>
            <w:pPr>
              <w:spacing w:line="360" w:lineRule="auto"/>
              <w:ind w:firstLine="480" w:firstLineChars="200"/>
              <w:rPr>
                <w:color w:val="auto"/>
                <w:sz w:val="24"/>
              </w:rPr>
            </w:pPr>
            <w:r>
              <w:rPr>
                <w:rFonts w:hint="eastAsia"/>
                <w:color w:val="auto"/>
                <w:sz w:val="24"/>
              </w:rPr>
              <w:fldChar w:fldCharType="begin"/>
            </w:r>
            <w:r>
              <w:rPr>
                <w:rFonts w:hint="eastAsia"/>
                <w:color w:val="auto"/>
                <w:sz w:val="24"/>
              </w:rPr>
              <w:instrText xml:space="preserve"> = 1 \* GB3 </w:instrText>
            </w:r>
            <w:r>
              <w:rPr>
                <w:rFonts w:hint="eastAsia"/>
                <w:color w:val="auto"/>
                <w:sz w:val="24"/>
              </w:rPr>
              <w:fldChar w:fldCharType="separate"/>
            </w:r>
            <w:r>
              <w:rPr>
                <w:rFonts w:hint="eastAsia"/>
                <w:color w:val="auto"/>
                <w:sz w:val="24"/>
              </w:rPr>
              <w:t>①</w:t>
            </w:r>
            <w:r>
              <w:rPr>
                <w:rFonts w:hint="eastAsia"/>
                <w:color w:val="auto"/>
                <w:sz w:val="24"/>
              </w:rPr>
              <w:fldChar w:fldCharType="end"/>
            </w:r>
            <w:r>
              <w:rPr>
                <w:rFonts w:hint="eastAsia"/>
                <w:color w:val="auto"/>
                <w:sz w:val="24"/>
              </w:rPr>
              <w:t>应建有堵截泄漏的裙脚，地面与裙脚要用坚固防渗的材料建造。应有隔离设施、报警装置和防风、防晒、防雨设施；</w:t>
            </w:r>
          </w:p>
          <w:p>
            <w:pPr>
              <w:spacing w:line="360" w:lineRule="auto"/>
              <w:ind w:firstLine="480" w:firstLineChars="200"/>
              <w:rPr>
                <w:color w:val="auto"/>
                <w:sz w:val="24"/>
              </w:rPr>
            </w:pPr>
            <w:r>
              <w:rPr>
                <w:rFonts w:hint="eastAsia"/>
                <w:color w:val="auto"/>
                <w:sz w:val="24"/>
              </w:rPr>
              <w:fldChar w:fldCharType="begin"/>
            </w:r>
            <w:r>
              <w:rPr>
                <w:rFonts w:hint="eastAsia"/>
                <w:color w:val="auto"/>
                <w:sz w:val="24"/>
              </w:rPr>
              <w:instrText xml:space="preserve"> = 2 \* GB3 </w:instrText>
            </w:r>
            <w:r>
              <w:rPr>
                <w:rFonts w:hint="eastAsia"/>
                <w:color w:val="auto"/>
                <w:sz w:val="24"/>
              </w:rPr>
              <w:fldChar w:fldCharType="separate"/>
            </w:r>
            <w:r>
              <w:rPr>
                <w:rFonts w:hint="eastAsia"/>
                <w:color w:val="auto"/>
                <w:sz w:val="24"/>
              </w:rPr>
              <w:t>②</w:t>
            </w:r>
            <w:r>
              <w:rPr>
                <w:rFonts w:hint="eastAsia"/>
                <w:color w:val="auto"/>
                <w:sz w:val="24"/>
              </w:rPr>
              <w:fldChar w:fldCharType="end"/>
            </w:r>
            <w:r>
              <w:rPr>
                <w:rFonts w:hint="eastAsia"/>
                <w:color w:val="auto"/>
                <w:sz w:val="24"/>
              </w:rPr>
              <w:t>基础防渗层为</w:t>
            </w:r>
            <w:r>
              <w:rPr>
                <w:rFonts w:hint="eastAsia"/>
                <w:color w:val="auto"/>
                <w:sz w:val="24"/>
                <w:lang w:eastAsia="zh-CN"/>
              </w:rPr>
              <w:t>黏土层</w:t>
            </w:r>
            <w:r>
              <w:rPr>
                <w:rFonts w:hint="eastAsia"/>
                <w:color w:val="auto"/>
                <w:sz w:val="24"/>
              </w:rPr>
              <w:t>的，其厚度应在1m以上，渗透系数应小于</w:t>
            </w:r>
            <w:r>
              <w:rPr>
                <w:color w:val="auto"/>
                <w:sz w:val="24"/>
              </w:rPr>
              <w:t>1.0×10</w:t>
            </w:r>
            <w:r>
              <w:rPr>
                <w:color w:val="auto"/>
                <w:sz w:val="24"/>
                <w:vertAlign w:val="superscript"/>
              </w:rPr>
              <w:t>-10</w:t>
            </w:r>
            <w:r>
              <w:rPr>
                <w:color w:val="auto"/>
                <w:sz w:val="24"/>
              </w:rPr>
              <w:t>cm/s</w:t>
            </w:r>
            <w:r>
              <w:rPr>
                <w:rFonts w:hint="eastAsia"/>
                <w:color w:val="auto"/>
                <w:sz w:val="24"/>
              </w:rPr>
              <w:t>；基础防渗层也可用厚度在2毫米以上的高密度聚乙烯或其他人工防渗材料组成；</w:t>
            </w:r>
          </w:p>
          <w:p>
            <w:pPr>
              <w:spacing w:line="360" w:lineRule="auto"/>
              <w:ind w:firstLine="480" w:firstLineChars="200"/>
              <w:rPr>
                <w:color w:val="auto"/>
                <w:sz w:val="24"/>
              </w:rPr>
            </w:pPr>
            <w:r>
              <w:rPr>
                <w:rFonts w:hint="eastAsia"/>
                <w:color w:val="auto"/>
                <w:sz w:val="24"/>
              </w:rPr>
              <w:fldChar w:fldCharType="begin"/>
            </w:r>
            <w:r>
              <w:rPr>
                <w:rFonts w:hint="eastAsia"/>
                <w:color w:val="auto"/>
                <w:sz w:val="24"/>
              </w:rPr>
              <w:instrText xml:space="preserve"> = 3 \* GB3 </w:instrText>
            </w:r>
            <w:r>
              <w:rPr>
                <w:rFonts w:hint="eastAsia"/>
                <w:color w:val="auto"/>
                <w:sz w:val="24"/>
              </w:rPr>
              <w:fldChar w:fldCharType="separate"/>
            </w:r>
            <w:r>
              <w:rPr>
                <w:rFonts w:hint="eastAsia"/>
                <w:color w:val="auto"/>
                <w:sz w:val="24"/>
              </w:rPr>
              <w:t>③</w:t>
            </w:r>
            <w:r>
              <w:rPr>
                <w:rFonts w:hint="eastAsia"/>
                <w:color w:val="auto"/>
                <w:sz w:val="24"/>
              </w:rPr>
              <w:fldChar w:fldCharType="end"/>
            </w:r>
            <w:r>
              <w:rPr>
                <w:rFonts w:hint="eastAsia"/>
                <w:color w:val="auto"/>
                <w:sz w:val="24"/>
              </w:rPr>
              <w:t>须有泄漏液体收集装置；</w:t>
            </w:r>
          </w:p>
          <w:p>
            <w:pPr>
              <w:spacing w:line="360" w:lineRule="auto"/>
              <w:ind w:firstLine="480" w:firstLineChars="200"/>
              <w:rPr>
                <w:color w:val="auto"/>
                <w:sz w:val="24"/>
              </w:rPr>
            </w:pPr>
            <w:r>
              <w:rPr>
                <w:rFonts w:hint="eastAsia"/>
                <w:color w:val="auto"/>
                <w:sz w:val="24"/>
              </w:rPr>
              <w:fldChar w:fldCharType="begin"/>
            </w:r>
            <w:r>
              <w:rPr>
                <w:rFonts w:hint="eastAsia"/>
                <w:color w:val="auto"/>
                <w:sz w:val="24"/>
              </w:rPr>
              <w:instrText xml:space="preserve"> = 4 \* GB3 </w:instrText>
            </w:r>
            <w:r>
              <w:rPr>
                <w:rFonts w:hint="eastAsia"/>
                <w:color w:val="auto"/>
                <w:sz w:val="24"/>
              </w:rPr>
              <w:fldChar w:fldCharType="separate"/>
            </w:r>
            <w:r>
              <w:rPr>
                <w:rFonts w:hint="eastAsia"/>
                <w:color w:val="auto"/>
                <w:sz w:val="24"/>
              </w:rPr>
              <w:t>④</w:t>
            </w:r>
            <w:r>
              <w:rPr>
                <w:rFonts w:hint="eastAsia"/>
                <w:color w:val="auto"/>
                <w:sz w:val="24"/>
              </w:rPr>
              <w:fldChar w:fldCharType="end"/>
            </w:r>
            <w:r>
              <w:rPr>
                <w:rFonts w:hint="eastAsia"/>
                <w:color w:val="auto"/>
                <w:sz w:val="24"/>
              </w:rPr>
              <w:t>用于存放液体危险废物的地方，还须有耐腐蚀的硬化地面，地面无裂隙；</w:t>
            </w:r>
          </w:p>
          <w:p>
            <w:pPr>
              <w:spacing w:line="360" w:lineRule="auto"/>
              <w:ind w:firstLine="480" w:firstLineChars="200"/>
              <w:rPr>
                <w:color w:val="auto"/>
                <w:sz w:val="24"/>
              </w:rPr>
            </w:pPr>
            <w:r>
              <w:rPr>
                <w:rFonts w:hint="eastAsia"/>
                <w:color w:val="auto"/>
                <w:sz w:val="24"/>
              </w:rPr>
              <w:fldChar w:fldCharType="begin"/>
            </w:r>
            <w:r>
              <w:rPr>
                <w:rFonts w:hint="eastAsia"/>
                <w:color w:val="auto"/>
                <w:sz w:val="24"/>
              </w:rPr>
              <w:instrText xml:space="preserve"> = 5 \* GB3 </w:instrText>
            </w:r>
            <w:r>
              <w:rPr>
                <w:rFonts w:hint="eastAsia"/>
                <w:color w:val="auto"/>
                <w:sz w:val="24"/>
              </w:rPr>
              <w:fldChar w:fldCharType="separate"/>
            </w:r>
            <w:r>
              <w:rPr>
                <w:rFonts w:hint="eastAsia"/>
                <w:color w:val="auto"/>
                <w:sz w:val="24"/>
              </w:rPr>
              <w:t>⑤</w:t>
            </w:r>
            <w:r>
              <w:rPr>
                <w:rFonts w:hint="eastAsia"/>
                <w:color w:val="auto"/>
                <w:sz w:val="24"/>
              </w:rPr>
              <w:fldChar w:fldCharType="end"/>
            </w:r>
            <w:r>
              <w:rPr>
                <w:rFonts w:hint="eastAsia"/>
                <w:color w:val="auto"/>
                <w:sz w:val="24"/>
              </w:rPr>
              <w:t>设置“危险废物暂存间”和危险废物标志的牌子；</w:t>
            </w:r>
          </w:p>
          <w:p>
            <w:pPr>
              <w:spacing w:line="360" w:lineRule="auto"/>
              <w:ind w:firstLine="480" w:firstLineChars="200"/>
              <w:rPr>
                <w:color w:val="auto"/>
                <w:sz w:val="24"/>
              </w:rPr>
            </w:pPr>
            <w:r>
              <w:rPr>
                <w:rFonts w:hint="eastAsia"/>
                <w:color w:val="auto"/>
                <w:sz w:val="24"/>
              </w:rPr>
              <w:fldChar w:fldCharType="begin"/>
            </w:r>
            <w:r>
              <w:rPr>
                <w:rFonts w:hint="eastAsia"/>
                <w:color w:val="auto"/>
                <w:sz w:val="24"/>
              </w:rPr>
              <w:instrText xml:space="preserve"> = 6 \* GB3 </w:instrText>
            </w:r>
            <w:r>
              <w:rPr>
                <w:rFonts w:hint="eastAsia"/>
                <w:color w:val="auto"/>
                <w:sz w:val="24"/>
              </w:rPr>
              <w:fldChar w:fldCharType="separate"/>
            </w:r>
            <w:r>
              <w:rPr>
                <w:rFonts w:hint="eastAsia"/>
                <w:color w:val="auto"/>
                <w:sz w:val="24"/>
              </w:rPr>
              <w:t>⑥</w:t>
            </w:r>
            <w:r>
              <w:rPr>
                <w:rFonts w:hint="eastAsia"/>
                <w:color w:val="auto"/>
                <w:sz w:val="24"/>
              </w:rPr>
              <w:fldChar w:fldCharType="end"/>
            </w:r>
            <w:r>
              <w:rPr>
                <w:rFonts w:hint="eastAsia"/>
                <w:color w:val="auto"/>
                <w:sz w:val="24"/>
              </w:rPr>
              <w:t>危废暂存点应设计建造径流疏导系统（地沟或围堰），防止外界雨水径流影响。</w:t>
            </w:r>
          </w:p>
          <w:p>
            <w:pPr>
              <w:spacing w:line="360" w:lineRule="auto"/>
              <w:ind w:firstLine="482" w:firstLineChars="200"/>
              <w:rPr>
                <w:color w:val="auto"/>
                <w:sz w:val="24"/>
              </w:rPr>
            </w:pPr>
            <w:r>
              <w:rPr>
                <w:b/>
                <w:color w:val="auto"/>
                <w:sz w:val="24"/>
              </w:rPr>
              <w:t>运输</w:t>
            </w:r>
            <w:r>
              <w:rPr>
                <w:color w:val="auto"/>
                <w:sz w:val="24"/>
              </w:rPr>
              <w:t>：危险废物运输过程中，必须配备随车人员在途中经常检查，危险废物如有丢失、被盗，应立即报告当地交通运输、环境保护主管部门，并由交通运输主管部门会同公安部门和环保部门查处。</w:t>
            </w:r>
          </w:p>
          <w:p>
            <w:pPr>
              <w:spacing w:line="360" w:lineRule="auto"/>
              <w:ind w:firstLine="482" w:firstLineChars="200"/>
              <w:rPr>
                <w:rFonts w:hint="eastAsia"/>
                <w:color w:val="auto"/>
                <w:sz w:val="24"/>
              </w:rPr>
            </w:pPr>
            <w:r>
              <w:rPr>
                <w:b/>
                <w:color w:val="auto"/>
                <w:sz w:val="24"/>
              </w:rPr>
              <w:t>处置：</w:t>
            </w:r>
            <w:r>
              <w:rPr>
                <w:color w:val="auto"/>
                <w:sz w:val="24"/>
              </w:rPr>
              <w:t>应委托具有相应资质的运输单位和利用处置经营单位，签订委托合同，依法委托运输、利用处置危险废物。在委托时，应详细核实运输单位、车辆、驾驶员及押运员的资质，并根据废物特性，选择运输工具，严防二次污染；应详细核实经营单位资质，严禁委托不具资质或资质不符的单位处置。转移前，产生单位应制定转移计划，向县级环保部门报备并领取联单；转移后，应按照转移实际，做到一转移一联单，并及时向县级环保部门提交转移联单，联单保存应在五年以上。有条件的地区，鼓励探索联单电子化的管理模式。</w:t>
            </w:r>
          </w:p>
          <w:p>
            <w:pPr>
              <w:spacing w:line="360" w:lineRule="auto"/>
              <w:ind w:firstLine="480" w:firstLineChars="200"/>
              <w:rPr>
                <w:rFonts w:hint="default" w:ascii="Times New Roman" w:hAnsi="Times New Roman" w:eastAsia="宋体" w:cs="Times New Roman"/>
                <w:color w:val="auto"/>
                <w:sz w:val="24"/>
                <w:highlight w:val="none"/>
              </w:rPr>
            </w:pPr>
            <w:r>
              <w:rPr>
                <w:color w:val="auto"/>
                <w:sz w:val="24"/>
              </w:rPr>
              <w:t>综上所述，在采取上述措施后，本项目所产生的固废都得到了安全清洁处置，不会产生二次污染</w:t>
            </w:r>
            <w:r>
              <w:rPr>
                <w:rFonts w:hint="eastAsia"/>
                <w:color w:val="auto"/>
                <w:sz w:val="24"/>
                <w:lang w:eastAsia="zh-CN"/>
              </w:rPr>
              <w:t>，</w:t>
            </w:r>
            <w:r>
              <w:rPr>
                <w:rFonts w:hint="default" w:ascii="Times New Roman" w:hAnsi="Times New Roman" w:eastAsia="宋体" w:cs="Times New Roman"/>
                <w:color w:val="auto"/>
                <w:sz w:val="24"/>
                <w:highlight w:val="none"/>
              </w:rPr>
              <w:t>对周围环境造成的影响小。</w:t>
            </w:r>
          </w:p>
          <w:p>
            <w:pPr>
              <w:pStyle w:val="95"/>
              <w:spacing w:before="0" w:beforeLines="0" w:line="360" w:lineRule="auto"/>
              <w:ind w:firstLine="0" w:firstLineChars="0"/>
              <w:rPr>
                <w:b/>
                <w:bCs/>
                <w:color w:val="auto"/>
              </w:rPr>
            </w:pPr>
            <w:r>
              <w:rPr>
                <w:rFonts w:hint="eastAsia"/>
                <w:b/>
                <w:bCs/>
                <w:color w:val="auto"/>
                <w:lang w:val="en-US" w:eastAsia="zh-CN"/>
              </w:rPr>
              <w:t>6</w:t>
            </w:r>
            <w:r>
              <w:rPr>
                <w:rFonts w:hint="eastAsia"/>
                <w:b/>
                <w:bCs/>
                <w:color w:val="auto"/>
              </w:rPr>
              <w:t>、地下水、土壤环境影响和保护措施</w:t>
            </w:r>
          </w:p>
          <w:p>
            <w:pPr>
              <w:spacing w:line="360" w:lineRule="auto"/>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本项目安置区及配套基础设施（污水处理厂除外）均为生态影响类项目，不涉及工业类生产，且不涉及地下取水，</w:t>
            </w:r>
            <w:r>
              <w:rPr>
                <w:rFonts w:ascii="Times New Roman" w:hAnsi="Times New Roman" w:eastAsia="宋体" w:cs="Times New Roman"/>
                <w:color w:val="auto"/>
                <w:sz w:val="24"/>
              </w:rPr>
              <w:t>不会对区域地下水</w:t>
            </w:r>
            <w:r>
              <w:rPr>
                <w:rFonts w:hint="eastAsia" w:ascii="Times New Roman" w:hAnsi="Times New Roman" w:eastAsia="宋体" w:cs="Times New Roman"/>
                <w:color w:val="auto"/>
                <w:sz w:val="24"/>
                <w:lang w:val="en-US" w:eastAsia="zh-CN"/>
              </w:rPr>
              <w:t>水质、</w:t>
            </w:r>
            <w:r>
              <w:rPr>
                <w:rFonts w:ascii="Times New Roman" w:hAnsi="Times New Roman" w:eastAsia="宋体" w:cs="Times New Roman"/>
                <w:color w:val="auto"/>
                <w:sz w:val="24"/>
              </w:rPr>
              <w:t>水位</w:t>
            </w:r>
            <w:r>
              <w:rPr>
                <w:rFonts w:hint="eastAsia" w:ascii="Times New Roman" w:hAnsi="Times New Roman" w:eastAsia="宋体" w:cs="Times New Roman"/>
                <w:color w:val="auto"/>
                <w:sz w:val="24"/>
                <w:lang w:val="en-US" w:eastAsia="zh-CN"/>
              </w:rPr>
              <w:t>及周边土壤环境</w:t>
            </w:r>
            <w:r>
              <w:rPr>
                <w:rFonts w:ascii="Times New Roman" w:hAnsi="Times New Roman" w:eastAsia="宋体" w:cs="Times New Roman"/>
                <w:color w:val="auto"/>
                <w:sz w:val="24"/>
              </w:rPr>
              <w:t>造成影</w:t>
            </w:r>
            <w:r>
              <w:rPr>
                <w:rFonts w:hint="eastAsia" w:ascii="Times New Roman" w:hAnsi="Times New Roman" w:eastAsia="宋体" w:cs="Times New Roman"/>
                <w:color w:val="auto"/>
                <w:sz w:val="24"/>
                <w:lang w:val="en-US" w:eastAsia="zh-CN"/>
              </w:rPr>
              <w:t>响，此处主要分析配套污水处理厂运行过程中对地下水、土壤可能产生的影响。</w:t>
            </w:r>
          </w:p>
          <w:p>
            <w:pPr>
              <w:pStyle w:val="96"/>
              <w:spacing w:line="360" w:lineRule="auto"/>
              <w:ind w:left="0" w:firstLine="0"/>
              <w:jc w:val="both"/>
              <w:rPr>
                <w:b/>
                <w:color w:val="auto"/>
              </w:rPr>
            </w:pPr>
            <w:r>
              <w:rPr>
                <w:rFonts w:hint="eastAsia"/>
                <w:b/>
                <w:color w:val="auto"/>
                <w:lang w:val="en-US" w:eastAsia="zh-CN"/>
              </w:rPr>
              <w:t>6</w:t>
            </w:r>
            <w:r>
              <w:rPr>
                <w:rFonts w:hint="eastAsia"/>
                <w:b/>
                <w:color w:val="auto"/>
              </w:rPr>
              <w:t>.1、地下水、土壤环境影响识别</w:t>
            </w:r>
          </w:p>
          <w:p>
            <w:pPr>
              <w:pStyle w:val="96"/>
              <w:spacing w:line="360" w:lineRule="auto"/>
              <w:ind w:left="0" w:firstLine="470" w:firstLineChars="196"/>
              <w:jc w:val="both"/>
              <w:rPr>
                <w:color w:val="auto"/>
              </w:rPr>
            </w:pPr>
            <w:r>
              <w:rPr>
                <w:bCs/>
                <w:color w:val="auto"/>
              </w:rPr>
              <w:t>本项目在生产过程中不取用地下水，不会对区域地下水水位造成影响。项目为生活污水处理设施的建设，主要污染源为污水处理构建筑物</w:t>
            </w:r>
            <w:r>
              <w:rPr>
                <w:color w:val="auto"/>
              </w:rPr>
              <w:t>（</w:t>
            </w:r>
            <w:r>
              <w:rPr>
                <w:rFonts w:eastAsia="宋"/>
                <w:color w:val="auto"/>
              </w:rPr>
              <w:t>格栅池、</w:t>
            </w:r>
            <w:r>
              <w:rPr>
                <w:rFonts w:hint="eastAsia" w:eastAsia="宋"/>
                <w:color w:val="auto"/>
              </w:rPr>
              <w:t>缺氧池、厌氧池、</w:t>
            </w:r>
            <w:r>
              <w:rPr>
                <w:rFonts w:hint="eastAsia" w:eastAsia="宋"/>
                <w:color w:val="auto"/>
                <w:lang w:val="en-US" w:eastAsia="zh-CN"/>
              </w:rPr>
              <w:t>好氧池、</w:t>
            </w:r>
            <w:r>
              <w:rPr>
                <w:rFonts w:hint="eastAsia" w:eastAsia="宋"/>
                <w:color w:val="auto"/>
              </w:rPr>
              <w:t>污泥池、污泥干化池</w:t>
            </w:r>
            <w:r>
              <w:rPr>
                <w:color w:val="auto"/>
              </w:rPr>
              <w:t>）</w:t>
            </w:r>
            <w:r>
              <w:rPr>
                <w:bCs/>
                <w:color w:val="auto"/>
              </w:rPr>
              <w:t>、污水输送管道、危废暂存间等，可能对地下水造成污染的途径主要有：污水处理构筑物、污水输送管道、危废暂存间等因老化、腐蚀、破损等因素的影响，防渗层不能满足地下水防渗要求，污水下渗对地下水</w:t>
            </w:r>
            <w:r>
              <w:rPr>
                <w:rFonts w:hint="eastAsia"/>
                <w:bCs/>
                <w:color w:val="auto"/>
              </w:rPr>
              <w:t>、土壤</w:t>
            </w:r>
            <w:r>
              <w:rPr>
                <w:bCs/>
                <w:color w:val="auto"/>
              </w:rPr>
              <w:t>造成的污染，污染物类型包括</w:t>
            </w:r>
            <w:r>
              <w:rPr>
                <w:rFonts w:eastAsia="宋"/>
                <w:color w:val="auto"/>
              </w:rPr>
              <w:t>COD、BOD</w:t>
            </w:r>
            <w:r>
              <w:rPr>
                <w:rFonts w:eastAsia="宋"/>
                <w:color w:val="auto"/>
                <w:vertAlign w:val="subscript"/>
              </w:rPr>
              <w:t>5</w:t>
            </w:r>
            <w:r>
              <w:rPr>
                <w:rFonts w:eastAsia="宋"/>
                <w:color w:val="auto"/>
              </w:rPr>
              <w:t>、SS、NH</w:t>
            </w:r>
            <w:r>
              <w:rPr>
                <w:rFonts w:eastAsia="宋"/>
                <w:color w:val="auto"/>
                <w:vertAlign w:val="subscript"/>
              </w:rPr>
              <w:t>3</w:t>
            </w:r>
            <w:r>
              <w:rPr>
                <w:rFonts w:eastAsia="宋"/>
                <w:color w:val="auto"/>
              </w:rPr>
              <w:t>-N、TP</w:t>
            </w:r>
            <w:r>
              <w:rPr>
                <w:bCs/>
                <w:color w:val="auto"/>
              </w:rPr>
              <w:t>等。</w:t>
            </w:r>
          </w:p>
          <w:p>
            <w:pPr>
              <w:pStyle w:val="96"/>
              <w:spacing w:line="360" w:lineRule="auto"/>
              <w:ind w:left="0" w:firstLine="0"/>
              <w:jc w:val="both"/>
              <w:rPr>
                <w:b/>
                <w:color w:val="auto"/>
              </w:rPr>
            </w:pPr>
            <w:r>
              <w:rPr>
                <w:rFonts w:hint="eastAsia"/>
                <w:b/>
                <w:color w:val="auto"/>
                <w:lang w:val="en-US" w:eastAsia="zh-CN"/>
              </w:rPr>
              <w:t>6</w:t>
            </w:r>
            <w:r>
              <w:rPr>
                <w:rFonts w:hint="eastAsia"/>
                <w:b/>
                <w:color w:val="auto"/>
              </w:rPr>
              <w:t>.2、污染防控措施</w:t>
            </w:r>
          </w:p>
          <w:p>
            <w:pPr>
              <w:pStyle w:val="96"/>
              <w:spacing w:line="360" w:lineRule="auto"/>
              <w:ind w:left="0" w:firstLine="470" w:firstLineChars="196"/>
              <w:jc w:val="both"/>
              <w:rPr>
                <w:bCs/>
                <w:color w:val="auto"/>
              </w:rPr>
            </w:pPr>
            <w:r>
              <w:rPr>
                <w:rFonts w:hint="eastAsia"/>
                <w:bCs/>
                <w:color w:val="auto"/>
              </w:rPr>
              <w:t>（1）</w:t>
            </w:r>
            <w:r>
              <w:rPr>
                <w:bCs/>
                <w:color w:val="auto"/>
              </w:rPr>
              <w:t>源头控制</w:t>
            </w:r>
          </w:p>
          <w:p>
            <w:pPr>
              <w:pStyle w:val="96"/>
              <w:spacing w:line="360" w:lineRule="auto"/>
              <w:ind w:left="0" w:firstLine="470" w:firstLineChars="196"/>
              <w:jc w:val="both"/>
              <w:rPr>
                <w:bCs/>
                <w:color w:val="auto"/>
              </w:rPr>
            </w:pPr>
            <w:r>
              <w:rPr>
                <w:bCs/>
                <w:color w:val="auto"/>
              </w:rPr>
              <w:t>主要包括在管道、设备、污水储存及处理构筑物采取相应措施，防止和降低污染物跑、冒、滴、漏，将污染物泄漏的环境风险事故降到最低程度。</w:t>
            </w:r>
          </w:p>
          <w:p>
            <w:pPr>
              <w:spacing w:line="360" w:lineRule="auto"/>
              <w:ind w:firstLine="480" w:firstLineChars="200"/>
              <w:rPr>
                <w:rFonts w:eastAsia="宋"/>
                <w:bCs/>
                <w:color w:val="auto"/>
                <w:sz w:val="24"/>
              </w:rPr>
            </w:pPr>
            <w:r>
              <w:rPr>
                <w:rFonts w:hint="eastAsia" w:eastAsia="宋"/>
                <w:color w:val="auto"/>
                <w:sz w:val="24"/>
              </w:rPr>
              <w:t>①</w:t>
            </w:r>
            <w:r>
              <w:rPr>
                <w:rFonts w:eastAsia="宋"/>
                <w:color w:val="auto"/>
                <w:sz w:val="24"/>
              </w:rPr>
              <w:t>设备、管道</w:t>
            </w:r>
          </w:p>
          <w:p>
            <w:pPr>
              <w:spacing w:line="360" w:lineRule="auto"/>
              <w:ind w:firstLine="480" w:firstLineChars="200"/>
              <w:rPr>
                <w:rFonts w:eastAsia="宋"/>
                <w:bCs/>
                <w:color w:val="auto"/>
                <w:sz w:val="24"/>
              </w:rPr>
            </w:pPr>
            <w:r>
              <w:rPr>
                <w:rFonts w:eastAsia="宋"/>
                <w:color w:val="auto"/>
                <w:sz w:val="24"/>
              </w:rPr>
              <w:t>所有设备凡与水接触部件均为不锈钢、PVC、ABS等防腐材质。所有阀体（空气管道除外），包括自动阀、切换阀、球阀等均为 PVC、衬胶等防腐材质。</w:t>
            </w:r>
          </w:p>
          <w:p>
            <w:pPr>
              <w:spacing w:line="360" w:lineRule="auto"/>
              <w:ind w:firstLine="480" w:firstLineChars="200"/>
              <w:rPr>
                <w:rFonts w:eastAsia="宋"/>
                <w:bCs/>
                <w:color w:val="auto"/>
                <w:sz w:val="24"/>
              </w:rPr>
            </w:pPr>
            <w:r>
              <w:rPr>
                <w:rFonts w:eastAsia="宋"/>
                <w:color w:val="auto"/>
                <w:sz w:val="24"/>
              </w:rPr>
              <w:t>严格按规范进行排水管道设计和施工。污水管网采用管内、管外防腐防渗处理，确保等效黏土防渗层Mb≥6.0m，K≤10</w:t>
            </w:r>
            <w:r>
              <w:rPr>
                <w:rFonts w:eastAsia="宋"/>
                <w:color w:val="auto"/>
                <w:sz w:val="24"/>
                <w:vertAlign w:val="superscript"/>
              </w:rPr>
              <w:t>-</w:t>
            </w:r>
            <w:r>
              <w:rPr>
                <w:rFonts w:hint="eastAsia" w:eastAsia="宋"/>
                <w:color w:val="auto"/>
                <w:sz w:val="24"/>
                <w:vertAlign w:val="superscript"/>
              </w:rPr>
              <w:t>7</w:t>
            </w:r>
            <w:r>
              <w:rPr>
                <w:rFonts w:eastAsia="宋"/>
                <w:color w:val="auto"/>
                <w:sz w:val="24"/>
              </w:rPr>
              <w:t>cm/s，弯管、接头等有伸缩缝的地方用粘结力强、变形性能好、耐温性好、耐老化、无毒环保的弹塑性止水材料包裹，以避免管道输送过程的渗漏。</w:t>
            </w:r>
          </w:p>
          <w:p>
            <w:pPr>
              <w:spacing w:line="360" w:lineRule="auto"/>
              <w:ind w:firstLine="480" w:firstLineChars="200"/>
              <w:rPr>
                <w:rFonts w:eastAsia="宋"/>
                <w:bCs/>
                <w:color w:val="auto"/>
                <w:sz w:val="24"/>
              </w:rPr>
            </w:pPr>
            <w:r>
              <w:rPr>
                <w:rFonts w:hint="eastAsia" w:eastAsia="宋"/>
                <w:color w:val="auto"/>
                <w:sz w:val="24"/>
              </w:rPr>
              <w:t>②建</w:t>
            </w:r>
            <w:r>
              <w:rPr>
                <w:rFonts w:eastAsia="宋"/>
                <w:color w:val="auto"/>
                <w:sz w:val="24"/>
              </w:rPr>
              <w:t>构筑物</w:t>
            </w:r>
          </w:p>
          <w:p>
            <w:pPr>
              <w:spacing w:line="360" w:lineRule="auto"/>
              <w:ind w:firstLine="480" w:firstLineChars="200"/>
              <w:rPr>
                <w:rFonts w:eastAsia="宋"/>
                <w:bCs/>
                <w:color w:val="auto"/>
                <w:sz w:val="24"/>
              </w:rPr>
            </w:pPr>
            <w:r>
              <w:rPr>
                <w:rFonts w:eastAsia="宋"/>
                <w:color w:val="auto"/>
                <w:sz w:val="24"/>
              </w:rPr>
              <w:t>本工程污水处理厂的主要构筑物为储水构筑物，对结构防水性能有较高的要求，所以储水构筑物均采用钢筋混凝土结构，在储水构筑物中，还加</w:t>
            </w:r>
            <w:r>
              <w:rPr>
                <w:rFonts w:hint="eastAsia" w:eastAsia="宋"/>
                <w:color w:val="auto"/>
                <w:sz w:val="24"/>
              </w:rPr>
              <w:t>入</w:t>
            </w:r>
            <w:r>
              <w:rPr>
                <w:rFonts w:eastAsia="宋"/>
                <w:color w:val="auto"/>
                <w:sz w:val="24"/>
              </w:rPr>
              <w:t>一定比例的防水剂，用于混凝土的收缩变形，以避免混凝土在温度、干缩、徐变等作用下引起的开裂。除此之外，污水处理厂构筑物还进行防渗、抗腐蚀。构筑物采用的混凝土强度等级为：储水构筑物为C25，抗渗标号为P8，混凝土为C15，垫层为C10，建筑物为C20。所采用</w:t>
            </w:r>
            <w:r>
              <w:rPr>
                <w:rFonts w:hint="eastAsia" w:eastAsia="宋"/>
                <w:color w:val="auto"/>
                <w:sz w:val="24"/>
                <w:lang w:eastAsia="zh-CN"/>
              </w:rPr>
              <w:t>的</w:t>
            </w:r>
            <w:r>
              <w:rPr>
                <w:rFonts w:eastAsia="宋"/>
                <w:color w:val="auto"/>
                <w:sz w:val="24"/>
              </w:rPr>
              <w:t>钢筋：直径小于12mm用Ⅰ级钢，直径大于12mm用Ⅱ级钢。</w:t>
            </w:r>
          </w:p>
          <w:p>
            <w:pPr>
              <w:spacing w:line="360" w:lineRule="auto"/>
              <w:ind w:firstLine="480" w:firstLineChars="200"/>
              <w:rPr>
                <w:rFonts w:eastAsia="宋"/>
                <w:color w:val="auto"/>
                <w:sz w:val="24"/>
              </w:rPr>
            </w:pPr>
            <w:r>
              <w:rPr>
                <w:rFonts w:hint="eastAsia" w:eastAsia="宋"/>
                <w:color w:val="auto"/>
                <w:sz w:val="24"/>
              </w:rPr>
              <w:t>（2）分区防控</w:t>
            </w:r>
          </w:p>
          <w:p>
            <w:pPr>
              <w:pStyle w:val="96"/>
              <w:spacing w:line="360" w:lineRule="auto"/>
              <w:ind w:left="0" w:right="0" w:firstLine="480" w:firstLineChars="200"/>
              <w:jc w:val="both"/>
              <w:rPr>
                <w:bCs/>
                <w:color w:val="auto"/>
              </w:rPr>
            </w:pPr>
            <w:r>
              <w:rPr>
                <w:bCs/>
                <w:color w:val="auto"/>
              </w:rPr>
              <w:t>项目在实施过程中对污水处理各池体、配套设施等地面均采取防渗、防水处理等措施，同时对污水管道及尾水排放管道定期巡检，杜绝地下水污染</w:t>
            </w:r>
            <w:r>
              <w:rPr>
                <w:rFonts w:hint="eastAsia"/>
                <w:bCs/>
                <w:color w:val="auto"/>
                <w:lang w:eastAsia="zh-CN"/>
              </w:rPr>
              <w:t>隐患</w:t>
            </w:r>
            <w:r>
              <w:rPr>
                <w:bCs/>
                <w:color w:val="auto"/>
              </w:rPr>
              <w:t>。</w:t>
            </w:r>
          </w:p>
          <w:p>
            <w:pPr>
              <w:spacing w:line="360" w:lineRule="auto"/>
              <w:ind w:firstLine="480" w:firstLineChars="200"/>
              <w:rPr>
                <w:rFonts w:eastAsia="宋"/>
                <w:bCs/>
                <w:color w:val="auto"/>
                <w:sz w:val="24"/>
              </w:rPr>
            </w:pPr>
            <w:r>
              <w:rPr>
                <w:rFonts w:eastAsia="宋"/>
                <w:color w:val="auto"/>
                <w:sz w:val="24"/>
              </w:rPr>
              <w:t>将</w:t>
            </w:r>
            <w:r>
              <w:rPr>
                <w:rFonts w:hint="eastAsia" w:eastAsia="宋"/>
                <w:color w:val="auto"/>
                <w:sz w:val="24"/>
              </w:rPr>
              <w:t>各厂区</w:t>
            </w:r>
            <w:r>
              <w:rPr>
                <w:rFonts w:eastAsia="宋"/>
                <w:color w:val="auto"/>
                <w:sz w:val="24"/>
              </w:rPr>
              <w:t>构筑物划分为重点防渗区、简单防渗区。</w:t>
            </w:r>
          </w:p>
          <w:p>
            <w:pPr>
              <w:spacing w:line="360" w:lineRule="auto"/>
              <w:ind w:firstLine="480" w:firstLineChars="200"/>
              <w:rPr>
                <w:rFonts w:eastAsia="宋"/>
                <w:bCs/>
                <w:color w:val="auto"/>
                <w:sz w:val="24"/>
              </w:rPr>
            </w:pPr>
            <w:r>
              <w:rPr>
                <w:rFonts w:eastAsia="宋"/>
                <w:color w:val="auto"/>
                <w:sz w:val="24"/>
              </w:rPr>
              <w:t>重点防渗区为：项目涉及的各种池体（格栅池、</w:t>
            </w:r>
            <w:r>
              <w:rPr>
                <w:rFonts w:hint="eastAsia" w:eastAsia="宋"/>
                <w:color w:val="auto"/>
                <w:sz w:val="24"/>
              </w:rPr>
              <w:t>缺氧池、厌氧池、</w:t>
            </w:r>
            <w:r>
              <w:rPr>
                <w:rFonts w:hint="eastAsia" w:eastAsia="宋"/>
                <w:color w:val="auto"/>
                <w:sz w:val="24"/>
                <w:lang w:val="en-US" w:eastAsia="zh-CN"/>
              </w:rPr>
              <w:t>好氧池</w:t>
            </w:r>
            <w:r>
              <w:rPr>
                <w:rFonts w:eastAsia="宋"/>
                <w:color w:val="auto"/>
                <w:sz w:val="24"/>
              </w:rPr>
              <w:t>、</w:t>
            </w:r>
            <w:r>
              <w:rPr>
                <w:rFonts w:hint="eastAsia" w:eastAsia="宋"/>
                <w:color w:val="auto"/>
                <w:sz w:val="24"/>
              </w:rPr>
              <w:t>污泥池</w:t>
            </w:r>
            <w:r>
              <w:rPr>
                <w:rFonts w:hint="eastAsia" w:eastAsia="宋"/>
                <w:color w:val="auto"/>
                <w:sz w:val="24"/>
                <w:lang w:val="en-US" w:eastAsia="zh-CN"/>
              </w:rPr>
              <w:t>等</w:t>
            </w:r>
            <w:r>
              <w:rPr>
                <w:rFonts w:eastAsia="宋"/>
                <w:color w:val="auto"/>
                <w:sz w:val="24"/>
              </w:rPr>
              <w:t>）</w:t>
            </w:r>
            <w:r>
              <w:rPr>
                <w:rFonts w:hint="eastAsia" w:eastAsia="宋"/>
                <w:color w:val="auto"/>
                <w:sz w:val="24"/>
              </w:rPr>
              <w:t>、</w:t>
            </w:r>
            <w:r>
              <w:rPr>
                <w:rFonts w:eastAsia="宋"/>
                <w:color w:val="auto"/>
                <w:sz w:val="24"/>
              </w:rPr>
              <w:t>危废暂存间等；</w:t>
            </w:r>
          </w:p>
          <w:p>
            <w:pPr>
              <w:spacing w:line="360" w:lineRule="auto"/>
              <w:ind w:firstLine="480" w:firstLineChars="200"/>
              <w:rPr>
                <w:rFonts w:eastAsia="宋"/>
                <w:color w:val="auto"/>
                <w:sz w:val="24"/>
              </w:rPr>
            </w:pPr>
            <w:r>
              <w:rPr>
                <w:rFonts w:hint="eastAsia" w:eastAsia="宋"/>
                <w:color w:val="auto"/>
                <w:sz w:val="24"/>
              </w:rPr>
              <w:t>一般防渗区为：机修设备间、除臭设施等；</w:t>
            </w:r>
          </w:p>
          <w:p>
            <w:pPr>
              <w:spacing w:line="360" w:lineRule="auto"/>
              <w:ind w:firstLine="480" w:firstLineChars="200"/>
              <w:rPr>
                <w:rFonts w:eastAsia="宋"/>
                <w:bCs/>
                <w:color w:val="auto"/>
                <w:sz w:val="24"/>
              </w:rPr>
            </w:pPr>
            <w:r>
              <w:rPr>
                <w:rFonts w:eastAsia="宋"/>
                <w:color w:val="auto"/>
                <w:sz w:val="24"/>
              </w:rPr>
              <w:t>简单防渗区为：综合用房以及厂区道路。</w:t>
            </w:r>
          </w:p>
          <w:p>
            <w:pPr>
              <w:spacing w:line="360" w:lineRule="auto"/>
              <w:ind w:firstLine="480" w:firstLineChars="200"/>
              <w:rPr>
                <w:rFonts w:eastAsia="宋"/>
                <w:color w:val="auto"/>
                <w:sz w:val="24"/>
              </w:rPr>
            </w:pPr>
            <w:r>
              <w:rPr>
                <w:rFonts w:eastAsia="宋"/>
                <w:color w:val="auto"/>
                <w:sz w:val="24"/>
              </w:rPr>
              <w:t>本项目厂区、管网防渗区划及结构措施见</w:t>
            </w:r>
            <w:r>
              <w:rPr>
                <w:rFonts w:hint="eastAsia" w:eastAsia="宋"/>
                <w:color w:val="auto"/>
                <w:sz w:val="24"/>
              </w:rPr>
              <w:t>下</w:t>
            </w:r>
            <w:r>
              <w:rPr>
                <w:rFonts w:eastAsia="宋"/>
                <w:color w:val="auto"/>
                <w:sz w:val="24"/>
              </w:rPr>
              <w:t>表</w:t>
            </w:r>
            <w:r>
              <w:rPr>
                <w:rFonts w:hint="eastAsia" w:eastAsia="宋"/>
                <w:color w:val="auto"/>
                <w:sz w:val="24"/>
              </w:rPr>
              <w:t>：</w:t>
            </w:r>
          </w:p>
          <w:p>
            <w:pPr>
              <w:spacing w:before="46" w:beforeLines="15" w:after="46" w:afterLines="15"/>
              <w:jc w:val="center"/>
              <w:rPr>
                <w:b/>
                <w:color w:val="auto"/>
              </w:rPr>
            </w:pPr>
            <w:r>
              <w:rPr>
                <w:b/>
                <w:color w:val="auto"/>
              </w:rPr>
              <w:t>表4</w:t>
            </w:r>
            <w:r>
              <w:rPr>
                <w:rFonts w:hint="eastAsia"/>
                <w:b/>
                <w:color w:val="auto"/>
              </w:rPr>
              <w:t>-2</w:t>
            </w:r>
            <w:r>
              <w:rPr>
                <w:rFonts w:hint="eastAsia"/>
                <w:b/>
                <w:color w:val="auto"/>
                <w:lang w:val="en-US" w:eastAsia="zh-CN"/>
              </w:rPr>
              <w:t xml:space="preserve">1 </w:t>
            </w:r>
            <w:r>
              <w:rPr>
                <w:b/>
                <w:color w:val="auto"/>
              </w:rPr>
              <w:t>项目分区防渗一览表</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706"/>
              <w:gridCol w:w="744"/>
              <w:gridCol w:w="1636"/>
              <w:gridCol w:w="1013"/>
              <w:gridCol w:w="38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5" w:type="pct"/>
                  <w:tcBorders>
                    <w:tl2br w:val="nil"/>
                    <w:tr2bl w:val="nil"/>
                  </w:tcBorders>
                  <w:vAlign w:val="center"/>
                </w:tcPr>
                <w:p>
                  <w:pPr>
                    <w:snapToGrid w:val="0"/>
                    <w:jc w:val="center"/>
                    <w:rPr>
                      <w:rFonts w:eastAsia="宋"/>
                      <w:b/>
                      <w:color w:val="auto"/>
                      <w:sz w:val="18"/>
                      <w:szCs w:val="18"/>
                    </w:rPr>
                  </w:pPr>
                  <w:r>
                    <w:rPr>
                      <w:rFonts w:eastAsia="宋"/>
                      <w:b/>
                      <w:color w:val="auto"/>
                      <w:sz w:val="18"/>
                      <w:szCs w:val="18"/>
                    </w:rPr>
                    <w:t>工程</w:t>
                  </w:r>
                </w:p>
              </w:tc>
              <w:tc>
                <w:tcPr>
                  <w:tcW w:w="470" w:type="pct"/>
                  <w:tcBorders>
                    <w:tl2br w:val="nil"/>
                    <w:tr2bl w:val="nil"/>
                  </w:tcBorders>
                  <w:vAlign w:val="center"/>
                </w:tcPr>
                <w:p>
                  <w:pPr>
                    <w:snapToGrid w:val="0"/>
                    <w:jc w:val="center"/>
                    <w:rPr>
                      <w:rFonts w:eastAsia="宋"/>
                      <w:b/>
                      <w:color w:val="auto"/>
                      <w:sz w:val="18"/>
                      <w:szCs w:val="18"/>
                    </w:rPr>
                  </w:pPr>
                  <w:r>
                    <w:rPr>
                      <w:rFonts w:eastAsia="宋"/>
                      <w:b/>
                      <w:color w:val="auto"/>
                      <w:sz w:val="18"/>
                      <w:szCs w:val="18"/>
                    </w:rPr>
                    <w:t>分区</w:t>
                  </w:r>
                </w:p>
              </w:tc>
              <w:tc>
                <w:tcPr>
                  <w:tcW w:w="1033" w:type="pct"/>
                  <w:tcBorders>
                    <w:tl2br w:val="nil"/>
                    <w:tr2bl w:val="nil"/>
                  </w:tcBorders>
                  <w:vAlign w:val="center"/>
                </w:tcPr>
                <w:p>
                  <w:pPr>
                    <w:snapToGrid w:val="0"/>
                    <w:jc w:val="center"/>
                    <w:rPr>
                      <w:rFonts w:eastAsia="宋"/>
                      <w:b/>
                      <w:color w:val="auto"/>
                      <w:sz w:val="18"/>
                      <w:szCs w:val="18"/>
                    </w:rPr>
                  </w:pPr>
                  <w:r>
                    <w:rPr>
                      <w:rFonts w:eastAsia="宋"/>
                      <w:b/>
                      <w:color w:val="auto"/>
                      <w:sz w:val="18"/>
                      <w:szCs w:val="18"/>
                    </w:rPr>
                    <w:t>防渗单元</w:t>
                  </w:r>
                </w:p>
              </w:tc>
              <w:tc>
                <w:tcPr>
                  <w:tcW w:w="640" w:type="pct"/>
                  <w:tcBorders>
                    <w:tl2br w:val="nil"/>
                    <w:tr2bl w:val="nil"/>
                  </w:tcBorders>
                  <w:vAlign w:val="center"/>
                </w:tcPr>
                <w:p>
                  <w:pPr>
                    <w:snapToGrid w:val="0"/>
                    <w:jc w:val="center"/>
                    <w:rPr>
                      <w:rFonts w:eastAsia="宋"/>
                      <w:b/>
                      <w:color w:val="auto"/>
                      <w:sz w:val="18"/>
                      <w:szCs w:val="18"/>
                    </w:rPr>
                  </w:pPr>
                  <w:r>
                    <w:rPr>
                      <w:rFonts w:eastAsia="宋"/>
                      <w:b/>
                      <w:color w:val="auto"/>
                      <w:sz w:val="18"/>
                      <w:szCs w:val="18"/>
                    </w:rPr>
                    <w:t>防渗结构形式</w:t>
                  </w:r>
                </w:p>
              </w:tc>
              <w:tc>
                <w:tcPr>
                  <w:tcW w:w="2410" w:type="pct"/>
                  <w:tcBorders>
                    <w:tl2br w:val="nil"/>
                    <w:tr2bl w:val="nil"/>
                  </w:tcBorders>
                  <w:vAlign w:val="center"/>
                </w:tcPr>
                <w:p>
                  <w:pPr>
                    <w:snapToGrid w:val="0"/>
                    <w:jc w:val="center"/>
                    <w:rPr>
                      <w:rFonts w:eastAsia="宋"/>
                      <w:b/>
                      <w:color w:val="auto"/>
                      <w:sz w:val="18"/>
                      <w:szCs w:val="18"/>
                    </w:rPr>
                  </w:pPr>
                  <w:r>
                    <w:rPr>
                      <w:rFonts w:eastAsia="宋"/>
                      <w:b/>
                      <w:color w:val="auto"/>
                      <w:sz w:val="18"/>
                      <w:szCs w:val="18"/>
                    </w:rPr>
                    <w:t>具体结构、渗透系数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5" w:type="pct"/>
                  <w:vMerge w:val="restart"/>
                  <w:tcBorders>
                    <w:tl2br w:val="nil"/>
                    <w:tr2bl w:val="nil"/>
                  </w:tcBorders>
                  <w:vAlign w:val="center"/>
                </w:tcPr>
                <w:p>
                  <w:pPr>
                    <w:snapToGrid w:val="0"/>
                    <w:jc w:val="center"/>
                    <w:rPr>
                      <w:rFonts w:eastAsia="宋"/>
                      <w:color w:val="auto"/>
                      <w:sz w:val="18"/>
                      <w:szCs w:val="18"/>
                    </w:rPr>
                  </w:pPr>
                  <w:r>
                    <w:rPr>
                      <w:rFonts w:eastAsia="宋"/>
                      <w:color w:val="auto"/>
                      <w:sz w:val="18"/>
                      <w:szCs w:val="18"/>
                    </w:rPr>
                    <w:t>污水处理厂</w:t>
                  </w:r>
                </w:p>
              </w:tc>
              <w:tc>
                <w:tcPr>
                  <w:tcW w:w="470" w:type="pct"/>
                  <w:vMerge w:val="restart"/>
                  <w:tcBorders>
                    <w:tl2br w:val="nil"/>
                    <w:tr2bl w:val="nil"/>
                  </w:tcBorders>
                  <w:vAlign w:val="center"/>
                </w:tcPr>
                <w:p>
                  <w:pPr>
                    <w:snapToGrid w:val="0"/>
                    <w:jc w:val="center"/>
                    <w:rPr>
                      <w:rFonts w:eastAsia="宋"/>
                      <w:color w:val="auto"/>
                      <w:sz w:val="18"/>
                      <w:szCs w:val="18"/>
                    </w:rPr>
                  </w:pPr>
                  <w:r>
                    <w:rPr>
                      <w:rFonts w:eastAsia="宋"/>
                      <w:color w:val="auto"/>
                      <w:sz w:val="18"/>
                      <w:szCs w:val="18"/>
                    </w:rPr>
                    <w:t>重点防渗区</w:t>
                  </w:r>
                </w:p>
              </w:tc>
              <w:tc>
                <w:tcPr>
                  <w:tcW w:w="1033" w:type="pct"/>
                  <w:tcBorders>
                    <w:tl2br w:val="nil"/>
                    <w:tr2bl w:val="nil"/>
                  </w:tcBorders>
                  <w:vAlign w:val="center"/>
                </w:tcPr>
                <w:p>
                  <w:pPr>
                    <w:snapToGrid w:val="0"/>
                    <w:jc w:val="center"/>
                    <w:rPr>
                      <w:rFonts w:hint="eastAsia" w:eastAsia="宋"/>
                      <w:color w:val="auto"/>
                      <w:sz w:val="18"/>
                      <w:szCs w:val="18"/>
                      <w:lang w:val="en-US" w:eastAsia="zh-CN"/>
                    </w:rPr>
                  </w:pPr>
                  <w:r>
                    <w:rPr>
                      <w:rFonts w:eastAsia="宋"/>
                      <w:color w:val="auto"/>
                      <w:sz w:val="18"/>
                      <w:szCs w:val="18"/>
                    </w:rPr>
                    <w:t>格栅池、</w:t>
                  </w:r>
                  <w:r>
                    <w:rPr>
                      <w:rFonts w:hint="eastAsia" w:eastAsia="宋"/>
                      <w:color w:val="auto"/>
                      <w:sz w:val="18"/>
                      <w:szCs w:val="18"/>
                    </w:rPr>
                    <w:t>缺氧池、厌氧池、</w:t>
                  </w:r>
                  <w:r>
                    <w:rPr>
                      <w:rFonts w:hint="eastAsia" w:eastAsia="宋"/>
                      <w:color w:val="auto"/>
                      <w:sz w:val="18"/>
                      <w:szCs w:val="18"/>
                      <w:lang w:val="en-US" w:eastAsia="zh-CN"/>
                    </w:rPr>
                    <w:t>好氧池</w:t>
                  </w:r>
                  <w:r>
                    <w:rPr>
                      <w:rFonts w:hint="eastAsia"/>
                      <w:color w:val="auto"/>
                      <w:sz w:val="18"/>
                      <w:szCs w:val="18"/>
                    </w:rPr>
                    <w:t>、</w:t>
                  </w:r>
                  <w:r>
                    <w:rPr>
                      <w:rFonts w:hint="eastAsia" w:eastAsia="宋"/>
                      <w:color w:val="auto"/>
                      <w:sz w:val="18"/>
                      <w:szCs w:val="18"/>
                    </w:rPr>
                    <w:t>污泥池</w:t>
                  </w:r>
                  <w:r>
                    <w:rPr>
                      <w:rFonts w:hint="eastAsia" w:eastAsia="宋"/>
                      <w:color w:val="auto"/>
                      <w:sz w:val="18"/>
                      <w:szCs w:val="18"/>
                      <w:lang w:val="en-US" w:eastAsia="zh-CN"/>
                    </w:rPr>
                    <w:t>等</w:t>
                  </w:r>
                </w:p>
              </w:tc>
              <w:tc>
                <w:tcPr>
                  <w:tcW w:w="640" w:type="pct"/>
                  <w:vMerge w:val="restart"/>
                  <w:tcBorders>
                    <w:tl2br w:val="nil"/>
                    <w:tr2bl w:val="nil"/>
                  </w:tcBorders>
                  <w:vAlign w:val="center"/>
                </w:tcPr>
                <w:p>
                  <w:pPr>
                    <w:snapToGrid w:val="0"/>
                    <w:jc w:val="center"/>
                    <w:rPr>
                      <w:rFonts w:eastAsia="宋"/>
                      <w:color w:val="auto"/>
                      <w:sz w:val="18"/>
                      <w:szCs w:val="18"/>
                    </w:rPr>
                  </w:pPr>
                  <w:r>
                    <w:rPr>
                      <w:rFonts w:eastAsia="宋"/>
                      <w:color w:val="auto"/>
                      <w:sz w:val="18"/>
                      <w:szCs w:val="18"/>
                    </w:rPr>
                    <w:t>刚性防渗结构</w:t>
                  </w:r>
                </w:p>
              </w:tc>
              <w:tc>
                <w:tcPr>
                  <w:tcW w:w="2410" w:type="pct"/>
                  <w:tcBorders>
                    <w:tl2br w:val="nil"/>
                    <w:tr2bl w:val="nil"/>
                  </w:tcBorders>
                  <w:vAlign w:val="center"/>
                </w:tcPr>
                <w:p>
                  <w:pPr>
                    <w:snapToGrid w:val="0"/>
                    <w:jc w:val="center"/>
                    <w:rPr>
                      <w:rFonts w:eastAsia="宋"/>
                      <w:color w:val="auto"/>
                      <w:sz w:val="18"/>
                      <w:szCs w:val="18"/>
                    </w:rPr>
                  </w:pPr>
                  <w:r>
                    <w:rPr>
                      <w:rFonts w:eastAsia="宋"/>
                      <w:color w:val="auto"/>
                      <w:sz w:val="18"/>
                      <w:szCs w:val="18"/>
                    </w:rPr>
                    <w:t>各池体池底及池壁采用P8级的钢筋渗混凝土，混凝土厚度24cm；保证构筑物基础稳定；再铺设1.5</w:t>
                  </w:r>
                  <w:r>
                    <w:rPr>
                      <w:rFonts w:hint="eastAsia" w:eastAsia="宋"/>
                      <w:color w:val="auto"/>
                      <w:sz w:val="18"/>
                      <w:szCs w:val="18"/>
                      <w:lang w:eastAsia="zh-CN"/>
                    </w:rPr>
                    <w:t>～</w:t>
                  </w:r>
                  <w:r>
                    <w:rPr>
                      <w:rFonts w:eastAsia="宋"/>
                      <w:color w:val="auto"/>
                      <w:sz w:val="18"/>
                      <w:szCs w:val="18"/>
                    </w:rPr>
                    <w:t>2.0mm的防渗土工膜。等效黏土防渗层Mb≥6.0m，K≤10</w:t>
                  </w:r>
                  <w:r>
                    <w:rPr>
                      <w:rFonts w:eastAsia="宋"/>
                      <w:color w:val="auto"/>
                      <w:sz w:val="18"/>
                      <w:szCs w:val="18"/>
                      <w:vertAlign w:val="superscript"/>
                    </w:rPr>
                    <w:t>-</w:t>
                  </w:r>
                  <w:r>
                    <w:rPr>
                      <w:rFonts w:hint="eastAsia" w:eastAsia="宋"/>
                      <w:color w:val="auto"/>
                      <w:sz w:val="18"/>
                      <w:szCs w:val="18"/>
                      <w:vertAlign w:val="superscript"/>
                    </w:rPr>
                    <w:t>7</w:t>
                  </w:r>
                  <w:r>
                    <w:rPr>
                      <w:rFonts w:eastAsia="宋"/>
                      <w:color w:val="auto"/>
                      <w:sz w:val="18"/>
                      <w:szCs w:val="18"/>
                    </w:rPr>
                    <w:t>cm/s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5" w:type="pct"/>
                  <w:vMerge w:val="continue"/>
                  <w:tcBorders>
                    <w:tl2br w:val="nil"/>
                    <w:tr2bl w:val="nil"/>
                  </w:tcBorders>
                  <w:vAlign w:val="center"/>
                </w:tcPr>
                <w:p>
                  <w:pPr>
                    <w:snapToGrid w:val="0"/>
                    <w:jc w:val="center"/>
                    <w:rPr>
                      <w:rFonts w:eastAsia="宋"/>
                      <w:color w:val="auto"/>
                      <w:sz w:val="18"/>
                      <w:szCs w:val="18"/>
                    </w:rPr>
                  </w:pPr>
                </w:p>
              </w:tc>
              <w:tc>
                <w:tcPr>
                  <w:tcW w:w="470" w:type="pct"/>
                  <w:vMerge w:val="continue"/>
                  <w:tcBorders>
                    <w:tl2br w:val="nil"/>
                    <w:tr2bl w:val="nil"/>
                  </w:tcBorders>
                  <w:vAlign w:val="center"/>
                </w:tcPr>
                <w:p>
                  <w:pPr>
                    <w:snapToGrid w:val="0"/>
                    <w:jc w:val="center"/>
                    <w:rPr>
                      <w:rFonts w:eastAsia="宋"/>
                      <w:color w:val="auto"/>
                      <w:sz w:val="18"/>
                      <w:szCs w:val="18"/>
                    </w:rPr>
                  </w:pPr>
                </w:p>
              </w:tc>
              <w:tc>
                <w:tcPr>
                  <w:tcW w:w="1033" w:type="pct"/>
                  <w:tcBorders>
                    <w:tl2br w:val="nil"/>
                    <w:tr2bl w:val="nil"/>
                  </w:tcBorders>
                  <w:vAlign w:val="center"/>
                </w:tcPr>
                <w:p>
                  <w:pPr>
                    <w:snapToGrid w:val="0"/>
                    <w:jc w:val="center"/>
                    <w:rPr>
                      <w:rFonts w:eastAsia="宋"/>
                      <w:color w:val="auto"/>
                      <w:sz w:val="18"/>
                      <w:szCs w:val="18"/>
                    </w:rPr>
                  </w:pPr>
                  <w:r>
                    <w:rPr>
                      <w:rFonts w:eastAsia="宋"/>
                      <w:color w:val="auto"/>
                      <w:sz w:val="18"/>
                      <w:szCs w:val="18"/>
                    </w:rPr>
                    <w:t>危废暂存间等</w:t>
                  </w:r>
                </w:p>
              </w:tc>
              <w:tc>
                <w:tcPr>
                  <w:tcW w:w="640" w:type="pct"/>
                  <w:vMerge w:val="continue"/>
                  <w:tcBorders>
                    <w:tl2br w:val="nil"/>
                    <w:tr2bl w:val="nil"/>
                  </w:tcBorders>
                  <w:vAlign w:val="center"/>
                </w:tcPr>
                <w:p>
                  <w:pPr>
                    <w:snapToGrid w:val="0"/>
                    <w:jc w:val="center"/>
                    <w:rPr>
                      <w:rFonts w:eastAsia="宋"/>
                      <w:color w:val="auto"/>
                      <w:sz w:val="18"/>
                      <w:szCs w:val="18"/>
                    </w:rPr>
                  </w:pPr>
                </w:p>
              </w:tc>
              <w:tc>
                <w:tcPr>
                  <w:tcW w:w="2410" w:type="pct"/>
                  <w:tcBorders>
                    <w:tl2br w:val="nil"/>
                    <w:tr2bl w:val="nil"/>
                  </w:tcBorders>
                  <w:vAlign w:val="center"/>
                </w:tcPr>
                <w:p>
                  <w:pPr>
                    <w:snapToGrid w:val="0"/>
                    <w:jc w:val="center"/>
                    <w:rPr>
                      <w:rFonts w:eastAsia="宋"/>
                      <w:color w:val="auto"/>
                      <w:sz w:val="18"/>
                      <w:szCs w:val="18"/>
                    </w:rPr>
                  </w:pPr>
                  <w:r>
                    <w:rPr>
                      <w:rFonts w:hint="eastAsia" w:eastAsia="宋"/>
                      <w:color w:val="auto"/>
                      <w:sz w:val="18"/>
                      <w:szCs w:val="18"/>
                    </w:rPr>
                    <w:t>地面采取防渗混凝土+2mm厚聚乙烯膜+环氧树脂地坪漆，</w:t>
                  </w:r>
                  <w:r>
                    <w:rPr>
                      <w:rFonts w:eastAsia="宋"/>
                      <w:color w:val="auto"/>
                      <w:sz w:val="18"/>
                      <w:szCs w:val="18"/>
                    </w:rPr>
                    <w:t>等效</w:t>
                  </w:r>
                  <w:r>
                    <w:rPr>
                      <w:rFonts w:hint="eastAsia" w:eastAsia="宋"/>
                      <w:color w:val="auto"/>
                      <w:sz w:val="18"/>
                      <w:szCs w:val="18"/>
                      <w:lang w:eastAsia="zh-CN"/>
                    </w:rPr>
                    <w:t>粘土</w:t>
                  </w:r>
                  <w:r>
                    <w:rPr>
                      <w:rFonts w:eastAsia="宋"/>
                      <w:color w:val="auto"/>
                      <w:sz w:val="18"/>
                      <w:szCs w:val="18"/>
                    </w:rPr>
                    <w:t>防渗层Mb≥6.0m， K≤10</w:t>
                  </w:r>
                  <w:r>
                    <w:rPr>
                      <w:rFonts w:eastAsia="宋"/>
                      <w:color w:val="auto"/>
                      <w:sz w:val="18"/>
                      <w:szCs w:val="18"/>
                      <w:vertAlign w:val="superscript"/>
                    </w:rPr>
                    <w:t>-10</w:t>
                  </w:r>
                  <w:r>
                    <w:rPr>
                      <w:rFonts w:eastAsia="宋"/>
                      <w:color w:val="auto"/>
                      <w:sz w:val="18"/>
                      <w:szCs w:val="18"/>
                    </w:rPr>
                    <w:t>cm/s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5" w:type="pct"/>
                  <w:vMerge w:val="continue"/>
                  <w:tcBorders>
                    <w:tl2br w:val="nil"/>
                    <w:tr2bl w:val="nil"/>
                  </w:tcBorders>
                  <w:vAlign w:val="center"/>
                </w:tcPr>
                <w:p>
                  <w:pPr>
                    <w:snapToGrid w:val="0"/>
                    <w:jc w:val="center"/>
                    <w:rPr>
                      <w:rFonts w:eastAsia="宋"/>
                      <w:color w:val="auto"/>
                      <w:sz w:val="18"/>
                      <w:szCs w:val="18"/>
                    </w:rPr>
                  </w:pPr>
                </w:p>
              </w:tc>
              <w:tc>
                <w:tcPr>
                  <w:tcW w:w="470" w:type="pct"/>
                  <w:tcBorders>
                    <w:tl2br w:val="nil"/>
                    <w:tr2bl w:val="nil"/>
                  </w:tcBorders>
                  <w:vAlign w:val="center"/>
                </w:tcPr>
                <w:p>
                  <w:pPr>
                    <w:snapToGrid w:val="0"/>
                    <w:jc w:val="center"/>
                    <w:rPr>
                      <w:rFonts w:eastAsia="宋"/>
                      <w:color w:val="auto"/>
                      <w:sz w:val="18"/>
                      <w:szCs w:val="18"/>
                    </w:rPr>
                  </w:pPr>
                  <w:r>
                    <w:rPr>
                      <w:rFonts w:hint="eastAsia" w:eastAsia="宋"/>
                      <w:color w:val="auto"/>
                      <w:sz w:val="18"/>
                      <w:szCs w:val="18"/>
                    </w:rPr>
                    <w:t>一般防渗区</w:t>
                  </w:r>
                </w:p>
              </w:tc>
              <w:tc>
                <w:tcPr>
                  <w:tcW w:w="1033" w:type="pct"/>
                  <w:tcBorders>
                    <w:tl2br w:val="nil"/>
                    <w:tr2bl w:val="nil"/>
                  </w:tcBorders>
                  <w:vAlign w:val="center"/>
                </w:tcPr>
                <w:p>
                  <w:pPr>
                    <w:snapToGrid w:val="0"/>
                    <w:jc w:val="center"/>
                    <w:rPr>
                      <w:rFonts w:eastAsia="宋"/>
                      <w:color w:val="auto"/>
                      <w:sz w:val="18"/>
                      <w:szCs w:val="18"/>
                    </w:rPr>
                  </w:pPr>
                  <w:r>
                    <w:rPr>
                      <w:rFonts w:eastAsia="宋"/>
                      <w:color w:val="auto"/>
                      <w:sz w:val="18"/>
                      <w:szCs w:val="18"/>
                    </w:rPr>
                    <w:t>机修设备间</w:t>
                  </w:r>
                </w:p>
              </w:tc>
              <w:tc>
                <w:tcPr>
                  <w:tcW w:w="640" w:type="pct"/>
                  <w:tcBorders>
                    <w:tl2br w:val="nil"/>
                    <w:tr2bl w:val="nil"/>
                  </w:tcBorders>
                  <w:vAlign w:val="center"/>
                </w:tcPr>
                <w:p>
                  <w:pPr>
                    <w:snapToGrid w:val="0"/>
                    <w:jc w:val="center"/>
                    <w:rPr>
                      <w:rFonts w:eastAsia="宋"/>
                      <w:color w:val="auto"/>
                      <w:sz w:val="18"/>
                      <w:szCs w:val="18"/>
                    </w:rPr>
                  </w:pPr>
                  <w:r>
                    <w:rPr>
                      <w:rFonts w:eastAsia="宋"/>
                      <w:color w:val="auto"/>
                      <w:sz w:val="18"/>
                      <w:szCs w:val="18"/>
                    </w:rPr>
                    <w:t>刚性防渗结构</w:t>
                  </w:r>
                </w:p>
              </w:tc>
              <w:tc>
                <w:tcPr>
                  <w:tcW w:w="2410" w:type="pct"/>
                  <w:tcBorders>
                    <w:tl2br w:val="nil"/>
                    <w:tr2bl w:val="nil"/>
                  </w:tcBorders>
                  <w:vAlign w:val="center"/>
                </w:tcPr>
                <w:p>
                  <w:pPr>
                    <w:snapToGrid w:val="0"/>
                    <w:jc w:val="center"/>
                    <w:rPr>
                      <w:rFonts w:eastAsia="宋"/>
                      <w:color w:val="auto"/>
                      <w:sz w:val="18"/>
                      <w:szCs w:val="18"/>
                    </w:rPr>
                  </w:pPr>
                  <w:r>
                    <w:rPr>
                      <w:rFonts w:hint="eastAsia" w:eastAsia="宋"/>
                      <w:color w:val="auto"/>
                      <w:sz w:val="18"/>
                      <w:szCs w:val="18"/>
                    </w:rPr>
                    <w:t>等效黏土防渗层 Mb≥1.5m ，K≤ 10</w:t>
                  </w:r>
                  <w:r>
                    <w:rPr>
                      <w:rFonts w:hint="eastAsia" w:eastAsia="宋"/>
                      <w:color w:val="auto"/>
                      <w:sz w:val="18"/>
                      <w:szCs w:val="18"/>
                      <w:vertAlign w:val="superscript"/>
                    </w:rPr>
                    <w:t>-7</w:t>
                  </w:r>
                  <w:r>
                    <w:rPr>
                      <w:rFonts w:hint="eastAsia" w:eastAsia="宋"/>
                      <w:color w:val="auto"/>
                      <w:sz w:val="18"/>
                      <w:szCs w:val="18"/>
                    </w:rPr>
                    <w:t>cm/s ，或参照 GB16889 执行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5" w:type="pct"/>
                  <w:vMerge w:val="continue"/>
                  <w:tcBorders>
                    <w:tl2br w:val="nil"/>
                    <w:tr2bl w:val="nil"/>
                  </w:tcBorders>
                  <w:vAlign w:val="center"/>
                </w:tcPr>
                <w:p>
                  <w:pPr>
                    <w:snapToGrid w:val="0"/>
                    <w:jc w:val="center"/>
                    <w:rPr>
                      <w:rFonts w:eastAsia="宋"/>
                      <w:color w:val="auto"/>
                      <w:sz w:val="18"/>
                      <w:szCs w:val="18"/>
                    </w:rPr>
                  </w:pPr>
                </w:p>
              </w:tc>
              <w:tc>
                <w:tcPr>
                  <w:tcW w:w="470" w:type="pct"/>
                  <w:tcBorders>
                    <w:tl2br w:val="nil"/>
                    <w:tr2bl w:val="nil"/>
                  </w:tcBorders>
                  <w:vAlign w:val="center"/>
                </w:tcPr>
                <w:p>
                  <w:pPr>
                    <w:snapToGrid w:val="0"/>
                    <w:jc w:val="center"/>
                    <w:rPr>
                      <w:rFonts w:eastAsia="宋"/>
                      <w:color w:val="auto"/>
                      <w:sz w:val="18"/>
                      <w:szCs w:val="18"/>
                    </w:rPr>
                  </w:pPr>
                  <w:r>
                    <w:rPr>
                      <w:rFonts w:hint="eastAsia" w:eastAsia="宋"/>
                      <w:color w:val="auto"/>
                      <w:sz w:val="18"/>
                      <w:szCs w:val="18"/>
                    </w:rPr>
                    <w:t>简单</w:t>
                  </w:r>
                  <w:r>
                    <w:rPr>
                      <w:rFonts w:eastAsia="宋"/>
                      <w:color w:val="auto"/>
                      <w:sz w:val="18"/>
                      <w:szCs w:val="18"/>
                    </w:rPr>
                    <w:t>防渗区</w:t>
                  </w:r>
                </w:p>
              </w:tc>
              <w:tc>
                <w:tcPr>
                  <w:tcW w:w="1033" w:type="pct"/>
                  <w:tcBorders>
                    <w:tl2br w:val="nil"/>
                    <w:tr2bl w:val="nil"/>
                  </w:tcBorders>
                  <w:vAlign w:val="center"/>
                </w:tcPr>
                <w:p>
                  <w:pPr>
                    <w:snapToGrid w:val="0"/>
                    <w:jc w:val="center"/>
                    <w:rPr>
                      <w:rFonts w:eastAsia="宋"/>
                      <w:color w:val="auto"/>
                      <w:sz w:val="18"/>
                      <w:szCs w:val="18"/>
                    </w:rPr>
                  </w:pPr>
                  <w:r>
                    <w:rPr>
                      <w:rFonts w:hint="eastAsia" w:eastAsia="宋"/>
                      <w:color w:val="auto"/>
                      <w:sz w:val="18"/>
                      <w:szCs w:val="18"/>
                      <w:lang w:val="en-US" w:eastAsia="zh-CN"/>
                    </w:rPr>
                    <w:t>其他</w:t>
                  </w:r>
                  <w:r>
                    <w:rPr>
                      <w:rFonts w:eastAsia="宋"/>
                      <w:color w:val="auto"/>
                      <w:sz w:val="18"/>
                      <w:szCs w:val="18"/>
                    </w:rPr>
                    <w:t>用房以及厂区道路</w:t>
                  </w:r>
                </w:p>
              </w:tc>
              <w:tc>
                <w:tcPr>
                  <w:tcW w:w="640" w:type="pct"/>
                  <w:tcBorders>
                    <w:tl2br w:val="nil"/>
                    <w:tr2bl w:val="nil"/>
                  </w:tcBorders>
                  <w:vAlign w:val="center"/>
                </w:tcPr>
                <w:p>
                  <w:pPr>
                    <w:snapToGrid w:val="0"/>
                    <w:jc w:val="center"/>
                    <w:rPr>
                      <w:rFonts w:eastAsia="宋"/>
                      <w:color w:val="auto"/>
                      <w:sz w:val="18"/>
                      <w:szCs w:val="18"/>
                    </w:rPr>
                  </w:pPr>
                  <w:r>
                    <w:rPr>
                      <w:rFonts w:eastAsia="宋"/>
                      <w:color w:val="auto"/>
                      <w:sz w:val="18"/>
                      <w:szCs w:val="18"/>
                    </w:rPr>
                    <w:t>/</w:t>
                  </w:r>
                </w:p>
              </w:tc>
              <w:tc>
                <w:tcPr>
                  <w:tcW w:w="2410" w:type="pct"/>
                  <w:tcBorders>
                    <w:tl2br w:val="nil"/>
                    <w:tr2bl w:val="nil"/>
                  </w:tcBorders>
                  <w:vAlign w:val="center"/>
                </w:tcPr>
                <w:p>
                  <w:pPr>
                    <w:snapToGrid w:val="0"/>
                    <w:jc w:val="center"/>
                    <w:rPr>
                      <w:rFonts w:eastAsia="宋"/>
                      <w:color w:val="auto"/>
                      <w:sz w:val="18"/>
                      <w:szCs w:val="18"/>
                    </w:rPr>
                  </w:pPr>
                  <w:r>
                    <w:rPr>
                      <w:rFonts w:eastAsia="宋"/>
                      <w:color w:val="auto"/>
                      <w:sz w:val="18"/>
                      <w:szCs w:val="18"/>
                    </w:rPr>
                    <w:t>地面硬化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5" w:type="pct"/>
                  <w:tcBorders>
                    <w:tl2br w:val="nil"/>
                    <w:tr2bl w:val="nil"/>
                  </w:tcBorders>
                  <w:vAlign w:val="center"/>
                </w:tcPr>
                <w:p>
                  <w:pPr>
                    <w:snapToGrid w:val="0"/>
                    <w:jc w:val="center"/>
                    <w:rPr>
                      <w:rFonts w:eastAsia="宋"/>
                      <w:color w:val="auto"/>
                      <w:sz w:val="18"/>
                      <w:szCs w:val="18"/>
                    </w:rPr>
                  </w:pPr>
                  <w:r>
                    <w:rPr>
                      <w:rFonts w:eastAsia="宋"/>
                      <w:color w:val="auto"/>
                      <w:sz w:val="18"/>
                      <w:szCs w:val="18"/>
                    </w:rPr>
                    <w:t>配套管网</w:t>
                  </w:r>
                </w:p>
              </w:tc>
              <w:tc>
                <w:tcPr>
                  <w:tcW w:w="470" w:type="pct"/>
                  <w:tcBorders>
                    <w:tl2br w:val="nil"/>
                    <w:tr2bl w:val="nil"/>
                  </w:tcBorders>
                  <w:vAlign w:val="center"/>
                </w:tcPr>
                <w:p>
                  <w:pPr>
                    <w:snapToGrid w:val="0"/>
                    <w:jc w:val="center"/>
                    <w:rPr>
                      <w:rFonts w:eastAsia="宋"/>
                      <w:color w:val="auto"/>
                      <w:sz w:val="18"/>
                      <w:szCs w:val="18"/>
                    </w:rPr>
                  </w:pPr>
                  <w:r>
                    <w:rPr>
                      <w:rFonts w:eastAsia="宋"/>
                      <w:color w:val="auto"/>
                      <w:sz w:val="18"/>
                      <w:szCs w:val="18"/>
                    </w:rPr>
                    <w:t>重点防渗区</w:t>
                  </w:r>
                </w:p>
              </w:tc>
              <w:tc>
                <w:tcPr>
                  <w:tcW w:w="1033" w:type="pct"/>
                  <w:tcBorders>
                    <w:tl2br w:val="nil"/>
                    <w:tr2bl w:val="nil"/>
                  </w:tcBorders>
                  <w:vAlign w:val="center"/>
                </w:tcPr>
                <w:p>
                  <w:pPr>
                    <w:snapToGrid w:val="0"/>
                    <w:jc w:val="center"/>
                    <w:rPr>
                      <w:rFonts w:eastAsia="宋"/>
                      <w:color w:val="auto"/>
                      <w:sz w:val="18"/>
                      <w:szCs w:val="18"/>
                    </w:rPr>
                  </w:pPr>
                  <w:r>
                    <w:rPr>
                      <w:rFonts w:eastAsia="宋"/>
                      <w:color w:val="auto"/>
                      <w:sz w:val="18"/>
                      <w:szCs w:val="18"/>
                    </w:rPr>
                    <w:t>污水管线</w:t>
                  </w:r>
                  <w:r>
                    <w:rPr>
                      <w:rFonts w:hint="eastAsia" w:eastAsia="宋"/>
                      <w:color w:val="auto"/>
                      <w:sz w:val="18"/>
                      <w:szCs w:val="18"/>
                    </w:rPr>
                    <w:t>、</w:t>
                  </w:r>
                  <w:r>
                    <w:rPr>
                      <w:rFonts w:eastAsia="宋"/>
                      <w:color w:val="auto"/>
                      <w:sz w:val="18"/>
                      <w:szCs w:val="18"/>
                    </w:rPr>
                    <w:t>泵站</w:t>
                  </w:r>
                </w:p>
              </w:tc>
              <w:tc>
                <w:tcPr>
                  <w:tcW w:w="640" w:type="pct"/>
                  <w:tcBorders>
                    <w:tl2br w:val="nil"/>
                    <w:tr2bl w:val="nil"/>
                  </w:tcBorders>
                  <w:vAlign w:val="center"/>
                </w:tcPr>
                <w:p>
                  <w:pPr>
                    <w:snapToGrid w:val="0"/>
                    <w:jc w:val="center"/>
                    <w:rPr>
                      <w:rFonts w:eastAsia="宋"/>
                      <w:color w:val="auto"/>
                      <w:sz w:val="18"/>
                      <w:szCs w:val="18"/>
                    </w:rPr>
                  </w:pPr>
                  <w:r>
                    <w:rPr>
                      <w:rFonts w:eastAsia="宋"/>
                      <w:color w:val="auto"/>
                      <w:sz w:val="18"/>
                      <w:szCs w:val="18"/>
                    </w:rPr>
                    <w:t>刚性防渗结构</w:t>
                  </w:r>
                </w:p>
              </w:tc>
              <w:tc>
                <w:tcPr>
                  <w:tcW w:w="2410" w:type="pct"/>
                  <w:tcBorders>
                    <w:tl2br w:val="nil"/>
                    <w:tr2bl w:val="nil"/>
                  </w:tcBorders>
                  <w:vAlign w:val="center"/>
                </w:tcPr>
                <w:p>
                  <w:pPr>
                    <w:snapToGrid w:val="0"/>
                    <w:jc w:val="center"/>
                    <w:rPr>
                      <w:rFonts w:eastAsia="宋"/>
                      <w:color w:val="auto"/>
                      <w:sz w:val="18"/>
                      <w:szCs w:val="18"/>
                    </w:rPr>
                  </w:pPr>
                  <w:r>
                    <w:rPr>
                      <w:rFonts w:eastAsia="宋"/>
                      <w:color w:val="auto"/>
                      <w:sz w:val="18"/>
                      <w:szCs w:val="18"/>
                    </w:rPr>
                    <w:t>采用防腐管道，接头等有伸缩缝的地方用粘结力强、变形性能好、耐温性好、耐老化、无毒环保的弹塑性止水材料包裹，等效黏土防渗层Mb≥</w:t>
                  </w:r>
                  <w:r>
                    <w:rPr>
                      <w:rFonts w:hint="eastAsia" w:eastAsia="宋"/>
                      <w:color w:val="auto"/>
                      <w:sz w:val="18"/>
                      <w:szCs w:val="18"/>
                    </w:rPr>
                    <w:t xml:space="preserve"> </w:t>
                  </w:r>
                  <w:r>
                    <w:rPr>
                      <w:rFonts w:eastAsia="宋"/>
                      <w:color w:val="auto"/>
                      <w:sz w:val="18"/>
                      <w:szCs w:val="18"/>
                    </w:rPr>
                    <w:t>6.0m，K≤10</w:t>
                  </w:r>
                  <w:r>
                    <w:rPr>
                      <w:rFonts w:eastAsia="宋"/>
                      <w:color w:val="auto"/>
                      <w:sz w:val="18"/>
                      <w:szCs w:val="18"/>
                      <w:vertAlign w:val="superscript"/>
                    </w:rPr>
                    <w:t>-</w:t>
                  </w:r>
                  <w:r>
                    <w:rPr>
                      <w:rFonts w:hint="eastAsia" w:eastAsia="宋"/>
                      <w:color w:val="auto"/>
                      <w:sz w:val="18"/>
                      <w:szCs w:val="18"/>
                      <w:vertAlign w:val="superscript"/>
                    </w:rPr>
                    <w:t>7</w:t>
                  </w:r>
                  <w:r>
                    <w:rPr>
                      <w:rFonts w:eastAsia="宋"/>
                      <w:color w:val="auto"/>
                      <w:sz w:val="18"/>
                      <w:szCs w:val="18"/>
                    </w:rPr>
                    <w:t>cm/s</w:t>
                  </w:r>
                </w:p>
              </w:tc>
            </w:tr>
          </w:tbl>
          <w:p>
            <w:pPr>
              <w:pStyle w:val="95"/>
              <w:spacing w:before="0" w:beforeLines="0" w:line="360" w:lineRule="auto"/>
              <w:ind w:firstLine="0" w:firstLineChars="0"/>
              <w:rPr>
                <w:b/>
                <w:bCs/>
                <w:color w:val="auto"/>
              </w:rPr>
            </w:pPr>
            <w:r>
              <w:rPr>
                <w:rFonts w:hint="eastAsia"/>
                <w:b/>
                <w:bCs/>
                <w:color w:val="auto"/>
                <w:lang w:val="en-US" w:eastAsia="zh-CN"/>
              </w:rPr>
              <w:t>6</w:t>
            </w:r>
            <w:r>
              <w:rPr>
                <w:rFonts w:hint="eastAsia"/>
                <w:b/>
                <w:bCs/>
                <w:color w:val="auto"/>
              </w:rPr>
              <w:t>.3、地下水、土壤环境影响分析</w:t>
            </w:r>
          </w:p>
          <w:p>
            <w:pPr>
              <w:spacing w:line="360" w:lineRule="auto"/>
              <w:ind w:firstLine="480" w:firstLineChars="200"/>
              <w:rPr>
                <w:color w:val="auto"/>
                <w:sz w:val="24"/>
              </w:rPr>
            </w:pPr>
            <w:r>
              <w:rPr>
                <w:rFonts w:hint="eastAsia"/>
                <w:color w:val="auto"/>
                <w:sz w:val="24"/>
              </w:rPr>
              <w:t>正常情况下，本项目运营期废水收集和废水处理时的构筑物地面均作硬化、防渗处理；产生的固废均得到妥善回收利用、处理处置，且各类固废暂存设施亦采取防渗措施，防止污水或固废产生的淋溶水渗漏，项目运营期废水对地下水、土壤基本不造成污染。事故情况下，主要考虑构筑物底部防渗层破裂，导致废水污染地下水及厂区周边土壤环境，由于地下水及土壤污染难以发现，也难以采取措施治理。因此要求建设单位做好厂区地面防渗工作，避免污染土壤环境。运营期加强管道及设备的日常检查和维护管理，确保管道及设备不出现跑、冒、滴、漏的现象出现，减少事故情况下对地下水、土壤环境的影响。</w:t>
            </w:r>
          </w:p>
          <w:p>
            <w:pPr>
              <w:spacing w:line="360" w:lineRule="auto"/>
              <w:ind w:firstLine="480" w:firstLineChars="200"/>
              <w:rPr>
                <w:rFonts w:hint="default" w:ascii="Times New Roman" w:hAnsi="Times New Roman" w:eastAsia="宋体" w:cs="Times New Roman"/>
                <w:color w:val="auto"/>
                <w:sz w:val="24"/>
                <w:highlight w:val="none"/>
              </w:rPr>
            </w:pPr>
            <w:r>
              <w:rPr>
                <w:rFonts w:hint="eastAsia"/>
                <w:color w:val="auto"/>
                <w:sz w:val="24"/>
              </w:rPr>
              <w:t>综上，项目在运营期对土壤环境的影响小。</w:t>
            </w:r>
          </w:p>
          <w:p>
            <w:pPr>
              <w:numPr>
                <w:ilvl w:val="0"/>
                <w:numId w:val="0"/>
              </w:numPr>
              <w:adjustRightInd w:val="0"/>
              <w:snapToGrid w:val="0"/>
              <w:spacing w:line="360" w:lineRule="auto"/>
              <w:rPr>
                <w:rFonts w:cs="宋体"/>
                <w:b/>
                <w:color w:val="auto"/>
                <w:spacing w:val="-10"/>
                <w:sz w:val="24"/>
                <w:szCs w:val="21"/>
              </w:rPr>
            </w:pPr>
            <w:r>
              <w:rPr>
                <w:rFonts w:hint="eastAsia" w:cs="宋体"/>
                <w:b/>
                <w:color w:val="auto"/>
                <w:spacing w:val="-10"/>
                <w:sz w:val="24"/>
                <w:szCs w:val="21"/>
                <w:lang w:val="en-US" w:eastAsia="zh-CN"/>
              </w:rPr>
              <w:t>7、</w:t>
            </w:r>
            <w:r>
              <w:rPr>
                <w:rFonts w:hint="eastAsia" w:cs="宋体"/>
                <w:b/>
                <w:color w:val="auto"/>
                <w:spacing w:val="-10"/>
                <w:sz w:val="24"/>
                <w:szCs w:val="21"/>
              </w:rPr>
              <w:t>环境风险</w:t>
            </w:r>
          </w:p>
          <w:p>
            <w:pPr>
              <w:adjustRightInd w:val="0"/>
              <w:snapToGrid w:val="0"/>
              <w:spacing w:line="360" w:lineRule="auto"/>
              <w:rPr>
                <w:rFonts w:cs="宋体"/>
                <w:b/>
                <w:color w:val="auto"/>
                <w:spacing w:val="-10"/>
                <w:sz w:val="24"/>
                <w:szCs w:val="21"/>
              </w:rPr>
            </w:pPr>
            <w:r>
              <w:rPr>
                <w:rFonts w:hint="eastAsia" w:cs="宋体"/>
                <w:b/>
                <w:color w:val="auto"/>
                <w:spacing w:val="-10"/>
                <w:sz w:val="24"/>
                <w:szCs w:val="21"/>
                <w:lang w:val="en-US" w:eastAsia="zh-CN"/>
              </w:rPr>
              <w:t>7.1</w:t>
            </w:r>
            <w:r>
              <w:rPr>
                <w:rFonts w:cs="宋体"/>
                <w:b/>
                <w:color w:val="auto"/>
                <w:spacing w:val="-10"/>
                <w:sz w:val="24"/>
                <w:szCs w:val="21"/>
              </w:rPr>
              <w:t>评价依据</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eastAsia="zh-CN"/>
              </w:rPr>
              <w:t>（</w:t>
            </w:r>
            <w:r>
              <w:rPr>
                <w:rFonts w:hint="eastAsia"/>
                <w:bCs/>
                <w:color w:val="auto"/>
                <w:sz w:val="24"/>
                <w:szCs w:val="21"/>
                <w:u w:val="none"/>
                <w:lang w:val="en-US" w:eastAsia="zh-CN"/>
              </w:rPr>
              <w:t>1</w:t>
            </w:r>
            <w:r>
              <w:rPr>
                <w:rFonts w:hint="eastAsia"/>
                <w:bCs/>
                <w:color w:val="auto"/>
                <w:sz w:val="24"/>
                <w:szCs w:val="21"/>
                <w:u w:val="none"/>
                <w:lang w:eastAsia="zh-CN"/>
              </w:rPr>
              <w:t>）</w:t>
            </w:r>
            <w:r>
              <w:rPr>
                <w:bCs/>
                <w:color w:val="auto"/>
                <w:sz w:val="24"/>
                <w:szCs w:val="21"/>
                <w:u w:val="none"/>
              </w:rPr>
              <w:t>风险源调查</w:t>
            </w:r>
          </w:p>
          <w:p>
            <w:pPr>
              <w:adjustRightInd w:val="0"/>
              <w:snapToGrid w:val="0"/>
              <w:spacing w:line="360" w:lineRule="auto"/>
              <w:ind w:firstLine="480" w:firstLineChars="200"/>
              <w:jc w:val="left"/>
              <w:rPr>
                <w:bCs/>
                <w:color w:val="auto"/>
                <w:sz w:val="24"/>
                <w:szCs w:val="21"/>
                <w:u w:val="none"/>
              </w:rPr>
            </w:pPr>
            <w:r>
              <w:rPr>
                <w:bCs/>
                <w:color w:val="auto"/>
                <w:sz w:val="24"/>
                <w:szCs w:val="21"/>
                <w:u w:val="none"/>
              </w:rPr>
              <w:t>根据《建设项目环境风险评价技术导则》（HJ169-2018）附录B，本项目</w:t>
            </w:r>
            <w:r>
              <w:rPr>
                <w:rFonts w:hint="eastAsia"/>
                <w:bCs/>
                <w:color w:val="auto"/>
                <w:sz w:val="24"/>
                <w:szCs w:val="21"/>
                <w:u w:val="none"/>
                <w:lang w:val="en-US" w:eastAsia="zh-CN"/>
              </w:rPr>
              <w:t>主要为安置区，主要</w:t>
            </w:r>
            <w:r>
              <w:rPr>
                <w:bCs/>
                <w:color w:val="auto"/>
                <w:sz w:val="24"/>
                <w:szCs w:val="21"/>
                <w:u w:val="none"/>
              </w:rPr>
              <w:t>危险物质</w:t>
            </w:r>
            <w:r>
              <w:rPr>
                <w:rFonts w:hint="eastAsia"/>
                <w:bCs/>
                <w:color w:val="auto"/>
                <w:sz w:val="24"/>
                <w:szCs w:val="21"/>
                <w:u w:val="none"/>
                <w:lang w:val="en-US" w:eastAsia="zh-CN"/>
              </w:rPr>
              <w:t>主要</w:t>
            </w:r>
            <w:r>
              <w:rPr>
                <w:bCs/>
                <w:color w:val="auto"/>
                <w:sz w:val="24"/>
                <w:szCs w:val="21"/>
                <w:u w:val="none"/>
              </w:rPr>
              <w:t>为</w:t>
            </w:r>
            <w:r>
              <w:rPr>
                <w:rFonts w:hint="eastAsia"/>
                <w:bCs/>
                <w:color w:val="auto"/>
                <w:sz w:val="24"/>
                <w:szCs w:val="21"/>
                <w:u w:val="none"/>
                <w:lang w:val="en-US" w:eastAsia="zh-CN"/>
              </w:rPr>
              <w:t>天然气管道中的在线天然气，居民日常可能使用的废旧电池、废弃药瓶以及配套污水处理站暂存的危险废物等</w:t>
            </w:r>
            <w:r>
              <w:rPr>
                <w:bCs/>
                <w:color w:val="auto"/>
                <w:sz w:val="24"/>
                <w:szCs w:val="21"/>
                <w:u w:val="none"/>
              </w:rPr>
              <w:t>，</w:t>
            </w:r>
            <w:r>
              <w:rPr>
                <w:rFonts w:hint="eastAsia"/>
                <w:bCs/>
                <w:color w:val="auto"/>
                <w:sz w:val="24"/>
                <w:szCs w:val="21"/>
                <w:u w:val="none"/>
                <w:lang w:val="en-US" w:eastAsia="zh-CN"/>
              </w:rPr>
              <w:t>暂存量较小</w:t>
            </w:r>
            <w:r>
              <w:rPr>
                <w:bCs/>
                <w:color w:val="auto"/>
                <w:sz w:val="24"/>
                <w:szCs w:val="21"/>
                <w:u w:val="none"/>
              </w:rPr>
              <w:t>。</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eastAsia="zh-CN"/>
              </w:rPr>
              <w:t>（</w:t>
            </w:r>
            <w:r>
              <w:rPr>
                <w:rFonts w:hint="eastAsia"/>
                <w:bCs/>
                <w:color w:val="auto"/>
                <w:sz w:val="24"/>
                <w:szCs w:val="21"/>
                <w:u w:val="none"/>
                <w:lang w:val="en-US" w:eastAsia="zh-CN"/>
              </w:rPr>
              <w:t>2</w:t>
            </w:r>
            <w:r>
              <w:rPr>
                <w:rFonts w:hint="eastAsia"/>
                <w:bCs/>
                <w:color w:val="auto"/>
                <w:sz w:val="24"/>
                <w:szCs w:val="21"/>
                <w:u w:val="none"/>
                <w:lang w:eastAsia="zh-CN"/>
              </w:rPr>
              <w:t>）</w:t>
            </w:r>
            <w:r>
              <w:rPr>
                <w:bCs/>
                <w:color w:val="auto"/>
                <w:sz w:val="24"/>
                <w:szCs w:val="21"/>
                <w:u w:val="none"/>
              </w:rPr>
              <w:t>风险潜势与评价等级</w:t>
            </w:r>
          </w:p>
          <w:p>
            <w:pPr>
              <w:adjustRightInd w:val="0"/>
              <w:snapToGrid w:val="0"/>
              <w:spacing w:line="360" w:lineRule="auto"/>
              <w:ind w:firstLine="480" w:firstLineChars="200"/>
              <w:jc w:val="left"/>
              <w:rPr>
                <w:bCs/>
                <w:color w:val="auto"/>
                <w:sz w:val="24"/>
                <w:szCs w:val="21"/>
                <w:u w:val="none"/>
              </w:rPr>
            </w:pPr>
            <w:r>
              <w:rPr>
                <w:bCs/>
                <w:color w:val="auto"/>
                <w:sz w:val="24"/>
                <w:szCs w:val="21"/>
                <w:u w:val="none"/>
              </w:rPr>
              <w:t>1）风险潜势初判</w:t>
            </w:r>
          </w:p>
          <w:p>
            <w:pPr>
              <w:adjustRightInd w:val="0"/>
              <w:snapToGrid w:val="0"/>
              <w:spacing w:line="360" w:lineRule="auto"/>
              <w:ind w:firstLine="480" w:firstLineChars="200"/>
              <w:jc w:val="left"/>
              <w:rPr>
                <w:rFonts w:cs="宋体"/>
                <w:bCs/>
                <w:color w:val="auto"/>
                <w:spacing w:val="-10"/>
                <w:sz w:val="24"/>
                <w:szCs w:val="21"/>
              </w:rPr>
            </w:pPr>
            <w:r>
              <w:rPr>
                <w:bCs/>
                <w:color w:val="auto"/>
                <w:sz w:val="24"/>
                <w:szCs w:val="21"/>
                <w:u w:val="none"/>
              </w:rPr>
              <w:t>根据《建设项目环境风险评价技术导则》（HJ169-2018）附录C，危险物质及工艺系统危险性（P）的分级，计算所涉及的每种危险物质在厂界内的最大存在总量与其在附录B中对应</w:t>
            </w:r>
            <w:r>
              <w:rPr>
                <w:rFonts w:cs="宋体"/>
                <w:bCs/>
                <w:color w:val="auto"/>
                <w:spacing w:val="-10"/>
                <w:sz w:val="24"/>
                <w:szCs w:val="21"/>
              </w:rPr>
              <w:t>临界量的比值Q。当存在的危险物质时，则按下式计算物质总量与其临界量比值Q：</w:t>
            </w:r>
          </w:p>
          <w:p>
            <w:pPr>
              <w:adjustRightInd w:val="0"/>
              <w:snapToGrid w:val="0"/>
              <w:spacing w:line="360" w:lineRule="auto"/>
              <w:ind w:firstLine="440" w:firstLineChars="200"/>
              <w:jc w:val="center"/>
              <w:rPr>
                <w:rFonts w:cs="宋体"/>
                <w:bCs/>
                <w:color w:val="auto"/>
                <w:spacing w:val="-10"/>
                <w:sz w:val="24"/>
                <w:szCs w:val="21"/>
              </w:rPr>
            </w:pPr>
            <w:r>
              <w:rPr>
                <w:rFonts w:cs="宋体"/>
                <w:bCs/>
                <w:color w:val="auto"/>
                <w:spacing w:val="-10"/>
                <w:sz w:val="24"/>
                <w:szCs w:val="21"/>
              </w:rPr>
              <w:t>Q=q1/Q1+q2/Q2+q3/Q3+ …+qn/Qn</w:t>
            </w:r>
          </w:p>
          <w:p>
            <w:pPr>
              <w:adjustRightInd w:val="0"/>
              <w:snapToGrid w:val="0"/>
              <w:spacing w:line="360" w:lineRule="auto"/>
              <w:ind w:firstLine="440" w:firstLineChars="200"/>
              <w:rPr>
                <w:rFonts w:cs="宋体"/>
                <w:bCs/>
                <w:color w:val="auto"/>
                <w:spacing w:val="-10"/>
                <w:sz w:val="24"/>
                <w:szCs w:val="21"/>
              </w:rPr>
            </w:pPr>
            <w:r>
              <w:rPr>
                <w:rFonts w:cs="宋体"/>
                <w:bCs/>
                <w:color w:val="auto"/>
                <w:spacing w:val="-10"/>
                <w:sz w:val="24"/>
                <w:szCs w:val="21"/>
              </w:rPr>
              <w:t>式中：q1,q2,…qn——每种危险物质的最大存在总量，单位为t；Q1,</w:t>
            </w:r>
            <w:r>
              <w:rPr>
                <w:rFonts w:cs="宋体"/>
                <w:bCs/>
                <w:color w:val="auto"/>
                <w:spacing w:val="-10"/>
                <w:sz w:val="24"/>
                <w:szCs w:val="21"/>
              </w:rPr>
              <w:tab/>
            </w:r>
            <w:r>
              <w:rPr>
                <w:rFonts w:cs="宋体"/>
                <w:bCs/>
                <w:color w:val="auto"/>
                <w:spacing w:val="-10"/>
                <w:sz w:val="24"/>
                <w:szCs w:val="21"/>
              </w:rPr>
              <w:t>Q2,…Qn——每种危险物质的临界量，单位为t；</w:t>
            </w:r>
          </w:p>
          <w:p>
            <w:pPr>
              <w:adjustRightInd w:val="0"/>
              <w:snapToGrid w:val="0"/>
              <w:spacing w:line="360" w:lineRule="auto"/>
              <w:ind w:firstLine="440" w:firstLineChars="200"/>
              <w:jc w:val="left"/>
              <w:rPr>
                <w:rFonts w:cs="宋体"/>
                <w:bCs/>
                <w:color w:val="auto"/>
                <w:spacing w:val="-10"/>
                <w:sz w:val="24"/>
                <w:szCs w:val="21"/>
              </w:rPr>
            </w:pPr>
            <w:r>
              <w:rPr>
                <w:rFonts w:hint="eastAsia" w:cs="宋体"/>
                <w:bCs/>
                <w:color w:val="auto"/>
                <w:spacing w:val="-10"/>
                <w:sz w:val="24"/>
                <w:szCs w:val="21"/>
                <w:lang w:val="en-US" w:eastAsia="zh-CN"/>
              </w:rPr>
              <w:t>本项目为安置区建设项目，居民日常暂存的风险物质较少</w:t>
            </w:r>
            <w:r>
              <w:rPr>
                <w:rFonts w:hint="eastAsia" w:cs="宋体"/>
                <w:bCs/>
                <w:color w:val="auto"/>
                <w:spacing w:val="-10"/>
                <w:sz w:val="24"/>
                <w:szCs w:val="21"/>
              </w:rPr>
              <w:t>，本项目风险物质数量与临界量比值</w:t>
            </w:r>
            <w:r>
              <w:rPr>
                <w:rFonts w:hint="eastAsia" w:cs="宋体"/>
                <w:bCs/>
                <w:color w:val="auto"/>
                <w:spacing w:val="-10"/>
                <w:sz w:val="24"/>
                <w:szCs w:val="21"/>
                <w:lang w:val="en-US" w:eastAsia="zh-CN"/>
              </w:rPr>
              <w:t>直接判定为</w:t>
            </w:r>
            <w:r>
              <w:rPr>
                <w:rFonts w:hint="eastAsia" w:cs="宋体"/>
                <w:bCs/>
                <w:color w:val="auto"/>
                <w:spacing w:val="-10"/>
                <w:sz w:val="24"/>
                <w:szCs w:val="21"/>
              </w:rPr>
              <w:t>Q＜1，项目环境风险潜势为Ⅰ级。</w:t>
            </w:r>
          </w:p>
          <w:p>
            <w:pPr>
              <w:adjustRightInd w:val="0"/>
              <w:snapToGrid w:val="0"/>
              <w:spacing w:line="360" w:lineRule="auto"/>
              <w:ind w:firstLine="440" w:firstLineChars="200"/>
              <w:jc w:val="left"/>
              <w:rPr>
                <w:rFonts w:cs="宋体"/>
                <w:bCs/>
                <w:color w:val="auto"/>
                <w:spacing w:val="-10"/>
                <w:sz w:val="24"/>
                <w:szCs w:val="21"/>
              </w:rPr>
            </w:pPr>
            <w:r>
              <w:rPr>
                <w:rFonts w:hint="eastAsia" w:cs="宋体"/>
                <w:bCs/>
                <w:color w:val="auto"/>
                <w:spacing w:val="-10"/>
                <w:sz w:val="24"/>
                <w:szCs w:val="21"/>
              </w:rPr>
              <w:t>2）评价等级</w:t>
            </w:r>
          </w:p>
          <w:p>
            <w:pPr>
              <w:adjustRightInd w:val="0"/>
              <w:snapToGrid w:val="0"/>
              <w:spacing w:line="360" w:lineRule="auto"/>
              <w:ind w:firstLine="440" w:firstLineChars="200"/>
              <w:jc w:val="left"/>
              <w:rPr>
                <w:rFonts w:cs="宋体"/>
                <w:bCs/>
                <w:color w:val="auto"/>
                <w:spacing w:val="-10"/>
                <w:sz w:val="24"/>
                <w:szCs w:val="21"/>
              </w:rPr>
            </w:pPr>
            <w:r>
              <w:rPr>
                <w:rFonts w:hint="eastAsia" w:cs="宋体"/>
                <w:bCs/>
                <w:color w:val="auto"/>
                <w:spacing w:val="-10"/>
                <w:sz w:val="24"/>
                <w:szCs w:val="21"/>
              </w:rPr>
              <w:t>对照《建设项目环境风险评价技术导则》（HJ 169-2018），本项目环境风险潜势为Ⅰ级，进行简单评价。</w:t>
            </w:r>
          </w:p>
          <w:p>
            <w:pPr>
              <w:adjustRightInd w:val="0"/>
              <w:snapToGrid w:val="0"/>
              <w:spacing w:line="360" w:lineRule="auto"/>
              <w:jc w:val="left"/>
              <w:rPr>
                <w:rFonts w:cs="宋体"/>
                <w:b/>
                <w:color w:val="auto"/>
                <w:spacing w:val="-10"/>
                <w:sz w:val="24"/>
                <w:szCs w:val="21"/>
              </w:rPr>
            </w:pPr>
            <w:r>
              <w:rPr>
                <w:rFonts w:hint="eastAsia" w:cs="宋体"/>
                <w:b/>
                <w:color w:val="auto"/>
                <w:spacing w:val="-10"/>
                <w:sz w:val="24"/>
                <w:szCs w:val="21"/>
                <w:lang w:val="en-US" w:eastAsia="zh-CN"/>
              </w:rPr>
              <w:t>7.2、</w:t>
            </w:r>
            <w:r>
              <w:rPr>
                <w:rFonts w:hint="eastAsia" w:cs="宋体"/>
                <w:b/>
                <w:color w:val="auto"/>
                <w:spacing w:val="-10"/>
                <w:sz w:val="24"/>
                <w:szCs w:val="21"/>
              </w:rPr>
              <w:t>环境风险识别</w:t>
            </w:r>
          </w:p>
          <w:p>
            <w:pPr>
              <w:adjustRightInd w:val="0"/>
              <w:snapToGrid w:val="0"/>
              <w:spacing w:line="360" w:lineRule="auto"/>
              <w:ind w:firstLine="480" w:firstLineChars="200"/>
              <w:jc w:val="left"/>
              <w:rPr>
                <w:rFonts w:hint="eastAsia"/>
                <w:bCs/>
                <w:color w:val="auto"/>
                <w:sz w:val="24"/>
                <w:szCs w:val="21"/>
                <w:u w:val="none"/>
                <w:lang w:val="en-US" w:eastAsia="zh-CN"/>
              </w:rPr>
            </w:pPr>
            <w:r>
              <w:rPr>
                <w:rFonts w:hint="eastAsia"/>
                <w:bCs/>
                <w:color w:val="auto"/>
                <w:sz w:val="24"/>
                <w:szCs w:val="21"/>
                <w:u w:val="none"/>
                <w:lang w:val="en-US" w:eastAsia="zh-CN"/>
              </w:rPr>
              <w:t>本项目存在的主要风险为小区内燃气泄漏等引起火灾爆炸：</w:t>
            </w:r>
          </w:p>
          <w:p>
            <w:pPr>
              <w:adjustRightInd w:val="0"/>
              <w:snapToGrid w:val="0"/>
              <w:spacing w:line="360" w:lineRule="auto"/>
              <w:ind w:firstLine="480" w:firstLineChars="200"/>
              <w:jc w:val="left"/>
              <w:rPr>
                <w:rFonts w:hint="eastAsia"/>
                <w:bCs/>
                <w:color w:val="auto"/>
                <w:sz w:val="24"/>
                <w:szCs w:val="21"/>
                <w:u w:val="none"/>
                <w:lang w:val="en-US" w:eastAsia="zh-CN"/>
              </w:rPr>
            </w:pPr>
            <w:r>
              <w:rPr>
                <w:rFonts w:hint="eastAsia"/>
                <w:bCs/>
                <w:color w:val="auto"/>
                <w:sz w:val="24"/>
                <w:szCs w:val="21"/>
                <w:u w:val="none"/>
                <w:lang w:val="en-US" w:eastAsia="zh-CN"/>
              </w:rPr>
              <w:t>发生火灾事故时，油类物质燃烧会产生CO等物质，并伴有烟雾产生，且灭火过程中会产生事故废水。发生油类物质泄露引起火灾可能造成大气环境及水环境污染。</w:t>
            </w:r>
          </w:p>
          <w:p>
            <w:pPr>
              <w:adjustRightInd w:val="0"/>
              <w:snapToGrid w:val="0"/>
              <w:spacing w:line="360" w:lineRule="auto"/>
              <w:jc w:val="left"/>
              <w:rPr>
                <w:rFonts w:cs="宋体"/>
                <w:b/>
                <w:color w:val="auto"/>
                <w:spacing w:val="-10"/>
                <w:sz w:val="24"/>
                <w:szCs w:val="21"/>
              </w:rPr>
            </w:pPr>
            <w:r>
              <w:rPr>
                <w:rFonts w:hint="eastAsia" w:cs="宋体"/>
                <w:b/>
                <w:color w:val="auto"/>
                <w:spacing w:val="-10"/>
                <w:sz w:val="24"/>
                <w:szCs w:val="21"/>
                <w:lang w:val="en-US" w:eastAsia="zh-CN"/>
              </w:rPr>
              <w:t>7.3、</w:t>
            </w:r>
            <w:r>
              <w:rPr>
                <w:rFonts w:hint="eastAsia" w:cs="宋体"/>
                <w:b/>
                <w:color w:val="auto"/>
                <w:spacing w:val="-10"/>
                <w:sz w:val="24"/>
                <w:szCs w:val="21"/>
              </w:rPr>
              <w:t>环境风险分析</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val="en-US" w:eastAsia="zh-CN"/>
              </w:rPr>
              <w:t>本项目主要为安置房小区内燃气泄漏等引起火灾爆炸风险。</w:t>
            </w:r>
          </w:p>
          <w:p>
            <w:pPr>
              <w:spacing w:line="360" w:lineRule="auto"/>
              <w:ind w:firstLine="480" w:firstLineChars="200"/>
              <w:rPr>
                <w:color w:val="auto"/>
                <w:sz w:val="24"/>
              </w:rPr>
            </w:pPr>
            <w:r>
              <w:rPr>
                <w:rFonts w:hint="eastAsia"/>
                <w:bCs/>
                <w:color w:val="auto"/>
                <w:sz w:val="24"/>
                <w:szCs w:val="21"/>
                <w:u w:val="none"/>
                <w:lang w:val="en-US" w:eastAsia="zh-CN"/>
              </w:rPr>
              <w:t>由于小区内使用天然气为主要气源，故存在燃气泄露风险，可能会引起火灾爆炸。此外配套污水处理站还存在危废泄露、</w:t>
            </w:r>
            <w:r>
              <w:rPr>
                <w:rFonts w:hint="eastAsia"/>
                <w:color w:val="auto"/>
                <w:sz w:val="24"/>
              </w:rPr>
              <w:t>尾水超标排放</w:t>
            </w:r>
            <w:r>
              <w:rPr>
                <w:rFonts w:hint="eastAsia"/>
                <w:color w:val="auto"/>
                <w:sz w:val="24"/>
                <w:lang w:val="en-US" w:eastAsia="zh-CN"/>
              </w:rPr>
              <w:t>的环境风险</w:t>
            </w:r>
            <w:r>
              <w:rPr>
                <w:rFonts w:hint="eastAsia"/>
                <w:color w:val="auto"/>
                <w:sz w:val="24"/>
              </w:rPr>
              <w:t>。</w:t>
            </w:r>
          </w:p>
          <w:p>
            <w:pPr>
              <w:adjustRightInd w:val="0"/>
              <w:snapToGrid w:val="0"/>
              <w:spacing w:line="360" w:lineRule="auto"/>
              <w:jc w:val="left"/>
              <w:rPr>
                <w:rFonts w:cs="宋体"/>
                <w:b/>
                <w:color w:val="auto"/>
                <w:spacing w:val="-10"/>
                <w:sz w:val="24"/>
                <w:szCs w:val="21"/>
              </w:rPr>
            </w:pPr>
            <w:r>
              <w:rPr>
                <w:rFonts w:hint="eastAsia" w:cs="宋体"/>
                <w:b/>
                <w:color w:val="auto"/>
                <w:spacing w:val="-10"/>
                <w:sz w:val="24"/>
                <w:szCs w:val="21"/>
                <w:lang w:val="en-US" w:eastAsia="zh-CN"/>
              </w:rPr>
              <w:t>7.4、</w:t>
            </w:r>
            <w:r>
              <w:rPr>
                <w:rFonts w:cs="宋体"/>
                <w:b/>
                <w:color w:val="auto"/>
                <w:spacing w:val="-10"/>
                <w:sz w:val="24"/>
                <w:szCs w:val="21"/>
              </w:rPr>
              <w:t>环境风险防范措施及应急要求</w:t>
            </w:r>
          </w:p>
          <w:p>
            <w:pPr>
              <w:numPr>
                <w:ilvl w:val="0"/>
                <w:numId w:val="7"/>
              </w:numPr>
              <w:adjustRightInd w:val="0"/>
              <w:snapToGrid w:val="0"/>
              <w:spacing w:line="360" w:lineRule="auto"/>
              <w:ind w:left="0" w:firstLine="440" w:firstLineChars="200"/>
              <w:jc w:val="left"/>
              <w:rPr>
                <w:rFonts w:cs="宋体"/>
                <w:bCs/>
                <w:color w:val="auto"/>
                <w:spacing w:val="-10"/>
                <w:sz w:val="24"/>
                <w:szCs w:val="21"/>
              </w:rPr>
            </w:pPr>
            <w:r>
              <w:rPr>
                <w:rFonts w:cs="宋体"/>
                <w:bCs/>
                <w:color w:val="auto"/>
                <w:spacing w:val="-10"/>
                <w:sz w:val="24"/>
                <w:szCs w:val="21"/>
              </w:rPr>
              <w:t>环境风险防范措施</w:t>
            </w:r>
          </w:p>
          <w:p>
            <w:pPr>
              <w:adjustRightInd w:val="0"/>
              <w:snapToGrid w:val="0"/>
              <w:spacing w:line="360" w:lineRule="auto"/>
              <w:ind w:firstLine="480" w:firstLineChars="200"/>
              <w:jc w:val="left"/>
              <w:rPr>
                <w:rFonts w:hint="eastAsia"/>
                <w:bCs/>
                <w:color w:val="auto"/>
                <w:sz w:val="24"/>
                <w:szCs w:val="21"/>
                <w:u w:val="none"/>
                <w:lang w:val="en-US" w:eastAsia="zh-CN"/>
              </w:rPr>
            </w:pPr>
            <w:r>
              <w:rPr>
                <w:rFonts w:hint="eastAsia"/>
                <w:bCs/>
                <w:color w:val="auto"/>
                <w:sz w:val="24"/>
                <w:szCs w:val="21"/>
                <w:u w:val="none"/>
                <w:lang w:val="en-US" w:eastAsia="zh-CN"/>
              </w:rPr>
              <w:t>①天然气火灾预防措施：严格按照初步设计进行施工，厨房设置燃气泄漏保护装置；物业公司配合燃气单位定期对小区内天然气管道进行检修。</w:t>
            </w:r>
          </w:p>
          <w:p>
            <w:pPr>
              <w:spacing w:line="360" w:lineRule="auto"/>
              <w:ind w:firstLine="480" w:firstLineChars="200"/>
              <w:rPr>
                <w:color w:val="auto"/>
                <w:sz w:val="24"/>
              </w:rPr>
            </w:pPr>
            <w:r>
              <w:rPr>
                <w:rFonts w:hint="eastAsia"/>
                <w:bCs/>
                <w:color w:val="auto"/>
                <w:sz w:val="24"/>
                <w:szCs w:val="21"/>
                <w:u w:val="none"/>
                <w:lang w:val="en-US" w:eastAsia="zh-CN"/>
              </w:rPr>
              <w:t>②</w:t>
            </w:r>
            <w:r>
              <w:rPr>
                <w:rFonts w:hint="eastAsia"/>
                <w:color w:val="auto"/>
                <w:sz w:val="24"/>
              </w:rPr>
              <w:t>因突发事件造成污水处理厂全部或部分停运的，必须立即启动安全运行应急预案，在2小时内报告污水处理主管部门和环保主管部门。恢复正常运行后，应及时向污水处理主管部门和环保主管部门报告。</w:t>
            </w:r>
          </w:p>
          <w:p>
            <w:pPr>
              <w:spacing w:line="360" w:lineRule="auto"/>
              <w:ind w:firstLine="480" w:firstLineChars="200"/>
              <w:rPr>
                <w:color w:val="auto"/>
                <w:sz w:val="24"/>
              </w:rPr>
            </w:pPr>
            <w:r>
              <w:rPr>
                <w:rFonts w:hint="eastAsia" w:ascii="宋体" w:hAnsi="宋体" w:eastAsia="宋体" w:cs="宋体"/>
                <w:color w:val="auto"/>
                <w:sz w:val="24"/>
              </w:rPr>
              <w:t>③</w:t>
            </w:r>
            <w:r>
              <w:rPr>
                <w:rFonts w:hint="eastAsia"/>
                <w:color w:val="auto"/>
                <w:sz w:val="24"/>
              </w:rPr>
              <w:t>在出水口安装</w:t>
            </w:r>
            <w:r>
              <w:rPr>
                <w:rFonts w:hint="eastAsia"/>
                <w:color w:val="auto"/>
                <w:sz w:val="24"/>
                <w:lang w:eastAsia="zh-CN"/>
              </w:rPr>
              <w:t>在线检测装置</w:t>
            </w:r>
            <w:r>
              <w:rPr>
                <w:rFonts w:hint="eastAsia"/>
                <w:color w:val="auto"/>
                <w:sz w:val="24"/>
              </w:rPr>
              <w:t>，设置进站、出站污水截断装置，当事故发生后，立即截断污水来源和杜绝事故排放，及时发现不良水质进入污水处理厂。</w:t>
            </w:r>
          </w:p>
          <w:p>
            <w:pPr>
              <w:spacing w:line="360" w:lineRule="auto"/>
              <w:ind w:firstLine="480" w:firstLineChars="200"/>
              <w:rPr>
                <w:color w:val="auto"/>
                <w:sz w:val="24"/>
              </w:rPr>
            </w:pPr>
            <w:r>
              <w:rPr>
                <w:rFonts w:hint="eastAsia" w:ascii="宋体" w:hAnsi="宋体" w:eastAsia="宋体" w:cs="宋体"/>
                <w:color w:val="auto"/>
                <w:sz w:val="24"/>
              </w:rPr>
              <w:t>④</w:t>
            </w:r>
            <w:r>
              <w:rPr>
                <w:color w:val="auto"/>
                <w:sz w:val="24"/>
              </w:rPr>
              <w:t>加强管理和设备维护工作，保持设备的完好率和处理的高效率</w:t>
            </w:r>
            <w:r>
              <w:rPr>
                <w:rFonts w:hint="eastAsia"/>
                <w:color w:val="auto"/>
                <w:sz w:val="24"/>
              </w:rPr>
              <w:t>，防止事故排放，</w:t>
            </w:r>
            <w:r>
              <w:rPr>
                <w:color w:val="auto"/>
                <w:sz w:val="24"/>
              </w:rPr>
              <w:t>备用设备或替换下来的设备要及时检修，并定期检查，使其在需要时能及时使用，并且检修时间要精心安排，最好在水量较小、水质较好的季节或时段进行。</w:t>
            </w:r>
          </w:p>
          <w:p>
            <w:pPr>
              <w:spacing w:line="360" w:lineRule="auto"/>
              <w:ind w:firstLine="480" w:firstLineChars="200"/>
              <w:rPr>
                <w:color w:val="auto"/>
                <w:sz w:val="24"/>
              </w:rPr>
            </w:pPr>
            <w:r>
              <w:rPr>
                <w:rFonts w:hint="eastAsia" w:ascii="宋体" w:hAnsi="宋体" w:eastAsia="宋体" w:cs="宋体"/>
                <w:color w:val="auto"/>
                <w:sz w:val="24"/>
              </w:rPr>
              <w:t>⑤</w:t>
            </w:r>
            <w:r>
              <w:rPr>
                <w:color w:val="auto"/>
                <w:sz w:val="24"/>
              </w:rPr>
              <w:t>考虑到暴雨季节对污水处理厂可能造成的冲击，评价要求污水处理厂必须设置溢流口，应对暴雨季节。</w:t>
            </w:r>
          </w:p>
          <w:p>
            <w:pPr>
              <w:spacing w:line="360" w:lineRule="auto"/>
              <w:ind w:firstLine="480" w:firstLineChars="200"/>
              <w:rPr>
                <w:color w:val="auto"/>
                <w:sz w:val="24"/>
              </w:rPr>
            </w:pPr>
            <w:r>
              <w:rPr>
                <w:rFonts w:hint="eastAsia" w:ascii="Times New Roman" w:hAnsi="Times New Roman" w:eastAsia="宋体" w:cs="Times New Roman"/>
                <w:color w:val="auto"/>
                <w:sz w:val="24"/>
              </w:rPr>
              <w:t>⑥储存危险品必须按《常用危险化学品的分类及标志》中规定进行分类，并掌握其危害性，以便按规范采取相应防范措施；按《常用危险化学品贮存通则》中有关规定进行贮存，并按该通则附录</w:t>
            </w:r>
            <w:r>
              <w:rPr>
                <w:rFonts w:ascii="Times New Roman" w:hAnsi="Times New Roman" w:eastAsia="宋体" w:cs="Times New Roman"/>
                <w:color w:val="auto"/>
                <w:sz w:val="24"/>
              </w:rPr>
              <w:t>A</w:t>
            </w:r>
            <w:r>
              <w:rPr>
                <w:rFonts w:hint="eastAsia" w:ascii="Times New Roman" w:hAnsi="Times New Roman" w:eastAsia="宋体" w:cs="Times New Roman"/>
                <w:color w:val="auto"/>
                <w:sz w:val="24"/>
              </w:rPr>
              <w:t>严格界定本项目涉及原料中的禁止物料，并按要求分离贮存</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危废间应经常进行</w:t>
            </w:r>
            <w:r>
              <w:rPr>
                <w:rFonts w:hint="eastAsia"/>
                <w:color w:val="auto"/>
                <w:sz w:val="24"/>
              </w:rPr>
              <w:t>通风换气，杜绝</w:t>
            </w:r>
            <w:r>
              <w:rPr>
                <w:color w:val="auto"/>
                <w:sz w:val="24"/>
              </w:rPr>
              <w:t>“</w:t>
            </w:r>
            <w:r>
              <w:rPr>
                <w:rFonts w:hint="eastAsia"/>
                <w:color w:val="auto"/>
                <w:sz w:val="24"/>
              </w:rPr>
              <w:t>自燃</w:t>
            </w:r>
            <w:r>
              <w:rPr>
                <w:color w:val="auto"/>
                <w:sz w:val="24"/>
              </w:rPr>
              <w:t>”</w:t>
            </w:r>
            <w:r>
              <w:rPr>
                <w:rFonts w:hint="eastAsia"/>
                <w:color w:val="auto"/>
                <w:sz w:val="24"/>
              </w:rPr>
              <w:t>引起的火灾事故发生。</w:t>
            </w:r>
          </w:p>
          <w:p>
            <w:pPr>
              <w:numPr>
                <w:ilvl w:val="0"/>
                <w:numId w:val="7"/>
              </w:numPr>
              <w:adjustRightInd w:val="0"/>
              <w:snapToGrid w:val="0"/>
              <w:spacing w:line="360" w:lineRule="auto"/>
              <w:ind w:left="0" w:firstLine="440" w:firstLineChars="200"/>
              <w:jc w:val="left"/>
              <w:rPr>
                <w:rFonts w:cs="宋体"/>
                <w:bCs/>
                <w:color w:val="auto"/>
                <w:spacing w:val="-10"/>
                <w:sz w:val="24"/>
                <w:szCs w:val="21"/>
              </w:rPr>
            </w:pPr>
            <w:r>
              <w:rPr>
                <w:rFonts w:cs="宋体"/>
                <w:bCs/>
                <w:color w:val="auto"/>
                <w:spacing w:val="-10"/>
                <w:sz w:val="24"/>
                <w:szCs w:val="21"/>
              </w:rPr>
              <w:t>环境风险应急措施</w:t>
            </w:r>
          </w:p>
          <w:p>
            <w:pPr>
              <w:adjustRightInd w:val="0"/>
              <w:snapToGrid w:val="0"/>
              <w:spacing w:line="360" w:lineRule="auto"/>
              <w:ind w:firstLine="440" w:firstLineChars="200"/>
              <w:jc w:val="left"/>
              <w:rPr>
                <w:rFonts w:cs="宋体"/>
                <w:bCs/>
                <w:color w:val="auto"/>
                <w:spacing w:val="-10"/>
                <w:sz w:val="24"/>
                <w:szCs w:val="21"/>
              </w:rPr>
            </w:pPr>
            <w:r>
              <w:rPr>
                <w:rFonts w:cs="宋体"/>
                <w:bCs/>
                <w:color w:val="auto"/>
                <w:spacing w:val="-10"/>
                <w:sz w:val="24"/>
                <w:szCs w:val="21"/>
              </w:rPr>
              <w:t>①若发生火灾，应立即使用干粉灭火器进行灭火，关闭总电源，同时视火势情况进行报警求助。</w:t>
            </w:r>
          </w:p>
          <w:p>
            <w:pPr>
              <w:adjustRightInd w:val="0"/>
              <w:snapToGrid w:val="0"/>
              <w:spacing w:line="360" w:lineRule="auto"/>
              <w:ind w:firstLine="440" w:firstLineChars="200"/>
              <w:jc w:val="left"/>
              <w:rPr>
                <w:rFonts w:cs="宋体"/>
                <w:bCs/>
                <w:color w:val="auto"/>
                <w:spacing w:val="-10"/>
                <w:sz w:val="24"/>
                <w:szCs w:val="21"/>
              </w:rPr>
            </w:pPr>
            <w:r>
              <w:rPr>
                <w:rFonts w:cs="宋体"/>
                <w:bCs/>
                <w:color w:val="auto"/>
                <w:spacing w:val="-10"/>
                <w:sz w:val="24"/>
                <w:szCs w:val="21"/>
              </w:rPr>
              <w:t>②若产生事故废水，需对事故废水进行收集，待事故后经水质检测合格后才可排放；受污染的土壤和废吸附材料及检测不达标的事故废水需交由有资质单位进行处置。</w:t>
            </w:r>
          </w:p>
          <w:p>
            <w:pPr>
              <w:adjustRightInd w:val="0"/>
              <w:snapToGrid w:val="0"/>
              <w:spacing w:line="360" w:lineRule="auto"/>
              <w:jc w:val="left"/>
              <w:rPr>
                <w:rFonts w:cs="宋体"/>
                <w:b/>
                <w:color w:val="auto"/>
                <w:spacing w:val="-10"/>
                <w:sz w:val="24"/>
                <w:szCs w:val="21"/>
              </w:rPr>
            </w:pPr>
            <w:r>
              <w:rPr>
                <w:rFonts w:hint="eastAsia" w:cs="宋体"/>
                <w:b/>
                <w:color w:val="auto"/>
                <w:spacing w:val="-10"/>
                <w:sz w:val="24"/>
                <w:szCs w:val="21"/>
                <w:lang w:val="en-US" w:eastAsia="zh-CN"/>
              </w:rPr>
              <w:t>7.5、</w:t>
            </w:r>
            <w:r>
              <w:rPr>
                <w:rFonts w:cs="宋体"/>
                <w:b/>
                <w:color w:val="auto"/>
                <w:spacing w:val="-10"/>
                <w:sz w:val="24"/>
                <w:szCs w:val="21"/>
              </w:rPr>
              <w:t>分析结论</w:t>
            </w:r>
          </w:p>
          <w:p>
            <w:pPr>
              <w:adjustRightInd w:val="0"/>
              <w:snapToGrid w:val="0"/>
              <w:spacing w:line="360" w:lineRule="auto"/>
              <w:ind w:firstLine="440" w:firstLineChars="200"/>
              <w:jc w:val="left"/>
              <w:rPr>
                <w:rFonts w:cs="宋体"/>
                <w:bCs/>
                <w:color w:val="auto"/>
                <w:spacing w:val="-10"/>
                <w:sz w:val="24"/>
                <w:szCs w:val="21"/>
              </w:rPr>
            </w:pPr>
            <w:r>
              <w:rPr>
                <w:rFonts w:cs="宋体"/>
                <w:bCs/>
                <w:color w:val="auto"/>
                <w:spacing w:val="-10"/>
                <w:sz w:val="24"/>
                <w:szCs w:val="21"/>
              </w:rPr>
              <w:t>经过风险分析和评价得出结论：本项目事故风险水平较低，在进一步采取安全防范措施和事故应急预案后，基本满足国家有关环境保护和安全法规、标准的要求。项目对</w:t>
            </w:r>
            <w:r>
              <w:rPr>
                <w:rFonts w:hint="eastAsia" w:cs="宋体"/>
                <w:bCs/>
                <w:color w:val="auto"/>
                <w:spacing w:val="-10"/>
                <w:sz w:val="24"/>
                <w:szCs w:val="21"/>
                <w:lang w:val="en-US" w:eastAsia="zh-CN"/>
              </w:rPr>
              <w:t>项目区外</w:t>
            </w:r>
            <w:r>
              <w:rPr>
                <w:rFonts w:cs="宋体"/>
                <w:bCs/>
                <w:color w:val="auto"/>
                <w:spacing w:val="-10"/>
                <w:sz w:val="24"/>
                <w:szCs w:val="21"/>
              </w:rPr>
              <w:t>环境的风险影响处于可以接受的范围内，但企业仍需要提高风险管理水平和强化风险防范措施。 因此，只要严格遵守各项安全操作规程和制度，加强安全管理，本项目完工后，其生产是安全可靠的。</w:t>
            </w:r>
          </w:p>
          <w:p>
            <w:pPr>
              <w:adjustRightInd w:val="0"/>
              <w:snapToGrid w:val="0"/>
              <w:rPr>
                <w:rFonts w:ascii="宋体" w:hAnsi="宋体" w:cs="宋体"/>
                <w:bCs/>
                <w:color w:val="auto"/>
                <w:spacing w:val="-10"/>
                <w:sz w:val="24"/>
              </w:rPr>
            </w:pPr>
          </w:p>
          <w:p>
            <w:pPr>
              <w:adjustRightInd w:val="0"/>
              <w:snapToGrid w:val="0"/>
              <w:rPr>
                <w:rFonts w:ascii="宋体" w:hAnsi="宋体" w:cs="宋体"/>
                <w:bCs/>
                <w:color w:val="auto"/>
                <w:spacing w:val="-10"/>
                <w:sz w:val="24"/>
              </w:rPr>
            </w:pPr>
          </w:p>
          <w:p>
            <w:pPr>
              <w:adjustRightInd w:val="0"/>
              <w:snapToGrid w:val="0"/>
              <w:rPr>
                <w:rFonts w:ascii="宋体" w:hAnsi="宋体" w:cs="宋体"/>
                <w:bCs/>
                <w:color w:val="auto"/>
                <w:spacing w:val="-10"/>
                <w:sz w:val="24"/>
              </w:rPr>
            </w:pPr>
          </w:p>
          <w:p>
            <w:pPr>
              <w:pStyle w:val="2"/>
              <w:ind w:left="0" w:leftChars="0" w:firstLine="0" w:firstLineChars="0"/>
              <w:rPr>
                <w:rFonts w:ascii="宋体" w:hAnsi="宋体" w:cs="宋体"/>
                <w:bCs/>
                <w:color w:val="auto"/>
                <w:spacing w:val="-10"/>
                <w:sz w:val="24"/>
              </w:rPr>
            </w:pPr>
          </w:p>
          <w:p>
            <w:pPr>
              <w:pStyle w:val="2"/>
              <w:rPr>
                <w:rFonts w:ascii="宋体" w:hAnsi="宋体" w:cs="宋体"/>
                <w:bCs/>
                <w:color w:val="auto"/>
                <w:spacing w:val="-10"/>
                <w:sz w:val="24"/>
              </w:rPr>
            </w:pPr>
          </w:p>
          <w:p>
            <w:pPr>
              <w:pStyle w:val="2"/>
              <w:rPr>
                <w:rFonts w:ascii="宋体" w:hAnsi="宋体" w:cs="宋体"/>
                <w:bCs/>
                <w:color w:val="auto"/>
                <w:spacing w:val="-10"/>
                <w:sz w:val="24"/>
              </w:rPr>
            </w:pPr>
          </w:p>
          <w:p>
            <w:pPr>
              <w:pStyle w:val="2"/>
              <w:rPr>
                <w:rFonts w:ascii="宋体" w:hAnsi="宋体" w:cs="宋体"/>
                <w:bCs/>
                <w:color w:val="auto"/>
                <w:spacing w:val="-10"/>
                <w:sz w:val="24"/>
              </w:rPr>
            </w:pPr>
          </w:p>
        </w:tc>
      </w:tr>
    </w:tbl>
    <w:p>
      <w:pPr>
        <w:adjustRightInd w:val="0"/>
        <w:snapToGrid w:val="0"/>
        <w:spacing w:line="360" w:lineRule="auto"/>
        <w:rPr>
          <w:rFonts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pPr>
        <w:pStyle w:val="20"/>
        <w:jc w:val="center"/>
        <w:outlineLvl w:val="0"/>
        <w:rPr>
          <w:rFonts w:hint="default" w:ascii="黑体" w:hAnsi="黑体" w:eastAsia="黑体"/>
          <w:snapToGrid w:val="0"/>
          <w:color w:val="auto"/>
          <w:sz w:val="30"/>
          <w:szCs w:val="30"/>
          <w:lang w:val="en-US" w:eastAsia="zh-CN"/>
        </w:rPr>
      </w:pPr>
      <w:bookmarkStart w:id="18" w:name="_Toc24018"/>
      <w:bookmarkStart w:id="19" w:name="_Toc15561"/>
      <w:r>
        <w:rPr>
          <w:rFonts w:hint="eastAsia" w:ascii="黑体" w:hAnsi="黑体" w:eastAsia="黑体"/>
          <w:snapToGrid w:val="0"/>
          <w:color w:val="auto"/>
          <w:sz w:val="30"/>
          <w:szCs w:val="30"/>
        </w:rPr>
        <w:t>五、</w:t>
      </w:r>
      <w:bookmarkStart w:id="20" w:name="_Hlk54167917"/>
      <w:r>
        <w:rPr>
          <w:rFonts w:hint="eastAsia" w:ascii="黑体" w:hAnsi="黑体" w:eastAsia="黑体"/>
          <w:snapToGrid w:val="0"/>
          <w:color w:val="auto"/>
          <w:sz w:val="30"/>
          <w:szCs w:val="30"/>
          <w:lang w:val="en-US" w:eastAsia="zh-CN"/>
        </w:rPr>
        <w:t>主要生态环境保护措施</w:t>
      </w:r>
      <w:bookmarkEnd w:id="18"/>
    </w:p>
    <w:tbl>
      <w:tblPr>
        <w:tblStyle w:val="23"/>
        <w:tblW w:w="508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82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476" w:type="pct"/>
            <w:noWrap w:val="0"/>
            <w:tcMar>
              <w:left w:w="28" w:type="dxa"/>
              <w:right w:w="28" w:type="dxa"/>
            </w:tcMar>
            <w:vAlign w:val="center"/>
          </w:tcPr>
          <w:p>
            <w:pPr>
              <w:adjustRightInd w:val="0"/>
              <w:snapToGrid w:val="0"/>
              <w:jc w:val="center"/>
              <w:rPr>
                <w:rFonts w:hint="default" w:ascii="Times New Roman" w:hAnsi="Times New Roman" w:cs="Times New Roman"/>
                <w:color w:val="auto"/>
                <w:sz w:val="24"/>
                <w:szCs w:val="24"/>
              </w:rPr>
            </w:pPr>
            <w:r>
              <w:rPr>
                <w:rFonts w:hint="default" w:ascii="宋体" w:hAnsi="宋体" w:eastAsia="宋体" w:cs="宋体"/>
                <w:bCs/>
                <w:color w:val="auto"/>
                <w:sz w:val="24"/>
                <w:szCs w:val="24"/>
              </w:rPr>
              <w:t>施工期生态环境保护措施</w:t>
            </w:r>
          </w:p>
        </w:tc>
        <w:tc>
          <w:tcPr>
            <w:tcW w:w="4523" w:type="pct"/>
            <w:noWrap w:val="0"/>
            <w:vAlign w:val="top"/>
          </w:tcPr>
          <w:p>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b w:val="0"/>
                <w:bCs w:val="0"/>
                <w:color w:val="auto"/>
                <w:sz w:val="24"/>
                <w:szCs w:val="24"/>
                <w:lang w:val="en-US" w:eastAsia="zh-CN"/>
              </w:rPr>
              <w:t>项目施工期</w:t>
            </w:r>
            <w:r>
              <w:rPr>
                <w:rFonts w:hint="eastAsia" w:cs="Times New Roman"/>
                <w:b w:val="0"/>
                <w:bCs w:val="0"/>
                <w:color w:val="auto"/>
                <w:sz w:val="24"/>
                <w:szCs w:val="24"/>
                <w:lang w:val="en-US" w:eastAsia="zh-CN"/>
              </w:rPr>
              <w:t>已结束，本次仅对其进行回顾性分析，</w:t>
            </w:r>
            <w:r>
              <w:rPr>
                <w:rFonts w:hint="eastAsia" w:ascii="Times New Roman" w:hAnsi="Times New Roman" w:cs="Times New Roman"/>
                <w:b w:val="0"/>
                <w:bCs w:val="0"/>
                <w:color w:val="auto"/>
                <w:sz w:val="24"/>
                <w:szCs w:val="24"/>
                <w:lang w:val="en-US" w:eastAsia="zh-CN"/>
              </w:rPr>
              <w:t>生态保护措施</w:t>
            </w:r>
            <w:r>
              <w:rPr>
                <w:rFonts w:hint="default" w:ascii="Times New Roman" w:hAnsi="Times New Roman" w:cs="Times New Roman"/>
                <w:b w:val="0"/>
                <w:bCs w:val="0"/>
                <w:color w:val="auto"/>
                <w:sz w:val="24"/>
                <w:szCs w:val="24"/>
                <w:lang w:val="en-US" w:eastAsia="zh-CN"/>
              </w:rPr>
              <w:t>详见</w:t>
            </w:r>
            <w:r>
              <w:rPr>
                <w:rFonts w:hint="eastAsia" w:ascii="Times New Roman" w:hAnsi="Times New Roman" w:cs="Times New Roman"/>
                <w:b w:val="0"/>
                <w:bCs w:val="0"/>
                <w:color w:val="auto"/>
                <w:sz w:val="24"/>
                <w:szCs w:val="24"/>
                <w:lang w:val="en-US" w:eastAsia="zh-CN"/>
              </w:rPr>
              <w:t>生态</w:t>
            </w:r>
            <w:r>
              <w:rPr>
                <w:rFonts w:hint="default" w:ascii="Times New Roman" w:hAnsi="Times New Roman" w:cs="Times New Roman"/>
                <w:b w:val="0"/>
                <w:bCs w:val="0"/>
                <w:color w:val="auto"/>
                <w:sz w:val="24"/>
                <w:szCs w:val="24"/>
                <w:lang w:val="en-US" w:eastAsia="zh-CN"/>
              </w:rPr>
              <w:t>环境影响</w:t>
            </w:r>
            <w:r>
              <w:rPr>
                <w:rFonts w:hint="eastAsia" w:ascii="Times New Roman" w:hAnsi="Times New Roman" w:cs="Times New Roman"/>
                <w:b w:val="0"/>
                <w:bCs w:val="0"/>
                <w:color w:val="auto"/>
                <w:sz w:val="24"/>
                <w:szCs w:val="24"/>
                <w:lang w:val="en-US" w:eastAsia="zh-CN"/>
              </w:rPr>
              <w:t>专项报告</w:t>
            </w:r>
            <w:r>
              <w:rPr>
                <w:rFonts w:hint="default" w:ascii="Times New Roman" w:hAnsi="Times New Roman" w:eastAsia="宋体" w:cs="Times New Roman"/>
                <w:b w:val="0"/>
                <w:bCs w:val="0"/>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476" w:type="pct"/>
            <w:noWrap w:val="0"/>
            <w:tcMar>
              <w:left w:w="28" w:type="dxa"/>
              <w:right w:w="28" w:type="dxa"/>
            </w:tcMar>
            <w:vAlign w:val="center"/>
          </w:tcPr>
          <w:p>
            <w:pPr>
              <w:pStyle w:val="75"/>
              <w:bidi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运营期生态环境保护措施</w:t>
            </w:r>
          </w:p>
        </w:tc>
        <w:tc>
          <w:tcPr>
            <w:tcW w:w="4523" w:type="pct"/>
            <w:noWrap w:val="0"/>
            <w:vAlign w:val="top"/>
          </w:tcPr>
          <w:p>
            <w:pPr>
              <w:pageBreakBefore w:val="0"/>
              <w:kinsoku/>
              <w:overflowPunct/>
              <w:bidi w:val="0"/>
              <w:spacing w:line="360" w:lineRule="auto"/>
              <w:jc w:val="left"/>
              <w:textAlignment w:val="auto"/>
              <w:rPr>
                <w:rFonts w:hint="default"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1</w:t>
            </w:r>
            <w:r>
              <w:rPr>
                <w:rFonts w:hint="default" w:ascii="Times New Roman" w:hAnsi="Times New Roman" w:cs="Times New Roman"/>
                <w:b/>
                <w:bCs/>
                <w:color w:val="auto"/>
                <w:sz w:val="24"/>
                <w:szCs w:val="24"/>
                <w:lang w:val="en-US" w:eastAsia="zh-CN"/>
              </w:rPr>
              <w:t>、生态环境保护措施</w:t>
            </w:r>
          </w:p>
          <w:p>
            <w:pPr>
              <w:pageBreakBefore w:val="0"/>
              <w:kinsoku/>
              <w:overflowPunct/>
              <w:bidi w:val="0"/>
              <w:spacing w:line="360" w:lineRule="auto"/>
              <w:ind w:firstLine="480" w:firstLineChars="200"/>
              <w:jc w:val="left"/>
              <w:textAlignment w:val="auto"/>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项目运营期生态保护措施</w:t>
            </w:r>
            <w:r>
              <w:rPr>
                <w:rFonts w:hint="default" w:ascii="Times New Roman" w:hAnsi="Times New Roman" w:cs="Times New Roman"/>
                <w:b w:val="0"/>
                <w:bCs w:val="0"/>
                <w:color w:val="auto"/>
                <w:sz w:val="24"/>
                <w:szCs w:val="24"/>
                <w:lang w:val="en-US" w:eastAsia="zh-CN"/>
              </w:rPr>
              <w:t>详见</w:t>
            </w:r>
            <w:r>
              <w:rPr>
                <w:rFonts w:hint="eastAsia" w:ascii="Times New Roman" w:hAnsi="Times New Roman" w:cs="Times New Roman"/>
                <w:b w:val="0"/>
                <w:bCs w:val="0"/>
                <w:color w:val="auto"/>
                <w:sz w:val="24"/>
                <w:szCs w:val="24"/>
                <w:lang w:val="en-US" w:eastAsia="zh-CN"/>
              </w:rPr>
              <w:t>生态</w:t>
            </w:r>
            <w:r>
              <w:rPr>
                <w:rFonts w:hint="default" w:ascii="Times New Roman" w:hAnsi="Times New Roman" w:cs="Times New Roman"/>
                <w:b w:val="0"/>
                <w:bCs w:val="0"/>
                <w:color w:val="auto"/>
                <w:sz w:val="24"/>
                <w:szCs w:val="24"/>
                <w:lang w:val="en-US" w:eastAsia="zh-CN"/>
              </w:rPr>
              <w:t>环境影响</w:t>
            </w:r>
            <w:r>
              <w:rPr>
                <w:rFonts w:hint="eastAsia" w:ascii="Times New Roman" w:hAnsi="Times New Roman" w:cs="Times New Roman"/>
                <w:b w:val="0"/>
                <w:bCs w:val="0"/>
                <w:color w:val="auto"/>
                <w:sz w:val="24"/>
                <w:szCs w:val="24"/>
                <w:lang w:val="en-US" w:eastAsia="zh-CN"/>
              </w:rPr>
              <w:t>专项报告</w:t>
            </w:r>
            <w:r>
              <w:rPr>
                <w:rFonts w:hint="default" w:ascii="Times New Roman" w:hAnsi="Times New Roman" w:eastAsia="宋体" w:cs="Times New Roman"/>
                <w:b w:val="0"/>
                <w:bCs w:val="0"/>
                <w:color w:val="auto"/>
                <w:sz w:val="24"/>
                <w:szCs w:val="24"/>
                <w:lang w:val="en-US" w:eastAsia="zh-CN"/>
              </w:rPr>
              <w:t>。</w:t>
            </w:r>
          </w:p>
          <w:p>
            <w:pPr>
              <w:adjustRightInd w:val="0"/>
              <w:snapToGrid w:val="0"/>
              <w:spacing w:line="360" w:lineRule="auto"/>
              <w:jc w:val="left"/>
              <w:rPr>
                <w:rFonts w:hint="default" w:eastAsia="宋体" w:cs="宋体"/>
                <w:b/>
                <w:bCs w:val="0"/>
                <w:color w:val="auto"/>
                <w:sz w:val="24"/>
                <w:szCs w:val="21"/>
                <w:lang w:val="en-US" w:eastAsia="zh-CN"/>
              </w:rPr>
            </w:pPr>
            <w:r>
              <w:rPr>
                <w:rFonts w:hint="eastAsia" w:eastAsia="宋体" w:cs="宋体"/>
                <w:b/>
                <w:bCs w:val="0"/>
                <w:color w:val="auto"/>
                <w:sz w:val="24"/>
                <w:szCs w:val="21"/>
                <w:lang w:val="en-US" w:eastAsia="zh-CN"/>
              </w:rPr>
              <w:t>2、废气环境保护措施</w:t>
            </w:r>
          </w:p>
          <w:p>
            <w:pPr>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①油烟</w:t>
            </w:r>
          </w:p>
          <w:p>
            <w:pPr>
              <w:adjustRightInd w:val="0"/>
              <w:snapToGrid w:val="0"/>
              <w:spacing w:line="360" w:lineRule="auto"/>
              <w:ind w:firstLine="440" w:firstLineChars="200"/>
              <w:jc w:val="left"/>
              <w:rPr>
                <w:rFonts w:hint="default" w:ascii="Times New Roman" w:hAnsi="Times New Roman" w:eastAsia="宋体" w:cs="宋体"/>
                <w:bCs/>
                <w:color w:val="auto"/>
                <w:spacing w:val="-10"/>
                <w:sz w:val="24"/>
                <w:szCs w:val="21"/>
                <w:lang w:val="en-US" w:eastAsia="zh-CN"/>
              </w:rPr>
            </w:pPr>
            <w:r>
              <w:rPr>
                <w:rFonts w:hint="eastAsia" w:ascii="Times New Roman" w:hAnsi="Times New Roman" w:eastAsia="宋体" w:cs="宋体"/>
                <w:bCs/>
                <w:color w:val="auto"/>
                <w:spacing w:val="-10"/>
                <w:sz w:val="24"/>
                <w:szCs w:val="21"/>
                <w:lang w:eastAsia="zh-CN"/>
              </w:rPr>
              <w:t>于</w:t>
            </w:r>
            <w:r>
              <w:rPr>
                <w:rFonts w:hint="eastAsia" w:ascii="Times New Roman" w:hAnsi="Times New Roman" w:eastAsia="宋体" w:cs="宋体"/>
                <w:bCs/>
                <w:color w:val="auto"/>
                <w:spacing w:val="-10"/>
                <w:sz w:val="24"/>
                <w:szCs w:val="21"/>
                <w:lang w:val="en-US" w:eastAsia="zh-CN"/>
              </w:rPr>
              <w:t>家庭用房</w:t>
            </w:r>
            <w:r>
              <w:rPr>
                <w:rFonts w:hint="eastAsia" w:ascii="Times New Roman" w:hAnsi="Times New Roman" w:eastAsia="宋体" w:cs="宋体"/>
                <w:bCs/>
                <w:color w:val="auto"/>
                <w:spacing w:val="-10"/>
                <w:sz w:val="24"/>
                <w:szCs w:val="21"/>
                <w:lang w:eastAsia="zh-CN"/>
              </w:rPr>
              <w:t>内厨房油烟产生量较小，</w:t>
            </w:r>
            <w:r>
              <w:rPr>
                <w:rFonts w:hint="eastAsia" w:ascii="Times New Roman" w:hAnsi="Times New Roman" w:eastAsia="宋体" w:cs="宋体"/>
                <w:bCs/>
                <w:color w:val="auto"/>
                <w:spacing w:val="-10"/>
                <w:sz w:val="24"/>
                <w:szCs w:val="21"/>
                <w:lang w:val="en-US" w:eastAsia="zh-CN"/>
              </w:rPr>
              <w:t>且用户均会安装符合要求的油烟净化器，少量油烟经净化器处理后</w:t>
            </w:r>
            <w:r>
              <w:rPr>
                <w:rFonts w:hint="default" w:ascii="Times New Roman" w:hAnsi="Times New Roman" w:eastAsia="宋体" w:cs="宋体"/>
                <w:bCs/>
                <w:color w:val="auto"/>
                <w:spacing w:val="-10"/>
                <w:sz w:val="24"/>
                <w:szCs w:val="21"/>
              </w:rPr>
              <w:t>可以达到《饮食业油烟排放标准</w:t>
            </w:r>
            <w:r>
              <w:rPr>
                <w:rFonts w:hint="default" w:ascii="Times New Roman" w:hAnsi="Times New Roman" w:eastAsia="宋体" w:cs="宋体"/>
                <w:bCs/>
                <w:color w:val="auto"/>
                <w:spacing w:val="-10"/>
                <w:sz w:val="24"/>
                <w:szCs w:val="21"/>
                <w:lang w:val="en-US" w:eastAsia="zh-CN"/>
              </w:rPr>
              <w:t>（试行）》（GB18483-2001）要求</w:t>
            </w:r>
            <w:r>
              <w:rPr>
                <w:rFonts w:hint="eastAsia" w:ascii="Times New Roman" w:hAnsi="Times New Roman" w:eastAsia="宋体" w:cs="宋体"/>
                <w:bCs/>
                <w:color w:val="auto"/>
                <w:spacing w:val="-10"/>
                <w:sz w:val="24"/>
                <w:szCs w:val="21"/>
                <w:lang w:val="en-US" w:eastAsia="zh-CN"/>
              </w:rPr>
              <w:t>。</w:t>
            </w:r>
          </w:p>
          <w:p>
            <w:pPr>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②汽车尾气</w:t>
            </w:r>
          </w:p>
          <w:p>
            <w:pPr>
              <w:spacing w:line="360" w:lineRule="auto"/>
              <w:ind w:firstLine="480" w:firstLineChars="200"/>
              <w:jc w:val="left"/>
              <w:rPr>
                <w:rFonts w:hint="eastAsia" w:eastAsia="宋体"/>
                <w:color w:val="auto"/>
                <w:sz w:val="24"/>
                <w:lang w:eastAsia="zh-CN"/>
              </w:rPr>
            </w:pPr>
            <w:r>
              <w:rPr>
                <w:rFonts w:hint="eastAsia"/>
                <w:color w:val="auto"/>
                <w:sz w:val="24"/>
                <w:lang w:val="en-US" w:eastAsia="zh-CN"/>
              </w:rPr>
              <w:t>项目周边空气流通性较好，同时项目安置区内</w:t>
            </w:r>
            <w:r>
              <w:rPr>
                <w:rFonts w:hint="eastAsia"/>
                <w:color w:val="auto"/>
                <w:sz w:val="24"/>
              </w:rPr>
              <w:t>加强绿化，种植一些对</w:t>
            </w:r>
            <w:r>
              <w:rPr>
                <w:rFonts w:hAnsi="宋体"/>
                <w:color w:val="auto"/>
                <w:sz w:val="24"/>
              </w:rPr>
              <w:t>有害气体吸收能力较强的树木</w:t>
            </w:r>
            <w:r>
              <w:rPr>
                <w:rFonts w:hint="eastAsia" w:hAnsi="宋体"/>
                <w:color w:val="auto"/>
                <w:sz w:val="24"/>
              </w:rPr>
              <w:t>，可进一步减小尾气产生量</w:t>
            </w:r>
            <w:r>
              <w:rPr>
                <w:rFonts w:hint="eastAsia" w:hAnsi="宋体"/>
                <w:color w:val="auto"/>
                <w:sz w:val="24"/>
                <w:lang w:eastAsia="zh-CN"/>
              </w:rPr>
              <w:t>。</w:t>
            </w:r>
          </w:p>
          <w:p>
            <w:pPr>
              <w:spacing w:line="360" w:lineRule="auto"/>
              <w:ind w:firstLine="480" w:firstLineChars="200"/>
              <w:jc w:val="left"/>
              <w:rPr>
                <w:rFonts w:hint="default" w:ascii="Times New Roman" w:hAnsi="宋体" w:eastAsia="宋体" w:cs="Times New Roman"/>
                <w:color w:val="auto"/>
                <w:sz w:val="24"/>
              </w:rPr>
            </w:pPr>
            <w:r>
              <w:rPr>
                <w:rFonts w:hint="default" w:ascii="Times New Roman" w:hAnsi="宋体" w:eastAsia="宋体" w:cs="Times New Roman"/>
                <w:color w:val="auto"/>
                <w:sz w:val="24"/>
              </w:rPr>
              <w:t>③恶臭</w:t>
            </w:r>
          </w:p>
          <w:p>
            <w:pPr>
              <w:spacing w:line="360" w:lineRule="auto"/>
              <w:ind w:firstLine="480" w:firstLineChars="200"/>
              <w:jc w:val="left"/>
              <w:rPr>
                <w:rFonts w:hint="eastAsia" w:ascii="Times New Roman" w:hAnsi="宋体" w:eastAsia="宋体" w:cs="Times New Roman"/>
                <w:color w:val="auto"/>
                <w:sz w:val="24"/>
              </w:rPr>
            </w:pPr>
            <w:r>
              <w:rPr>
                <w:rFonts w:hint="eastAsia" w:ascii="Times New Roman" w:hAnsi="宋体" w:eastAsia="宋体" w:cs="Times New Roman"/>
                <w:color w:val="auto"/>
                <w:sz w:val="24"/>
              </w:rPr>
              <w:t>由于</w:t>
            </w:r>
            <w:r>
              <w:rPr>
                <w:rFonts w:hint="eastAsia" w:ascii="Times New Roman" w:hAnsi="宋体" w:eastAsia="宋体" w:cs="Times New Roman"/>
                <w:color w:val="auto"/>
                <w:sz w:val="24"/>
                <w:lang w:val="en-US" w:eastAsia="zh-CN"/>
              </w:rPr>
              <w:t>安置区内垃圾桶体量较小且分布</w:t>
            </w:r>
            <w:r>
              <w:rPr>
                <w:rFonts w:hint="eastAsia" w:ascii="Times New Roman" w:hAnsi="宋体" w:eastAsia="宋体" w:cs="Times New Roman"/>
                <w:color w:val="auto"/>
                <w:sz w:val="24"/>
                <w:lang w:eastAsia="zh-CN"/>
              </w:rPr>
              <w:t>相对分散，</w:t>
            </w:r>
            <w:r>
              <w:rPr>
                <w:rFonts w:hint="eastAsia" w:ascii="Times New Roman" w:hAnsi="宋体" w:eastAsia="宋体" w:cs="Times New Roman"/>
                <w:color w:val="auto"/>
                <w:sz w:val="24"/>
                <w:lang w:val="en-US" w:eastAsia="zh-CN"/>
              </w:rPr>
              <w:t>安置区内物业人员及时清理清运</w:t>
            </w:r>
            <w:r>
              <w:rPr>
                <w:rFonts w:hint="eastAsia" w:ascii="Times New Roman" w:hAnsi="宋体" w:eastAsia="宋体" w:cs="Times New Roman"/>
                <w:color w:val="auto"/>
                <w:sz w:val="24"/>
              </w:rPr>
              <w:t>，本项目</w:t>
            </w:r>
            <w:r>
              <w:rPr>
                <w:rFonts w:hint="eastAsia" w:hAnsi="宋体" w:cs="Times New Roman"/>
                <w:color w:val="auto"/>
                <w:sz w:val="24"/>
                <w:lang w:val="en-US" w:eastAsia="zh-CN"/>
              </w:rPr>
              <w:t>安置区垃圾桶内</w:t>
            </w:r>
            <w:r>
              <w:rPr>
                <w:rFonts w:hint="eastAsia" w:ascii="Times New Roman" w:hAnsi="宋体" w:eastAsia="宋体" w:cs="Times New Roman"/>
                <w:color w:val="auto"/>
                <w:sz w:val="24"/>
                <w:lang w:val="en-US" w:eastAsia="zh-CN"/>
              </w:rPr>
              <w:t>恶臭</w:t>
            </w:r>
            <w:r>
              <w:rPr>
                <w:rFonts w:hint="eastAsia" w:ascii="Times New Roman" w:hAnsi="宋体" w:eastAsia="宋体" w:cs="Times New Roman"/>
                <w:color w:val="auto"/>
                <w:sz w:val="24"/>
              </w:rPr>
              <w:t>污染物浓度较低</w:t>
            </w:r>
            <w:r>
              <w:rPr>
                <w:rFonts w:hint="eastAsia" w:ascii="Times New Roman" w:hAnsi="宋体" w:eastAsia="宋体" w:cs="Times New Roman"/>
                <w:color w:val="auto"/>
                <w:sz w:val="24"/>
                <w:lang w:eastAsia="zh-CN"/>
              </w:rPr>
              <w:t>，</w:t>
            </w:r>
            <w:r>
              <w:rPr>
                <w:rFonts w:hint="eastAsia" w:ascii="Times New Roman" w:hAnsi="Times New Roman" w:eastAsia="宋体" w:cs="宋体"/>
                <w:bCs/>
                <w:color w:val="auto"/>
                <w:spacing w:val="-10"/>
                <w:sz w:val="24"/>
                <w:szCs w:val="21"/>
                <w:lang w:val="en-US" w:eastAsia="zh-CN"/>
              </w:rPr>
              <w:t>经周边大气环境稀释后对周边环境影响较小</w:t>
            </w:r>
            <w:r>
              <w:rPr>
                <w:rFonts w:hint="eastAsia" w:ascii="Times New Roman" w:hAnsi="宋体" w:eastAsia="宋体" w:cs="Times New Roman"/>
                <w:color w:val="auto"/>
                <w:sz w:val="24"/>
              </w:rPr>
              <w:t>。</w:t>
            </w:r>
          </w:p>
          <w:p>
            <w:pPr>
              <w:spacing w:line="360" w:lineRule="auto"/>
              <w:ind w:firstLine="480" w:firstLineChars="200"/>
              <w:rPr>
                <w:rFonts w:hint="default" w:ascii="Times New Roman" w:hAnsi="宋体" w:eastAsia="宋体" w:cs="Times New Roman"/>
                <w:color w:val="auto"/>
                <w:sz w:val="24"/>
                <w:lang w:val="en-US" w:eastAsia="zh-CN"/>
              </w:rPr>
            </w:pPr>
            <w:r>
              <w:rPr>
                <w:rFonts w:hint="default" w:ascii="Times New Roman" w:hAnsi="宋体" w:eastAsia="宋体" w:cs="Times New Roman"/>
                <w:color w:val="auto"/>
                <w:sz w:val="24"/>
                <w:lang w:val="en-US" w:eastAsia="zh-CN"/>
              </w:rPr>
              <w:t>为减轻</w:t>
            </w:r>
            <w:r>
              <w:rPr>
                <w:rFonts w:hint="eastAsia" w:ascii="Times New Roman" w:hAnsi="宋体" w:eastAsia="宋体" w:cs="Times New Roman"/>
                <w:color w:val="auto"/>
                <w:sz w:val="24"/>
                <w:lang w:val="en-US" w:eastAsia="zh-CN"/>
              </w:rPr>
              <w:t>污水处理厂</w:t>
            </w:r>
            <w:r>
              <w:rPr>
                <w:rFonts w:hint="default" w:ascii="Times New Roman" w:hAnsi="宋体" w:eastAsia="宋体" w:cs="Times New Roman"/>
                <w:color w:val="auto"/>
                <w:sz w:val="24"/>
                <w:lang w:val="en-US" w:eastAsia="zh-CN"/>
              </w:rPr>
              <w:t>恶臭气体对周围环境的影响，本工程恶臭收集主要措施如下：</w:t>
            </w:r>
          </w:p>
          <w:p>
            <w:pPr>
              <w:spacing w:line="360" w:lineRule="auto"/>
              <w:ind w:firstLine="480" w:firstLineChars="200"/>
              <w:jc w:val="left"/>
              <w:rPr>
                <w:rFonts w:hint="eastAsia" w:ascii="宋体" w:hAnsi="宋体" w:eastAsia="宋体" w:cs="宋体"/>
                <w:color w:val="auto"/>
                <w:sz w:val="24"/>
              </w:rPr>
            </w:pPr>
            <w:r>
              <w:rPr>
                <w:rFonts w:hint="default" w:ascii="Times New Roman" w:hAnsi="宋体" w:eastAsia="宋体" w:cs="Times New Roman"/>
                <w:color w:val="auto"/>
                <w:sz w:val="24"/>
                <w:lang w:val="en-US" w:eastAsia="zh-CN"/>
              </w:rPr>
              <w:t>本项目格栅、调节池</w:t>
            </w:r>
            <w:r>
              <w:rPr>
                <w:rFonts w:hint="eastAsia" w:ascii="Times New Roman" w:hAnsi="宋体" w:eastAsia="宋体" w:cs="Times New Roman"/>
                <w:color w:val="auto"/>
                <w:sz w:val="24"/>
                <w:lang w:val="en-US" w:eastAsia="zh-CN"/>
              </w:rPr>
              <w:t>、污泥池等</w:t>
            </w:r>
            <w:r>
              <w:rPr>
                <w:rFonts w:hint="default" w:ascii="Times New Roman" w:hAnsi="宋体" w:eastAsia="宋体" w:cs="Times New Roman"/>
                <w:color w:val="auto"/>
                <w:sz w:val="24"/>
                <w:lang w:val="en-US" w:eastAsia="zh-CN"/>
              </w:rPr>
              <w:t>采取地埋式封闭池</w:t>
            </w:r>
            <w:r>
              <w:rPr>
                <w:rFonts w:hint="eastAsia" w:ascii="Times New Roman" w:hAnsi="宋体" w:eastAsia="宋体" w:cs="Times New Roman"/>
                <w:color w:val="auto"/>
                <w:sz w:val="24"/>
                <w:lang w:val="en-US" w:eastAsia="zh-CN"/>
              </w:rPr>
              <w:t>，一体化</w:t>
            </w:r>
            <w:r>
              <w:rPr>
                <w:rFonts w:hint="default" w:ascii="Times New Roman" w:hAnsi="宋体" w:eastAsia="宋体" w:cs="Times New Roman"/>
                <w:color w:val="auto"/>
                <w:sz w:val="24"/>
                <w:lang w:val="en-US" w:eastAsia="zh-CN"/>
              </w:rPr>
              <w:t>生化池</w:t>
            </w:r>
            <w:r>
              <w:rPr>
                <w:rFonts w:hint="eastAsia" w:ascii="Times New Roman" w:hAnsi="宋体" w:eastAsia="宋体" w:cs="Times New Roman"/>
                <w:color w:val="auto"/>
                <w:sz w:val="24"/>
                <w:lang w:val="en-US" w:eastAsia="zh-CN"/>
              </w:rPr>
              <w:t>、</w:t>
            </w:r>
            <w:r>
              <w:rPr>
                <w:rFonts w:hint="default" w:ascii="Times New Roman" w:hAnsi="宋体" w:eastAsia="宋体" w:cs="Times New Roman"/>
                <w:color w:val="auto"/>
                <w:sz w:val="24"/>
                <w:lang w:val="en-US" w:eastAsia="zh-CN"/>
              </w:rPr>
              <w:t>污泥泵房、污泥池采取加盖</w:t>
            </w:r>
            <w:r>
              <w:rPr>
                <w:rFonts w:hint="eastAsia" w:ascii="Times New Roman" w:hAnsi="宋体" w:eastAsia="宋体" w:cs="Times New Roman"/>
                <w:color w:val="auto"/>
                <w:sz w:val="24"/>
                <w:lang w:val="en-US" w:eastAsia="zh-CN"/>
              </w:rPr>
              <w:t>密闭设施</w:t>
            </w:r>
            <w:r>
              <w:rPr>
                <w:rFonts w:hint="default" w:ascii="Times New Roman" w:hAnsi="宋体" w:eastAsia="宋体" w:cs="Times New Roman"/>
                <w:color w:val="auto"/>
                <w:sz w:val="24"/>
                <w:lang w:val="en-US" w:eastAsia="zh-CN"/>
              </w:rPr>
              <w:t>，污泥脱水机房内污泥脱水机采用加罩封闭</w:t>
            </w:r>
            <w:r>
              <w:rPr>
                <w:rFonts w:hint="eastAsia" w:ascii="Times New Roman" w:hAnsi="宋体" w:eastAsia="宋体" w:cs="Times New Roman"/>
                <w:color w:val="auto"/>
                <w:sz w:val="24"/>
                <w:lang w:val="en-US" w:eastAsia="zh-CN"/>
              </w:rPr>
              <w:t>；</w:t>
            </w:r>
            <w:r>
              <w:rPr>
                <w:rFonts w:hint="default" w:ascii="Times New Roman" w:hAnsi="宋体" w:eastAsia="宋体" w:cs="Times New Roman"/>
                <w:color w:val="auto"/>
                <w:sz w:val="24"/>
                <w:lang w:val="en-US" w:eastAsia="zh-CN"/>
              </w:rPr>
              <w:t>污泥脱水后采用编制袋封装堆放置于污泥暂存间内</w:t>
            </w:r>
            <w:r>
              <w:rPr>
                <w:rFonts w:hint="eastAsia" w:ascii="Times New Roman" w:hAnsi="宋体" w:eastAsia="宋体" w:cs="Times New Roman"/>
                <w:color w:val="auto"/>
                <w:sz w:val="24"/>
                <w:lang w:val="en-US" w:eastAsia="zh-CN"/>
              </w:rPr>
              <w:t>及时清运不堆存；同时本项目通过喷酒除臭剂。综合上述治理措施，最终无组织排放的恶臭较小，经周边大气环境稀释后对周边环境影响较小。</w:t>
            </w:r>
          </w:p>
          <w:p>
            <w:pPr>
              <w:numPr>
                <w:ilvl w:val="0"/>
                <w:numId w:val="0"/>
              </w:numPr>
              <w:adjustRightInd w:val="0"/>
              <w:snapToGrid w:val="0"/>
              <w:spacing w:line="360" w:lineRule="auto"/>
              <w:jc w:val="left"/>
              <w:rPr>
                <w:rFonts w:cs="宋体"/>
                <w:b/>
                <w:color w:val="auto"/>
                <w:spacing w:val="-10"/>
                <w:sz w:val="24"/>
                <w:szCs w:val="21"/>
              </w:rPr>
            </w:pPr>
            <w:r>
              <w:rPr>
                <w:rFonts w:hint="eastAsia" w:cs="宋体"/>
                <w:b/>
                <w:color w:val="auto"/>
                <w:spacing w:val="-10"/>
                <w:sz w:val="24"/>
                <w:szCs w:val="21"/>
                <w:lang w:val="en-US" w:eastAsia="zh-CN"/>
              </w:rPr>
              <w:t>3、</w:t>
            </w:r>
            <w:r>
              <w:rPr>
                <w:rFonts w:hint="eastAsia" w:cs="宋体"/>
                <w:b/>
                <w:color w:val="auto"/>
                <w:spacing w:val="-10"/>
                <w:sz w:val="24"/>
                <w:szCs w:val="21"/>
              </w:rPr>
              <w:t>废水环境影响分析</w:t>
            </w:r>
          </w:p>
          <w:p>
            <w:pPr>
              <w:pStyle w:val="52"/>
              <w:spacing w:line="360" w:lineRule="auto"/>
              <w:ind w:firstLine="482" w:firstLineChars="200"/>
              <w:jc w:val="left"/>
              <w:rPr>
                <w:rFonts w:hint="eastAsia" w:ascii="Times New Roman" w:hAnsi="Times New Roman" w:eastAsia="宋体" w:cs="宋体"/>
                <w:b/>
                <w:bCs/>
                <w:color w:val="auto"/>
                <w:sz w:val="24"/>
                <w:szCs w:val="21"/>
                <w:lang w:val="en-US" w:eastAsia="zh-CN"/>
              </w:rPr>
            </w:pPr>
            <w:r>
              <w:rPr>
                <w:rFonts w:hint="eastAsia" w:ascii="Times New Roman" w:hAnsi="Times New Roman" w:eastAsia="宋体" w:cs="宋体"/>
                <w:b/>
                <w:bCs/>
                <w:color w:val="auto"/>
                <w:sz w:val="24"/>
                <w:szCs w:val="21"/>
                <w:lang w:val="en-US" w:eastAsia="zh-CN"/>
              </w:rPr>
              <w:t>3.1废水污染防治措施</w:t>
            </w:r>
          </w:p>
          <w:p>
            <w:pPr>
              <w:pStyle w:val="64"/>
              <w:ind w:firstLine="480"/>
              <w:jc w:val="left"/>
              <w:rPr>
                <w:rFonts w:hint="eastAsia"/>
                <w:color w:val="auto"/>
                <w:sz w:val="24"/>
                <w:szCs w:val="24"/>
              </w:rPr>
            </w:pPr>
            <w:r>
              <w:rPr>
                <w:rFonts w:hint="eastAsia"/>
                <w:color w:val="auto"/>
                <w:spacing w:val="-3"/>
                <w:sz w:val="24"/>
                <w:szCs w:val="24"/>
              </w:rPr>
              <w:t>本项目</w:t>
            </w:r>
            <w:r>
              <w:rPr>
                <w:rFonts w:hint="eastAsia"/>
                <w:color w:val="auto"/>
                <w:spacing w:val="-3"/>
                <w:sz w:val="24"/>
                <w:szCs w:val="24"/>
                <w:lang w:val="en-US" w:eastAsia="zh-CN"/>
              </w:rPr>
              <w:t>安置区一期</w:t>
            </w:r>
            <w:r>
              <w:rPr>
                <w:rFonts w:hint="eastAsia"/>
                <w:color w:val="auto"/>
                <w:spacing w:val="-3"/>
                <w:sz w:val="24"/>
                <w:szCs w:val="24"/>
              </w:rPr>
              <w:t>生活污水经化粪池处理后</w:t>
            </w:r>
            <w:r>
              <w:rPr>
                <w:rFonts w:hint="eastAsia"/>
                <w:color w:val="auto"/>
                <w:spacing w:val="-3"/>
                <w:sz w:val="24"/>
                <w:szCs w:val="24"/>
                <w:lang w:val="en-US" w:eastAsia="zh-CN"/>
              </w:rPr>
              <w:t>达到</w:t>
            </w:r>
            <w:r>
              <w:rPr>
                <w:color w:val="auto"/>
                <w:sz w:val="24"/>
                <w:lang w:val="en-US" w:eastAsia="zh-CN"/>
              </w:rPr>
              <w:t>华容县团洲乡污水处理厂</w:t>
            </w:r>
            <w:r>
              <w:rPr>
                <w:rFonts w:hint="eastAsia"/>
                <w:color w:val="auto"/>
                <w:sz w:val="24"/>
                <w:lang w:val="en-US" w:eastAsia="zh-CN"/>
              </w:rPr>
              <w:t>进水水质标准后</w:t>
            </w:r>
            <w:r>
              <w:rPr>
                <w:rFonts w:hint="eastAsia"/>
                <w:color w:val="auto"/>
                <w:sz w:val="24"/>
              </w:rPr>
              <w:t>经</w:t>
            </w:r>
            <w:r>
              <w:rPr>
                <w:rFonts w:hint="eastAsia"/>
                <w:color w:val="auto"/>
                <w:sz w:val="24"/>
                <w:lang w:val="en-US" w:eastAsia="zh-CN"/>
              </w:rPr>
              <w:t>市政</w:t>
            </w:r>
            <w:r>
              <w:rPr>
                <w:rFonts w:hint="eastAsia"/>
                <w:color w:val="auto"/>
                <w:sz w:val="24"/>
              </w:rPr>
              <w:t>污水管网收集后</w:t>
            </w:r>
            <w:r>
              <w:rPr>
                <w:rFonts w:hint="eastAsia"/>
                <w:color w:val="auto"/>
                <w:sz w:val="24"/>
                <w:lang w:val="en-US" w:eastAsia="zh-CN"/>
              </w:rPr>
              <w:t>排入华</w:t>
            </w:r>
            <w:r>
              <w:rPr>
                <w:color w:val="auto"/>
                <w:sz w:val="24"/>
                <w:lang w:val="en-US" w:eastAsia="zh-CN"/>
              </w:rPr>
              <w:t>容县团洲乡污水处理厂</w:t>
            </w:r>
            <w:r>
              <w:rPr>
                <w:rFonts w:hint="eastAsia"/>
                <w:color w:val="auto"/>
                <w:sz w:val="24"/>
              </w:rPr>
              <w:t>进行深度处理</w:t>
            </w:r>
            <w:r>
              <w:rPr>
                <w:rFonts w:hint="eastAsia"/>
                <w:color w:val="auto"/>
                <w:sz w:val="24"/>
                <w:lang w:eastAsia="zh-CN"/>
              </w:rPr>
              <w:t>，</w:t>
            </w:r>
            <w:r>
              <w:rPr>
                <w:rFonts w:hint="eastAsia"/>
                <w:color w:val="auto"/>
                <w:sz w:val="24"/>
                <w:lang w:val="en-US" w:eastAsia="zh-CN"/>
              </w:rPr>
              <w:t>经处理</w:t>
            </w:r>
            <w:r>
              <w:rPr>
                <w:rFonts w:hint="eastAsia"/>
                <w:color w:val="auto"/>
                <w:sz w:val="24"/>
              </w:rPr>
              <w:t>排水水质达《城镇污水处理厂污染物排放标准》（GB</w:t>
            </w:r>
            <w:r>
              <w:rPr>
                <w:rFonts w:hint="eastAsia"/>
                <w:color w:val="auto"/>
                <w:sz w:val="24"/>
                <w:lang w:val="en-US" w:eastAsia="zh-CN"/>
              </w:rPr>
              <w:t xml:space="preserve"> </w:t>
            </w:r>
            <w:r>
              <w:rPr>
                <w:rFonts w:hint="eastAsia"/>
                <w:color w:val="auto"/>
                <w:sz w:val="24"/>
              </w:rPr>
              <w:t>18918-2002）</w:t>
            </w:r>
            <w:r>
              <w:rPr>
                <w:rFonts w:hint="eastAsia" w:eastAsia="宋体"/>
                <w:color w:val="auto"/>
                <w:sz w:val="24"/>
              </w:rPr>
              <w:t>一级A标准后，</w:t>
            </w:r>
            <w:r>
              <w:rPr>
                <w:rFonts w:hint="eastAsia"/>
                <w:color w:val="auto"/>
                <w:sz w:val="24"/>
                <w:lang w:val="en-US" w:eastAsia="zh-CN"/>
              </w:rPr>
              <w:t>汇入藕池河</w:t>
            </w:r>
            <w:r>
              <w:rPr>
                <w:rFonts w:hint="eastAsia"/>
                <w:color w:val="auto"/>
                <w:sz w:val="24"/>
                <w:szCs w:val="24"/>
              </w:rPr>
              <w:t>。</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本项目安置区二期、三期及配套污水处理厂内员工生活污水经化粪池处理后可达华容县团洲乡团洲新村污水处理厂进水水质标准，之后进入市政污水管网，由华容县团洲乡团洲新村污水处理厂处理达标后回用，项目废水污染物对环境影响较小。</w:t>
            </w:r>
          </w:p>
          <w:p>
            <w:pPr>
              <w:pStyle w:val="56"/>
              <w:adjustRightInd w:val="0"/>
              <w:snapToGrid w:val="0"/>
              <w:spacing w:line="360" w:lineRule="auto"/>
              <w:ind w:firstLine="482"/>
              <w:jc w:val="left"/>
              <w:rPr>
                <w:rFonts w:hint="eastAsia"/>
                <w:b/>
                <w:bCs/>
                <w:color w:val="auto"/>
                <w:sz w:val="24"/>
                <w:highlight w:val="none"/>
              </w:rPr>
            </w:pPr>
            <w:r>
              <w:rPr>
                <w:rFonts w:hint="eastAsia"/>
                <w:b/>
                <w:bCs/>
                <w:color w:val="auto"/>
                <w:sz w:val="24"/>
                <w:highlight w:val="none"/>
                <w:lang w:val="en-US" w:eastAsia="zh-CN"/>
              </w:rPr>
              <w:t>3.2</w:t>
            </w:r>
            <w:r>
              <w:rPr>
                <w:rFonts w:hint="eastAsia"/>
                <w:b/>
                <w:bCs/>
                <w:color w:val="auto"/>
                <w:sz w:val="24"/>
                <w:highlight w:val="none"/>
              </w:rPr>
              <w:t>废水处理设施可行性分析</w:t>
            </w:r>
          </w:p>
          <w:p>
            <w:pPr>
              <w:adjustRightInd w:val="0"/>
              <w:snapToGrid w:val="0"/>
              <w:spacing w:line="360" w:lineRule="auto"/>
              <w:ind w:firstLine="480" w:firstLineChars="200"/>
              <w:jc w:val="left"/>
              <w:rPr>
                <w:rFonts w:hint="eastAsia" w:cs="宋体"/>
                <w:bCs/>
                <w:i w:val="0"/>
                <w:iCs w:val="0"/>
                <w:color w:val="auto"/>
                <w:sz w:val="24"/>
                <w:szCs w:val="21"/>
                <w:u w:val="none"/>
                <w:lang w:val="en-US" w:eastAsia="zh-CN"/>
              </w:rPr>
            </w:pPr>
            <w:r>
              <w:rPr>
                <w:rFonts w:hint="eastAsia" w:cs="宋体"/>
                <w:bCs/>
                <w:i w:val="0"/>
                <w:iCs w:val="0"/>
                <w:color w:val="auto"/>
                <w:sz w:val="24"/>
                <w:szCs w:val="21"/>
                <w:u w:val="none"/>
                <w:lang w:val="en-US" w:eastAsia="zh-CN"/>
              </w:rPr>
              <w:t>安置区一期：</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生活污水经化粪池处理后可</w:t>
            </w:r>
            <w:r>
              <w:rPr>
                <w:rFonts w:hint="eastAsia" w:cs="宋体"/>
                <w:bCs/>
                <w:i w:val="0"/>
                <w:iCs w:val="0"/>
                <w:color w:val="auto"/>
                <w:sz w:val="24"/>
                <w:szCs w:val="21"/>
                <w:u w:val="none"/>
                <w:lang w:val="en-US" w:eastAsia="zh-CN"/>
              </w:rPr>
              <w:t>达到</w:t>
            </w:r>
            <w:r>
              <w:rPr>
                <w:rFonts w:hint="default" w:ascii="Times New Roman" w:hAnsi="Times New Roman" w:eastAsia="宋体" w:cs="Times New Roman"/>
                <w:color w:val="auto"/>
                <w:spacing w:val="4"/>
                <w:sz w:val="24"/>
                <w:szCs w:val="24"/>
                <w:lang w:eastAsia="zh-CN"/>
              </w:rPr>
              <w:t>华容县团洲乡污水处理厂进水水质标准后经市政污水管网收集后</w:t>
            </w:r>
            <w:r>
              <w:rPr>
                <w:rFonts w:hint="eastAsia" w:cs="Times New Roman"/>
                <w:color w:val="auto"/>
                <w:spacing w:val="4"/>
                <w:sz w:val="24"/>
                <w:szCs w:val="24"/>
                <w:lang w:val="en-US" w:eastAsia="zh-CN"/>
              </w:rPr>
              <w:t>排入</w:t>
            </w:r>
            <w:r>
              <w:rPr>
                <w:rFonts w:hint="eastAsia" w:ascii="Times New Roman" w:hAnsi="Times New Roman" w:eastAsia="宋体" w:cs="宋体"/>
                <w:bCs/>
                <w:i w:val="0"/>
                <w:iCs w:val="0"/>
                <w:color w:val="auto"/>
                <w:sz w:val="24"/>
                <w:szCs w:val="21"/>
                <w:u w:val="none"/>
                <w:lang w:val="en-US" w:eastAsia="zh-CN"/>
              </w:rPr>
              <w:t>华容县团洲乡污水处理厂</w:t>
            </w:r>
            <w:r>
              <w:rPr>
                <w:rFonts w:hint="eastAsia" w:cs="宋体"/>
                <w:bCs/>
                <w:i w:val="0"/>
                <w:iCs w:val="0"/>
                <w:color w:val="auto"/>
                <w:sz w:val="24"/>
                <w:szCs w:val="21"/>
                <w:u w:val="none"/>
                <w:lang w:val="en-US" w:eastAsia="zh-CN"/>
              </w:rPr>
              <w:t>，经</w:t>
            </w:r>
            <w:r>
              <w:rPr>
                <w:rFonts w:hint="eastAsia" w:ascii="Times New Roman" w:hAnsi="Times New Roman" w:eastAsia="宋体" w:cs="宋体"/>
                <w:bCs/>
                <w:i w:val="0"/>
                <w:iCs w:val="0"/>
                <w:color w:val="auto"/>
                <w:sz w:val="24"/>
                <w:szCs w:val="21"/>
                <w:u w:val="none"/>
                <w:lang w:val="en-US" w:eastAsia="zh-CN"/>
              </w:rPr>
              <w:t>处理达标</w:t>
            </w:r>
            <w:r>
              <w:rPr>
                <w:rFonts w:hint="eastAsia" w:cs="宋体"/>
                <w:bCs/>
                <w:i w:val="0"/>
                <w:iCs w:val="0"/>
                <w:color w:val="auto"/>
                <w:sz w:val="24"/>
                <w:szCs w:val="21"/>
                <w:u w:val="none"/>
                <w:lang w:val="en-US" w:eastAsia="zh-CN"/>
              </w:rPr>
              <w:t>后外排藕池河</w:t>
            </w:r>
            <w:r>
              <w:rPr>
                <w:rFonts w:hint="eastAsia" w:ascii="Times New Roman" w:hAnsi="Times New Roman" w:eastAsia="宋体" w:cs="宋体"/>
                <w:bCs/>
                <w:i w:val="0"/>
                <w:iCs w:val="0"/>
                <w:color w:val="auto"/>
                <w:sz w:val="24"/>
                <w:szCs w:val="21"/>
                <w:u w:val="none"/>
                <w:lang w:val="en-US" w:eastAsia="zh-CN"/>
              </w:rPr>
              <w:t>，项目废水污染物对环境影响较小。</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团洲乡污水处理厂位于团洲乡社区居委会二组，占地面积600平方米，于2022年建设完成，目前污水处理厂运行稳定，设计处理规模为200吨/日，目前日常处理污水量约100吨/天</w:t>
            </w:r>
            <w:r>
              <w:rPr>
                <w:rFonts w:hint="eastAsia" w:cs="宋体"/>
                <w:bCs/>
                <w:i w:val="0"/>
                <w:iCs w:val="0"/>
                <w:color w:val="auto"/>
                <w:sz w:val="24"/>
                <w:szCs w:val="21"/>
                <w:u w:val="none"/>
                <w:lang w:val="en-US" w:eastAsia="zh-CN"/>
              </w:rPr>
              <w:t>；污水处理厂</w:t>
            </w:r>
            <w:r>
              <w:rPr>
                <w:rFonts w:hint="eastAsia" w:ascii="Times New Roman" w:hAnsi="Times New Roman" w:eastAsia="宋体" w:cs="宋体"/>
                <w:bCs/>
                <w:i w:val="0"/>
                <w:iCs w:val="0"/>
                <w:color w:val="auto"/>
                <w:sz w:val="24"/>
                <w:szCs w:val="21"/>
                <w:u w:val="none"/>
                <w:lang w:val="en-US" w:eastAsia="zh-CN"/>
              </w:rPr>
              <w:t>采用“生化处理+深度处理+消毒”工艺（一体化设备），确保出水水质达到《城镇污水处理厂污染物排放标准》中的一级A类排放标准</w:t>
            </w:r>
            <w:r>
              <w:rPr>
                <w:rFonts w:hint="eastAsia" w:cs="宋体"/>
                <w:bCs/>
                <w:i w:val="0"/>
                <w:iCs w:val="0"/>
                <w:color w:val="auto"/>
                <w:sz w:val="24"/>
                <w:szCs w:val="21"/>
                <w:u w:val="none"/>
                <w:lang w:val="en-US" w:eastAsia="zh-CN"/>
              </w:rPr>
              <w:t>后外排藕池河</w:t>
            </w:r>
            <w:r>
              <w:rPr>
                <w:rFonts w:hint="eastAsia" w:ascii="Times New Roman" w:hAnsi="Times New Roman" w:eastAsia="宋体" w:cs="宋体"/>
                <w:bCs/>
                <w:i w:val="0"/>
                <w:iCs w:val="0"/>
                <w:color w:val="auto"/>
                <w:sz w:val="24"/>
                <w:szCs w:val="21"/>
                <w:u w:val="none"/>
                <w:lang w:val="en-US" w:eastAsia="zh-CN"/>
              </w:rPr>
              <w:t>。</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本项目所在地属于该污水处理厂的纳污范围，且区域内污水管网已经铺设完成，因此项目废水可接入该污水处理厂</w:t>
            </w:r>
            <w:r>
              <w:rPr>
                <w:rFonts w:hint="eastAsia" w:cs="宋体"/>
                <w:bCs/>
                <w:i w:val="0"/>
                <w:iCs w:val="0"/>
                <w:color w:val="auto"/>
                <w:sz w:val="24"/>
                <w:szCs w:val="21"/>
                <w:u w:val="none"/>
                <w:lang w:val="en-US" w:eastAsia="zh-CN"/>
              </w:rPr>
              <w:t>；本项目污水排放量为40m</w:t>
            </w:r>
            <w:r>
              <w:rPr>
                <w:rFonts w:hint="eastAsia" w:cs="宋体"/>
                <w:bCs/>
                <w:i w:val="0"/>
                <w:iCs w:val="0"/>
                <w:color w:val="auto"/>
                <w:sz w:val="24"/>
                <w:szCs w:val="21"/>
                <w:u w:val="none"/>
                <w:vertAlign w:val="superscript"/>
                <w:lang w:val="en-US" w:eastAsia="zh-CN"/>
              </w:rPr>
              <w:t>3</w:t>
            </w:r>
            <w:r>
              <w:rPr>
                <w:rFonts w:hint="eastAsia" w:cs="宋体"/>
                <w:bCs/>
                <w:i w:val="0"/>
                <w:iCs w:val="0"/>
                <w:color w:val="auto"/>
                <w:sz w:val="24"/>
                <w:szCs w:val="21"/>
                <w:u w:val="none"/>
                <w:lang w:val="en-US" w:eastAsia="zh-CN"/>
              </w:rPr>
              <w:t>/d，现有污水处理厂余量满足本项目进水要求</w:t>
            </w:r>
            <w:r>
              <w:rPr>
                <w:rFonts w:hint="eastAsia" w:ascii="Times New Roman" w:hAnsi="Times New Roman" w:eastAsia="宋体" w:cs="宋体"/>
                <w:bCs/>
                <w:i w:val="0"/>
                <w:iCs w:val="0"/>
                <w:color w:val="auto"/>
                <w:sz w:val="24"/>
                <w:szCs w:val="21"/>
                <w:u w:val="none"/>
                <w:lang w:val="en-US" w:eastAsia="zh-CN"/>
              </w:rPr>
              <w:t>。因此，本项目废水纳入该污水处理厂处理是可行的。</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综上所述，本项目废水处理措施是可行的。</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cs="宋体"/>
                <w:bCs/>
                <w:i w:val="0"/>
                <w:iCs w:val="0"/>
                <w:color w:val="auto"/>
                <w:sz w:val="24"/>
                <w:szCs w:val="21"/>
                <w:u w:val="none"/>
                <w:lang w:val="en-US" w:eastAsia="zh-CN"/>
              </w:rPr>
              <w:t>安置区二期、三期、配套污水处理厂：</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本项目安置区二期、三期及配套污水处理厂产生的生活污水经化粪池处理后可达华容县团洲乡团洲新村污水处理厂进水水质标准，之后进入市政污水管网，由华容县团洲乡团洲新村污水处理厂处理达标后回用，项目废水污染物对环境影响较小。</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团洲乡团洲新村污水处理厂位于团洲乡的东南部，南电排渠的西侧，设计日处理能力为</w:t>
            </w:r>
            <w:r>
              <w:rPr>
                <w:rFonts w:hint="eastAsia" w:cs="宋体"/>
                <w:bCs/>
                <w:i w:val="0"/>
                <w:iCs w:val="0"/>
                <w:color w:val="auto"/>
                <w:sz w:val="24"/>
                <w:szCs w:val="21"/>
                <w:u w:val="none"/>
                <w:lang w:val="en-US" w:eastAsia="zh-CN"/>
              </w:rPr>
              <w:t>3</w:t>
            </w:r>
            <w:r>
              <w:rPr>
                <w:rFonts w:hint="eastAsia" w:ascii="Times New Roman" w:hAnsi="Times New Roman" w:eastAsia="宋体" w:cs="宋体"/>
                <w:bCs/>
                <w:i w:val="0"/>
                <w:iCs w:val="0"/>
                <w:color w:val="auto"/>
                <w:sz w:val="24"/>
                <w:szCs w:val="21"/>
                <w:u w:val="none"/>
                <w:lang w:val="en-US" w:eastAsia="zh-CN"/>
              </w:rPr>
              <w:t>00吨/天，该厂拟采用“预处理+生化处理（A²/O工艺）+深度处理（砂滤、消毒）”的工艺流程，确保出水水质达到《城镇污水处理厂污染物排放标准》中的一级A类排放标准。同时配备污水回用系统，污水经处理后回用于厂区绿化灌溉或道路冲洗，提高了水资源利用率。</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该污水处理厂为配套华容县团洲垸灾后重建安置房建设项目</w:t>
            </w:r>
            <w:r>
              <w:rPr>
                <w:rFonts w:hint="eastAsia" w:cs="宋体"/>
                <w:bCs/>
                <w:i w:val="0"/>
                <w:iCs w:val="0"/>
                <w:color w:val="auto"/>
                <w:sz w:val="24"/>
                <w:szCs w:val="21"/>
                <w:u w:val="none"/>
                <w:lang w:val="en-US" w:eastAsia="zh-CN"/>
              </w:rPr>
              <w:t>而建设，</w:t>
            </w:r>
            <w:r>
              <w:rPr>
                <w:rFonts w:hint="eastAsia" w:ascii="Times New Roman" w:hAnsi="Times New Roman" w:eastAsia="宋体" w:cs="宋体"/>
                <w:bCs/>
                <w:i w:val="0"/>
                <w:iCs w:val="0"/>
                <w:color w:val="auto"/>
                <w:sz w:val="24"/>
                <w:szCs w:val="21"/>
                <w:u w:val="none"/>
                <w:lang w:val="en-US" w:eastAsia="zh-CN"/>
              </w:rPr>
              <w:t>本项目所在地属于该污水处理厂的纳污范围，且区域内污水管网已经铺设完成，</w:t>
            </w:r>
            <w:r>
              <w:rPr>
                <w:rFonts w:hint="eastAsia" w:cs="宋体"/>
                <w:bCs/>
                <w:i w:val="0"/>
                <w:iCs w:val="0"/>
                <w:color w:val="auto"/>
                <w:sz w:val="24"/>
                <w:szCs w:val="21"/>
                <w:u w:val="none"/>
                <w:lang w:val="en-US" w:eastAsia="zh-CN"/>
              </w:rPr>
              <w:t>污水处理厂预计可于今年下半年建成运行，与本项目交房日期同步，</w:t>
            </w:r>
            <w:r>
              <w:rPr>
                <w:rFonts w:hint="eastAsia" w:ascii="Times New Roman" w:hAnsi="Times New Roman" w:eastAsia="宋体" w:cs="宋体"/>
                <w:bCs/>
                <w:i w:val="0"/>
                <w:iCs w:val="0"/>
                <w:color w:val="auto"/>
                <w:sz w:val="24"/>
                <w:szCs w:val="21"/>
                <w:u w:val="none"/>
                <w:lang w:val="en-US" w:eastAsia="zh-CN"/>
              </w:rPr>
              <w:t>因此项目废水可接入该污水处理厂</w:t>
            </w:r>
            <w:r>
              <w:rPr>
                <w:rFonts w:hint="eastAsia" w:cs="宋体"/>
                <w:bCs/>
                <w:i w:val="0"/>
                <w:iCs w:val="0"/>
                <w:color w:val="auto"/>
                <w:sz w:val="24"/>
                <w:szCs w:val="21"/>
                <w:u w:val="none"/>
                <w:lang w:val="en-US" w:eastAsia="zh-CN"/>
              </w:rPr>
              <w:t>；污水处理厂日处理3</w:t>
            </w:r>
            <w:r>
              <w:rPr>
                <w:rFonts w:hint="eastAsia" w:ascii="Times New Roman" w:hAnsi="Times New Roman" w:eastAsia="宋体" w:cs="宋体"/>
                <w:bCs/>
                <w:i w:val="0"/>
                <w:iCs w:val="0"/>
                <w:color w:val="auto"/>
                <w:sz w:val="24"/>
                <w:szCs w:val="21"/>
                <w:u w:val="none"/>
                <w:lang w:val="en-US" w:eastAsia="zh-CN"/>
              </w:rPr>
              <w:t>00吨/天</w:t>
            </w:r>
            <w:r>
              <w:rPr>
                <w:rFonts w:hint="eastAsia" w:cs="宋体"/>
                <w:bCs/>
                <w:i w:val="0"/>
                <w:iCs w:val="0"/>
                <w:color w:val="auto"/>
                <w:sz w:val="24"/>
                <w:szCs w:val="21"/>
                <w:u w:val="none"/>
                <w:lang w:val="en-US" w:eastAsia="zh-CN"/>
              </w:rPr>
              <w:t>，本项目日污水量仅为80</w:t>
            </w:r>
            <w:r>
              <w:rPr>
                <w:rFonts w:hint="eastAsia" w:ascii="Times New Roman" w:hAnsi="Times New Roman" w:eastAsia="宋体" w:cs="宋体"/>
                <w:bCs/>
                <w:i w:val="0"/>
                <w:iCs w:val="0"/>
                <w:color w:val="auto"/>
                <w:sz w:val="24"/>
                <w:szCs w:val="21"/>
                <w:u w:val="none"/>
                <w:lang w:val="en-US" w:eastAsia="zh-CN"/>
              </w:rPr>
              <w:t>吨/天</w:t>
            </w:r>
            <w:r>
              <w:rPr>
                <w:rFonts w:hint="eastAsia" w:cs="宋体"/>
                <w:bCs/>
                <w:i w:val="0"/>
                <w:iCs w:val="0"/>
                <w:color w:val="auto"/>
                <w:sz w:val="24"/>
                <w:szCs w:val="21"/>
                <w:u w:val="none"/>
                <w:lang w:val="en-US" w:eastAsia="zh-CN"/>
              </w:rPr>
              <w:t>，该污水处理厂可有效接纳本项目污水</w:t>
            </w:r>
            <w:r>
              <w:rPr>
                <w:rFonts w:hint="eastAsia" w:ascii="Times New Roman" w:hAnsi="Times New Roman" w:eastAsia="宋体" w:cs="宋体"/>
                <w:bCs/>
                <w:i w:val="0"/>
                <w:iCs w:val="0"/>
                <w:color w:val="auto"/>
                <w:sz w:val="24"/>
                <w:szCs w:val="21"/>
                <w:u w:val="none"/>
                <w:lang w:val="en-US" w:eastAsia="zh-CN"/>
              </w:rPr>
              <w:t>。因此，本项目废水纳入该污水处理厂处理是可行的。</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综上所述，本项目废水处理措施是可行的。</w:t>
            </w:r>
          </w:p>
          <w:p>
            <w:pPr>
              <w:numPr>
                <w:ilvl w:val="0"/>
                <w:numId w:val="0"/>
              </w:numPr>
              <w:adjustRightInd w:val="0"/>
              <w:snapToGrid w:val="0"/>
              <w:spacing w:line="360" w:lineRule="auto"/>
              <w:jc w:val="left"/>
              <w:rPr>
                <w:rFonts w:hint="default" w:eastAsia="宋体" w:cs="宋体"/>
                <w:b/>
                <w:color w:val="auto"/>
                <w:spacing w:val="-10"/>
                <w:sz w:val="24"/>
                <w:szCs w:val="21"/>
                <w:lang w:val="en-US" w:eastAsia="zh-CN"/>
              </w:rPr>
            </w:pPr>
            <w:r>
              <w:rPr>
                <w:rFonts w:hint="eastAsia" w:cs="宋体"/>
                <w:b/>
                <w:color w:val="auto"/>
                <w:spacing w:val="-10"/>
                <w:sz w:val="24"/>
                <w:szCs w:val="21"/>
                <w:lang w:val="en-US" w:eastAsia="zh-CN"/>
              </w:rPr>
              <w:t>4、</w:t>
            </w:r>
            <w:r>
              <w:rPr>
                <w:rFonts w:hint="eastAsia" w:cs="宋体"/>
                <w:b/>
                <w:color w:val="auto"/>
                <w:spacing w:val="-10"/>
                <w:sz w:val="24"/>
                <w:szCs w:val="21"/>
              </w:rPr>
              <w:t>声环境</w:t>
            </w:r>
            <w:r>
              <w:rPr>
                <w:rFonts w:hint="eastAsia" w:cs="宋体"/>
                <w:b/>
                <w:color w:val="auto"/>
                <w:spacing w:val="-10"/>
                <w:sz w:val="24"/>
                <w:szCs w:val="21"/>
                <w:lang w:val="en-US" w:eastAsia="zh-CN"/>
              </w:rPr>
              <w:t>保护措施</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w:t>
            </w:r>
            <w:r>
              <w:rPr>
                <w:rFonts w:hint="eastAsia" w:ascii="Times New Roman" w:hAnsi="Times New Roman" w:eastAsia="宋体" w:cs="宋体"/>
                <w:bCs/>
                <w:i w:val="0"/>
                <w:iCs w:val="0"/>
                <w:color w:val="auto"/>
                <w:sz w:val="24"/>
                <w:szCs w:val="21"/>
                <w:u w:val="none"/>
                <w:lang w:val="en-US" w:eastAsia="zh-CN"/>
              </w:rPr>
              <w:t>1</w:t>
            </w:r>
            <w:r>
              <w:rPr>
                <w:rFonts w:hint="default" w:ascii="Times New Roman" w:hAnsi="Times New Roman" w:eastAsia="宋体" w:cs="宋体"/>
                <w:bCs/>
                <w:i w:val="0"/>
                <w:iCs w:val="0"/>
                <w:color w:val="auto"/>
                <w:sz w:val="24"/>
                <w:szCs w:val="21"/>
                <w:u w:val="none"/>
                <w:lang w:val="en-US" w:eastAsia="zh-CN"/>
              </w:rPr>
              <w:t>）地面设备噪声</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变配电室位于场地西南角，采用吸声、基础减震等措施，通过建筑物隔声后，对外界影响较小，不会影响到校区的正常运行。少量</w:t>
            </w:r>
            <w:r>
              <w:rPr>
                <w:rFonts w:hint="default" w:ascii="Times New Roman" w:hAnsi="Times New Roman" w:eastAsia="宋体" w:cs="宋体"/>
                <w:bCs/>
                <w:i w:val="0"/>
                <w:iCs w:val="0"/>
                <w:color w:val="auto"/>
                <w:sz w:val="24"/>
                <w:szCs w:val="21"/>
                <w:u w:val="none"/>
                <w:lang w:val="en-US" w:eastAsia="zh-CN"/>
              </w:rPr>
              <w:t>空调</w:t>
            </w:r>
            <w:r>
              <w:rPr>
                <w:rFonts w:hint="eastAsia" w:ascii="Times New Roman" w:hAnsi="Times New Roman" w:eastAsia="宋体" w:cs="宋体"/>
                <w:bCs/>
                <w:i w:val="0"/>
                <w:iCs w:val="0"/>
                <w:color w:val="auto"/>
                <w:sz w:val="24"/>
                <w:szCs w:val="21"/>
                <w:u w:val="none"/>
                <w:lang w:val="en-US" w:eastAsia="zh-CN"/>
              </w:rPr>
              <w:t>外机</w:t>
            </w:r>
            <w:r>
              <w:rPr>
                <w:rFonts w:hint="default" w:ascii="Times New Roman" w:hAnsi="Times New Roman" w:eastAsia="宋体" w:cs="宋体"/>
                <w:bCs/>
                <w:i w:val="0"/>
                <w:iCs w:val="0"/>
                <w:color w:val="auto"/>
                <w:sz w:val="24"/>
                <w:szCs w:val="21"/>
                <w:u w:val="none"/>
                <w:lang w:val="en-US" w:eastAsia="zh-CN"/>
              </w:rPr>
              <w:t>选用低噪声型号，并按设计位置布置，基础设减振垫；同时加强设备的日常检修和维护。</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本项目电梯机组安装于每栋楼房顶楼位置，设置于密闭房间内。经墙壁隔声后噪声可大大降低。</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w:t>
            </w:r>
            <w:r>
              <w:rPr>
                <w:rFonts w:hint="eastAsia" w:ascii="Times New Roman" w:hAnsi="Times New Roman" w:eastAsia="宋体" w:cs="宋体"/>
                <w:bCs/>
                <w:i w:val="0"/>
                <w:iCs w:val="0"/>
                <w:color w:val="auto"/>
                <w:sz w:val="24"/>
                <w:szCs w:val="21"/>
                <w:u w:val="none"/>
                <w:lang w:val="en-US" w:eastAsia="zh-CN"/>
              </w:rPr>
              <w:t>2</w:t>
            </w:r>
            <w:r>
              <w:rPr>
                <w:rFonts w:hint="default" w:ascii="Times New Roman" w:hAnsi="Times New Roman" w:eastAsia="宋体" w:cs="宋体"/>
                <w:bCs/>
                <w:i w:val="0"/>
                <w:iCs w:val="0"/>
                <w:color w:val="auto"/>
                <w:sz w:val="24"/>
                <w:szCs w:val="21"/>
                <w:u w:val="none"/>
                <w:lang w:val="en-US" w:eastAsia="zh-CN"/>
              </w:rPr>
              <w:t>）人群活动噪声</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①车辆</w:t>
            </w:r>
            <w:r>
              <w:rPr>
                <w:rFonts w:hint="default" w:ascii="Times New Roman" w:hAnsi="Times New Roman" w:eastAsia="宋体" w:cs="宋体"/>
                <w:bCs/>
                <w:i w:val="0"/>
                <w:iCs w:val="0"/>
                <w:color w:val="auto"/>
                <w:sz w:val="24"/>
                <w:szCs w:val="21"/>
                <w:u w:val="none"/>
                <w:lang w:val="en-US" w:eastAsia="zh-CN"/>
              </w:rPr>
              <w:t>出入口设置禁鸣和限速标志，严格控制车辆出入时的车速</w:t>
            </w:r>
            <w:r>
              <w:rPr>
                <w:rFonts w:hint="eastAsia" w:ascii="Times New Roman" w:hAnsi="Times New Roman" w:eastAsia="宋体" w:cs="宋体"/>
                <w:bCs/>
                <w:i w:val="0"/>
                <w:iCs w:val="0"/>
                <w:color w:val="auto"/>
                <w:sz w:val="24"/>
                <w:szCs w:val="21"/>
                <w:u w:val="none"/>
                <w:lang w:val="en-US" w:eastAsia="zh-CN"/>
              </w:rPr>
              <w:t>以及数量，合理安排行车路线</w:t>
            </w:r>
            <w:r>
              <w:rPr>
                <w:rFonts w:hint="default" w:ascii="Times New Roman" w:hAnsi="Times New Roman" w:eastAsia="宋体" w:cs="宋体"/>
                <w:bCs/>
                <w:i w:val="0"/>
                <w:iCs w:val="0"/>
                <w:color w:val="auto"/>
                <w:sz w:val="24"/>
                <w:szCs w:val="21"/>
                <w:u w:val="none"/>
                <w:lang w:val="en-US" w:eastAsia="zh-CN"/>
              </w:rPr>
              <w:t>。</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②</w:t>
            </w:r>
            <w:r>
              <w:rPr>
                <w:rFonts w:hint="default" w:ascii="Times New Roman" w:hAnsi="Times New Roman" w:eastAsia="宋体" w:cs="宋体"/>
                <w:bCs/>
                <w:i w:val="0"/>
                <w:iCs w:val="0"/>
                <w:color w:val="auto"/>
                <w:sz w:val="24"/>
                <w:szCs w:val="21"/>
                <w:u w:val="none"/>
                <w:lang w:val="en-US" w:eastAsia="zh-CN"/>
              </w:rPr>
              <w:t>并应注意合理布局</w:t>
            </w:r>
            <w:r>
              <w:rPr>
                <w:rFonts w:hint="eastAsia" w:ascii="Times New Roman" w:hAnsi="Times New Roman" w:eastAsia="宋体" w:cs="宋体"/>
                <w:bCs/>
                <w:i w:val="0"/>
                <w:iCs w:val="0"/>
                <w:color w:val="auto"/>
                <w:sz w:val="24"/>
                <w:szCs w:val="21"/>
                <w:u w:val="none"/>
                <w:lang w:val="en-US" w:eastAsia="zh-CN"/>
              </w:rPr>
              <w:t>，将主出入口以及大型休闲场地布置在离周边居民较远的南部位置</w:t>
            </w:r>
            <w:r>
              <w:rPr>
                <w:rFonts w:hint="default" w:ascii="Times New Roman" w:hAnsi="Times New Roman" w:eastAsia="宋体" w:cs="宋体"/>
                <w:bCs/>
                <w:i w:val="0"/>
                <w:iCs w:val="0"/>
                <w:color w:val="auto"/>
                <w:sz w:val="24"/>
                <w:szCs w:val="21"/>
                <w:u w:val="none"/>
                <w:lang w:val="en-US" w:eastAsia="zh-CN"/>
              </w:rPr>
              <w:t>。</w:t>
            </w:r>
          </w:p>
          <w:p>
            <w:pPr>
              <w:adjustRightInd w:val="0"/>
              <w:snapToGrid w:val="0"/>
              <w:spacing w:line="360" w:lineRule="auto"/>
              <w:ind w:firstLine="480" w:firstLineChars="200"/>
              <w:jc w:val="left"/>
              <w:rPr>
                <w:rFonts w:hint="default" w:ascii="Times New Roman" w:hAnsi="Times New Roman" w:eastAsia="宋体" w:cs="Times New Roman"/>
                <w:color w:val="auto"/>
                <w:sz w:val="24"/>
              </w:rPr>
            </w:pPr>
            <w:r>
              <w:rPr>
                <w:rFonts w:hint="eastAsia" w:ascii="Times New Roman" w:hAnsi="Times New Roman" w:eastAsia="宋体" w:cs="宋体"/>
                <w:bCs/>
                <w:i w:val="0"/>
                <w:iCs w:val="0"/>
                <w:color w:val="auto"/>
                <w:sz w:val="24"/>
                <w:szCs w:val="21"/>
                <w:u w:val="none"/>
                <w:lang w:val="en-US" w:eastAsia="zh-CN"/>
              </w:rPr>
              <w:t>③</w:t>
            </w:r>
            <w:r>
              <w:rPr>
                <w:rFonts w:hint="default" w:ascii="Times New Roman" w:hAnsi="Times New Roman" w:eastAsia="宋体" w:cs="宋体"/>
                <w:bCs/>
                <w:i w:val="0"/>
                <w:iCs w:val="0"/>
                <w:color w:val="auto"/>
                <w:sz w:val="24"/>
                <w:szCs w:val="21"/>
                <w:u w:val="none"/>
                <w:lang w:val="en-US" w:eastAsia="zh-CN"/>
              </w:rPr>
              <w:t>应少用或不用高音喇叭，</w:t>
            </w:r>
            <w:r>
              <w:rPr>
                <w:rFonts w:hint="eastAsia" w:ascii="Times New Roman" w:hAnsi="Times New Roman" w:eastAsia="宋体" w:cs="宋体"/>
                <w:bCs/>
                <w:i w:val="0"/>
                <w:iCs w:val="0"/>
                <w:color w:val="auto"/>
                <w:sz w:val="24"/>
                <w:szCs w:val="21"/>
                <w:u w:val="none"/>
                <w:lang w:val="en-US" w:eastAsia="zh-CN"/>
              </w:rPr>
              <w:t>娱乐</w:t>
            </w:r>
            <w:r>
              <w:rPr>
                <w:rFonts w:hint="default" w:ascii="Times New Roman" w:hAnsi="Times New Roman" w:eastAsia="宋体" w:cs="宋体"/>
                <w:bCs/>
                <w:i w:val="0"/>
                <w:iCs w:val="0"/>
                <w:color w:val="auto"/>
                <w:sz w:val="24"/>
                <w:szCs w:val="21"/>
                <w:u w:val="none"/>
                <w:lang w:val="en-US" w:eastAsia="zh-CN"/>
              </w:rPr>
              <w:t>必需可采取多个低音喇叭布局</w:t>
            </w:r>
            <w:r>
              <w:rPr>
                <w:rFonts w:hint="default" w:ascii="Times New Roman" w:hAnsi="Times New Roman" w:eastAsia="宋体" w:cs="Times New Roman"/>
                <w:color w:val="auto"/>
                <w:sz w:val="24"/>
              </w:rPr>
              <w:t>。</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为进一步防止项目生产产生的噪声对周边环境的影响，确保厂界噪声达标排放，本环评建议：</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（3）污水处理站噪声</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①</w:t>
            </w:r>
            <w:r>
              <w:rPr>
                <w:rFonts w:hint="default" w:ascii="Times New Roman" w:hAnsi="Times New Roman" w:eastAsia="宋体" w:cs="宋体"/>
                <w:bCs/>
                <w:i w:val="0"/>
                <w:iCs w:val="0"/>
                <w:color w:val="auto"/>
                <w:sz w:val="24"/>
                <w:szCs w:val="21"/>
                <w:u w:val="none"/>
                <w:lang w:val="en-US" w:eastAsia="zh-CN"/>
              </w:rPr>
              <w:t>在设备选型时，除考虑满足处理工艺要求外，还必须考虑设备的声学特性（选用高效低噪设备），对于噪声较高的设备应与设备出售厂方协商提供配套的降噪措施。本工程污水泵和污泥泵采用潜污泵，在水下基本无噪声。</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②</w:t>
            </w:r>
            <w:r>
              <w:rPr>
                <w:rFonts w:hint="default" w:ascii="Times New Roman" w:hAnsi="Times New Roman" w:eastAsia="宋体" w:cs="宋体"/>
                <w:bCs/>
                <w:i w:val="0"/>
                <w:iCs w:val="0"/>
                <w:color w:val="auto"/>
                <w:sz w:val="24"/>
                <w:szCs w:val="21"/>
                <w:u w:val="none"/>
                <w:lang w:val="en-US" w:eastAsia="zh-CN"/>
              </w:rPr>
              <w:t>将各设备均安装于生产车间内，进行墙体隔声，并且在设备安装时加减振垫。</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宋体" w:hAnsi="宋体" w:eastAsia="宋体" w:cs="宋体"/>
                <w:bCs/>
                <w:i w:val="0"/>
                <w:iCs w:val="0"/>
                <w:color w:val="auto"/>
                <w:sz w:val="24"/>
                <w:szCs w:val="21"/>
                <w:u w:val="none"/>
                <w:lang w:val="en-US" w:eastAsia="zh-CN"/>
              </w:rPr>
              <w:t>③</w:t>
            </w:r>
            <w:r>
              <w:rPr>
                <w:rFonts w:hint="default" w:ascii="Times New Roman" w:hAnsi="Times New Roman" w:eastAsia="宋体" w:cs="宋体"/>
                <w:bCs/>
                <w:i w:val="0"/>
                <w:iCs w:val="0"/>
                <w:color w:val="auto"/>
                <w:sz w:val="24"/>
                <w:szCs w:val="21"/>
                <w:u w:val="none"/>
                <w:lang w:val="en-US" w:eastAsia="zh-CN"/>
              </w:rPr>
              <w:t>应加强设备的保养和维修，使设备随时处于良好的运行状态，杜绝因设备不正常运转时产生的高噪声现象。各类风机等设备高速旋转，噪声较大，采用先进的低强度噪声设备，采取隔声、吸声、消声、减震等综合措施降低噪声影响。同时建议在选用室内装修材料时，尽量采用吸声效果好的材料；选用的门窗和墙体材料，应具有较好的隔声效果。</w:t>
            </w:r>
          </w:p>
          <w:p>
            <w:pPr>
              <w:adjustRightInd w:val="0"/>
              <w:snapToGrid w:val="0"/>
              <w:spacing w:line="360" w:lineRule="auto"/>
              <w:ind w:firstLine="480" w:firstLineChars="200"/>
              <w:jc w:val="left"/>
              <w:rPr>
                <w:rFonts w:hint="default"/>
              </w:rPr>
            </w:pPr>
            <w:r>
              <w:rPr>
                <w:rFonts w:hint="eastAsia" w:ascii="宋体" w:hAnsi="宋体" w:eastAsia="宋体" w:cs="宋体"/>
                <w:bCs/>
                <w:i w:val="0"/>
                <w:iCs w:val="0"/>
                <w:color w:val="auto"/>
                <w:sz w:val="24"/>
                <w:szCs w:val="21"/>
                <w:u w:val="none"/>
                <w:lang w:val="en-US" w:eastAsia="zh-CN"/>
              </w:rPr>
              <w:t>④</w:t>
            </w:r>
            <w:r>
              <w:rPr>
                <w:rFonts w:hint="default" w:ascii="Times New Roman" w:hAnsi="Times New Roman" w:eastAsia="宋体" w:cs="宋体"/>
                <w:bCs/>
                <w:i w:val="0"/>
                <w:iCs w:val="0"/>
                <w:color w:val="auto"/>
                <w:sz w:val="24"/>
                <w:szCs w:val="21"/>
                <w:u w:val="none"/>
                <w:lang w:val="en-US" w:eastAsia="zh-CN"/>
              </w:rPr>
              <w:t>声屏障的存在使声波不能直达受声点，从而使受声点噪声降低。声屏障通常指墙、建筑物、土坡、树丛等。建议结合项目周边防护绿地，种植树木或加建围墙，以达到声屏障降噪的目的。通过合理的平面布置，并建设绿化隔离带，以降低噪声并美化环境</w:t>
            </w:r>
            <w:r>
              <w:rPr>
                <w:rFonts w:hint="eastAsia" w:ascii="Times New Roman" w:hAnsi="Times New Roman" w:eastAsia="宋体" w:cs="宋体"/>
                <w:bCs/>
                <w:i w:val="0"/>
                <w:iCs w:val="0"/>
                <w:color w:val="auto"/>
                <w:sz w:val="24"/>
                <w:szCs w:val="21"/>
                <w:u w:val="none"/>
                <w:lang w:val="en-US" w:eastAsia="zh-CN"/>
              </w:rPr>
              <w:t>。</w:t>
            </w:r>
          </w:p>
          <w:p>
            <w:pPr>
              <w:adjustRightInd w:val="0"/>
              <w:snapToGrid w:val="0"/>
              <w:jc w:val="center"/>
              <w:rPr>
                <w:rFonts w:hint="default" w:ascii="Times New Roman" w:hAnsi="Times New Roman" w:eastAsia="宋体" w:cs="Times New Roman"/>
                <w:b/>
                <w:color w:val="auto"/>
                <w:sz w:val="24"/>
                <w:szCs w:val="21"/>
                <w:lang w:val="en-US" w:eastAsia="zh-CN"/>
              </w:rPr>
            </w:pPr>
            <w:r>
              <w:rPr>
                <w:rFonts w:hint="default" w:ascii="Times New Roman" w:hAnsi="Times New Roman" w:eastAsia="宋体" w:cs="Times New Roman"/>
                <w:b/>
                <w:color w:val="auto"/>
                <w:sz w:val="24"/>
                <w:szCs w:val="21"/>
                <w:lang w:val="en-US" w:eastAsia="zh-CN"/>
              </w:rPr>
              <w:t>表</w:t>
            </w:r>
            <w:r>
              <w:rPr>
                <w:rFonts w:hint="eastAsia" w:ascii="Times New Roman" w:hAnsi="Times New Roman" w:eastAsia="宋体" w:cs="Times New Roman"/>
                <w:b/>
                <w:color w:val="auto"/>
                <w:sz w:val="24"/>
                <w:szCs w:val="21"/>
                <w:lang w:val="en-US" w:eastAsia="zh-CN"/>
              </w:rPr>
              <w:t>5-1</w:t>
            </w:r>
            <w:r>
              <w:rPr>
                <w:rFonts w:hint="default" w:ascii="Times New Roman" w:hAnsi="Times New Roman" w:eastAsia="宋体" w:cs="Times New Roman"/>
                <w:b/>
                <w:color w:val="auto"/>
                <w:sz w:val="24"/>
                <w:szCs w:val="21"/>
                <w:lang w:val="en-US" w:eastAsia="zh-CN"/>
              </w:rPr>
              <w:t xml:space="preserve">  </w:t>
            </w:r>
            <w:r>
              <w:rPr>
                <w:rFonts w:hint="eastAsia" w:ascii="Times New Roman" w:hAnsi="Times New Roman" w:eastAsia="宋体" w:cs="Times New Roman"/>
                <w:b/>
                <w:color w:val="auto"/>
                <w:sz w:val="24"/>
                <w:szCs w:val="21"/>
                <w:lang w:val="en-US" w:eastAsia="zh-CN"/>
              </w:rPr>
              <w:t>噪声防治措施一览表</w:t>
            </w:r>
          </w:p>
          <w:tbl>
            <w:tblPr>
              <w:tblStyle w:val="23"/>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11"/>
              <w:gridCol w:w="1644"/>
              <w:gridCol w:w="2142"/>
              <w:gridCol w:w="21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tcBorders>
                    <w:tl2br w:val="nil"/>
                    <w:tr2bl w:val="nil"/>
                  </w:tcBorders>
                  <w:noWrap w:val="0"/>
                  <w:vAlign w:val="center"/>
                </w:tcPr>
                <w:p>
                  <w:pPr>
                    <w:jc w:val="center"/>
                    <w:rPr>
                      <w:rFonts w:hint="eastAsia" w:ascii="Times New Roman" w:hAnsi="Times New Roman" w:eastAsia="宋体" w:cs="Times New Roman"/>
                      <w:b/>
                      <w:bCs/>
                      <w:color w:val="auto"/>
                      <w:szCs w:val="21"/>
                      <w:lang w:eastAsia="zh-CN"/>
                    </w:rPr>
                  </w:pPr>
                  <w:r>
                    <w:rPr>
                      <w:rFonts w:hint="eastAsia" w:ascii="Times New Roman" w:hAnsi="Times New Roman" w:eastAsia="宋体" w:cs="Times New Roman"/>
                      <w:b/>
                      <w:bCs/>
                      <w:color w:val="auto"/>
                      <w:szCs w:val="21"/>
                      <w:lang w:eastAsia="zh-CN"/>
                    </w:rPr>
                    <w:t>噪声源名称</w:t>
                  </w:r>
                </w:p>
              </w:tc>
              <w:tc>
                <w:tcPr>
                  <w:tcW w:w="1644"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源强值</w:t>
                  </w:r>
                </w:p>
              </w:tc>
              <w:tc>
                <w:tcPr>
                  <w:tcW w:w="2142"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备注</w:t>
                  </w:r>
                </w:p>
              </w:tc>
              <w:tc>
                <w:tcPr>
                  <w:tcW w:w="2140" w:type="dxa"/>
                  <w:tcBorders>
                    <w:tl2br w:val="nil"/>
                    <w:tr2bl w:val="nil"/>
                  </w:tcBorders>
                  <w:noWrap w:val="0"/>
                  <w:vAlign w:val="center"/>
                </w:tcPr>
                <w:p>
                  <w:pPr>
                    <w:jc w:val="center"/>
                    <w:rPr>
                      <w:rFonts w:hint="eastAsia" w:ascii="Times New Roman" w:hAnsi="Times New Roman" w:eastAsia="宋体" w:cs="Times New Roman"/>
                      <w:b/>
                      <w:bCs/>
                      <w:color w:val="auto"/>
                      <w:szCs w:val="21"/>
                      <w:lang w:eastAsia="zh-CN"/>
                    </w:rPr>
                  </w:pPr>
                  <w:r>
                    <w:rPr>
                      <w:rFonts w:hint="eastAsia" w:ascii="Times New Roman" w:hAnsi="Times New Roman" w:eastAsia="宋体" w:cs="Times New Roman"/>
                      <w:b/>
                      <w:bCs/>
                      <w:color w:val="auto"/>
                      <w:szCs w:val="21"/>
                      <w:lang w:eastAsia="zh-CN"/>
                    </w:rPr>
                    <w:t>处理后噪声值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小型汽车行驶</w:t>
                  </w: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怠速50～60</w:t>
                  </w:r>
                </w:p>
              </w:tc>
              <w:tc>
                <w:tcPr>
                  <w:tcW w:w="2142"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cs="Times New Roman"/>
                      <w:color w:val="auto"/>
                      <w:szCs w:val="21"/>
                    </w:rPr>
                    <w:t>采取禁鸣喇叭、控制进入车辆数量、控制行车路线</w:t>
                  </w:r>
                </w:p>
              </w:tc>
              <w:tc>
                <w:tcPr>
                  <w:tcW w:w="2140" w:type="dxa"/>
                  <w:tcBorders>
                    <w:tl2br w:val="nil"/>
                    <w:tr2bl w:val="nil"/>
                  </w:tcBorders>
                  <w:noWrap w:val="0"/>
                  <w:vAlign w:val="center"/>
                </w:tcPr>
                <w:p>
                  <w:pPr>
                    <w:spacing w:line="240" w:lineRule="atLeast"/>
                    <w:jc w:val="center"/>
                    <w:rPr>
                      <w:rFonts w:hint="eastAsia" w:ascii="Times New Roman" w:hAnsi="Times New Roman" w:eastAsia="等线" w:cs="Times New Roman"/>
                      <w:color w:val="auto"/>
                      <w:szCs w:val="21"/>
                      <w:lang w:val="en-US" w:eastAsia="zh-CN"/>
                    </w:rPr>
                  </w:pPr>
                  <w:r>
                    <w:rPr>
                      <w:rFonts w:hint="default" w:ascii="Times New Roman" w:hAnsi="Times New Roman" w:cs="Times New Roman"/>
                      <w:color w:val="auto"/>
                      <w:szCs w:val="21"/>
                    </w:rPr>
                    <w:t>＜</w:t>
                  </w:r>
                  <w:r>
                    <w:rPr>
                      <w:rFonts w:hint="eastAsia" w:ascii="Times New Roman" w:hAnsi="Times New Roman" w:cs="Times New Roman"/>
                      <w:color w:val="auto"/>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正常60～70</w:t>
                  </w:r>
                </w:p>
              </w:tc>
              <w:tc>
                <w:tcPr>
                  <w:tcW w:w="214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140" w:type="dxa"/>
                  <w:tcBorders>
                    <w:tl2br w:val="nil"/>
                    <w:tr2bl w:val="nil"/>
                  </w:tcBorders>
                  <w:noWrap w:val="0"/>
                  <w:vAlign w:val="center"/>
                </w:tcPr>
                <w:p>
                  <w:pPr>
                    <w:spacing w:line="240" w:lineRule="atLeast"/>
                    <w:jc w:val="center"/>
                    <w:rPr>
                      <w:rFonts w:hint="eastAsia" w:ascii="Times New Roman" w:hAnsi="Times New Roman" w:eastAsia="等线" w:cs="Times New Roman"/>
                      <w:color w:val="auto"/>
                      <w:szCs w:val="21"/>
                      <w:lang w:val="en-US" w:eastAsia="zh-CN"/>
                    </w:rPr>
                  </w:pPr>
                  <w:r>
                    <w:rPr>
                      <w:rFonts w:hint="default" w:ascii="Times New Roman" w:hAnsi="Times New Roman" w:cs="Times New Roman"/>
                      <w:color w:val="auto"/>
                      <w:szCs w:val="21"/>
                    </w:rPr>
                    <w:t>＜</w:t>
                  </w:r>
                  <w:r>
                    <w:rPr>
                      <w:rFonts w:hint="eastAsia" w:ascii="Times New Roman" w:hAnsi="Times New Roman" w:cs="Times New Roman"/>
                      <w:color w:val="auto"/>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highlight w:val="none"/>
                    </w:rPr>
                    <w:t>鸣笛</w:t>
                  </w:r>
                  <w:r>
                    <w:rPr>
                      <w:rFonts w:hint="default" w:ascii="Times New Roman" w:hAnsi="Times New Roman" w:eastAsia="宋体" w:cs="Times New Roman"/>
                      <w:color w:val="auto"/>
                      <w:szCs w:val="21"/>
                    </w:rPr>
                    <w:t>70～75</w:t>
                  </w:r>
                </w:p>
              </w:tc>
              <w:tc>
                <w:tcPr>
                  <w:tcW w:w="214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140" w:type="dxa"/>
                  <w:tcBorders>
                    <w:tl2br w:val="nil"/>
                    <w:tr2bl w:val="nil"/>
                  </w:tcBorders>
                  <w:noWrap w:val="0"/>
                  <w:vAlign w:val="center"/>
                </w:tcPr>
                <w:p>
                  <w:pPr>
                    <w:spacing w:line="240" w:lineRule="atLeast"/>
                    <w:jc w:val="center"/>
                    <w:rPr>
                      <w:rFonts w:hint="eastAsia" w:ascii="Times New Roman" w:hAnsi="Times New Roman" w:eastAsia="等线" w:cs="Times New Roman"/>
                      <w:color w:val="auto"/>
                      <w:szCs w:val="21"/>
                      <w:lang w:val="en-US" w:eastAsia="zh-CN"/>
                    </w:rPr>
                  </w:pPr>
                  <w:r>
                    <w:rPr>
                      <w:rFonts w:hint="default" w:ascii="Times New Roman" w:hAnsi="Times New Roman" w:cs="Times New Roman"/>
                      <w:color w:val="auto"/>
                      <w:szCs w:val="21"/>
                    </w:rPr>
                    <w:t>＜</w:t>
                  </w:r>
                  <w:r>
                    <w:rPr>
                      <w:rFonts w:hint="eastAsia" w:ascii="Times New Roman" w:hAnsi="Times New Roman" w:cs="Times New Roman"/>
                      <w:color w:val="auto"/>
                      <w:szCs w:val="21"/>
                      <w:lang w:val="en-US" w:eastAsia="zh-CN"/>
                    </w:rPr>
                    <w:t>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配电房</w:t>
                  </w: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70～80</w:t>
                  </w:r>
                </w:p>
              </w:tc>
              <w:tc>
                <w:tcPr>
                  <w:tcW w:w="2142" w:type="dxa"/>
                  <w:vMerge w:val="restart"/>
                  <w:tcBorders>
                    <w:tl2br w:val="nil"/>
                    <w:tr2bl w:val="nil"/>
                  </w:tcBorders>
                  <w:noWrap w:val="0"/>
                  <w:vAlign w:val="center"/>
                </w:tcPr>
                <w:p>
                  <w:pPr>
                    <w:spacing w:line="240" w:lineRule="atLeast"/>
                    <w:jc w:val="center"/>
                    <w:rPr>
                      <w:rFonts w:hint="eastAsia" w:ascii="Times New Roman" w:hAnsi="Times New Roman" w:eastAsia="等线" w:cs="Times New Roman"/>
                      <w:color w:val="auto"/>
                      <w:szCs w:val="21"/>
                      <w:lang w:eastAsia="zh-CN"/>
                    </w:rPr>
                  </w:pPr>
                  <w:r>
                    <w:rPr>
                      <w:rFonts w:hint="default" w:ascii="Times New Roman" w:hAnsi="Times New Roman" w:cs="Times New Roman"/>
                      <w:color w:val="auto"/>
                      <w:szCs w:val="21"/>
                    </w:rPr>
                    <w:t>隔声、减振、消声措施，选用低噪声设备</w:t>
                  </w:r>
                  <w:r>
                    <w:rPr>
                      <w:rFonts w:hint="eastAsia" w:ascii="Times New Roman" w:hAnsi="Times New Roman" w:cs="Times New Roman"/>
                      <w:color w:val="auto"/>
                      <w:szCs w:val="21"/>
                      <w:lang w:eastAsia="zh-CN"/>
                    </w:rPr>
                    <w:t>、尽量室内安放</w:t>
                  </w:r>
                </w:p>
              </w:tc>
              <w:tc>
                <w:tcPr>
                  <w:tcW w:w="2140" w:type="dxa"/>
                  <w:tcBorders>
                    <w:tl2br w:val="nil"/>
                    <w:tr2bl w:val="nil"/>
                  </w:tcBorders>
                  <w:noWrap w:val="0"/>
                  <w:vAlign w:val="center"/>
                </w:tcPr>
                <w:p>
                  <w:pPr>
                    <w:spacing w:line="240" w:lineRule="atLeast"/>
                    <w:jc w:val="center"/>
                    <w:rPr>
                      <w:rFonts w:hint="eastAsia" w:ascii="Times New Roman" w:hAnsi="Times New Roman" w:eastAsia="等线" w:cs="Times New Roman"/>
                      <w:color w:val="auto"/>
                      <w:szCs w:val="21"/>
                      <w:lang w:val="en-US" w:eastAsia="zh-CN"/>
                    </w:rPr>
                  </w:pPr>
                  <w:r>
                    <w:rPr>
                      <w:rFonts w:hint="default" w:ascii="Times New Roman" w:hAnsi="Times New Roman" w:cs="Times New Roman"/>
                      <w:color w:val="auto"/>
                      <w:szCs w:val="21"/>
                    </w:rPr>
                    <w:t>＜</w:t>
                  </w:r>
                  <w:r>
                    <w:rPr>
                      <w:rFonts w:hint="eastAsia" w:ascii="Times New Roman" w:hAnsi="Times New Roman" w:cs="Times New Roman"/>
                      <w:color w:val="auto"/>
                      <w:szCs w:val="21"/>
                      <w:lang w:val="en-US" w:eastAsia="zh-CN"/>
                    </w:rPr>
                    <w:t>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电梯机组</w:t>
                  </w: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75～80</w:t>
                  </w:r>
                </w:p>
              </w:tc>
              <w:tc>
                <w:tcPr>
                  <w:tcW w:w="214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140"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cs="Times New Roman"/>
                      <w:color w:val="auto"/>
                      <w:szCs w:val="21"/>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社会噪声</w:t>
                  </w: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85~97</w:t>
                  </w:r>
                </w:p>
              </w:tc>
              <w:tc>
                <w:tcPr>
                  <w:tcW w:w="214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140" w:type="dxa"/>
                  <w:tcBorders>
                    <w:tl2br w:val="nil"/>
                    <w:tr2bl w:val="nil"/>
                  </w:tcBorders>
                  <w:noWrap w:val="0"/>
                  <w:vAlign w:val="center"/>
                </w:tcPr>
                <w:p>
                  <w:pPr>
                    <w:spacing w:line="240" w:lineRule="atLeast"/>
                    <w:jc w:val="center"/>
                    <w:rPr>
                      <w:rFonts w:hint="default" w:ascii="Times New Roman" w:hAnsi="Times New Roman" w:eastAsia="宋体" w:cs="Times New Roman"/>
                      <w:color w:val="auto"/>
                      <w:szCs w:val="21"/>
                    </w:rPr>
                  </w:pPr>
                  <w:r>
                    <w:rPr>
                      <w:rFonts w:hint="default" w:ascii="Times New Roman" w:hAnsi="Times New Roman" w:cs="Times New Roman"/>
                      <w:color w:val="auto"/>
                      <w:szCs w:val="21"/>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eastAsia" w:ascii="Times New Roman" w:hAnsi="Times New Roman" w:eastAsia="宋体" w:cs="Times New Roman"/>
                      <w:i w:val="0"/>
                      <w:color w:val="000000"/>
                      <w:kern w:val="0"/>
                      <w:sz w:val="21"/>
                      <w:szCs w:val="21"/>
                      <w:u w:val="none"/>
                      <w:lang w:val="en-US" w:eastAsia="zh-CN" w:bidi="ar"/>
                    </w:rPr>
                    <w:t>提升</w:t>
                  </w:r>
                  <w:r>
                    <w:rPr>
                      <w:rFonts w:hint="default" w:ascii="Times New Roman" w:hAnsi="Times New Roman" w:eastAsia="宋体" w:cs="Times New Roman"/>
                      <w:i w:val="0"/>
                      <w:color w:val="000000"/>
                      <w:kern w:val="0"/>
                      <w:sz w:val="21"/>
                      <w:szCs w:val="21"/>
                      <w:u w:val="none"/>
                      <w:lang w:val="en-US" w:eastAsia="zh-CN" w:bidi="ar"/>
                    </w:rPr>
                    <w:t>泵</w:t>
                  </w:r>
                </w:p>
              </w:tc>
              <w:tc>
                <w:tcPr>
                  <w:tcW w:w="1644" w:type="dxa"/>
                  <w:tcBorders>
                    <w:tl2br w:val="nil"/>
                    <w:tr2bl w:val="nil"/>
                  </w:tcBorders>
                  <w:shd w:val="clear" w:color="auto" w:fill="auto"/>
                  <w:noWrap w:val="0"/>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75～80</w:t>
                  </w:r>
                </w:p>
              </w:tc>
              <w:tc>
                <w:tcPr>
                  <w:tcW w:w="2142" w:type="dxa"/>
                  <w:tcBorders>
                    <w:tl2br w:val="nil"/>
                    <w:tr2bl w:val="nil"/>
                  </w:tcBorders>
                  <w:shd w:val="clear" w:color="auto" w:fill="auto"/>
                  <w:noWrap w:val="0"/>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bCs/>
                      <w:color w:val="000000"/>
                      <w:sz w:val="21"/>
                      <w:szCs w:val="21"/>
                      <w:highlight w:val="none"/>
                      <w:u w:val="none" w:color="auto"/>
                    </w:rPr>
                    <w:t>隔声、减振</w:t>
                  </w:r>
                  <w:r>
                    <w:rPr>
                      <w:rFonts w:hint="default" w:ascii="Times New Roman" w:hAnsi="Times New Roman" w:eastAsia="宋体" w:cs="Times New Roman"/>
                      <w:b w:val="0"/>
                      <w:bCs/>
                      <w:color w:val="000000"/>
                      <w:sz w:val="21"/>
                      <w:szCs w:val="21"/>
                      <w:highlight w:val="none"/>
                      <w:u w:val="none" w:color="auto"/>
                      <w:lang w:eastAsia="zh-CN"/>
                    </w:rPr>
                    <w:t>；地埋式安装</w:t>
                  </w:r>
                </w:p>
              </w:tc>
              <w:tc>
                <w:tcPr>
                  <w:tcW w:w="2140"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rPr>
                    <w:t>＜</w:t>
                  </w:r>
                  <w:r>
                    <w:rPr>
                      <w:rFonts w:hint="eastAsia" w:ascii="Times New Roman" w:hAnsi="Times New Roman" w:cs="Times New Roman"/>
                      <w:color w:val="auto"/>
                      <w:szCs w:val="21"/>
                      <w:lang w:val="en-US" w:eastAsia="zh-CN"/>
                    </w:rPr>
                    <w:t>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000000"/>
                      <w:sz w:val="21"/>
                      <w:szCs w:val="21"/>
                      <w:lang w:val="en-US" w:eastAsia="zh-CN"/>
                    </w:rPr>
                    <w:t>鼓风机</w:t>
                  </w:r>
                </w:p>
              </w:tc>
              <w:tc>
                <w:tcPr>
                  <w:tcW w:w="1644" w:type="dxa"/>
                  <w:tcBorders>
                    <w:tl2br w:val="nil"/>
                    <w:tr2bl w:val="nil"/>
                  </w:tcBorders>
                  <w:shd w:val="clear" w:color="auto" w:fill="auto"/>
                  <w:noWrap w:val="0"/>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85~</w:t>
                  </w:r>
                  <w:r>
                    <w:rPr>
                      <w:rFonts w:hint="eastAsia" w:ascii="Times New Roman" w:hAnsi="Times New Roman" w:eastAsia="宋体" w:cs="Times New Roman"/>
                      <w:color w:val="auto"/>
                      <w:szCs w:val="21"/>
                      <w:lang w:val="en-US" w:eastAsia="zh-CN"/>
                    </w:rPr>
                    <w:t>90</w:t>
                  </w:r>
                </w:p>
              </w:tc>
              <w:tc>
                <w:tcPr>
                  <w:tcW w:w="2142" w:type="dxa"/>
                  <w:tcBorders>
                    <w:tl2br w:val="nil"/>
                    <w:tr2bl w:val="nil"/>
                  </w:tcBorders>
                  <w:shd w:val="clear" w:color="auto" w:fill="auto"/>
                  <w:noWrap w:val="0"/>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bCs/>
                      <w:color w:val="000000"/>
                      <w:sz w:val="21"/>
                      <w:szCs w:val="21"/>
                      <w:highlight w:val="none"/>
                      <w:u w:val="none" w:color="auto"/>
                    </w:rPr>
                    <w:t>隔声、减振</w:t>
                  </w:r>
                </w:p>
              </w:tc>
              <w:tc>
                <w:tcPr>
                  <w:tcW w:w="2140" w:type="dxa"/>
                  <w:tcBorders>
                    <w:tl2br w:val="nil"/>
                    <w:tr2bl w:val="nil"/>
                  </w:tcBorders>
                  <w:noWrap w:val="0"/>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eastAsia" w:cs="Times New Roman"/>
                      <w:color w:val="auto"/>
                      <w:szCs w:val="21"/>
                      <w:lang w:val="en-US" w:eastAsia="zh-CN"/>
                    </w:rPr>
                    <w:t>污泥提升泵</w:t>
                  </w:r>
                </w:p>
              </w:tc>
              <w:tc>
                <w:tcPr>
                  <w:tcW w:w="1644" w:type="dxa"/>
                  <w:tcBorders>
                    <w:tl2br w:val="nil"/>
                    <w:tr2bl w:val="nil"/>
                  </w:tcBorders>
                  <w:shd w:val="clear" w:color="auto" w:fill="auto"/>
                  <w:noWrap w:val="0"/>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75～80</w:t>
                  </w:r>
                </w:p>
              </w:tc>
              <w:tc>
                <w:tcPr>
                  <w:tcW w:w="2142" w:type="dxa"/>
                  <w:tcBorders>
                    <w:tl2br w:val="nil"/>
                    <w:tr2bl w:val="nil"/>
                  </w:tcBorders>
                  <w:shd w:val="clear" w:color="auto" w:fill="auto"/>
                  <w:noWrap w:val="0"/>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bCs/>
                      <w:color w:val="000000"/>
                      <w:sz w:val="21"/>
                      <w:szCs w:val="21"/>
                      <w:highlight w:val="none"/>
                      <w:u w:val="none" w:color="auto"/>
                    </w:rPr>
                    <w:t>隔声、减振</w:t>
                  </w:r>
                  <w:r>
                    <w:rPr>
                      <w:rFonts w:hint="default" w:ascii="Times New Roman" w:hAnsi="Times New Roman" w:eastAsia="宋体" w:cs="Times New Roman"/>
                      <w:b w:val="0"/>
                      <w:bCs/>
                      <w:color w:val="000000"/>
                      <w:sz w:val="21"/>
                      <w:szCs w:val="21"/>
                      <w:highlight w:val="none"/>
                      <w:u w:val="none" w:color="auto"/>
                      <w:lang w:eastAsia="zh-CN"/>
                    </w:rPr>
                    <w:t>；地埋式安装</w:t>
                  </w:r>
                </w:p>
              </w:tc>
              <w:tc>
                <w:tcPr>
                  <w:tcW w:w="2140" w:type="dxa"/>
                  <w:tcBorders>
                    <w:tl2br w:val="nil"/>
                    <w:tr2bl w:val="nil"/>
                  </w:tcBorders>
                  <w:noWrap w:val="0"/>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＜60</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left"/>
              <w:textAlignment w:val="auto"/>
              <w:rPr>
                <w:rFonts w:hint="default" w:eastAsia="宋体" w:cs="宋体"/>
                <w:b/>
                <w:color w:val="auto"/>
                <w:spacing w:val="-10"/>
                <w:sz w:val="24"/>
                <w:szCs w:val="21"/>
                <w:lang w:val="en-US" w:eastAsia="zh-CN"/>
              </w:rPr>
            </w:pPr>
            <w:r>
              <w:rPr>
                <w:rFonts w:hint="eastAsia" w:cs="宋体"/>
                <w:b/>
                <w:color w:val="auto"/>
                <w:spacing w:val="-10"/>
                <w:sz w:val="24"/>
                <w:szCs w:val="21"/>
                <w:lang w:val="en-US" w:eastAsia="zh-CN"/>
              </w:rPr>
              <w:t>5、</w:t>
            </w:r>
            <w:r>
              <w:rPr>
                <w:rFonts w:hint="eastAsia" w:cs="宋体"/>
                <w:b/>
                <w:color w:val="auto"/>
                <w:spacing w:val="-10"/>
                <w:sz w:val="24"/>
                <w:szCs w:val="21"/>
              </w:rPr>
              <w:t>固体废弃物</w:t>
            </w:r>
            <w:r>
              <w:rPr>
                <w:rFonts w:hint="eastAsia" w:cs="宋体"/>
                <w:b/>
                <w:color w:val="auto"/>
                <w:spacing w:val="-10"/>
                <w:sz w:val="24"/>
                <w:szCs w:val="21"/>
                <w:lang w:val="en-US" w:eastAsia="zh-CN"/>
              </w:rPr>
              <w:t>环保措施</w:t>
            </w:r>
          </w:p>
          <w:p>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生活垃圾由</w:t>
            </w:r>
            <w:r>
              <w:rPr>
                <w:rFonts w:hint="eastAsia" w:cs="Times New Roman"/>
                <w:color w:val="auto"/>
                <w:sz w:val="24"/>
                <w:highlight w:val="none"/>
                <w:lang w:val="en-US" w:eastAsia="zh-CN"/>
              </w:rPr>
              <w:t>安置区内分散布置的</w:t>
            </w:r>
            <w:r>
              <w:rPr>
                <w:rFonts w:hint="default" w:ascii="Times New Roman" w:hAnsi="Times New Roman" w:eastAsia="宋体" w:cs="Times New Roman"/>
                <w:color w:val="auto"/>
                <w:sz w:val="24"/>
                <w:highlight w:val="none"/>
              </w:rPr>
              <w:t>垃圾桶收集，</w:t>
            </w:r>
            <w:r>
              <w:rPr>
                <w:rFonts w:hint="eastAsia" w:cs="Times New Roman"/>
                <w:color w:val="auto"/>
                <w:sz w:val="24"/>
                <w:highlight w:val="none"/>
                <w:lang w:val="en-US" w:eastAsia="zh-CN"/>
              </w:rPr>
              <w:t>之后由安置区内</w:t>
            </w:r>
            <w:r>
              <w:rPr>
                <w:rFonts w:hint="default" w:ascii="Times New Roman" w:hAnsi="Times New Roman" w:eastAsia="宋体" w:cs="Times New Roman"/>
                <w:color w:val="auto"/>
                <w:sz w:val="24"/>
                <w:highlight w:val="none"/>
              </w:rPr>
              <w:t>环卫人员送至</w:t>
            </w:r>
            <w:r>
              <w:rPr>
                <w:rFonts w:hint="eastAsia" w:cs="Times New Roman"/>
                <w:color w:val="auto"/>
                <w:sz w:val="24"/>
                <w:highlight w:val="none"/>
                <w:lang w:val="en-US" w:eastAsia="zh-CN"/>
              </w:rPr>
              <w:t>附</w:t>
            </w:r>
            <w:r>
              <w:rPr>
                <w:rFonts w:hint="eastAsia" w:ascii="Times New Roman" w:hAnsi="Times New Roman" w:eastAsia="宋体" w:cs="Times New Roman"/>
                <w:color w:val="auto"/>
                <w:sz w:val="24"/>
                <w:highlight w:val="none"/>
                <w:lang w:val="en-US" w:eastAsia="zh-CN"/>
              </w:rPr>
              <w:t>件</w:t>
            </w:r>
            <w:r>
              <w:rPr>
                <w:rFonts w:hint="default" w:ascii="Times New Roman" w:hAnsi="Times New Roman" w:eastAsia="宋体" w:cs="Times New Roman"/>
                <w:color w:val="auto"/>
                <w:sz w:val="24"/>
                <w:highlight w:val="none"/>
              </w:rPr>
              <w:t>垃圾站压缩处理，</w:t>
            </w:r>
            <w:r>
              <w:rPr>
                <w:rFonts w:hint="eastAsia" w:ascii="Times New Roman" w:hAnsi="Times New Roman" w:eastAsia="宋体" w:cs="Times New Roman"/>
                <w:color w:val="auto"/>
                <w:sz w:val="24"/>
                <w:highlight w:val="none"/>
                <w:lang w:val="en-US" w:eastAsia="zh-CN"/>
              </w:rPr>
              <w:t>之后再</w:t>
            </w:r>
            <w:r>
              <w:rPr>
                <w:rFonts w:hint="default" w:ascii="Times New Roman" w:hAnsi="Times New Roman" w:eastAsia="宋体" w:cs="Times New Roman"/>
                <w:color w:val="auto"/>
                <w:sz w:val="24"/>
                <w:highlight w:val="none"/>
              </w:rPr>
              <w:t>由环卫部门统一收集外运处理，对周围环境影响很小</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配套污水处理厂产生的格栅渣及污泥等一般固废可交由市政环卫部门有效处置；废</w:t>
            </w:r>
            <w:r>
              <w:rPr>
                <w:rFonts w:hint="default" w:ascii="Times New Roman" w:hAnsi="Times New Roman" w:eastAsia="宋体" w:cs="Times New Roman"/>
                <w:color w:val="auto"/>
                <w:sz w:val="24"/>
                <w:highlight w:val="none"/>
                <w:lang w:val="en-US" w:eastAsia="zh-CN"/>
              </w:rPr>
              <w:t>MBR</w:t>
            </w:r>
            <w:r>
              <w:rPr>
                <w:rFonts w:hint="eastAsia" w:ascii="Times New Roman" w:hAnsi="Times New Roman" w:eastAsia="宋体" w:cs="Times New Roman"/>
                <w:color w:val="auto"/>
                <w:sz w:val="24"/>
                <w:highlight w:val="none"/>
                <w:lang w:val="en-US" w:eastAsia="zh-CN"/>
              </w:rPr>
              <w:t>由厂商更换带走；机修含油废物、在线监测废液、废紫外灯管等危险废物经收集后暂存于</w:t>
            </w:r>
            <w:r>
              <w:rPr>
                <w:rFonts w:hint="default" w:ascii="Times New Roman" w:hAnsi="Times New Roman" w:eastAsia="宋体" w:cs="Times New Roman"/>
                <w:color w:val="auto"/>
                <w:sz w:val="24"/>
                <w:highlight w:val="none"/>
                <w:lang w:val="en-US" w:eastAsia="zh-CN"/>
              </w:rPr>
              <w:t>危废暂存间</w:t>
            </w:r>
            <w:r>
              <w:rPr>
                <w:rFonts w:hint="eastAsia" w:ascii="Times New Roman" w:hAnsi="Times New Roman" w:eastAsia="宋体" w:cs="Times New Roman"/>
                <w:color w:val="auto"/>
                <w:sz w:val="24"/>
                <w:highlight w:val="none"/>
                <w:lang w:val="en-US" w:eastAsia="zh-CN"/>
              </w:rPr>
              <w:t>内，之后交由有资质单位处置</w:t>
            </w:r>
            <w:r>
              <w:rPr>
                <w:rFonts w:hint="default" w:ascii="Times New Roman" w:hAnsi="Times New Roman" w:eastAsia="宋体" w:cs="Times New Roman"/>
                <w:color w:val="auto"/>
                <w:sz w:val="24"/>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left"/>
              <w:textAlignment w:val="auto"/>
              <w:rPr>
                <w:rFonts w:hint="default" w:ascii="Times New Roman" w:hAnsi="Times New Roman" w:eastAsia="宋体" w:cs="宋体"/>
                <w:b/>
                <w:color w:val="auto"/>
                <w:spacing w:val="-10"/>
                <w:sz w:val="24"/>
                <w:szCs w:val="21"/>
                <w:lang w:val="en-US" w:eastAsia="zh-CN"/>
              </w:rPr>
            </w:pPr>
            <w:r>
              <w:rPr>
                <w:rFonts w:hint="eastAsia" w:ascii="Times New Roman" w:hAnsi="Times New Roman" w:eastAsia="宋体" w:cs="宋体"/>
                <w:b/>
                <w:color w:val="auto"/>
                <w:spacing w:val="-10"/>
                <w:sz w:val="24"/>
                <w:szCs w:val="21"/>
                <w:lang w:val="en-US" w:eastAsia="zh-CN"/>
              </w:rPr>
              <w:t>6、</w:t>
            </w:r>
            <w:r>
              <w:rPr>
                <w:rFonts w:hint="eastAsia" w:ascii="Times New Roman" w:hAnsi="Times New Roman" w:eastAsia="宋体" w:cs="宋体"/>
                <w:b/>
                <w:color w:val="auto"/>
                <w:spacing w:val="-10"/>
                <w:sz w:val="24"/>
                <w:szCs w:val="21"/>
              </w:rPr>
              <w:t>地下水、土壤</w:t>
            </w:r>
            <w:r>
              <w:rPr>
                <w:rFonts w:hint="eastAsia" w:ascii="Times New Roman" w:hAnsi="Times New Roman" w:eastAsia="宋体" w:cs="宋体"/>
                <w:b/>
                <w:color w:val="auto"/>
                <w:spacing w:val="-10"/>
                <w:sz w:val="24"/>
                <w:szCs w:val="21"/>
                <w:lang w:val="en-US" w:eastAsia="zh-CN"/>
              </w:rPr>
              <w:t>环保措施</w:t>
            </w:r>
          </w:p>
          <w:p>
            <w:pPr>
              <w:pStyle w:val="96"/>
              <w:spacing w:line="360" w:lineRule="auto"/>
              <w:ind w:left="0" w:firstLine="470" w:firstLineChars="196"/>
              <w:jc w:val="both"/>
              <w:rPr>
                <w:bCs/>
                <w:color w:val="auto"/>
              </w:rPr>
            </w:pPr>
            <w:r>
              <w:rPr>
                <w:rFonts w:hint="eastAsia"/>
                <w:bCs/>
                <w:color w:val="auto"/>
              </w:rPr>
              <w:t>（1）</w:t>
            </w:r>
            <w:r>
              <w:rPr>
                <w:bCs/>
                <w:color w:val="auto"/>
              </w:rPr>
              <w:t>源头控制</w:t>
            </w:r>
          </w:p>
          <w:p>
            <w:pPr>
              <w:pStyle w:val="96"/>
              <w:spacing w:line="360" w:lineRule="auto"/>
              <w:ind w:left="0" w:firstLine="470" w:firstLineChars="196"/>
              <w:jc w:val="both"/>
              <w:rPr>
                <w:bCs/>
                <w:color w:val="auto"/>
              </w:rPr>
            </w:pPr>
            <w:r>
              <w:rPr>
                <w:bCs/>
                <w:color w:val="auto"/>
              </w:rPr>
              <w:t>主要包括在管道、设备、污水储存及处理构筑物采取相应措施，防止和降低污染物跑、冒、滴、漏，将污染物泄漏的环境风险事故降到最低程度。</w:t>
            </w:r>
          </w:p>
          <w:p>
            <w:pPr>
              <w:spacing w:line="360" w:lineRule="auto"/>
              <w:ind w:firstLine="480" w:firstLineChars="200"/>
              <w:rPr>
                <w:rFonts w:eastAsia="宋"/>
                <w:color w:val="auto"/>
                <w:sz w:val="24"/>
              </w:rPr>
            </w:pPr>
            <w:r>
              <w:rPr>
                <w:rFonts w:hint="eastAsia" w:eastAsia="宋"/>
                <w:color w:val="auto"/>
                <w:sz w:val="24"/>
              </w:rPr>
              <w:t>（2）分区防控</w:t>
            </w:r>
          </w:p>
          <w:p>
            <w:pPr>
              <w:pStyle w:val="96"/>
              <w:spacing w:line="360" w:lineRule="auto"/>
              <w:ind w:left="0" w:right="0" w:firstLine="480" w:firstLineChars="200"/>
              <w:jc w:val="both"/>
              <w:rPr>
                <w:bCs/>
                <w:color w:val="auto"/>
              </w:rPr>
            </w:pPr>
            <w:r>
              <w:rPr>
                <w:bCs/>
                <w:color w:val="auto"/>
              </w:rPr>
              <w:t>项目在实施过程中对污水处理各池体、配套设施等地面均采取防渗、防水处理等措施，同时对污水管道及尾水排放管道定期巡检，杜绝地下水污染</w:t>
            </w:r>
            <w:r>
              <w:rPr>
                <w:rFonts w:hint="eastAsia"/>
                <w:bCs/>
                <w:color w:val="auto"/>
                <w:lang w:eastAsia="zh-CN"/>
              </w:rPr>
              <w:t>隐患</w:t>
            </w:r>
            <w:r>
              <w:rPr>
                <w:bCs/>
                <w:color w:val="auto"/>
              </w:rPr>
              <w:t>。</w:t>
            </w:r>
          </w:p>
          <w:p>
            <w:pPr>
              <w:spacing w:line="360" w:lineRule="auto"/>
              <w:ind w:firstLine="480" w:firstLineChars="200"/>
              <w:rPr>
                <w:rFonts w:eastAsia="宋"/>
                <w:bCs/>
                <w:color w:val="auto"/>
                <w:sz w:val="24"/>
              </w:rPr>
            </w:pPr>
            <w:r>
              <w:rPr>
                <w:rFonts w:eastAsia="宋"/>
                <w:color w:val="auto"/>
                <w:sz w:val="24"/>
              </w:rPr>
              <w:t>将</w:t>
            </w:r>
            <w:r>
              <w:rPr>
                <w:rFonts w:hint="eastAsia" w:eastAsia="宋"/>
                <w:color w:val="auto"/>
                <w:sz w:val="24"/>
              </w:rPr>
              <w:t>各厂区</w:t>
            </w:r>
            <w:r>
              <w:rPr>
                <w:rFonts w:eastAsia="宋"/>
                <w:color w:val="auto"/>
                <w:sz w:val="24"/>
              </w:rPr>
              <w:t>构筑物划分为重点防渗区、简单防渗区。</w:t>
            </w:r>
          </w:p>
          <w:p>
            <w:pPr>
              <w:spacing w:line="360" w:lineRule="auto"/>
              <w:ind w:firstLine="480" w:firstLineChars="200"/>
              <w:rPr>
                <w:rFonts w:hint="eastAsia" w:cs="宋体"/>
                <w:b/>
                <w:color w:val="auto"/>
                <w:spacing w:val="-10"/>
                <w:sz w:val="24"/>
                <w:szCs w:val="21"/>
                <w:lang w:val="en-US" w:eastAsia="zh-CN"/>
              </w:rPr>
            </w:pPr>
            <w:r>
              <w:rPr>
                <w:rFonts w:eastAsia="宋"/>
                <w:color w:val="auto"/>
                <w:sz w:val="24"/>
              </w:rPr>
              <w:t>重点防渗区为：项目涉及的各种池体（格栅池、</w:t>
            </w:r>
            <w:r>
              <w:rPr>
                <w:rFonts w:hint="eastAsia" w:eastAsia="宋"/>
                <w:color w:val="auto"/>
                <w:sz w:val="24"/>
              </w:rPr>
              <w:t>缺氧池、厌氧池、</w:t>
            </w:r>
            <w:r>
              <w:rPr>
                <w:rFonts w:hint="eastAsia" w:eastAsia="宋"/>
                <w:color w:val="auto"/>
                <w:sz w:val="24"/>
                <w:lang w:val="en-US" w:eastAsia="zh-CN"/>
              </w:rPr>
              <w:t>好氧池</w:t>
            </w:r>
            <w:r>
              <w:rPr>
                <w:rFonts w:eastAsia="宋"/>
                <w:color w:val="auto"/>
                <w:sz w:val="24"/>
              </w:rPr>
              <w:t>、</w:t>
            </w:r>
            <w:r>
              <w:rPr>
                <w:rFonts w:hint="eastAsia" w:eastAsia="宋"/>
                <w:color w:val="auto"/>
                <w:sz w:val="24"/>
              </w:rPr>
              <w:t>污泥池</w:t>
            </w:r>
            <w:r>
              <w:rPr>
                <w:rFonts w:eastAsia="宋"/>
                <w:color w:val="auto"/>
                <w:sz w:val="24"/>
              </w:rPr>
              <w:t>）</w:t>
            </w:r>
            <w:r>
              <w:rPr>
                <w:rFonts w:hint="eastAsia" w:eastAsia="宋"/>
                <w:color w:val="auto"/>
                <w:sz w:val="24"/>
              </w:rPr>
              <w:t>、</w:t>
            </w:r>
            <w:r>
              <w:rPr>
                <w:rFonts w:eastAsia="宋"/>
                <w:color w:val="auto"/>
                <w:sz w:val="24"/>
              </w:rPr>
              <w:t>危废暂存间等；</w:t>
            </w:r>
            <w:r>
              <w:rPr>
                <w:rFonts w:hint="eastAsia" w:eastAsia="宋"/>
                <w:color w:val="auto"/>
                <w:sz w:val="24"/>
              </w:rPr>
              <w:t>一般防渗区为：机修设备间、除臭设施等；</w:t>
            </w:r>
            <w:r>
              <w:rPr>
                <w:rFonts w:eastAsia="宋"/>
                <w:color w:val="auto"/>
                <w:sz w:val="24"/>
              </w:rPr>
              <w:t>简单防渗区为：综合用房以及厂区道路。</w:t>
            </w:r>
          </w:p>
          <w:p>
            <w:pPr>
              <w:numPr>
                <w:ilvl w:val="0"/>
                <w:numId w:val="0"/>
              </w:numPr>
              <w:adjustRightInd w:val="0"/>
              <w:snapToGrid w:val="0"/>
              <w:spacing w:line="360" w:lineRule="auto"/>
              <w:jc w:val="left"/>
              <w:rPr>
                <w:rFonts w:cs="宋体"/>
                <w:b/>
                <w:color w:val="auto"/>
                <w:spacing w:val="-10"/>
                <w:sz w:val="24"/>
                <w:szCs w:val="21"/>
              </w:rPr>
            </w:pPr>
            <w:r>
              <w:rPr>
                <w:rFonts w:hint="eastAsia" w:cs="宋体"/>
                <w:b/>
                <w:color w:val="auto"/>
                <w:spacing w:val="-10"/>
                <w:sz w:val="24"/>
                <w:szCs w:val="21"/>
                <w:lang w:val="en-US" w:eastAsia="zh-CN"/>
              </w:rPr>
              <w:t>7、</w:t>
            </w:r>
            <w:r>
              <w:rPr>
                <w:rFonts w:hint="eastAsia" w:cs="宋体"/>
                <w:b/>
                <w:color w:val="auto"/>
                <w:spacing w:val="-10"/>
                <w:sz w:val="24"/>
                <w:szCs w:val="21"/>
              </w:rPr>
              <w:t>环境风险</w:t>
            </w:r>
          </w:p>
          <w:p>
            <w:pPr>
              <w:numPr>
                <w:ilvl w:val="0"/>
                <w:numId w:val="8"/>
              </w:numPr>
              <w:adjustRightInd w:val="0"/>
              <w:snapToGrid w:val="0"/>
              <w:spacing w:line="360" w:lineRule="auto"/>
              <w:ind w:left="0" w:firstLine="440" w:firstLineChars="200"/>
              <w:jc w:val="left"/>
              <w:rPr>
                <w:rFonts w:cs="宋体"/>
                <w:bCs/>
                <w:color w:val="auto"/>
                <w:spacing w:val="-10"/>
                <w:sz w:val="24"/>
                <w:szCs w:val="21"/>
              </w:rPr>
            </w:pPr>
            <w:r>
              <w:rPr>
                <w:rFonts w:cs="宋体"/>
                <w:bCs/>
                <w:color w:val="auto"/>
                <w:spacing w:val="-10"/>
                <w:sz w:val="24"/>
                <w:szCs w:val="21"/>
              </w:rPr>
              <w:t>境风险防范措施</w:t>
            </w:r>
          </w:p>
          <w:p>
            <w:pPr>
              <w:adjustRightInd w:val="0"/>
              <w:snapToGrid w:val="0"/>
              <w:spacing w:line="360" w:lineRule="auto"/>
              <w:ind w:firstLine="480" w:firstLineChars="200"/>
              <w:jc w:val="left"/>
              <w:rPr>
                <w:rFonts w:hint="eastAsia"/>
                <w:bCs/>
                <w:color w:val="auto"/>
                <w:sz w:val="24"/>
                <w:szCs w:val="21"/>
                <w:u w:val="none"/>
                <w:lang w:val="en-US" w:eastAsia="zh-CN"/>
              </w:rPr>
            </w:pPr>
            <w:r>
              <w:rPr>
                <w:rFonts w:hint="eastAsia"/>
                <w:bCs/>
                <w:color w:val="auto"/>
                <w:sz w:val="24"/>
                <w:szCs w:val="21"/>
                <w:u w:val="none"/>
                <w:lang w:val="en-US" w:eastAsia="zh-CN"/>
              </w:rPr>
              <w:t>①天然气火灾预防措施：严格按照初步设计进行施工，厨房设置燃气泄漏保护装置；物业公司配合燃气单位定期对小区内天然气管道进行检修。</w:t>
            </w:r>
          </w:p>
          <w:p>
            <w:pPr>
              <w:spacing w:line="360" w:lineRule="auto"/>
              <w:ind w:firstLine="480" w:firstLineChars="200"/>
              <w:rPr>
                <w:color w:val="auto"/>
                <w:sz w:val="24"/>
              </w:rPr>
            </w:pPr>
            <w:r>
              <w:rPr>
                <w:rFonts w:hint="eastAsia"/>
                <w:bCs/>
                <w:color w:val="auto"/>
                <w:sz w:val="24"/>
                <w:szCs w:val="21"/>
                <w:u w:val="none"/>
                <w:lang w:val="en-US" w:eastAsia="zh-CN"/>
              </w:rPr>
              <w:t>②</w:t>
            </w:r>
            <w:r>
              <w:rPr>
                <w:rFonts w:hint="eastAsia"/>
                <w:color w:val="auto"/>
                <w:sz w:val="24"/>
              </w:rPr>
              <w:t>因突发事件造成污水处理厂全部或部分停运的，必须立即启动安全运行应急预案，在2小时内报告污水处理主管部门和环保主管部门。恢复正常运行后，应及时向污水处理主管部门和环保主管部门报告。</w:t>
            </w:r>
          </w:p>
          <w:p>
            <w:pPr>
              <w:spacing w:line="360" w:lineRule="auto"/>
              <w:ind w:firstLine="480" w:firstLineChars="200"/>
              <w:rPr>
                <w:color w:val="auto"/>
                <w:sz w:val="24"/>
              </w:rPr>
            </w:pPr>
            <w:r>
              <w:rPr>
                <w:rFonts w:hint="eastAsia" w:ascii="宋体" w:hAnsi="宋体" w:eastAsia="宋体" w:cs="宋体"/>
                <w:color w:val="auto"/>
                <w:sz w:val="24"/>
              </w:rPr>
              <w:t>③</w:t>
            </w:r>
            <w:r>
              <w:rPr>
                <w:rFonts w:hint="eastAsia"/>
                <w:color w:val="auto"/>
                <w:sz w:val="24"/>
              </w:rPr>
              <w:t>在出水口安装</w:t>
            </w:r>
            <w:r>
              <w:rPr>
                <w:rFonts w:hint="eastAsia"/>
                <w:color w:val="auto"/>
                <w:sz w:val="24"/>
                <w:lang w:eastAsia="zh-CN"/>
              </w:rPr>
              <w:t>在线检测装置</w:t>
            </w:r>
            <w:r>
              <w:rPr>
                <w:rFonts w:hint="eastAsia"/>
                <w:color w:val="auto"/>
                <w:sz w:val="24"/>
              </w:rPr>
              <w:t>，设置进站、出站污水截断装置，当事故发生后，立即截断污水来源和杜绝事故排放，及时发现不良水质进入污水处理厂。</w:t>
            </w:r>
          </w:p>
          <w:p>
            <w:pPr>
              <w:spacing w:line="360" w:lineRule="auto"/>
              <w:ind w:firstLine="480" w:firstLineChars="200"/>
              <w:rPr>
                <w:color w:val="auto"/>
                <w:sz w:val="24"/>
              </w:rPr>
            </w:pPr>
            <w:r>
              <w:rPr>
                <w:rFonts w:hint="eastAsia" w:ascii="宋体" w:hAnsi="宋体" w:eastAsia="宋体" w:cs="宋体"/>
                <w:color w:val="auto"/>
                <w:sz w:val="24"/>
              </w:rPr>
              <w:t>④</w:t>
            </w:r>
            <w:r>
              <w:rPr>
                <w:color w:val="auto"/>
                <w:sz w:val="24"/>
              </w:rPr>
              <w:t>加强管理和设备维护工作，保持设备的完好率和处理的高效率</w:t>
            </w:r>
            <w:r>
              <w:rPr>
                <w:rFonts w:hint="eastAsia"/>
                <w:color w:val="auto"/>
                <w:sz w:val="24"/>
              </w:rPr>
              <w:t>，防止事故排放，</w:t>
            </w:r>
            <w:r>
              <w:rPr>
                <w:color w:val="auto"/>
                <w:sz w:val="24"/>
              </w:rPr>
              <w:t>备用设备或替换下来的设备要及时检修，并定期检查，使其在需要时能及时使用，并且检修时间要精心安排，最好在水量较小、水质较好的季节或时段进行。</w:t>
            </w:r>
          </w:p>
          <w:p>
            <w:pPr>
              <w:spacing w:line="360" w:lineRule="auto"/>
              <w:ind w:firstLine="480" w:firstLineChars="200"/>
              <w:rPr>
                <w:color w:val="auto"/>
                <w:sz w:val="24"/>
              </w:rPr>
            </w:pPr>
            <w:r>
              <w:rPr>
                <w:rFonts w:hint="eastAsia" w:ascii="宋体" w:hAnsi="宋体" w:eastAsia="宋体" w:cs="宋体"/>
                <w:color w:val="auto"/>
                <w:sz w:val="24"/>
              </w:rPr>
              <w:t>⑤</w:t>
            </w:r>
            <w:r>
              <w:rPr>
                <w:color w:val="auto"/>
                <w:sz w:val="24"/>
              </w:rPr>
              <w:t>考虑到暴雨季节对污水处理厂可能造成的冲击，评价要求污水处理厂必须设置溢流口，应对暴雨季节。</w:t>
            </w:r>
          </w:p>
          <w:p>
            <w:pPr>
              <w:spacing w:line="360" w:lineRule="auto"/>
              <w:ind w:firstLine="480" w:firstLineChars="200"/>
              <w:rPr>
                <w:color w:val="auto"/>
                <w:sz w:val="24"/>
              </w:rPr>
            </w:pPr>
            <w:r>
              <w:rPr>
                <w:rFonts w:hint="eastAsia" w:ascii="Times New Roman" w:hAnsi="Times New Roman" w:eastAsia="宋体" w:cs="Times New Roman"/>
                <w:color w:val="auto"/>
                <w:sz w:val="24"/>
              </w:rPr>
              <w:t>⑥储存危险品必须按《常用危险化学品的分类及标志》中规定进行分类，并掌握其危害性，以便按规范采取相应防范措施；按《常用危险化学品贮存通则》中有关规定进行贮存，并按该通则附录</w:t>
            </w:r>
            <w:r>
              <w:rPr>
                <w:rFonts w:ascii="Times New Roman" w:hAnsi="Times New Roman" w:eastAsia="宋体" w:cs="Times New Roman"/>
                <w:color w:val="auto"/>
                <w:sz w:val="24"/>
              </w:rPr>
              <w:t>A</w:t>
            </w:r>
            <w:r>
              <w:rPr>
                <w:rFonts w:hint="eastAsia" w:ascii="Times New Roman" w:hAnsi="Times New Roman" w:eastAsia="宋体" w:cs="Times New Roman"/>
                <w:color w:val="auto"/>
                <w:sz w:val="24"/>
              </w:rPr>
              <w:t>严格界定本项目涉及原料中的禁止物料，并按要求分离贮存</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危废间应经常进行</w:t>
            </w:r>
            <w:r>
              <w:rPr>
                <w:rFonts w:hint="eastAsia"/>
                <w:color w:val="auto"/>
                <w:sz w:val="24"/>
              </w:rPr>
              <w:t>通风换气，杜绝</w:t>
            </w:r>
            <w:r>
              <w:rPr>
                <w:color w:val="auto"/>
                <w:sz w:val="24"/>
              </w:rPr>
              <w:t>“</w:t>
            </w:r>
            <w:r>
              <w:rPr>
                <w:rFonts w:hint="eastAsia"/>
                <w:color w:val="auto"/>
                <w:sz w:val="24"/>
              </w:rPr>
              <w:t>自燃</w:t>
            </w:r>
            <w:r>
              <w:rPr>
                <w:color w:val="auto"/>
                <w:sz w:val="24"/>
              </w:rPr>
              <w:t>”</w:t>
            </w:r>
            <w:r>
              <w:rPr>
                <w:rFonts w:hint="eastAsia"/>
                <w:color w:val="auto"/>
                <w:sz w:val="24"/>
              </w:rPr>
              <w:t>引起的火灾事故发生。</w:t>
            </w:r>
          </w:p>
          <w:p>
            <w:pPr>
              <w:numPr>
                <w:ilvl w:val="0"/>
                <w:numId w:val="8"/>
              </w:numPr>
              <w:adjustRightInd w:val="0"/>
              <w:snapToGrid w:val="0"/>
              <w:spacing w:line="360" w:lineRule="auto"/>
              <w:ind w:left="0" w:firstLine="440" w:firstLineChars="200"/>
              <w:jc w:val="left"/>
              <w:rPr>
                <w:rFonts w:cs="宋体"/>
                <w:bCs/>
                <w:color w:val="auto"/>
                <w:spacing w:val="-10"/>
                <w:sz w:val="24"/>
                <w:szCs w:val="21"/>
              </w:rPr>
            </w:pPr>
            <w:r>
              <w:rPr>
                <w:rFonts w:cs="宋体"/>
                <w:bCs/>
                <w:color w:val="auto"/>
                <w:spacing w:val="-10"/>
                <w:sz w:val="24"/>
                <w:szCs w:val="21"/>
              </w:rPr>
              <w:t>环境风险应急措施</w:t>
            </w:r>
          </w:p>
          <w:p>
            <w:pPr>
              <w:adjustRightInd w:val="0"/>
              <w:snapToGrid w:val="0"/>
              <w:spacing w:line="360" w:lineRule="auto"/>
              <w:ind w:firstLine="440" w:firstLineChars="200"/>
              <w:jc w:val="left"/>
              <w:rPr>
                <w:rFonts w:ascii="Times New Roman" w:hAnsi="Times New Roman" w:eastAsia="宋体" w:cs="宋体"/>
                <w:bCs/>
                <w:color w:val="auto"/>
                <w:spacing w:val="-10"/>
                <w:sz w:val="24"/>
                <w:szCs w:val="21"/>
              </w:rPr>
            </w:pPr>
            <w:r>
              <w:rPr>
                <w:rFonts w:ascii="Times New Roman" w:hAnsi="Times New Roman" w:eastAsia="宋体" w:cs="宋体"/>
                <w:bCs/>
                <w:color w:val="auto"/>
                <w:spacing w:val="-10"/>
                <w:sz w:val="24"/>
                <w:szCs w:val="21"/>
              </w:rPr>
              <w:t>①若发生火灾，应立即使用干粉灭火器进行灭火，关闭总电源，同时视火势情况进行报警求助。</w:t>
            </w:r>
          </w:p>
          <w:p>
            <w:pPr>
              <w:adjustRightInd w:val="0"/>
              <w:snapToGrid w:val="0"/>
              <w:spacing w:line="360" w:lineRule="auto"/>
              <w:ind w:firstLine="440" w:firstLineChars="200"/>
              <w:jc w:val="left"/>
              <w:rPr>
                <w:rFonts w:hint="default" w:ascii="Times New Roman" w:hAnsi="Times New Roman" w:cs="Times New Roman"/>
                <w:color w:val="auto"/>
                <w:sz w:val="24"/>
                <w:szCs w:val="24"/>
                <w:lang w:eastAsia="zh-CN"/>
              </w:rPr>
            </w:pPr>
            <w:r>
              <w:rPr>
                <w:rFonts w:ascii="Times New Roman" w:hAnsi="Times New Roman" w:eastAsia="宋体" w:cs="宋体"/>
                <w:bCs/>
                <w:color w:val="auto"/>
                <w:spacing w:val="-10"/>
                <w:sz w:val="24"/>
                <w:szCs w:val="21"/>
              </w:rPr>
              <w:t>②若产生事故废水，需对事故废水进行收集，待事故后经水质检测合格后才可排放；受污染的土壤和废吸附材料及检测不达标的事故废水需交由有资质单位进行处置</w:t>
            </w:r>
            <w:r>
              <w:rPr>
                <w:rFonts w:cs="宋体"/>
                <w:bCs/>
                <w:color w:val="auto"/>
                <w:spacing w:val="-10"/>
                <w:sz w:val="24"/>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pct"/>
            <w:noWrap w:val="0"/>
            <w:vAlign w:val="center"/>
          </w:tcPr>
          <w:p>
            <w:pPr>
              <w:pStyle w:val="75"/>
              <w:bidi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其他</w:t>
            </w:r>
          </w:p>
        </w:tc>
        <w:tc>
          <w:tcPr>
            <w:tcW w:w="4523" w:type="pct"/>
            <w:noWrap w:val="0"/>
            <w:vAlign w:val="top"/>
          </w:tcPr>
          <w:p>
            <w:pPr>
              <w:pageBreakBefore w:val="0"/>
              <w:kinsoku/>
              <w:overflowPunct/>
              <w:bidi w:val="0"/>
              <w:spacing w:line="360" w:lineRule="auto"/>
              <w:jc w:val="center"/>
              <w:textAlignment w:val="auto"/>
              <w:rPr>
                <w:rFonts w:hint="default" w:ascii="Times New Roman" w:hAnsi="Times New Roman" w:eastAsia="宋体" w:cs="Times New Roman"/>
                <w:bCs/>
                <w:color w:val="auto"/>
                <w:spacing w:val="10"/>
                <w:sz w:val="24"/>
                <w:szCs w:val="24"/>
                <w:lang w:val="en-US" w:eastAsia="zh-CN"/>
              </w:rPr>
            </w:pPr>
            <w:r>
              <w:rPr>
                <w:rFonts w:hint="eastAsia" w:eastAsia="宋体" w:cs="Times New Roman"/>
                <w:bCs/>
                <w:color w:val="auto"/>
                <w:spacing w:val="10"/>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pct"/>
            <w:noWrap w:val="0"/>
            <w:vAlign w:val="center"/>
          </w:tcPr>
          <w:p>
            <w:pPr>
              <w:pStyle w:val="75"/>
              <w:bidi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环保投资</w:t>
            </w:r>
          </w:p>
        </w:tc>
        <w:tc>
          <w:tcPr>
            <w:tcW w:w="4523" w:type="pct"/>
            <w:noWrap w:val="0"/>
            <w:vAlign w:val="top"/>
          </w:tcPr>
          <w:p>
            <w:pPr>
              <w:pStyle w:val="52"/>
              <w:spacing w:line="360" w:lineRule="auto"/>
              <w:jc w:val="left"/>
              <w:rPr>
                <w:rFonts w:cs="宋体"/>
                <w:color w:val="auto"/>
                <w:sz w:val="24"/>
                <w:szCs w:val="21"/>
              </w:rPr>
            </w:pPr>
            <w:r>
              <w:rPr>
                <w:rFonts w:hint="eastAsia" w:cs="宋体"/>
                <w:b/>
                <w:bCs/>
                <w:color w:val="auto"/>
                <w:sz w:val="24"/>
                <w:szCs w:val="21"/>
                <w:lang w:val="en-US" w:eastAsia="zh-CN"/>
              </w:rPr>
              <w:t>1、</w:t>
            </w:r>
            <w:r>
              <w:rPr>
                <w:rFonts w:cs="宋体"/>
                <w:b/>
                <w:bCs/>
                <w:color w:val="auto"/>
                <w:sz w:val="24"/>
                <w:szCs w:val="21"/>
              </w:rPr>
              <w:t>环保投资估算</w:t>
            </w:r>
          </w:p>
          <w:p>
            <w:pPr>
              <w:pStyle w:val="52"/>
              <w:spacing w:line="360" w:lineRule="auto"/>
              <w:ind w:firstLine="480" w:firstLineChars="200"/>
              <w:jc w:val="left"/>
              <w:rPr>
                <w:rFonts w:cs="宋体"/>
                <w:color w:val="auto"/>
                <w:sz w:val="24"/>
                <w:szCs w:val="21"/>
              </w:rPr>
            </w:pPr>
            <w:r>
              <w:rPr>
                <w:rFonts w:hint="eastAsia" w:cs="宋体"/>
                <w:color w:val="auto"/>
                <w:sz w:val="24"/>
                <w:szCs w:val="21"/>
              </w:rPr>
              <w:t>项目总投资为</w:t>
            </w:r>
            <w:r>
              <w:rPr>
                <w:rFonts w:hint="eastAsia" w:cs="宋体"/>
                <w:color w:val="auto"/>
                <w:sz w:val="24"/>
                <w:szCs w:val="21"/>
                <w:lang w:val="en-US" w:eastAsia="zh-CN"/>
              </w:rPr>
              <w:t>89555</w:t>
            </w:r>
            <w:r>
              <w:rPr>
                <w:rFonts w:hint="eastAsia" w:cs="宋体"/>
                <w:color w:val="auto"/>
                <w:sz w:val="24"/>
                <w:szCs w:val="21"/>
              </w:rPr>
              <w:t>万元，环保投资为</w:t>
            </w:r>
            <w:r>
              <w:rPr>
                <w:rFonts w:hint="eastAsia" w:cs="宋体"/>
                <w:color w:val="auto"/>
                <w:sz w:val="24"/>
                <w:szCs w:val="21"/>
                <w:lang w:val="en-US" w:eastAsia="zh-CN"/>
              </w:rPr>
              <w:t>620</w:t>
            </w:r>
            <w:r>
              <w:rPr>
                <w:rFonts w:hint="eastAsia" w:cs="宋体"/>
                <w:color w:val="auto"/>
                <w:sz w:val="24"/>
                <w:szCs w:val="21"/>
              </w:rPr>
              <w:t>万元，占投资总额</w:t>
            </w:r>
            <w:r>
              <w:rPr>
                <w:rFonts w:hint="eastAsia" w:cs="宋体"/>
                <w:color w:val="auto"/>
                <w:sz w:val="24"/>
                <w:szCs w:val="21"/>
                <w:lang w:val="en-US" w:eastAsia="zh-CN"/>
              </w:rPr>
              <w:t>0.69</w:t>
            </w:r>
            <w:r>
              <w:rPr>
                <w:rFonts w:hint="eastAsia" w:cs="宋体"/>
                <w:color w:val="auto"/>
                <w:sz w:val="24"/>
                <w:szCs w:val="21"/>
              </w:rPr>
              <w:t>%，项目环保投资详见表</w:t>
            </w:r>
            <w:r>
              <w:rPr>
                <w:rFonts w:hint="eastAsia" w:cs="宋体"/>
                <w:color w:val="auto"/>
                <w:sz w:val="24"/>
                <w:szCs w:val="21"/>
                <w:lang w:val="en-US" w:eastAsia="zh-CN"/>
              </w:rPr>
              <w:t>5-2</w:t>
            </w:r>
            <w:r>
              <w:rPr>
                <w:rFonts w:hint="eastAsia" w:cs="宋体"/>
                <w:color w:val="auto"/>
                <w:sz w:val="24"/>
                <w:szCs w:val="21"/>
              </w:rPr>
              <w:t>。</w:t>
            </w:r>
          </w:p>
          <w:p>
            <w:pPr>
              <w:pStyle w:val="52"/>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cs="宋体"/>
                <w:b/>
                <w:bCs/>
                <w:color w:val="auto"/>
                <w:sz w:val="24"/>
                <w:szCs w:val="21"/>
              </w:rPr>
            </w:pPr>
            <w:r>
              <w:rPr>
                <w:rFonts w:hint="eastAsia" w:cs="宋体"/>
                <w:b/>
                <w:bCs/>
                <w:color w:val="auto"/>
                <w:sz w:val="24"/>
                <w:szCs w:val="21"/>
              </w:rPr>
              <w:t>表</w:t>
            </w:r>
            <w:r>
              <w:rPr>
                <w:rFonts w:hint="eastAsia" w:cs="宋体"/>
                <w:b/>
                <w:bCs/>
                <w:color w:val="auto"/>
                <w:sz w:val="24"/>
                <w:szCs w:val="21"/>
                <w:lang w:val="en-US" w:eastAsia="zh-CN"/>
              </w:rPr>
              <w:t>5-2</w:t>
            </w:r>
            <w:r>
              <w:rPr>
                <w:rFonts w:hint="eastAsia" w:cs="宋体"/>
                <w:b/>
                <w:bCs/>
                <w:color w:val="auto"/>
                <w:sz w:val="24"/>
                <w:szCs w:val="21"/>
              </w:rPr>
              <w:t xml:space="preserve">  环保投资一览表</w:t>
            </w:r>
          </w:p>
          <w:tbl>
            <w:tblPr>
              <w:tblStyle w:val="23"/>
              <w:tblW w:w="805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982"/>
              <w:gridCol w:w="2208"/>
              <w:gridCol w:w="2773"/>
              <w:gridCol w:w="10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92" w:type="dxa"/>
                  <w:tcBorders>
                    <w:tl2br w:val="nil"/>
                    <w:tr2bl w:val="nil"/>
                  </w:tcBorders>
                  <w:noWrap w:val="0"/>
                  <w:vAlign w:val="center"/>
                </w:tcPr>
                <w:p>
                  <w:pPr>
                    <w:snapToGrid w:val="0"/>
                    <w:jc w:val="center"/>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工程阶段</w:t>
                  </w:r>
                </w:p>
              </w:tc>
              <w:tc>
                <w:tcPr>
                  <w:tcW w:w="982" w:type="dxa"/>
                  <w:tcBorders>
                    <w:tl2br w:val="nil"/>
                    <w:tr2bl w:val="nil"/>
                  </w:tcBorders>
                  <w:noWrap w:val="0"/>
                  <w:vAlign w:val="center"/>
                </w:tcPr>
                <w:p>
                  <w:pPr>
                    <w:snapToGrid w:val="0"/>
                    <w:jc w:val="center"/>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类型</w:t>
                  </w:r>
                </w:p>
              </w:tc>
              <w:tc>
                <w:tcPr>
                  <w:tcW w:w="2208" w:type="dxa"/>
                  <w:tcBorders>
                    <w:tl2br w:val="nil"/>
                    <w:tr2bl w:val="nil"/>
                  </w:tcBorders>
                  <w:noWrap w:val="0"/>
                  <w:vAlign w:val="center"/>
                </w:tcPr>
                <w:p>
                  <w:pPr>
                    <w:snapToGrid w:val="0"/>
                    <w:jc w:val="center"/>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污染源</w:t>
                  </w:r>
                </w:p>
              </w:tc>
              <w:tc>
                <w:tcPr>
                  <w:tcW w:w="2773" w:type="dxa"/>
                  <w:tcBorders>
                    <w:tl2br w:val="nil"/>
                    <w:tr2bl w:val="nil"/>
                  </w:tcBorders>
                  <w:noWrap w:val="0"/>
                  <w:vAlign w:val="center"/>
                </w:tcPr>
                <w:p>
                  <w:pPr>
                    <w:snapToGrid w:val="0"/>
                    <w:jc w:val="center"/>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污染处理设施</w:t>
                  </w:r>
                </w:p>
              </w:tc>
              <w:tc>
                <w:tcPr>
                  <w:tcW w:w="1095" w:type="dxa"/>
                  <w:tcBorders>
                    <w:tl2br w:val="nil"/>
                    <w:tr2bl w:val="nil"/>
                  </w:tcBorders>
                  <w:noWrap w:val="0"/>
                  <w:vAlign w:val="center"/>
                </w:tcPr>
                <w:p>
                  <w:pPr>
                    <w:snapToGrid w:val="0"/>
                    <w:jc w:val="center"/>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环保投资(万元)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92" w:type="dxa"/>
                  <w:vMerge w:val="restart"/>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运营期</w:t>
                  </w:r>
                </w:p>
              </w:tc>
              <w:tc>
                <w:tcPr>
                  <w:tcW w:w="982" w:type="dxa"/>
                  <w:vMerge w:val="restart"/>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废气</w:t>
                  </w:r>
                </w:p>
              </w:tc>
              <w:tc>
                <w:tcPr>
                  <w:tcW w:w="2208"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停车场废气</w:t>
                  </w:r>
                </w:p>
              </w:tc>
              <w:tc>
                <w:tcPr>
                  <w:tcW w:w="2773" w:type="dxa"/>
                  <w:tcBorders>
                    <w:tl2br w:val="nil"/>
                    <w:tr2bl w:val="nil"/>
                  </w:tcBorders>
                  <w:noWrap w:val="0"/>
                  <w:vAlign w:val="center"/>
                </w:tcPr>
                <w:p>
                  <w:pPr>
                    <w:pStyle w:val="73"/>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kern w:val="0"/>
                      <w:u w:val="none"/>
                    </w:rPr>
                    <w:t>加强绿化建设</w:t>
                  </w:r>
                </w:p>
              </w:tc>
              <w:tc>
                <w:tcPr>
                  <w:tcW w:w="1095"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92"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982"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2208" w:type="dxa"/>
                  <w:tcBorders>
                    <w:tl2br w:val="nil"/>
                    <w:tr2bl w:val="nil"/>
                  </w:tcBorders>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ascii="Times New Roman" w:hAnsi="Times New Roman" w:cs="Times New Roman"/>
                      <w:color w:val="auto"/>
                      <w:kern w:val="2"/>
                      <w:sz w:val="21"/>
                      <w:szCs w:val="21"/>
                      <w:u w:val="none"/>
                      <w:lang w:val="en-US" w:eastAsia="zh-CN" w:bidi="ar-SA"/>
                    </w:rPr>
                    <w:t>油烟废气</w:t>
                  </w:r>
                </w:p>
              </w:tc>
              <w:tc>
                <w:tcPr>
                  <w:tcW w:w="2773" w:type="dxa"/>
                  <w:tcBorders>
                    <w:tl2br w:val="nil"/>
                    <w:tr2bl w:val="nil"/>
                  </w:tcBorders>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ascii="Times New Roman" w:hAnsi="Times New Roman" w:cs="Times New Roman"/>
                      <w:color w:val="auto"/>
                      <w:kern w:val="2"/>
                      <w:sz w:val="21"/>
                      <w:szCs w:val="21"/>
                      <w:u w:val="none"/>
                      <w:lang w:val="en-US" w:eastAsia="zh-CN" w:bidi="ar-SA"/>
                    </w:rPr>
                    <w:t>居民自装油烟净化器</w:t>
                  </w:r>
                </w:p>
              </w:tc>
              <w:tc>
                <w:tcPr>
                  <w:tcW w:w="1095" w:type="dxa"/>
                  <w:tcBorders>
                    <w:tl2br w:val="nil"/>
                    <w:tr2bl w:val="nil"/>
                  </w:tcBorders>
                  <w:noWrap w:val="0"/>
                  <w:vAlign w:val="center"/>
                </w:tcPr>
                <w:p>
                  <w:pPr>
                    <w:adjustRightInd w:val="0"/>
                    <w:snapToGrid w:val="0"/>
                    <w:jc w:val="center"/>
                    <w:rPr>
                      <w:rFonts w:hint="eastAsia"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92"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982"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2208"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垃圾桶恶臭</w:t>
                  </w:r>
                </w:p>
              </w:tc>
              <w:tc>
                <w:tcPr>
                  <w:tcW w:w="2773"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及时清理清运</w:t>
                  </w:r>
                </w:p>
              </w:tc>
              <w:tc>
                <w:tcPr>
                  <w:tcW w:w="1095"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92"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982"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2208"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废水处理厂恶臭</w:t>
                  </w:r>
                </w:p>
              </w:tc>
              <w:tc>
                <w:tcPr>
                  <w:tcW w:w="2773" w:type="dxa"/>
                  <w:tcBorders>
                    <w:tl2br w:val="nil"/>
                    <w:tr2bl w:val="nil"/>
                  </w:tcBorders>
                  <w:noWrap w:val="0"/>
                  <w:vAlign w:val="center"/>
                </w:tcPr>
                <w:p>
                  <w:pPr>
                    <w:adjustRightInd w:val="0"/>
                    <w:snapToGrid w:val="0"/>
                    <w:jc w:val="center"/>
                    <w:rPr>
                      <w:rFonts w:hint="eastAsia"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废水处理站建构筑物加盖，厂区绿化隔离带、除臭剂、除臭系统一套</w:t>
                  </w:r>
                </w:p>
              </w:tc>
              <w:tc>
                <w:tcPr>
                  <w:tcW w:w="1095" w:type="dxa"/>
                  <w:tcBorders>
                    <w:tl2br w:val="nil"/>
                    <w:tr2bl w:val="nil"/>
                  </w:tcBorders>
                  <w:noWrap w:val="0"/>
                  <w:vAlign w:val="center"/>
                </w:tcPr>
                <w:p>
                  <w:pPr>
                    <w:adjustRightInd w:val="0"/>
                    <w:snapToGrid w:val="0"/>
                    <w:jc w:val="center"/>
                    <w:rPr>
                      <w:rFonts w:hint="default" w:cs="Times New Roman"/>
                      <w:color w:val="auto"/>
                      <w:szCs w:val="21"/>
                      <w:u w:val="none"/>
                      <w:lang w:val="en-US" w:eastAsia="zh-CN"/>
                    </w:rPr>
                  </w:pPr>
                  <w:r>
                    <w:rPr>
                      <w:rFonts w:hint="eastAsia" w:cs="Times New Roman"/>
                      <w:color w:val="auto"/>
                      <w:szCs w:val="21"/>
                      <w:u w:val="none"/>
                      <w:lang w:val="en-US" w:eastAsia="zh-CN"/>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92"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982"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废水</w:t>
                  </w:r>
                </w:p>
              </w:tc>
              <w:tc>
                <w:tcPr>
                  <w:tcW w:w="2208" w:type="dxa"/>
                  <w:tcBorders>
                    <w:tl2br w:val="nil"/>
                    <w:tr2bl w:val="nil"/>
                  </w:tcBorders>
                  <w:noWrap w:val="0"/>
                  <w:vAlign w:val="center"/>
                </w:tcPr>
                <w:p>
                  <w:pPr>
                    <w:adjustRightInd w:val="0"/>
                    <w:snapToGrid w:val="0"/>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生活废水</w:t>
                  </w:r>
                </w:p>
              </w:tc>
              <w:tc>
                <w:tcPr>
                  <w:tcW w:w="2773"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化粪池</w:t>
                  </w:r>
                </w:p>
              </w:tc>
              <w:tc>
                <w:tcPr>
                  <w:tcW w:w="1095"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92"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982"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噪声</w:t>
                  </w:r>
                </w:p>
              </w:tc>
              <w:tc>
                <w:tcPr>
                  <w:tcW w:w="2208"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设备噪声</w:t>
                  </w:r>
                </w:p>
              </w:tc>
              <w:tc>
                <w:tcPr>
                  <w:tcW w:w="2773"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选用低噪声设备、减震、隔声措施、独立</w:t>
                  </w:r>
                  <w:r>
                    <w:rPr>
                      <w:rFonts w:hint="eastAsia" w:ascii="Times New Roman" w:hAnsi="Times New Roman" w:eastAsia="宋体" w:cs="Times New Roman"/>
                      <w:color w:val="auto"/>
                      <w:szCs w:val="21"/>
                      <w:lang w:val="en-US" w:eastAsia="zh-CN"/>
                    </w:rPr>
                    <w:t>密闭房间</w:t>
                  </w:r>
                  <w:r>
                    <w:rPr>
                      <w:rFonts w:hint="default" w:ascii="Times New Roman" w:hAnsi="Times New Roman" w:eastAsia="宋体" w:cs="Times New Roman"/>
                      <w:color w:val="auto"/>
                      <w:szCs w:val="21"/>
                    </w:rPr>
                    <w:t>等，</w:t>
                  </w:r>
                  <w:r>
                    <w:rPr>
                      <w:rFonts w:hint="eastAsia" w:ascii="Times New Roman" w:hAnsi="Times New Roman" w:eastAsia="宋体" w:cs="Times New Roman"/>
                      <w:color w:val="auto"/>
                      <w:szCs w:val="21"/>
                      <w:lang w:eastAsia="zh-CN"/>
                    </w:rPr>
                    <w:t>加强管理</w:t>
                  </w:r>
                  <w:r>
                    <w:rPr>
                      <w:rFonts w:hint="default" w:ascii="Times New Roman" w:hAnsi="Times New Roman" w:eastAsia="宋体" w:cs="Times New Roman"/>
                      <w:color w:val="auto"/>
                      <w:szCs w:val="21"/>
                    </w:rPr>
                    <w:t>等</w:t>
                  </w:r>
                </w:p>
              </w:tc>
              <w:tc>
                <w:tcPr>
                  <w:tcW w:w="1095"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lang w:val="en-US"/>
                    </w:rPr>
                  </w:pPr>
                  <w:r>
                    <w:rPr>
                      <w:rFonts w:hint="eastAsia" w:cs="Times New Roman"/>
                      <w:color w:val="auto"/>
                      <w:szCs w:val="21"/>
                      <w:lang w:val="en-US" w:eastAsia="zh-CN"/>
                    </w:rPr>
                    <w:t>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92"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982" w:type="dxa"/>
                  <w:vMerge w:val="restart"/>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固废</w:t>
                  </w:r>
                </w:p>
              </w:tc>
              <w:tc>
                <w:tcPr>
                  <w:tcW w:w="2208"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生活垃圾</w:t>
                  </w:r>
                </w:p>
              </w:tc>
              <w:tc>
                <w:tcPr>
                  <w:tcW w:w="2773"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eastAsia="zh-CN"/>
                    </w:rPr>
                    <w:t>垃圾桶</w:t>
                  </w:r>
                  <w:r>
                    <w:rPr>
                      <w:rFonts w:hint="eastAsia" w:ascii="Times New Roman" w:hAnsi="Times New Roman" w:eastAsia="宋体" w:cs="Times New Roman"/>
                      <w:color w:val="auto"/>
                      <w:szCs w:val="21"/>
                      <w:lang w:val="en-US" w:eastAsia="zh-CN"/>
                    </w:rPr>
                    <w:t>+</w:t>
                  </w:r>
                  <w:r>
                    <w:rPr>
                      <w:rFonts w:hint="eastAsia" w:ascii="Times New Roman" w:hAnsi="Times New Roman" w:eastAsia="宋体" w:cs="Times New Roman"/>
                      <w:color w:val="auto"/>
                      <w:szCs w:val="21"/>
                      <w:lang w:eastAsia="zh-CN"/>
                    </w:rPr>
                    <w:t>垃圾站</w:t>
                  </w:r>
                  <w:r>
                    <w:rPr>
                      <w:rFonts w:hint="default" w:ascii="Times New Roman" w:hAnsi="Times New Roman" w:eastAsia="宋体" w:cs="Times New Roman"/>
                      <w:color w:val="auto"/>
                      <w:szCs w:val="21"/>
                    </w:rPr>
                    <w:t>收集</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环卫部门清运</w:t>
                  </w:r>
                </w:p>
              </w:tc>
              <w:tc>
                <w:tcPr>
                  <w:tcW w:w="1095"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92"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982"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2208"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一般固废</w:t>
                  </w:r>
                </w:p>
              </w:tc>
              <w:tc>
                <w:tcPr>
                  <w:tcW w:w="2773"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一般固废暂存间</w:t>
                  </w:r>
                </w:p>
              </w:tc>
              <w:tc>
                <w:tcPr>
                  <w:tcW w:w="1095" w:type="dxa"/>
                  <w:tcBorders>
                    <w:tl2br w:val="nil"/>
                    <w:tr2bl w:val="nil"/>
                  </w:tcBorders>
                  <w:noWrap w:val="0"/>
                  <w:vAlign w:val="center"/>
                </w:tcPr>
                <w:p>
                  <w:pPr>
                    <w:adjustRightInd w:val="0"/>
                    <w:snapToGrid w:val="0"/>
                    <w:jc w:val="center"/>
                    <w:rPr>
                      <w:rFonts w:hint="default" w:cs="Times New Roman"/>
                      <w:color w:val="auto"/>
                      <w:szCs w:val="21"/>
                      <w:lang w:val="en-US" w:eastAsia="zh-CN"/>
                    </w:rPr>
                  </w:pPr>
                  <w:r>
                    <w:rPr>
                      <w:rFonts w:hint="eastAsia" w:cs="Times New Roman"/>
                      <w:color w:val="auto"/>
                      <w:szCs w:val="21"/>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92"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982"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2208" w:type="dxa"/>
                  <w:tcBorders>
                    <w:tl2br w:val="nil"/>
                    <w:tr2bl w:val="nil"/>
                  </w:tcBorders>
                  <w:shd w:val="clear" w:color="auto" w:fill="auto"/>
                  <w:noWrap w:val="0"/>
                  <w:vAlign w:val="center"/>
                </w:tcPr>
                <w:p>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Cs w:val="21"/>
                      <w:lang w:val="en-US" w:eastAsia="zh-CN"/>
                    </w:rPr>
                    <w:t>危险废物</w:t>
                  </w:r>
                </w:p>
              </w:tc>
              <w:tc>
                <w:tcPr>
                  <w:tcW w:w="2773" w:type="dxa"/>
                  <w:tcBorders>
                    <w:tl2br w:val="nil"/>
                    <w:tr2bl w:val="nil"/>
                  </w:tcBorders>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Cs w:val="21"/>
                      <w:lang w:val="en-US" w:eastAsia="zh-CN"/>
                    </w:rPr>
                    <w:t>危废间+交由有资质单位处置</w:t>
                  </w:r>
                </w:p>
              </w:tc>
              <w:tc>
                <w:tcPr>
                  <w:tcW w:w="1095" w:type="dxa"/>
                  <w:tcBorders>
                    <w:tl2br w:val="nil"/>
                    <w:tr2bl w:val="nil"/>
                  </w:tcBorders>
                  <w:noWrap w:val="0"/>
                  <w:vAlign w:val="center"/>
                </w:tcPr>
                <w:p>
                  <w:pPr>
                    <w:adjustRightInd w:val="0"/>
                    <w:snapToGrid w:val="0"/>
                    <w:jc w:val="center"/>
                    <w:rPr>
                      <w:rFonts w:hint="default" w:cs="Times New Roman"/>
                      <w:color w:val="auto"/>
                      <w:szCs w:val="21"/>
                      <w:lang w:val="en-US" w:eastAsia="zh-CN"/>
                    </w:rPr>
                  </w:pPr>
                  <w:r>
                    <w:rPr>
                      <w:rFonts w:hint="eastAsia" w:cs="Times New Roman"/>
                      <w:color w:val="auto"/>
                      <w:szCs w:val="21"/>
                      <w:lang w:val="en-US" w:eastAsia="zh-CN"/>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92"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982"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其他</w:t>
                  </w:r>
                </w:p>
              </w:tc>
              <w:tc>
                <w:tcPr>
                  <w:tcW w:w="2208"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污水处理厂</w:t>
                  </w:r>
                </w:p>
              </w:tc>
              <w:tc>
                <w:tcPr>
                  <w:tcW w:w="2773" w:type="dxa"/>
                  <w:tcBorders>
                    <w:tl2br w:val="nil"/>
                    <w:tr2bl w:val="nil"/>
                  </w:tcBorders>
                  <w:noWrap w:val="0"/>
                  <w:vAlign w:val="center"/>
                </w:tcPr>
                <w:p>
                  <w:pPr>
                    <w:adjustRightInd w:val="0"/>
                    <w:snapToGrid w:val="0"/>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在线设备房及在线监测设备（</w:t>
                  </w:r>
                  <w:r>
                    <w:rPr>
                      <w:rFonts w:hint="eastAsia" w:ascii="Times New Roman" w:hAnsi="Times New Roman" w:eastAsia="宋体" w:cs="Times New Roman"/>
                      <w:color w:val="auto"/>
                      <w:szCs w:val="21"/>
                      <w:lang w:val="en-US" w:eastAsia="zh-CN"/>
                    </w:rPr>
                    <w:t>出水</w:t>
                  </w:r>
                  <w:r>
                    <w:rPr>
                      <w:rFonts w:hint="eastAsia" w:ascii="Times New Roman" w:hAnsi="Times New Roman" w:eastAsia="宋体" w:cs="Times New Roman"/>
                      <w:color w:val="auto"/>
                      <w:szCs w:val="21"/>
                      <w:lang w:eastAsia="zh-CN"/>
                    </w:rPr>
                    <w:t>检测指标：流量、COD、氨氮、</w:t>
                  </w:r>
                  <w:r>
                    <w:rPr>
                      <w:rFonts w:hint="eastAsia" w:ascii="Times New Roman" w:hAnsi="Times New Roman" w:eastAsia="宋体" w:cs="Times New Roman"/>
                      <w:color w:val="auto"/>
                      <w:szCs w:val="21"/>
                      <w:lang w:val="en-US" w:eastAsia="zh-CN"/>
                    </w:rPr>
                    <w:t>TP）</w:t>
                  </w:r>
                </w:p>
              </w:tc>
              <w:tc>
                <w:tcPr>
                  <w:tcW w:w="1095" w:type="dxa"/>
                  <w:tcBorders>
                    <w:tl2br w:val="nil"/>
                    <w:tr2bl w:val="nil"/>
                  </w:tcBorders>
                  <w:noWrap w:val="0"/>
                  <w:vAlign w:val="center"/>
                </w:tcPr>
                <w:p>
                  <w:pPr>
                    <w:adjustRightInd w:val="0"/>
                    <w:snapToGrid w:val="0"/>
                    <w:jc w:val="center"/>
                    <w:rPr>
                      <w:rFonts w:hint="default" w:cs="Times New Roman"/>
                      <w:color w:val="auto"/>
                      <w:szCs w:val="21"/>
                      <w:lang w:val="en-US" w:eastAsia="zh-CN"/>
                    </w:rPr>
                  </w:pPr>
                  <w:r>
                    <w:rPr>
                      <w:rFonts w:hint="eastAsia" w:cs="Times New Roman"/>
                      <w:color w:val="auto"/>
                      <w:szCs w:val="21"/>
                      <w:lang w:val="en-US" w:eastAsia="zh-CN"/>
                    </w:rPr>
                    <w:t>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92"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5963" w:type="dxa"/>
                  <w:gridSpan w:val="3"/>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合计</w:t>
                  </w:r>
                </w:p>
              </w:tc>
              <w:tc>
                <w:tcPr>
                  <w:tcW w:w="1095"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620</w:t>
                  </w:r>
                </w:p>
              </w:tc>
            </w:tr>
          </w:tbl>
          <w:p>
            <w:pPr>
              <w:pStyle w:val="52"/>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cs="宋体"/>
                <w:b/>
                <w:bCs/>
                <w:color w:val="auto"/>
                <w:sz w:val="24"/>
                <w:szCs w:val="21"/>
              </w:rPr>
            </w:pPr>
            <w:r>
              <w:rPr>
                <w:rFonts w:hint="eastAsia" w:cs="宋体"/>
                <w:b/>
                <w:bCs/>
                <w:color w:val="auto"/>
                <w:sz w:val="24"/>
                <w:szCs w:val="21"/>
                <w:lang w:val="en-US" w:eastAsia="zh-CN"/>
              </w:rPr>
              <w:t>2、</w:t>
            </w:r>
            <w:r>
              <w:rPr>
                <w:rFonts w:hint="eastAsia" w:cs="宋体"/>
                <w:b/>
                <w:bCs/>
                <w:color w:val="auto"/>
                <w:sz w:val="24"/>
                <w:szCs w:val="21"/>
              </w:rPr>
              <w:t>竣工环境保护验收</w:t>
            </w:r>
          </w:p>
          <w:p>
            <w:pPr>
              <w:pStyle w:val="52"/>
              <w:spacing w:line="360" w:lineRule="auto"/>
              <w:ind w:firstLine="480" w:firstLineChars="200"/>
              <w:jc w:val="left"/>
              <w:rPr>
                <w:rFonts w:hint="eastAsia" w:ascii="Times New Roman" w:hAnsi="Times New Roman" w:eastAsia="宋体" w:cs="宋体"/>
                <w:color w:val="auto"/>
                <w:sz w:val="24"/>
                <w:szCs w:val="21"/>
              </w:rPr>
            </w:pPr>
            <w:r>
              <w:rPr>
                <w:rFonts w:hint="eastAsia" w:ascii="Times New Roman" w:hAnsi="Times New Roman" w:eastAsia="宋体" w:cs="宋体"/>
                <w:color w:val="auto"/>
                <w:sz w:val="24"/>
                <w:szCs w:val="21"/>
              </w:rPr>
              <w:t>建设项目需要配套建设的环境保护设施，必须与主体工程同时设计、同时施工、同步投产使用。建设单位应按照环境保护行政主管部门规定的标准和程序，对配套建设的环境保护设施进行验收，编制验收报告。除按照国家规定需要保密的情形外，建设单位应当依法向社会公开验收报告。建设项目配套建设的环境保护设施经验收合格，方可投入生产或者使用；未经验收或者验收不合格的，不得投入生产或者使用。</w:t>
            </w:r>
          </w:p>
          <w:p>
            <w:pPr>
              <w:pStyle w:val="52"/>
              <w:spacing w:line="360" w:lineRule="auto"/>
              <w:ind w:firstLine="480" w:firstLineChars="200"/>
              <w:jc w:val="left"/>
              <w:rPr>
                <w:rFonts w:hint="eastAsia" w:ascii="Times New Roman" w:hAnsi="Times New Roman" w:eastAsia="宋体" w:cs="宋体"/>
                <w:color w:val="auto"/>
                <w:sz w:val="24"/>
                <w:szCs w:val="21"/>
              </w:rPr>
            </w:pPr>
            <w:r>
              <w:rPr>
                <w:rFonts w:hint="eastAsia" w:ascii="Times New Roman" w:hAnsi="Times New Roman" w:eastAsia="宋体" w:cs="宋体"/>
                <w:color w:val="auto"/>
                <w:sz w:val="24"/>
                <w:szCs w:val="21"/>
              </w:rPr>
              <w:t>项目所涉及的主要环保措施验收项目见下表：</w:t>
            </w:r>
          </w:p>
          <w:p>
            <w:pPr>
              <w:pStyle w:val="52"/>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cs="宋体"/>
                <w:b/>
                <w:bCs/>
                <w:color w:val="auto"/>
                <w:sz w:val="24"/>
                <w:szCs w:val="21"/>
                <w:lang w:val="zh-CN"/>
              </w:rPr>
            </w:pPr>
            <w:r>
              <w:rPr>
                <w:rFonts w:hint="eastAsia" w:cs="宋体"/>
                <w:b/>
                <w:bCs/>
                <w:color w:val="auto"/>
                <w:sz w:val="24"/>
                <w:szCs w:val="21"/>
                <w:lang w:val="zh-CN"/>
              </w:rPr>
              <w:t>表</w:t>
            </w:r>
            <w:r>
              <w:rPr>
                <w:rFonts w:hint="eastAsia" w:cs="宋体"/>
                <w:b/>
                <w:bCs/>
                <w:color w:val="auto"/>
                <w:sz w:val="24"/>
                <w:szCs w:val="21"/>
                <w:lang w:val="en-US" w:eastAsia="zh-CN"/>
              </w:rPr>
              <w:t>5-3</w:t>
            </w:r>
            <w:r>
              <w:rPr>
                <w:rFonts w:hint="eastAsia" w:cs="宋体"/>
                <w:b/>
                <w:bCs/>
                <w:color w:val="auto"/>
                <w:sz w:val="24"/>
                <w:szCs w:val="21"/>
                <w:lang w:val="zh-CN"/>
              </w:rPr>
              <w:t xml:space="preserve">  </w:t>
            </w:r>
            <w:r>
              <w:rPr>
                <w:rFonts w:hint="eastAsia" w:cs="宋体"/>
                <w:b/>
                <w:bCs/>
                <w:color w:val="auto"/>
                <w:sz w:val="24"/>
                <w:szCs w:val="21"/>
              </w:rPr>
              <w:t>项目竣工</w:t>
            </w:r>
            <w:r>
              <w:rPr>
                <w:rFonts w:hint="eastAsia" w:cs="宋体"/>
                <w:b/>
                <w:bCs/>
                <w:color w:val="auto"/>
                <w:sz w:val="24"/>
                <w:szCs w:val="21"/>
                <w:lang w:val="zh-CN"/>
              </w:rPr>
              <w:t>环境保护验收一览表</w:t>
            </w:r>
          </w:p>
          <w:tbl>
            <w:tblPr>
              <w:tblStyle w:val="23"/>
              <w:tblW w:w="791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31"/>
              <w:gridCol w:w="1407"/>
              <w:gridCol w:w="1443"/>
              <w:gridCol w:w="2513"/>
              <w:gridCol w:w="212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63" w:hRule="atLeast"/>
                <w:tblHeader/>
              </w:trPr>
              <w:tc>
                <w:tcPr>
                  <w:tcW w:w="431" w:type="dxa"/>
                  <w:tcBorders>
                    <w:tl2br w:val="nil"/>
                    <w:tr2bl w:val="nil"/>
                  </w:tcBorders>
                  <w:shd w:val="clear" w:color="auto" w:fill="auto"/>
                  <w:vAlign w:val="center"/>
                </w:tcPr>
                <w:p>
                  <w:pPr>
                    <w:adjustRightInd w:val="0"/>
                    <w:snapToGrid w:val="0"/>
                    <w:jc w:val="center"/>
                    <w:rPr>
                      <w:b/>
                      <w:bCs/>
                      <w:snapToGrid w:val="0"/>
                      <w:color w:val="auto"/>
                      <w:sz w:val="21"/>
                      <w:szCs w:val="21"/>
                    </w:rPr>
                  </w:pPr>
                  <w:r>
                    <w:rPr>
                      <w:rFonts w:hint="eastAsia"/>
                      <w:b/>
                      <w:bCs/>
                      <w:snapToGrid w:val="0"/>
                      <w:color w:val="auto"/>
                      <w:sz w:val="21"/>
                      <w:szCs w:val="21"/>
                    </w:rPr>
                    <w:t>项目</w:t>
                  </w:r>
                </w:p>
              </w:tc>
              <w:tc>
                <w:tcPr>
                  <w:tcW w:w="1407" w:type="dxa"/>
                  <w:tcBorders>
                    <w:tl2br w:val="nil"/>
                    <w:tr2bl w:val="nil"/>
                  </w:tcBorders>
                  <w:shd w:val="clear" w:color="auto" w:fill="auto"/>
                  <w:vAlign w:val="center"/>
                </w:tcPr>
                <w:p>
                  <w:pPr>
                    <w:jc w:val="center"/>
                    <w:rPr>
                      <w:b/>
                      <w:bCs/>
                      <w:color w:val="auto"/>
                      <w:sz w:val="21"/>
                      <w:szCs w:val="21"/>
                    </w:rPr>
                  </w:pPr>
                  <w:r>
                    <w:rPr>
                      <w:rFonts w:hint="eastAsia"/>
                      <w:b/>
                      <w:color w:val="auto"/>
                      <w:sz w:val="21"/>
                      <w:szCs w:val="21"/>
                    </w:rPr>
                    <w:t>排放源</w:t>
                  </w:r>
                </w:p>
              </w:tc>
              <w:tc>
                <w:tcPr>
                  <w:tcW w:w="1443" w:type="dxa"/>
                  <w:tcBorders>
                    <w:tl2br w:val="nil"/>
                    <w:tr2bl w:val="nil"/>
                  </w:tcBorders>
                  <w:shd w:val="clear" w:color="auto" w:fill="auto"/>
                  <w:vAlign w:val="center"/>
                </w:tcPr>
                <w:p>
                  <w:pPr>
                    <w:jc w:val="center"/>
                    <w:rPr>
                      <w:b/>
                      <w:bCs/>
                      <w:color w:val="auto"/>
                      <w:sz w:val="21"/>
                      <w:szCs w:val="21"/>
                    </w:rPr>
                  </w:pPr>
                  <w:r>
                    <w:rPr>
                      <w:rFonts w:hint="eastAsia"/>
                      <w:b/>
                      <w:color w:val="auto"/>
                      <w:sz w:val="21"/>
                      <w:szCs w:val="21"/>
                    </w:rPr>
                    <w:t>污染物名称</w:t>
                  </w:r>
                </w:p>
              </w:tc>
              <w:tc>
                <w:tcPr>
                  <w:tcW w:w="2513" w:type="dxa"/>
                  <w:tcBorders>
                    <w:tl2br w:val="nil"/>
                    <w:tr2bl w:val="nil"/>
                  </w:tcBorders>
                  <w:shd w:val="clear" w:color="auto" w:fill="auto"/>
                  <w:vAlign w:val="center"/>
                </w:tcPr>
                <w:p>
                  <w:pPr>
                    <w:adjustRightInd w:val="0"/>
                    <w:snapToGrid w:val="0"/>
                    <w:jc w:val="center"/>
                    <w:rPr>
                      <w:b/>
                      <w:bCs/>
                      <w:snapToGrid w:val="0"/>
                      <w:color w:val="auto"/>
                      <w:sz w:val="21"/>
                      <w:szCs w:val="21"/>
                    </w:rPr>
                  </w:pPr>
                  <w:r>
                    <w:rPr>
                      <w:rFonts w:hint="eastAsia"/>
                      <w:b/>
                      <w:bCs/>
                      <w:snapToGrid w:val="0"/>
                      <w:color w:val="auto"/>
                      <w:sz w:val="21"/>
                      <w:szCs w:val="21"/>
                    </w:rPr>
                    <w:t>环保措施</w:t>
                  </w:r>
                </w:p>
              </w:tc>
              <w:tc>
                <w:tcPr>
                  <w:tcW w:w="2122" w:type="dxa"/>
                  <w:tcBorders>
                    <w:tl2br w:val="nil"/>
                    <w:tr2bl w:val="nil"/>
                  </w:tcBorders>
                  <w:shd w:val="clear" w:color="auto" w:fill="auto"/>
                  <w:vAlign w:val="center"/>
                </w:tcPr>
                <w:p>
                  <w:pPr>
                    <w:adjustRightInd w:val="0"/>
                    <w:snapToGrid w:val="0"/>
                    <w:jc w:val="center"/>
                    <w:rPr>
                      <w:b/>
                      <w:bCs/>
                      <w:snapToGrid w:val="0"/>
                      <w:color w:val="auto"/>
                      <w:sz w:val="21"/>
                      <w:szCs w:val="21"/>
                    </w:rPr>
                  </w:pPr>
                  <w:r>
                    <w:rPr>
                      <w:rFonts w:hint="eastAsia"/>
                      <w:b/>
                      <w:bCs/>
                      <w:snapToGrid w:val="0"/>
                      <w:color w:val="auto"/>
                      <w:sz w:val="21"/>
                      <w:szCs w:val="21"/>
                    </w:rPr>
                    <w:t>验收标准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废气</w:t>
                  </w:r>
                </w:p>
              </w:tc>
              <w:tc>
                <w:tcPr>
                  <w:tcW w:w="1407" w:type="dxa"/>
                  <w:tcBorders>
                    <w:tl2br w:val="nil"/>
                    <w:tr2bl w:val="nil"/>
                  </w:tcBorders>
                  <w:vAlign w:val="center"/>
                </w:tcPr>
                <w:p>
                  <w:pPr>
                    <w:adjustRightInd w:val="0"/>
                    <w:snapToGrid w:val="0"/>
                    <w:jc w:val="center"/>
                    <w:rPr>
                      <w:color w:val="auto"/>
                      <w:sz w:val="21"/>
                      <w:szCs w:val="21"/>
                      <w:lang w:bidi="ar"/>
                    </w:rPr>
                  </w:pPr>
                  <w:r>
                    <w:rPr>
                      <w:rFonts w:hint="eastAsia"/>
                      <w:color w:val="auto"/>
                      <w:sz w:val="21"/>
                      <w:szCs w:val="21"/>
                    </w:rPr>
                    <w:t>无组织废气</w:t>
                  </w:r>
                </w:p>
              </w:tc>
              <w:tc>
                <w:tcPr>
                  <w:tcW w:w="1443" w:type="dxa"/>
                  <w:tcBorders>
                    <w:tl2br w:val="nil"/>
                    <w:tr2bl w:val="nil"/>
                  </w:tcBorders>
                  <w:vAlign w:val="center"/>
                </w:tcPr>
                <w:p>
                  <w:pPr>
                    <w:adjustRightInd w:val="0"/>
                    <w:snapToGrid w:val="0"/>
                    <w:jc w:val="center"/>
                    <w:rPr>
                      <w:rFonts w:hint="eastAsia" w:eastAsia="宋体"/>
                      <w:color w:val="auto"/>
                      <w:sz w:val="21"/>
                      <w:szCs w:val="21"/>
                      <w:lang w:eastAsia="zh-CN" w:bidi="ar"/>
                    </w:rPr>
                  </w:pPr>
                  <w:r>
                    <w:rPr>
                      <w:rFonts w:hint="eastAsia" w:ascii="Times New Roman" w:hAnsi="Times New Roman" w:eastAsia="宋体" w:cs="Times New Roman"/>
                      <w:color w:val="auto"/>
                      <w:szCs w:val="21"/>
                      <w:u w:val="none"/>
                      <w:lang w:val="en-US" w:eastAsia="zh-CN"/>
                    </w:rPr>
                    <w:t>废水处理厂恶臭</w:t>
                  </w:r>
                </w:p>
              </w:tc>
              <w:tc>
                <w:tcPr>
                  <w:tcW w:w="2513" w:type="dxa"/>
                  <w:tcBorders>
                    <w:tl2br w:val="nil"/>
                    <w:tr2bl w:val="nil"/>
                  </w:tcBorders>
                  <w:vAlign w:val="center"/>
                </w:tcPr>
                <w:p>
                  <w:pPr>
                    <w:adjustRightInd w:val="0"/>
                    <w:snapToGrid w:val="0"/>
                    <w:jc w:val="center"/>
                    <w:rPr>
                      <w:rFonts w:hint="default" w:eastAsia="宋体"/>
                      <w:color w:val="auto"/>
                      <w:szCs w:val="21"/>
                      <w:lang w:val="en-US" w:eastAsia="zh-CN"/>
                    </w:rPr>
                  </w:pPr>
                  <w:r>
                    <w:rPr>
                      <w:rFonts w:hint="eastAsia" w:ascii="Times New Roman" w:hAnsi="Times New Roman" w:eastAsia="宋体" w:cs="Times New Roman"/>
                      <w:color w:val="auto"/>
                      <w:szCs w:val="21"/>
                      <w:u w:val="none"/>
                      <w:lang w:val="en-US" w:eastAsia="zh-CN"/>
                    </w:rPr>
                    <w:t>废水处理站建构筑物加盖，厂区绿化隔离带、除臭剂、除臭系统一套</w:t>
                  </w:r>
                </w:p>
              </w:tc>
              <w:tc>
                <w:tcPr>
                  <w:tcW w:w="2122" w:type="dxa"/>
                  <w:tcBorders>
                    <w:tl2br w:val="nil"/>
                    <w:tr2bl w:val="nil"/>
                  </w:tcBorders>
                  <w:vAlign w:val="center"/>
                </w:tcPr>
                <w:p>
                  <w:pPr>
                    <w:adjustRightInd w:val="0"/>
                    <w:snapToGrid w:val="0"/>
                    <w:jc w:val="center"/>
                    <w:rPr>
                      <w:rFonts w:hint="eastAsia"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恶臭污染物满足《恶臭污染物排放标准值》（GB14554-93）的二级标准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废水</w:t>
                  </w:r>
                </w:p>
              </w:tc>
              <w:tc>
                <w:tcPr>
                  <w:tcW w:w="1407" w:type="dxa"/>
                  <w:tcBorders>
                    <w:tl2br w:val="nil"/>
                    <w:tr2bl w:val="nil"/>
                  </w:tcBorders>
                  <w:vAlign w:val="center"/>
                </w:tcPr>
                <w:p>
                  <w:pPr>
                    <w:jc w:val="center"/>
                    <w:rPr>
                      <w:rFonts w:hint="default" w:eastAsia="宋体"/>
                      <w:color w:val="auto"/>
                      <w:sz w:val="21"/>
                      <w:szCs w:val="21"/>
                      <w:lang w:val="en-US" w:eastAsia="zh-CN"/>
                    </w:rPr>
                  </w:pPr>
                  <w:r>
                    <w:rPr>
                      <w:rFonts w:hint="eastAsia"/>
                      <w:color w:val="auto"/>
                      <w:sz w:val="21"/>
                      <w:szCs w:val="21"/>
                      <w:lang w:val="en-US" w:eastAsia="zh-CN"/>
                    </w:rPr>
                    <w:t>生活污水</w:t>
                  </w:r>
                </w:p>
              </w:tc>
              <w:tc>
                <w:tcPr>
                  <w:tcW w:w="1443" w:type="dxa"/>
                  <w:tcBorders>
                    <w:tl2br w:val="nil"/>
                    <w:tr2bl w:val="nil"/>
                  </w:tcBorders>
                  <w:vAlign w:val="center"/>
                </w:tcPr>
                <w:p>
                  <w:pPr>
                    <w:jc w:val="center"/>
                    <w:rPr>
                      <w:rFonts w:hint="default" w:eastAsia="宋体"/>
                      <w:color w:val="auto"/>
                      <w:sz w:val="21"/>
                      <w:szCs w:val="21"/>
                      <w:lang w:val="en-US" w:eastAsia="zh-CN"/>
                    </w:rPr>
                  </w:pPr>
                  <w:r>
                    <w:rPr>
                      <w:rFonts w:hint="eastAsia"/>
                      <w:color w:val="auto"/>
                      <w:sz w:val="21"/>
                      <w:szCs w:val="21"/>
                    </w:rPr>
                    <w:t>pH、COD、BOD</w:t>
                  </w:r>
                  <w:r>
                    <w:rPr>
                      <w:color w:val="auto"/>
                      <w:sz w:val="21"/>
                      <w:szCs w:val="21"/>
                      <w:vertAlign w:val="subscript"/>
                    </w:rPr>
                    <w:t>5</w:t>
                  </w:r>
                  <w:r>
                    <w:rPr>
                      <w:rFonts w:hint="eastAsia"/>
                      <w:color w:val="auto"/>
                      <w:sz w:val="21"/>
                      <w:szCs w:val="21"/>
                    </w:rPr>
                    <w:t>、SS、NH</w:t>
                  </w:r>
                  <w:r>
                    <w:rPr>
                      <w:color w:val="auto"/>
                      <w:sz w:val="21"/>
                      <w:szCs w:val="21"/>
                      <w:vertAlign w:val="subscript"/>
                    </w:rPr>
                    <w:t>3</w:t>
                  </w:r>
                  <w:r>
                    <w:rPr>
                      <w:color w:val="auto"/>
                      <w:sz w:val="21"/>
                      <w:szCs w:val="21"/>
                    </w:rPr>
                    <w:t>-N</w:t>
                  </w:r>
                  <w:r>
                    <w:rPr>
                      <w:rFonts w:hint="eastAsia"/>
                      <w:color w:val="auto"/>
                      <w:sz w:val="21"/>
                      <w:szCs w:val="21"/>
                      <w:lang w:val="en-US" w:eastAsia="zh-CN"/>
                    </w:rPr>
                    <w:t>、TP</w:t>
                  </w:r>
                </w:p>
              </w:tc>
              <w:tc>
                <w:tcPr>
                  <w:tcW w:w="2513" w:type="dxa"/>
                  <w:tcBorders>
                    <w:tl2br w:val="nil"/>
                    <w:tr2bl w:val="nil"/>
                  </w:tcBorders>
                  <w:vAlign w:val="center"/>
                </w:tcPr>
                <w:p>
                  <w:pPr>
                    <w:adjustRightInd w:val="0"/>
                    <w:snapToGrid w:val="0"/>
                    <w:jc w:val="center"/>
                    <w:rPr>
                      <w:rFonts w:hint="default" w:ascii="Times New Roman" w:hAnsi="Times New Roman" w:cs="Times New Roman"/>
                      <w:snapToGrid w:val="0"/>
                      <w:color w:val="auto"/>
                      <w:sz w:val="21"/>
                      <w:szCs w:val="21"/>
                      <w:lang w:val="en-US"/>
                    </w:rPr>
                  </w:pPr>
                  <w:r>
                    <w:rPr>
                      <w:rFonts w:hint="eastAsia" w:ascii="Times New Roman" w:hAnsi="Times New Roman" w:cs="Times New Roman"/>
                      <w:snapToGrid w:val="0"/>
                      <w:color w:val="auto"/>
                      <w:sz w:val="21"/>
                      <w:szCs w:val="21"/>
                      <w:lang w:val="en-US" w:eastAsia="zh-CN"/>
                    </w:rPr>
                    <w:t>化粪池+市政污水管网</w:t>
                  </w:r>
                </w:p>
              </w:tc>
              <w:tc>
                <w:tcPr>
                  <w:tcW w:w="2122" w:type="dxa"/>
                  <w:tcBorders>
                    <w:tl2br w:val="nil"/>
                    <w:tr2bl w:val="nil"/>
                  </w:tcBorders>
                  <w:vAlign w:val="center"/>
                </w:tcPr>
                <w:p>
                  <w:pPr>
                    <w:adjustRightInd w:val="0"/>
                    <w:snapToGrid w:val="0"/>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华容县团洲乡污水处理厂</w:t>
                  </w:r>
                  <w:r>
                    <w:rPr>
                      <w:rFonts w:hint="eastAsia" w:ascii="Times New Roman" w:hAnsi="Times New Roman" w:eastAsia="宋体" w:cs="Times New Roman"/>
                      <w:color w:val="auto"/>
                      <w:szCs w:val="21"/>
                      <w:u w:val="none"/>
                      <w:lang w:val="en-US" w:eastAsia="zh-CN"/>
                    </w:rPr>
                    <w:t>/华容县团洲乡团洲新村污水处理厂进水水质标准</w:t>
                  </w:r>
                  <w:r>
                    <w:rPr>
                      <w:rFonts w:hint="default" w:ascii="Times New Roman" w:hAnsi="Times New Roman" w:eastAsia="宋体" w:cs="Times New Roman"/>
                      <w:color w:val="auto"/>
                      <w:szCs w:val="21"/>
                      <w:u w:val="none"/>
                      <w:lang w:val="en-US" w:eastAsia="zh-CN"/>
                    </w:rPr>
                    <w:t>进水水质标准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噪声</w:t>
                  </w:r>
                </w:p>
              </w:tc>
              <w:tc>
                <w:tcPr>
                  <w:tcW w:w="1407"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机械设备</w:t>
                  </w:r>
                </w:p>
              </w:tc>
              <w:tc>
                <w:tcPr>
                  <w:tcW w:w="1443"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设备噪声</w:t>
                  </w:r>
                </w:p>
              </w:tc>
              <w:tc>
                <w:tcPr>
                  <w:tcW w:w="2513"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低噪声设备、基础减振、厂房隔声</w:t>
                  </w:r>
                </w:p>
              </w:tc>
              <w:tc>
                <w:tcPr>
                  <w:tcW w:w="2122" w:type="dxa"/>
                  <w:tcBorders>
                    <w:tl2br w:val="nil"/>
                    <w:tr2bl w:val="nil"/>
                  </w:tcBorders>
                  <w:vAlign w:val="center"/>
                </w:tcPr>
                <w:p>
                  <w:pPr>
                    <w:adjustRightInd w:val="0"/>
                    <w:snapToGrid w:val="0"/>
                    <w:jc w:val="center"/>
                    <w:rPr>
                      <w:rFonts w:hint="eastAsia"/>
                      <w:snapToGrid w:val="0"/>
                      <w:color w:val="auto"/>
                      <w:sz w:val="21"/>
                      <w:szCs w:val="21"/>
                    </w:rPr>
                  </w:pPr>
                  <w:r>
                    <w:rPr>
                      <w:rFonts w:hint="eastAsia"/>
                      <w:snapToGrid w:val="0"/>
                      <w:color w:val="auto"/>
                      <w:sz w:val="21"/>
                      <w:szCs w:val="21"/>
                    </w:rPr>
                    <w:t>厂界噪声执行《工业企业厂界环境噪声排放标准》（GB12348</w:t>
                  </w:r>
                  <w:r>
                    <w:rPr>
                      <w:rFonts w:hint="eastAsia"/>
                      <w:snapToGrid w:val="0"/>
                      <w:color w:val="auto"/>
                      <w:sz w:val="21"/>
                      <w:szCs w:val="21"/>
                      <w:lang w:val="en-US" w:eastAsia="zh-CN"/>
                    </w:rPr>
                    <w:t xml:space="preserve"> </w:t>
                  </w:r>
                  <w:r>
                    <w:rPr>
                      <w:rFonts w:hint="eastAsia"/>
                      <w:snapToGrid w:val="0"/>
                      <w:color w:val="auto"/>
                      <w:sz w:val="21"/>
                      <w:szCs w:val="21"/>
                    </w:rPr>
                    <w:t>-2008）中 2类标准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vMerge w:val="restart"/>
                  <w:tcBorders>
                    <w:tl2br w:val="nil"/>
                    <w:tr2bl w:val="nil"/>
                  </w:tcBorders>
                  <w:vAlign w:val="center"/>
                </w:tcPr>
                <w:p>
                  <w:pPr>
                    <w:autoSpaceDE w:val="0"/>
                    <w:autoSpaceDN w:val="0"/>
                    <w:adjustRightInd w:val="0"/>
                    <w:snapToGrid w:val="0"/>
                    <w:jc w:val="center"/>
                    <w:rPr>
                      <w:bCs/>
                      <w:color w:val="auto"/>
                      <w:kern w:val="0"/>
                      <w:sz w:val="21"/>
                      <w:szCs w:val="21"/>
                    </w:rPr>
                  </w:pPr>
                  <w:r>
                    <w:rPr>
                      <w:rFonts w:hint="eastAsia"/>
                      <w:bCs/>
                      <w:color w:val="auto"/>
                      <w:kern w:val="0"/>
                      <w:sz w:val="21"/>
                      <w:szCs w:val="21"/>
                    </w:rPr>
                    <w:t>固废</w:t>
                  </w:r>
                </w:p>
              </w:tc>
              <w:tc>
                <w:tcPr>
                  <w:tcW w:w="1407" w:type="dxa"/>
                  <w:tcBorders>
                    <w:tl2br w:val="nil"/>
                    <w:tr2bl w:val="nil"/>
                  </w:tcBorders>
                  <w:vAlign w:val="center"/>
                </w:tcPr>
                <w:p>
                  <w:pPr>
                    <w:autoSpaceDE w:val="0"/>
                    <w:autoSpaceDN w:val="0"/>
                    <w:adjustRightInd w:val="0"/>
                    <w:snapToGrid w:val="0"/>
                    <w:jc w:val="center"/>
                    <w:rPr>
                      <w:rFonts w:hint="default" w:eastAsia="宋体"/>
                      <w:bCs/>
                      <w:color w:val="auto"/>
                      <w:kern w:val="0"/>
                      <w:sz w:val="21"/>
                      <w:szCs w:val="21"/>
                      <w:lang w:val="en-US" w:eastAsia="zh-CN"/>
                    </w:rPr>
                  </w:pPr>
                  <w:r>
                    <w:rPr>
                      <w:rFonts w:hint="eastAsia"/>
                      <w:bCs/>
                      <w:color w:val="auto"/>
                      <w:kern w:val="0"/>
                      <w:sz w:val="21"/>
                      <w:szCs w:val="21"/>
                      <w:lang w:val="en-US" w:eastAsia="zh-CN"/>
                    </w:rPr>
                    <w:t>生活垃圾</w:t>
                  </w:r>
                </w:p>
              </w:tc>
              <w:tc>
                <w:tcPr>
                  <w:tcW w:w="1443" w:type="dxa"/>
                  <w:tcBorders>
                    <w:tl2br w:val="nil"/>
                    <w:tr2bl w:val="nil"/>
                  </w:tcBorders>
                  <w:vAlign w:val="center"/>
                </w:tcPr>
                <w:p>
                  <w:pPr>
                    <w:adjustRightInd w:val="0"/>
                    <w:snapToGrid w:val="0"/>
                    <w:jc w:val="center"/>
                    <w:rPr>
                      <w:rFonts w:hint="default" w:eastAsia="宋体"/>
                      <w:snapToGrid w:val="0"/>
                      <w:color w:val="auto"/>
                      <w:sz w:val="21"/>
                      <w:szCs w:val="21"/>
                      <w:lang w:val="en-US" w:eastAsia="zh-CN"/>
                    </w:rPr>
                  </w:pPr>
                  <w:r>
                    <w:rPr>
                      <w:rFonts w:hint="eastAsia"/>
                      <w:snapToGrid w:val="0"/>
                      <w:color w:val="auto"/>
                      <w:sz w:val="21"/>
                      <w:szCs w:val="21"/>
                      <w:lang w:val="en-US" w:eastAsia="zh-CN"/>
                    </w:rPr>
                    <w:t>果皮、纸张等</w:t>
                  </w:r>
                </w:p>
              </w:tc>
              <w:tc>
                <w:tcPr>
                  <w:tcW w:w="2513" w:type="dxa"/>
                  <w:tcBorders>
                    <w:tl2br w:val="nil"/>
                    <w:tr2bl w:val="nil"/>
                  </w:tcBorders>
                  <w:vAlign w:val="center"/>
                </w:tcPr>
                <w:p>
                  <w:pPr>
                    <w:adjustRightInd w:val="0"/>
                    <w:snapToGrid w:val="0"/>
                    <w:jc w:val="center"/>
                    <w:rPr>
                      <w:snapToGrid w:val="0"/>
                      <w:color w:val="auto"/>
                      <w:sz w:val="21"/>
                      <w:szCs w:val="21"/>
                    </w:rPr>
                  </w:pPr>
                </w:p>
                <w:p>
                  <w:pPr>
                    <w:adjustRightInd w:val="0"/>
                    <w:snapToGrid w:val="0"/>
                    <w:jc w:val="center"/>
                    <w:rPr>
                      <w:rFonts w:hint="default"/>
                      <w:snapToGrid w:val="0"/>
                      <w:color w:val="auto"/>
                      <w:sz w:val="21"/>
                      <w:szCs w:val="21"/>
                      <w:lang w:val="en-US"/>
                    </w:rPr>
                  </w:pPr>
                  <w:r>
                    <w:rPr>
                      <w:rFonts w:hint="eastAsia"/>
                      <w:snapToGrid w:val="0"/>
                      <w:color w:val="auto"/>
                      <w:sz w:val="21"/>
                      <w:szCs w:val="21"/>
                      <w:lang w:val="en-US" w:eastAsia="zh-CN"/>
                    </w:rPr>
                    <w:t>分类收集垃圾桶+环卫及时清运</w:t>
                  </w:r>
                </w:p>
              </w:tc>
              <w:tc>
                <w:tcPr>
                  <w:tcW w:w="2122" w:type="dxa"/>
                  <w:tcBorders>
                    <w:tl2br w:val="nil"/>
                    <w:tr2bl w:val="nil"/>
                  </w:tcBorders>
                  <w:vAlign w:val="center"/>
                </w:tcPr>
                <w:p>
                  <w:pPr>
                    <w:adjustRightInd w:val="0"/>
                    <w:snapToGrid w:val="0"/>
                    <w:jc w:val="center"/>
                    <w:rPr>
                      <w:rFonts w:hint="eastAsia" w:ascii="Times New Roman" w:hAnsi="Times New Roman" w:eastAsia="宋体" w:cs="Times New Roman"/>
                      <w:snapToGrid w:val="0"/>
                      <w:color w:val="auto"/>
                      <w:sz w:val="21"/>
                      <w:szCs w:val="21"/>
                      <w:lang w:val="en-US" w:eastAsia="zh-CN"/>
                    </w:rPr>
                  </w:pPr>
                  <w:r>
                    <w:rPr>
                      <w:rFonts w:hint="eastAsia" w:ascii="Times New Roman" w:hAnsi="Times New Roman" w:eastAsia="宋体" w:cs="Times New Roman"/>
                      <w:snapToGrid w:val="0"/>
                      <w:color w:val="auto"/>
                      <w:sz w:val="21"/>
                      <w:szCs w:val="21"/>
                      <w:lang w:val="en-US" w:eastAsia="zh-CN"/>
                    </w:rPr>
                    <w:t>生活垃圾由垃圾桶集中分类收集后，交由当地环卫部门统一清运处理。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vMerge w:val="continue"/>
                  <w:tcBorders>
                    <w:tl2br w:val="nil"/>
                    <w:tr2bl w:val="nil"/>
                  </w:tcBorders>
                  <w:vAlign w:val="center"/>
                </w:tcPr>
                <w:p>
                  <w:pPr>
                    <w:autoSpaceDE w:val="0"/>
                    <w:autoSpaceDN w:val="0"/>
                    <w:adjustRightInd w:val="0"/>
                    <w:snapToGrid w:val="0"/>
                    <w:jc w:val="center"/>
                    <w:rPr>
                      <w:rFonts w:hint="eastAsia"/>
                      <w:bCs/>
                      <w:color w:val="auto"/>
                      <w:kern w:val="0"/>
                      <w:sz w:val="21"/>
                      <w:szCs w:val="21"/>
                    </w:rPr>
                  </w:pPr>
                </w:p>
              </w:tc>
              <w:tc>
                <w:tcPr>
                  <w:tcW w:w="1407" w:type="dxa"/>
                  <w:tcBorders>
                    <w:tl2br w:val="nil"/>
                    <w:tr2bl w:val="nil"/>
                  </w:tcBorders>
                  <w:vAlign w:val="center"/>
                </w:tcPr>
                <w:p>
                  <w:pPr>
                    <w:adjustRightInd w:val="0"/>
                    <w:snapToGrid w:val="0"/>
                    <w:jc w:val="center"/>
                    <w:rPr>
                      <w:rFonts w:hint="eastAsia"/>
                      <w:bCs/>
                      <w:color w:val="auto"/>
                      <w:kern w:val="0"/>
                      <w:sz w:val="21"/>
                      <w:szCs w:val="21"/>
                      <w:lang w:val="en-US" w:eastAsia="zh-CN"/>
                    </w:rPr>
                  </w:pPr>
                  <w:r>
                    <w:rPr>
                      <w:rFonts w:hint="eastAsia" w:cs="Times New Roman"/>
                      <w:color w:val="auto"/>
                      <w:szCs w:val="21"/>
                      <w:lang w:val="en-US" w:eastAsia="zh-CN"/>
                    </w:rPr>
                    <w:t>一般固废</w:t>
                  </w:r>
                </w:p>
              </w:tc>
              <w:tc>
                <w:tcPr>
                  <w:tcW w:w="1443" w:type="dxa"/>
                  <w:tcBorders>
                    <w:tl2br w:val="nil"/>
                    <w:tr2bl w:val="nil"/>
                  </w:tcBorders>
                  <w:vAlign w:val="center"/>
                </w:tcPr>
                <w:p>
                  <w:pPr>
                    <w:adjustRightInd w:val="0"/>
                    <w:snapToGrid w:val="0"/>
                    <w:jc w:val="center"/>
                    <w:rPr>
                      <w:rFonts w:hint="default"/>
                      <w:snapToGrid w:val="0"/>
                      <w:color w:val="auto"/>
                      <w:sz w:val="21"/>
                      <w:szCs w:val="21"/>
                      <w:lang w:val="en-US" w:eastAsia="zh-CN"/>
                    </w:rPr>
                  </w:pPr>
                  <w:r>
                    <w:rPr>
                      <w:rFonts w:hint="eastAsia"/>
                      <w:snapToGrid w:val="0"/>
                      <w:color w:val="auto"/>
                      <w:sz w:val="21"/>
                      <w:szCs w:val="21"/>
                      <w:lang w:val="en-US" w:eastAsia="zh-CN"/>
                    </w:rPr>
                    <w:t>格栅渣/污水处理站污泥</w:t>
                  </w:r>
                </w:p>
              </w:tc>
              <w:tc>
                <w:tcPr>
                  <w:tcW w:w="2513" w:type="dxa"/>
                  <w:tcBorders>
                    <w:tl2br w:val="nil"/>
                    <w:tr2bl w:val="nil"/>
                  </w:tcBorders>
                  <w:vAlign w:val="center"/>
                </w:tcPr>
                <w:p>
                  <w:pPr>
                    <w:adjustRightInd w:val="0"/>
                    <w:snapToGrid w:val="0"/>
                    <w:jc w:val="center"/>
                    <w:rPr>
                      <w:rFonts w:hint="default"/>
                      <w:snapToGrid w:val="0"/>
                      <w:color w:val="auto"/>
                      <w:sz w:val="21"/>
                      <w:szCs w:val="21"/>
                      <w:lang w:val="en-US" w:eastAsia="zh-CN"/>
                    </w:rPr>
                  </w:pPr>
                  <w:r>
                    <w:rPr>
                      <w:rFonts w:hint="eastAsia"/>
                      <w:snapToGrid w:val="0"/>
                      <w:color w:val="auto"/>
                      <w:sz w:val="21"/>
                      <w:szCs w:val="21"/>
                      <w:lang w:val="en-US" w:eastAsia="zh-CN"/>
                    </w:rPr>
                    <w:t>一般固废暂存间</w:t>
                  </w:r>
                </w:p>
              </w:tc>
              <w:tc>
                <w:tcPr>
                  <w:tcW w:w="2122" w:type="dxa"/>
                  <w:tcBorders>
                    <w:tl2br w:val="nil"/>
                    <w:tr2bl w:val="nil"/>
                  </w:tcBorders>
                  <w:vAlign w:val="center"/>
                </w:tcPr>
                <w:p>
                  <w:pPr>
                    <w:adjustRightInd w:val="0"/>
                    <w:snapToGrid w:val="0"/>
                    <w:jc w:val="center"/>
                    <w:rPr>
                      <w:rFonts w:hint="eastAsia" w:ascii="Times New Roman" w:hAnsi="Times New Roman" w:eastAsia="宋体" w:cs="Times New Roman"/>
                      <w:snapToGrid w:val="0"/>
                      <w:color w:val="auto"/>
                      <w:sz w:val="21"/>
                      <w:szCs w:val="21"/>
                      <w:lang w:val="en-US" w:eastAsia="zh-CN"/>
                    </w:rPr>
                  </w:pPr>
                  <w:r>
                    <w:rPr>
                      <w:rFonts w:hint="eastAsia" w:ascii="Times New Roman" w:hAnsi="Times New Roman" w:eastAsia="宋体" w:cs="Times New Roman"/>
                      <w:snapToGrid w:val="0"/>
                      <w:color w:val="auto"/>
                      <w:sz w:val="21"/>
                      <w:szCs w:val="21"/>
                    </w:rPr>
                    <w:t>一般工业固体废物执行《一般工业固体废物贮存和填埋污染控制标准》（GB18599-</w:t>
                  </w:r>
                  <w:r>
                    <w:rPr>
                      <w:rFonts w:hint="eastAsia" w:ascii="Times New Roman" w:hAnsi="Times New Roman" w:eastAsia="宋体" w:cs="Times New Roman"/>
                      <w:snapToGrid w:val="0"/>
                      <w:color w:val="auto"/>
                      <w:sz w:val="21"/>
                      <w:szCs w:val="21"/>
                      <w:lang w:val="en-US" w:eastAsia="zh-CN"/>
                    </w:rPr>
                    <w:t xml:space="preserve"> </w:t>
                  </w:r>
                  <w:r>
                    <w:rPr>
                      <w:rFonts w:hint="eastAsia" w:ascii="Times New Roman" w:hAnsi="Times New Roman" w:eastAsia="宋体" w:cs="Times New Roman"/>
                      <w:snapToGrid w:val="0"/>
                      <w:color w:val="auto"/>
                      <w:sz w:val="21"/>
                      <w:szCs w:val="21"/>
                    </w:rPr>
                    <w:t>2020）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vMerge w:val="continue"/>
                  <w:tcBorders>
                    <w:tl2br w:val="nil"/>
                    <w:tr2bl w:val="nil"/>
                  </w:tcBorders>
                  <w:vAlign w:val="center"/>
                </w:tcPr>
                <w:p>
                  <w:pPr>
                    <w:autoSpaceDE w:val="0"/>
                    <w:autoSpaceDN w:val="0"/>
                    <w:adjustRightInd w:val="0"/>
                    <w:snapToGrid w:val="0"/>
                    <w:jc w:val="center"/>
                    <w:rPr>
                      <w:rFonts w:hint="eastAsia"/>
                      <w:bCs/>
                      <w:color w:val="auto"/>
                      <w:kern w:val="0"/>
                      <w:sz w:val="21"/>
                      <w:szCs w:val="21"/>
                    </w:rPr>
                  </w:pPr>
                </w:p>
              </w:tc>
              <w:tc>
                <w:tcPr>
                  <w:tcW w:w="1407" w:type="dxa"/>
                  <w:tcBorders>
                    <w:tl2br w:val="nil"/>
                    <w:tr2bl w:val="nil"/>
                  </w:tcBorders>
                  <w:vAlign w:val="center"/>
                </w:tcPr>
                <w:p>
                  <w:pPr>
                    <w:adjustRightInd w:val="0"/>
                    <w:snapToGrid w:val="0"/>
                    <w:jc w:val="center"/>
                    <w:rPr>
                      <w:rFonts w:hint="eastAsia"/>
                      <w:bCs/>
                      <w:color w:val="auto"/>
                      <w:kern w:val="0"/>
                      <w:sz w:val="21"/>
                      <w:szCs w:val="21"/>
                      <w:lang w:val="en-US" w:eastAsia="zh-CN"/>
                    </w:rPr>
                  </w:pPr>
                  <w:r>
                    <w:rPr>
                      <w:rFonts w:hint="eastAsia" w:cs="Times New Roman"/>
                      <w:color w:val="auto"/>
                      <w:szCs w:val="21"/>
                      <w:lang w:val="en-US" w:eastAsia="zh-CN"/>
                    </w:rPr>
                    <w:t>危险废物</w:t>
                  </w:r>
                </w:p>
              </w:tc>
              <w:tc>
                <w:tcPr>
                  <w:tcW w:w="1443" w:type="dxa"/>
                  <w:tcBorders>
                    <w:tl2br w:val="nil"/>
                    <w:tr2bl w:val="nil"/>
                  </w:tcBorders>
                  <w:vAlign w:val="center"/>
                </w:tcPr>
                <w:p>
                  <w:pPr>
                    <w:adjustRightInd w:val="0"/>
                    <w:snapToGrid w:val="0"/>
                    <w:jc w:val="center"/>
                    <w:rPr>
                      <w:rFonts w:hint="default" w:ascii="Times New Roman" w:hAnsi="Times New Roman" w:eastAsia="宋体" w:cs="Times New Roman"/>
                      <w:snapToGrid w:val="0"/>
                      <w:color w:val="auto"/>
                      <w:sz w:val="21"/>
                      <w:szCs w:val="21"/>
                      <w:lang w:val="en-US" w:eastAsia="zh-CN"/>
                    </w:rPr>
                  </w:pPr>
                  <w:r>
                    <w:rPr>
                      <w:rFonts w:hint="eastAsia" w:ascii="Times New Roman" w:hAnsi="Times New Roman" w:eastAsia="宋体" w:cs="Times New Roman"/>
                      <w:snapToGrid w:val="0"/>
                      <w:color w:val="auto"/>
                      <w:sz w:val="21"/>
                      <w:szCs w:val="21"/>
                      <w:lang w:val="en-US" w:eastAsia="zh-CN"/>
                    </w:rPr>
                    <w:t>机修含油废物、在线监测废液、废紫外灯管等</w:t>
                  </w:r>
                </w:p>
              </w:tc>
              <w:tc>
                <w:tcPr>
                  <w:tcW w:w="2513" w:type="dxa"/>
                  <w:tcBorders>
                    <w:tl2br w:val="nil"/>
                    <w:tr2bl w:val="nil"/>
                  </w:tcBorders>
                  <w:vAlign w:val="center"/>
                </w:tcPr>
                <w:p>
                  <w:pPr>
                    <w:adjustRightInd w:val="0"/>
                    <w:snapToGrid w:val="0"/>
                    <w:jc w:val="center"/>
                    <w:rPr>
                      <w:rFonts w:hint="eastAsia" w:ascii="Times New Roman" w:hAnsi="Times New Roman" w:eastAsia="宋体" w:cs="Times New Roman"/>
                      <w:snapToGrid w:val="0"/>
                      <w:color w:val="auto"/>
                      <w:sz w:val="21"/>
                      <w:szCs w:val="21"/>
                      <w:lang w:val="en-US" w:eastAsia="zh-CN"/>
                    </w:rPr>
                  </w:pPr>
                  <w:r>
                    <w:rPr>
                      <w:rFonts w:hint="eastAsia" w:ascii="Times New Roman" w:hAnsi="Times New Roman" w:eastAsia="宋体" w:cs="Times New Roman"/>
                      <w:snapToGrid w:val="0"/>
                      <w:color w:val="auto"/>
                      <w:sz w:val="21"/>
                      <w:szCs w:val="21"/>
                      <w:lang w:val="en-US" w:eastAsia="zh-CN"/>
                    </w:rPr>
                    <w:t>危废间+交由有资质单位处置</w:t>
                  </w:r>
                </w:p>
              </w:tc>
              <w:tc>
                <w:tcPr>
                  <w:tcW w:w="2122" w:type="dxa"/>
                  <w:tcBorders>
                    <w:tl2br w:val="nil"/>
                    <w:tr2bl w:val="nil"/>
                  </w:tcBorders>
                  <w:vAlign w:val="center"/>
                </w:tcPr>
                <w:p>
                  <w:pPr>
                    <w:adjustRightInd w:val="0"/>
                    <w:snapToGrid w:val="0"/>
                    <w:jc w:val="center"/>
                    <w:rPr>
                      <w:rFonts w:hint="eastAsia" w:ascii="Times New Roman" w:hAnsi="Times New Roman" w:eastAsia="宋体" w:cs="Times New Roman"/>
                      <w:snapToGrid w:val="0"/>
                      <w:color w:val="auto"/>
                      <w:sz w:val="21"/>
                      <w:szCs w:val="21"/>
                      <w:lang w:val="en-US" w:eastAsia="zh-CN"/>
                    </w:rPr>
                  </w:pPr>
                  <w:r>
                    <w:rPr>
                      <w:rFonts w:hint="eastAsia" w:ascii="Times New Roman" w:hAnsi="Times New Roman" w:eastAsia="宋体" w:cs="Times New Roman"/>
                      <w:snapToGrid w:val="0"/>
                      <w:color w:val="auto"/>
                      <w:sz w:val="21"/>
                      <w:szCs w:val="21"/>
                    </w:rPr>
                    <w:t>危险废物执行《危险物贮存污染控制标准》（GB18597</w:t>
                  </w:r>
                  <w:r>
                    <w:rPr>
                      <w:rFonts w:hint="eastAsia" w:ascii="Times New Roman" w:hAnsi="Times New Roman" w:eastAsia="宋体" w:cs="Times New Roman"/>
                      <w:snapToGrid w:val="0"/>
                      <w:color w:val="auto"/>
                      <w:sz w:val="21"/>
                      <w:szCs w:val="21"/>
                      <w:lang w:val="en-US" w:eastAsia="zh-CN"/>
                    </w:rPr>
                    <w:t xml:space="preserve"> </w:t>
                  </w:r>
                  <w:r>
                    <w:rPr>
                      <w:rFonts w:hint="eastAsia" w:ascii="Times New Roman" w:hAnsi="Times New Roman" w:eastAsia="宋体" w:cs="Times New Roman"/>
                      <w:snapToGrid w:val="0"/>
                      <w:color w:val="auto"/>
                      <w:sz w:val="21"/>
                      <w:szCs w:val="21"/>
                    </w:rPr>
                    <w:t>-20</w:t>
                  </w:r>
                  <w:r>
                    <w:rPr>
                      <w:rFonts w:hint="eastAsia" w:ascii="Times New Roman" w:hAnsi="Times New Roman" w:eastAsia="宋体" w:cs="Times New Roman"/>
                      <w:snapToGrid w:val="0"/>
                      <w:color w:val="auto"/>
                      <w:sz w:val="21"/>
                      <w:szCs w:val="21"/>
                      <w:lang w:val="en-US" w:eastAsia="zh-CN"/>
                    </w:rPr>
                    <w:t>23</w:t>
                  </w:r>
                  <w:r>
                    <w:rPr>
                      <w:rFonts w:hint="eastAsia" w:ascii="Times New Roman" w:hAnsi="Times New Roman" w:eastAsia="宋体" w:cs="Times New Roman"/>
                      <w:snapToGrid w:val="0"/>
                      <w:color w:val="auto"/>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tcBorders>
                    <w:tl2br w:val="nil"/>
                    <w:tr2bl w:val="nil"/>
                  </w:tcBorders>
                  <w:vAlign w:val="center"/>
                </w:tcPr>
                <w:p>
                  <w:pPr>
                    <w:autoSpaceDE w:val="0"/>
                    <w:autoSpaceDN w:val="0"/>
                    <w:adjustRightInd w:val="0"/>
                    <w:snapToGrid w:val="0"/>
                    <w:jc w:val="center"/>
                    <w:rPr>
                      <w:rFonts w:hint="eastAsia" w:eastAsia="宋体"/>
                      <w:bCs/>
                      <w:color w:val="auto"/>
                      <w:kern w:val="0"/>
                      <w:sz w:val="21"/>
                      <w:szCs w:val="21"/>
                      <w:lang w:val="en-US" w:eastAsia="zh-CN"/>
                    </w:rPr>
                  </w:pPr>
                  <w:r>
                    <w:rPr>
                      <w:rFonts w:hint="eastAsia"/>
                      <w:bCs/>
                      <w:color w:val="auto"/>
                      <w:kern w:val="0"/>
                      <w:sz w:val="21"/>
                      <w:szCs w:val="21"/>
                      <w:lang w:val="en-US" w:eastAsia="zh-CN"/>
                    </w:rPr>
                    <w:t>其他</w:t>
                  </w:r>
                </w:p>
              </w:tc>
              <w:tc>
                <w:tcPr>
                  <w:tcW w:w="1407" w:type="dxa"/>
                  <w:tcBorders>
                    <w:tl2br w:val="nil"/>
                    <w:tr2bl w:val="nil"/>
                  </w:tcBorders>
                  <w:vAlign w:val="center"/>
                </w:tcPr>
                <w:p>
                  <w:pPr>
                    <w:autoSpaceDE w:val="0"/>
                    <w:autoSpaceDN w:val="0"/>
                    <w:adjustRightInd w:val="0"/>
                    <w:snapToGrid w:val="0"/>
                    <w:jc w:val="center"/>
                    <w:rPr>
                      <w:rFonts w:hint="default"/>
                      <w:bCs/>
                      <w:color w:val="auto"/>
                      <w:kern w:val="0"/>
                      <w:sz w:val="21"/>
                      <w:szCs w:val="21"/>
                      <w:lang w:val="en-US" w:eastAsia="zh-CN"/>
                    </w:rPr>
                  </w:pPr>
                  <w:r>
                    <w:rPr>
                      <w:rFonts w:hint="eastAsia"/>
                      <w:bCs/>
                      <w:color w:val="auto"/>
                      <w:kern w:val="0"/>
                      <w:sz w:val="21"/>
                      <w:szCs w:val="21"/>
                      <w:lang w:val="en-US" w:eastAsia="zh-CN"/>
                    </w:rPr>
                    <w:t>/</w:t>
                  </w:r>
                </w:p>
              </w:tc>
              <w:tc>
                <w:tcPr>
                  <w:tcW w:w="1443" w:type="dxa"/>
                  <w:tcBorders>
                    <w:tl2br w:val="nil"/>
                    <w:tr2bl w:val="nil"/>
                  </w:tcBorders>
                  <w:vAlign w:val="center"/>
                </w:tcPr>
                <w:p>
                  <w:pPr>
                    <w:adjustRightInd w:val="0"/>
                    <w:snapToGrid w:val="0"/>
                    <w:jc w:val="center"/>
                    <w:rPr>
                      <w:rFonts w:hint="default"/>
                      <w:snapToGrid w:val="0"/>
                      <w:color w:val="auto"/>
                      <w:sz w:val="21"/>
                      <w:szCs w:val="21"/>
                      <w:lang w:val="en-US" w:eastAsia="zh-CN"/>
                    </w:rPr>
                  </w:pPr>
                  <w:r>
                    <w:rPr>
                      <w:rFonts w:hint="eastAsia"/>
                      <w:snapToGrid w:val="0"/>
                      <w:color w:val="auto"/>
                      <w:sz w:val="21"/>
                      <w:szCs w:val="21"/>
                      <w:lang w:val="en-US" w:eastAsia="zh-CN"/>
                    </w:rPr>
                    <w:t>项目建设占地</w:t>
                  </w:r>
                </w:p>
              </w:tc>
              <w:tc>
                <w:tcPr>
                  <w:tcW w:w="2513" w:type="dxa"/>
                  <w:tcBorders>
                    <w:tl2br w:val="nil"/>
                    <w:tr2bl w:val="nil"/>
                  </w:tcBorders>
                  <w:vAlign w:val="center"/>
                </w:tcPr>
                <w:p>
                  <w:pPr>
                    <w:adjustRightInd w:val="0"/>
                    <w:snapToGrid w:val="0"/>
                    <w:jc w:val="center"/>
                    <w:rPr>
                      <w:rFonts w:hint="default"/>
                      <w:snapToGrid w:val="0"/>
                      <w:color w:val="auto"/>
                      <w:sz w:val="21"/>
                      <w:szCs w:val="21"/>
                      <w:lang w:val="en-US" w:eastAsia="zh-CN"/>
                    </w:rPr>
                  </w:pPr>
                  <w:r>
                    <w:rPr>
                      <w:rFonts w:hint="eastAsia"/>
                      <w:snapToGrid w:val="0"/>
                      <w:color w:val="auto"/>
                      <w:sz w:val="21"/>
                      <w:szCs w:val="21"/>
                      <w:lang w:val="en-US" w:eastAsia="zh-CN"/>
                    </w:rPr>
                    <w:t>加强绿化、加强管理</w:t>
                  </w:r>
                </w:p>
              </w:tc>
              <w:tc>
                <w:tcPr>
                  <w:tcW w:w="2122" w:type="dxa"/>
                  <w:tcBorders>
                    <w:tl2br w:val="nil"/>
                    <w:tr2bl w:val="nil"/>
                  </w:tcBorders>
                  <w:vAlign w:val="center"/>
                </w:tcPr>
                <w:p>
                  <w:pPr>
                    <w:adjustRightInd w:val="0"/>
                    <w:snapToGrid w:val="0"/>
                    <w:jc w:val="center"/>
                    <w:rPr>
                      <w:rFonts w:hint="default"/>
                      <w:snapToGrid w:val="0"/>
                      <w:color w:val="auto"/>
                      <w:sz w:val="21"/>
                      <w:szCs w:val="21"/>
                      <w:lang w:val="en-US" w:eastAsia="zh-CN"/>
                    </w:rPr>
                  </w:pPr>
                  <w:r>
                    <w:rPr>
                      <w:rFonts w:hint="eastAsia"/>
                      <w:snapToGrid w:val="0"/>
                      <w:color w:val="auto"/>
                      <w:sz w:val="21"/>
                      <w:szCs w:val="21"/>
                      <w:lang w:val="en-US" w:eastAsia="zh-CN"/>
                    </w:rPr>
                    <w:t>绿化率达到25.10%以上</w:t>
                  </w:r>
                </w:p>
              </w:tc>
            </w:tr>
          </w:tbl>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20" w:firstLineChars="200"/>
              <w:textAlignment w:val="auto"/>
              <w:rPr>
                <w:rFonts w:hint="default" w:ascii="Times New Roman" w:hAnsi="Times New Roman" w:eastAsia="宋体" w:cs="Times New Roman"/>
                <w:bCs/>
                <w:color w:val="auto"/>
                <w:spacing w:val="1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Cs/>
                <w:color w:val="auto"/>
                <w:spacing w:val="10"/>
                <w:sz w:val="24"/>
                <w:szCs w:val="24"/>
                <w:lang w:val="en-US" w:eastAsia="zh-CN"/>
              </w:rPr>
            </w:pPr>
          </w:p>
        </w:tc>
      </w:tr>
    </w:tbl>
    <w:p>
      <w:pPr>
        <w:rPr>
          <w:rFonts w:hint="eastAsia" w:ascii="黑体" w:hAnsi="黑体" w:eastAsia="黑体"/>
          <w:snapToGrid w:val="0"/>
          <w:color w:val="auto"/>
          <w:sz w:val="30"/>
          <w:szCs w:val="30"/>
        </w:rPr>
      </w:pPr>
      <w:r>
        <w:rPr>
          <w:rFonts w:hint="eastAsia" w:ascii="黑体" w:hAnsi="黑体" w:eastAsia="黑体"/>
          <w:snapToGrid w:val="0"/>
          <w:color w:val="auto"/>
          <w:sz w:val="30"/>
          <w:szCs w:val="30"/>
        </w:rPr>
        <w:br w:type="page"/>
      </w:r>
    </w:p>
    <w:p>
      <w:pPr>
        <w:keepNext w:val="0"/>
        <w:keepLines w:val="0"/>
        <w:pageBreakBefore w:val="0"/>
        <w:widowControl w:val="0"/>
        <w:numPr>
          <w:ilvl w:val="0"/>
          <w:numId w:val="9"/>
        </w:numPr>
        <w:kinsoku/>
        <w:wordWrap/>
        <w:overflowPunct/>
        <w:topLinePunct w:val="0"/>
        <w:autoSpaceDE/>
        <w:autoSpaceDN/>
        <w:bidi w:val="0"/>
        <w:adjustRightInd w:val="0"/>
        <w:snapToGrid w:val="0"/>
        <w:ind w:firstLine="0" w:firstLineChars="0"/>
        <w:jc w:val="center"/>
        <w:textAlignment w:val="auto"/>
        <w:outlineLvl w:val="0"/>
        <w:rPr>
          <w:rFonts w:hint="default" w:ascii="Times New Roman" w:hAnsi="Times New Roman" w:eastAsia="黑体" w:cs="Times New Roman"/>
          <w:snapToGrid w:val="0"/>
          <w:color w:val="auto"/>
          <w:sz w:val="30"/>
          <w:szCs w:val="30"/>
        </w:rPr>
      </w:pPr>
      <w:bookmarkStart w:id="21" w:name="_Toc10235"/>
      <w:bookmarkStart w:id="22" w:name="_Toc12760"/>
      <w:bookmarkStart w:id="23" w:name="_Toc15683"/>
      <w:bookmarkStart w:id="24" w:name="_Toc32340"/>
      <w:bookmarkStart w:id="25" w:name="_Toc20635"/>
      <w:bookmarkStart w:id="26" w:name="_Toc16573"/>
      <w:bookmarkStart w:id="27" w:name="_Toc19557"/>
      <w:bookmarkStart w:id="28" w:name="_Toc16874"/>
      <w:bookmarkStart w:id="29" w:name="_Toc11421"/>
      <w:r>
        <w:rPr>
          <w:rFonts w:hint="default" w:ascii="Times New Roman" w:hAnsi="Times New Roman" w:eastAsia="黑体" w:cs="Times New Roman"/>
          <w:snapToGrid w:val="0"/>
          <w:color w:val="auto"/>
          <w:sz w:val="30"/>
          <w:szCs w:val="30"/>
        </w:rPr>
        <w:t>生态环境保护措施监督检查清单</w:t>
      </w:r>
      <w:bookmarkEnd w:id="21"/>
      <w:bookmarkEnd w:id="22"/>
      <w:bookmarkEnd w:id="23"/>
      <w:bookmarkEnd w:id="24"/>
      <w:bookmarkEnd w:id="25"/>
      <w:bookmarkEnd w:id="26"/>
      <w:bookmarkEnd w:id="27"/>
      <w:bookmarkEnd w:id="28"/>
      <w:bookmarkEnd w:id="29"/>
    </w:p>
    <w:p>
      <w:pPr>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outlineLvl w:val="0"/>
        <w:rPr>
          <w:rFonts w:hint="default" w:ascii="Times New Roman" w:hAnsi="Times New Roman" w:eastAsia="黑体" w:cs="Times New Roman"/>
          <w:snapToGrid w:val="0"/>
          <w:color w:val="auto"/>
          <w:sz w:val="30"/>
          <w:szCs w:val="30"/>
        </w:rPr>
      </w:pP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2705"/>
        <w:gridCol w:w="1180"/>
        <w:gridCol w:w="2388"/>
        <w:gridCol w:w="11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059" w:type="dxa"/>
            <w:vMerge w:val="restart"/>
            <w:tcBorders>
              <w:tl2br w:val="single" w:color="auto" w:sz="4" w:space="0"/>
            </w:tcBorders>
            <w:noWrap w:val="0"/>
            <w:vAlign w:val="top"/>
          </w:tcPr>
          <w:p>
            <w:pPr>
              <w:pStyle w:val="82"/>
              <w:bidi w:val="0"/>
              <w:jc w:val="right"/>
              <w:rPr>
                <w:rFonts w:hint="default" w:ascii="Times New Roman" w:hAnsi="Times New Roman" w:cs="Times New Roman"/>
                <w:color w:val="auto"/>
                <w:sz w:val="21"/>
                <w:szCs w:val="21"/>
              </w:rPr>
            </w:pPr>
            <w:bookmarkStart w:id="30" w:name="_Toc8513"/>
            <w:bookmarkStart w:id="31" w:name="_Toc3720"/>
            <w:bookmarkStart w:id="32" w:name="_Toc10050"/>
            <w:bookmarkStart w:id="33" w:name="_Toc23512"/>
            <w:r>
              <w:rPr>
                <w:rFonts w:hint="default" w:ascii="Times New Roman" w:hAnsi="Times New Roman" w:cs="Times New Roman"/>
                <w:color w:val="auto"/>
                <w:sz w:val="21"/>
                <w:szCs w:val="21"/>
              </w:rPr>
              <w:t>内容</w:t>
            </w:r>
            <w:bookmarkEnd w:id="30"/>
            <w:bookmarkEnd w:id="31"/>
            <w:bookmarkEnd w:id="32"/>
            <w:bookmarkEnd w:id="33"/>
          </w:p>
          <w:p>
            <w:pPr>
              <w:pStyle w:val="82"/>
              <w:bidi w:val="0"/>
              <w:rPr>
                <w:rFonts w:hint="default" w:ascii="Times New Roman" w:hAnsi="Times New Roman" w:cs="Times New Roman"/>
                <w:color w:val="auto"/>
                <w:sz w:val="21"/>
                <w:szCs w:val="21"/>
                <w:lang w:eastAsia="zh-CN"/>
              </w:rPr>
            </w:pPr>
          </w:p>
          <w:p>
            <w:pPr>
              <w:pStyle w:val="82"/>
              <w:bidi w:val="0"/>
              <w:jc w:val="left"/>
              <w:rPr>
                <w:rFonts w:hint="default" w:ascii="Times New Roman" w:hAnsi="Times New Roman" w:cs="Times New Roman"/>
                <w:color w:val="auto"/>
                <w:sz w:val="21"/>
                <w:szCs w:val="21"/>
              </w:rPr>
            </w:pPr>
            <w:bookmarkStart w:id="34" w:name="_Toc30363"/>
            <w:bookmarkStart w:id="35" w:name="_Toc13521"/>
            <w:bookmarkStart w:id="36" w:name="_Toc8231"/>
            <w:bookmarkStart w:id="37" w:name="_Toc19374"/>
            <w:r>
              <w:rPr>
                <w:rFonts w:hint="default" w:ascii="Times New Roman" w:hAnsi="Times New Roman" w:cs="Times New Roman"/>
                <w:color w:val="auto"/>
                <w:sz w:val="21"/>
                <w:szCs w:val="21"/>
              </w:rPr>
              <w:t>要素</w:t>
            </w:r>
            <w:bookmarkEnd w:id="34"/>
            <w:bookmarkEnd w:id="35"/>
            <w:bookmarkEnd w:id="36"/>
            <w:bookmarkEnd w:id="37"/>
          </w:p>
        </w:tc>
        <w:tc>
          <w:tcPr>
            <w:tcW w:w="3885" w:type="dxa"/>
            <w:gridSpan w:val="2"/>
            <w:noWrap w:val="0"/>
            <w:vAlign w:val="center"/>
          </w:tcPr>
          <w:p>
            <w:pPr>
              <w:pStyle w:val="82"/>
              <w:bidi w:val="0"/>
              <w:rPr>
                <w:rFonts w:hint="default" w:ascii="Times New Roman" w:hAnsi="Times New Roman" w:cs="Times New Roman"/>
                <w:color w:val="auto"/>
                <w:sz w:val="21"/>
                <w:szCs w:val="21"/>
              </w:rPr>
            </w:pPr>
            <w:bookmarkStart w:id="38" w:name="_Toc1849"/>
            <w:bookmarkStart w:id="39" w:name="_Toc1129"/>
            <w:bookmarkStart w:id="40" w:name="_Toc11388"/>
            <w:bookmarkStart w:id="41" w:name="_Toc28752"/>
            <w:r>
              <w:rPr>
                <w:rFonts w:hint="default" w:ascii="Times New Roman" w:hAnsi="Times New Roman" w:cs="Times New Roman"/>
                <w:color w:val="auto"/>
                <w:sz w:val="21"/>
                <w:szCs w:val="21"/>
              </w:rPr>
              <w:t>施工期</w:t>
            </w:r>
            <w:bookmarkEnd w:id="38"/>
            <w:bookmarkEnd w:id="39"/>
            <w:bookmarkEnd w:id="40"/>
            <w:bookmarkEnd w:id="41"/>
          </w:p>
        </w:tc>
        <w:tc>
          <w:tcPr>
            <w:tcW w:w="3578" w:type="dxa"/>
            <w:gridSpan w:val="2"/>
            <w:noWrap w:val="0"/>
            <w:vAlign w:val="center"/>
          </w:tcPr>
          <w:p>
            <w:pPr>
              <w:pStyle w:val="82"/>
              <w:bidi w:val="0"/>
              <w:rPr>
                <w:rFonts w:hint="default" w:ascii="Times New Roman" w:hAnsi="Times New Roman" w:cs="Times New Roman"/>
                <w:color w:val="auto"/>
                <w:sz w:val="21"/>
                <w:szCs w:val="21"/>
              </w:rPr>
            </w:pPr>
            <w:bookmarkStart w:id="42" w:name="_Toc27513"/>
            <w:bookmarkStart w:id="43" w:name="_Toc31319"/>
            <w:bookmarkStart w:id="44" w:name="_Toc4675"/>
            <w:bookmarkStart w:id="45" w:name="_Toc9079"/>
            <w:r>
              <w:rPr>
                <w:rFonts w:hint="default" w:ascii="Times New Roman" w:hAnsi="Times New Roman" w:cs="Times New Roman"/>
                <w:color w:val="auto"/>
                <w:sz w:val="21"/>
                <w:szCs w:val="21"/>
              </w:rPr>
              <w:t>运营期</w:t>
            </w:r>
            <w:bookmarkEnd w:id="42"/>
            <w:bookmarkEnd w:id="43"/>
            <w:bookmarkEnd w:id="44"/>
            <w:bookmarkEnd w:id="45"/>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059" w:type="dxa"/>
            <w:vMerge w:val="continue"/>
            <w:noWrap w:val="0"/>
            <w:vAlign w:val="top"/>
          </w:tcPr>
          <w:p>
            <w:pPr>
              <w:pStyle w:val="82"/>
              <w:bidi w:val="0"/>
              <w:rPr>
                <w:rFonts w:hint="default" w:ascii="Times New Roman" w:hAnsi="Times New Roman" w:cs="Times New Roman"/>
                <w:color w:val="auto"/>
                <w:sz w:val="21"/>
                <w:szCs w:val="21"/>
              </w:rPr>
            </w:pPr>
          </w:p>
        </w:tc>
        <w:tc>
          <w:tcPr>
            <w:tcW w:w="2705" w:type="dxa"/>
            <w:noWrap w:val="0"/>
            <w:vAlign w:val="center"/>
          </w:tcPr>
          <w:p>
            <w:pPr>
              <w:pStyle w:val="82"/>
              <w:bidi w:val="0"/>
              <w:rPr>
                <w:rFonts w:hint="default" w:ascii="Times New Roman" w:hAnsi="Times New Roman" w:cs="Times New Roman"/>
                <w:color w:val="auto"/>
                <w:sz w:val="21"/>
                <w:szCs w:val="21"/>
              </w:rPr>
            </w:pPr>
            <w:bookmarkStart w:id="46" w:name="_Toc21009"/>
            <w:bookmarkStart w:id="47" w:name="_Toc8833"/>
            <w:bookmarkStart w:id="48" w:name="_Toc5515"/>
            <w:bookmarkStart w:id="49" w:name="_Toc8120"/>
            <w:r>
              <w:rPr>
                <w:rFonts w:hint="default" w:ascii="Times New Roman" w:hAnsi="Times New Roman" w:cs="Times New Roman"/>
                <w:color w:val="auto"/>
                <w:sz w:val="21"/>
                <w:szCs w:val="21"/>
              </w:rPr>
              <w:t>环境保护措施</w:t>
            </w:r>
            <w:bookmarkEnd w:id="46"/>
            <w:bookmarkEnd w:id="47"/>
            <w:bookmarkEnd w:id="48"/>
            <w:bookmarkEnd w:id="49"/>
          </w:p>
        </w:tc>
        <w:tc>
          <w:tcPr>
            <w:tcW w:w="1180" w:type="dxa"/>
            <w:noWrap w:val="0"/>
            <w:vAlign w:val="center"/>
          </w:tcPr>
          <w:p>
            <w:pPr>
              <w:pStyle w:val="82"/>
              <w:bidi w:val="0"/>
              <w:rPr>
                <w:rFonts w:hint="default" w:ascii="Times New Roman" w:hAnsi="Times New Roman" w:cs="Times New Roman"/>
                <w:color w:val="auto"/>
                <w:sz w:val="21"/>
                <w:szCs w:val="21"/>
              </w:rPr>
            </w:pPr>
            <w:bookmarkStart w:id="50" w:name="_Toc18000"/>
            <w:bookmarkStart w:id="51" w:name="_Toc10890"/>
            <w:bookmarkStart w:id="52" w:name="_Toc7915"/>
            <w:bookmarkStart w:id="53" w:name="_Toc17205"/>
            <w:r>
              <w:rPr>
                <w:rFonts w:hint="default" w:ascii="Times New Roman" w:hAnsi="Times New Roman" w:cs="Times New Roman"/>
                <w:color w:val="auto"/>
                <w:sz w:val="21"/>
                <w:szCs w:val="21"/>
              </w:rPr>
              <w:t>验收要求</w:t>
            </w:r>
            <w:bookmarkEnd w:id="50"/>
            <w:bookmarkEnd w:id="51"/>
            <w:bookmarkEnd w:id="52"/>
            <w:bookmarkEnd w:id="53"/>
          </w:p>
        </w:tc>
        <w:tc>
          <w:tcPr>
            <w:tcW w:w="2388" w:type="dxa"/>
            <w:noWrap w:val="0"/>
            <w:vAlign w:val="center"/>
          </w:tcPr>
          <w:p>
            <w:pPr>
              <w:pStyle w:val="82"/>
              <w:bidi w:val="0"/>
              <w:rPr>
                <w:rFonts w:hint="default" w:ascii="Times New Roman" w:hAnsi="Times New Roman" w:cs="Times New Roman"/>
                <w:color w:val="auto"/>
                <w:sz w:val="21"/>
                <w:szCs w:val="21"/>
              </w:rPr>
            </w:pPr>
            <w:bookmarkStart w:id="54" w:name="_Toc638"/>
            <w:bookmarkStart w:id="55" w:name="_Toc15063"/>
            <w:bookmarkStart w:id="56" w:name="_Toc10215"/>
            <w:bookmarkStart w:id="57" w:name="_Toc9253"/>
            <w:r>
              <w:rPr>
                <w:rFonts w:hint="default" w:ascii="Times New Roman" w:hAnsi="Times New Roman" w:cs="Times New Roman"/>
                <w:color w:val="auto"/>
                <w:sz w:val="21"/>
                <w:szCs w:val="21"/>
              </w:rPr>
              <w:t>环境保护措施</w:t>
            </w:r>
            <w:bookmarkEnd w:id="54"/>
            <w:bookmarkEnd w:id="55"/>
            <w:bookmarkEnd w:id="56"/>
            <w:bookmarkEnd w:id="57"/>
          </w:p>
        </w:tc>
        <w:tc>
          <w:tcPr>
            <w:tcW w:w="1190" w:type="dxa"/>
            <w:noWrap w:val="0"/>
            <w:vAlign w:val="center"/>
          </w:tcPr>
          <w:p>
            <w:pPr>
              <w:pStyle w:val="82"/>
              <w:bidi w:val="0"/>
              <w:rPr>
                <w:rFonts w:hint="default" w:ascii="Times New Roman" w:hAnsi="Times New Roman" w:cs="Times New Roman"/>
                <w:color w:val="auto"/>
                <w:sz w:val="21"/>
                <w:szCs w:val="21"/>
              </w:rPr>
            </w:pPr>
            <w:bookmarkStart w:id="58" w:name="_Toc9006"/>
            <w:bookmarkStart w:id="59" w:name="_Toc25774"/>
            <w:bookmarkStart w:id="60" w:name="_Toc8879"/>
            <w:bookmarkStart w:id="61" w:name="_Toc27204"/>
            <w:r>
              <w:rPr>
                <w:rFonts w:hint="default" w:ascii="Times New Roman" w:hAnsi="Times New Roman" w:cs="Times New Roman"/>
                <w:color w:val="auto"/>
                <w:sz w:val="21"/>
                <w:szCs w:val="21"/>
              </w:rPr>
              <w:t>验收要求</w:t>
            </w:r>
            <w:bookmarkEnd w:id="58"/>
            <w:bookmarkEnd w:id="59"/>
            <w:bookmarkEnd w:id="60"/>
            <w:bookmarkEnd w:id="61"/>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rPr>
              <w:t>陆生生态</w:t>
            </w:r>
          </w:p>
        </w:tc>
        <w:tc>
          <w:tcPr>
            <w:tcW w:w="2705"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①合理组织施工、加强施工管理，严格控制施工活动在征地红线范围内进行，减少土地占用；②绿化补偿工作，临时占地生态复垦；③加强对林地、植物保护及恢复；④加强动物保护，严禁捕杀动物；⑤水土保持措施</w:t>
            </w:r>
          </w:p>
        </w:tc>
        <w:tc>
          <w:tcPr>
            <w:tcW w:w="118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eastAsia="zh-CN"/>
              </w:rPr>
              <w:t>影响降低到最小</w:t>
            </w:r>
          </w:p>
        </w:tc>
        <w:tc>
          <w:tcPr>
            <w:tcW w:w="2388" w:type="dxa"/>
            <w:vMerge w:val="restart"/>
            <w:noWrap w:val="0"/>
            <w:vAlign w:val="center"/>
          </w:tcPr>
          <w:p>
            <w:pPr>
              <w:pStyle w:val="8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建设单位必须担负生态保护、恢复、补偿、建设和管理责任</w:t>
            </w:r>
          </w:p>
        </w:tc>
        <w:tc>
          <w:tcPr>
            <w:tcW w:w="119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eastAsia="zh-CN"/>
              </w:rPr>
              <w:t>影响降低到最小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rPr>
              <w:t>水生生态</w:t>
            </w:r>
          </w:p>
        </w:tc>
        <w:tc>
          <w:tcPr>
            <w:tcW w:w="2705" w:type="dxa"/>
            <w:noWrap w:val="0"/>
            <w:vAlign w:val="center"/>
          </w:tcPr>
          <w:p>
            <w:pPr>
              <w:pStyle w:val="8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1180" w:type="dxa"/>
            <w:noWrap w:val="0"/>
            <w:vAlign w:val="center"/>
          </w:tcPr>
          <w:p>
            <w:pPr>
              <w:pStyle w:val="8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影响降低到最小</w:t>
            </w:r>
          </w:p>
        </w:tc>
        <w:tc>
          <w:tcPr>
            <w:tcW w:w="2388" w:type="dxa"/>
            <w:vMerge w:val="continue"/>
            <w:noWrap w:val="0"/>
            <w:vAlign w:val="center"/>
          </w:tcPr>
          <w:p>
            <w:pPr>
              <w:pStyle w:val="84"/>
              <w:bidi w:val="0"/>
              <w:rPr>
                <w:rFonts w:hint="default" w:ascii="Times New Roman" w:hAnsi="Times New Roman" w:cs="Times New Roman"/>
                <w:color w:val="auto"/>
              </w:rPr>
            </w:pPr>
          </w:p>
        </w:tc>
        <w:tc>
          <w:tcPr>
            <w:tcW w:w="1190" w:type="dxa"/>
            <w:noWrap w:val="0"/>
            <w:vAlign w:val="center"/>
          </w:tcPr>
          <w:p>
            <w:pPr>
              <w:pStyle w:val="84"/>
              <w:bidi w:val="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影响降低到最小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rPr>
              <w:t>地表水</w:t>
            </w:r>
          </w:p>
          <w:p>
            <w:pPr>
              <w:pStyle w:val="84"/>
              <w:bidi w:val="0"/>
              <w:rPr>
                <w:rFonts w:hint="default" w:ascii="Times New Roman" w:hAnsi="Times New Roman" w:cs="Times New Roman"/>
                <w:color w:val="auto"/>
              </w:rPr>
            </w:pPr>
            <w:r>
              <w:rPr>
                <w:rFonts w:hint="default" w:ascii="Times New Roman" w:hAnsi="Times New Roman" w:cs="Times New Roman"/>
                <w:color w:val="auto"/>
              </w:rPr>
              <w:t>环境</w:t>
            </w:r>
          </w:p>
        </w:tc>
        <w:tc>
          <w:tcPr>
            <w:tcW w:w="2705"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8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eastAsia="zh-CN"/>
              </w:rPr>
              <w:t>《污水综合排放标准》（GB8978-1996）中表4一级标准</w:t>
            </w:r>
          </w:p>
        </w:tc>
        <w:tc>
          <w:tcPr>
            <w:tcW w:w="2388" w:type="dxa"/>
            <w:noWrap w:val="0"/>
            <w:vAlign w:val="center"/>
          </w:tcPr>
          <w:p>
            <w:pPr>
              <w:pStyle w:val="8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①加强</w:t>
            </w:r>
            <w:r>
              <w:rPr>
                <w:rFonts w:hint="eastAsia" w:cs="Times New Roman"/>
                <w:color w:val="auto"/>
                <w:lang w:val="en-US" w:eastAsia="zh-CN"/>
              </w:rPr>
              <w:t>对安置区内各项设备的</w:t>
            </w:r>
            <w:r>
              <w:rPr>
                <w:rFonts w:hint="default" w:ascii="Times New Roman" w:hAnsi="Times New Roman" w:cs="Times New Roman"/>
                <w:color w:val="auto"/>
                <w:lang w:val="en-US" w:eastAsia="zh-CN"/>
              </w:rPr>
              <w:t>日常维护与管理；②完善</w:t>
            </w:r>
            <w:r>
              <w:rPr>
                <w:rFonts w:hint="eastAsia" w:cs="Times New Roman"/>
                <w:color w:val="auto"/>
                <w:lang w:val="en-US" w:eastAsia="zh-CN"/>
              </w:rPr>
              <w:t>区内</w:t>
            </w:r>
            <w:r>
              <w:rPr>
                <w:rFonts w:hint="default" w:ascii="Times New Roman" w:hAnsi="Times New Roman" w:cs="Times New Roman"/>
                <w:color w:val="auto"/>
                <w:lang w:val="en-US" w:eastAsia="zh-CN"/>
              </w:rPr>
              <w:t>排水设施</w:t>
            </w:r>
          </w:p>
        </w:tc>
        <w:tc>
          <w:tcPr>
            <w:tcW w:w="119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eastAsia="zh-CN"/>
              </w:rPr>
              <w:t>影响降低到最小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rPr>
              <w:t>地下水及土壤环境</w:t>
            </w:r>
          </w:p>
        </w:tc>
        <w:tc>
          <w:tcPr>
            <w:tcW w:w="2705" w:type="dxa"/>
            <w:noWrap w:val="0"/>
            <w:vAlign w:val="center"/>
          </w:tcPr>
          <w:p>
            <w:pPr>
              <w:pStyle w:val="8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18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2388" w:type="dxa"/>
            <w:noWrap w:val="0"/>
            <w:vAlign w:val="center"/>
          </w:tcPr>
          <w:p>
            <w:pPr>
              <w:pStyle w:val="84"/>
              <w:bidi w:val="0"/>
              <w:rPr>
                <w:rFonts w:hint="default" w:ascii="Times New Roman" w:hAnsi="Times New Roman" w:cs="Times New Roman"/>
                <w:color w:val="auto"/>
                <w:lang w:val="en-US"/>
              </w:rPr>
            </w:pPr>
            <w:r>
              <w:rPr>
                <w:rFonts w:hint="eastAsia" w:cs="Times New Roman"/>
                <w:color w:val="auto"/>
                <w:lang w:val="en-US" w:eastAsia="zh-CN"/>
              </w:rPr>
              <w:t>源头控制/分区管控</w:t>
            </w:r>
          </w:p>
        </w:tc>
        <w:tc>
          <w:tcPr>
            <w:tcW w:w="119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eastAsia="zh-CN"/>
              </w:rPr>
              <w:t>影响降低到最小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rPr>
              <w:t>声环境</w:t>
            </w:r>
          </w:p>
        </w:tc>
        <w:tc>
          <w:tcPr>
            <w:tcW w:w="2705" w:type="dxa"/>
            <w:noWrap w:val="0"/>
            <w:vAlign w:val="center"/>
          </w:tcPr>
          <w:p>
            <w:pPr>
              <w:pStyle w:val="8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118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rPr>
              <w:t>《建筑施工场界环境噪声排放标准》（</w:t>
            </w:r>
            <w:r>
              <w:rPr>
                <w:rFonts w:hint="default" w:ascii="Times New Roman" w:hAnsi="Times New Roman" w:cs="Times New Roman"/>
                <w:color w:val="auto"/>
                <w:lang w:val="en-US" w:eastAsia="zh-CN"/>
              </w:rPr>
              <w:t>GB</w:t>
            </w:r>
            <w:r>
              <w:rPr>
                <w:rFonts w:hint="default" w:ascii="Times New Roman" w:hAnsi="Times New Roman" w:cs="Times New Roman"/>
                <w:color w:val="auto"/>
              </w:rPr>
              <w:t>12523-2011）</w:t>
            </w:r>
          </w:p>
        </w:tc>
        <w:tc>
          <w:tcPr>
            <w:tcW w:w="2388" w:type="dxa"/>
            <w:noWrap w:val="0"/>
            <w:vAlign w:val="center"/>
          </w:tcPr>
          <w:p>
            <w:pPr>
              <w:pStyle w:val="84"/>
              <w:bidi w:val="0"/>
              <w:rPr>
                <w:rFonts w:hint="default" w:ascii="Times New Roman" w:hAnsi="Times New Roman" w:cs="Times New Roman"/>
                <w:color w:val="auto"/>
              </w:rPr>
            </w:pPr>
            <w:r>
              <w:rPr>
                <w:rFonts w:hint="eastAsia" w:cs="宋体"/>
                <w:color w:val="auto"/>
                <w:sz w:val="21"/>
                <w:szCs w:val="21"/>
              </w:rPr>
              <w:t>减震、隔声</w:t>
            </w:r>
          </w:p>
        </w:tc>
        <w:tc>
          <w:tcPr>
            <w:tcW w:w="119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rPr>
              <w:t>《声环境质量标准》（GB3096-2008）2类、4a类标准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9"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rPr>
              <w:t>振动</w:t>
            </w:r>
          </w:p>
        </w:tc>
        <w:tc>
          <w:tcPr>
            <w:tcW w:w="2705" w:type="dxa"/>
            <w:shd w:val="clear" w:color="auto" w:fill="auto"/>
            <w:noWrap w:val="0"/>
            <w:vAlign w:val="center"/>
          </w:tcPr>
          <w:p>
            <w:pPr>
              <w:pStyle w:val="84"/>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w:t>
            </w:r>
          </w:p>
        </w:tc>
        <w:tc>
          <w:tcPr>
            <w:tcW w:w="1180" w:type="dxa"/>
            <w:shd w:val="clear" w:color="auto" w:fill="auto"/>
            <w:noWrap w:val="0"/>
            <w:vAlign w:val="center"/>
          </w:tcPr>
          <w:p>
            <w:pPr>
              <w:pStyle w:val="84"/>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w:t>
            </w:r>
          </w:p>
        </w:tc>
        <w:tc>
          <w:tcPr>
            <w:tcW w:w="2388"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9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rPr>
              <w:t>大气环境</w:t>
            </w:r>
          </w:p>
        </w:tc>
        <w:tc>
          <w:tcPr>
            <w:tcW w:w="2705" w:type="dxa"/>
            <w:noWrap w:val="0"/>
            <w:vAlign w:val="center"/>
          </w:tcPr>
          <w:p>
            <w:pPr>
              <w:pStyle w:val="8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180" w:type="dxa"/>
            <w:noWrap w:val="0"/>
            <w:vAlign w:val="center"/>
          </w:tcPr>
          <w:p>
            <w:pPr>
              <w:pStyle w:val="8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2388" w:type="dxa"/>
            <w:noWrap w:val="0"/>
            <w:vAlign w:val="center"/>
          </w:tcPr>
          <w:p>
            <w:pPr>
              <w:pStyle w:val="84"/>
              <w:bidi w:val="0"/>
              <w:rPr>
                <w:rFonts w:hint="default" w:ascii="Times New Roman" w:hAnsi="Times New Roman" w:cs="Times New Roman"/>
                <w:color w:val="auto"/>
                <w:lang w:eastAsia="zh-CN"/>
              </w:rPr>
            </w:pPr>
            <w:r>
              <w:rPr>
                <w:rFonts w:hint="eastAsia" w:ascii="Times New Roman" w:hAnsi="Times New Roman" w:eastAsia="宋体" w:cs="Times New Roman"/>
                <w:color w:val="auto"/>
                <w:szCs w:val="21"/>
                <w:u w:val="none"/>
                <w:lang w:val="en-US" w:eastAsia="zh-CN"/>
              </w:rPr>
              <w:t>废水处理站建构筑物加盖，厂区绿化隔离带、除臭剂、除臭系统一套</w:t>
            </w:r>
          </w:p>
        </w:tc>
        <w:tc>
          <w:tcPr>
            <w:tcW w:w="1190" w:type="dxa"/>
            <w:noWrap w:val="0"/>
            <w:vAlign w:val="center"/>
          </w:tcPr>
          <w:p>
            <w:pPr>
              <w:pStyle w:val="84"/>
              <w:bidi w:val="0"/>
              <w:rPr>
                <w:rFonts w:hint="default" w:ascii="Times New Roman" w:hAnsi="Times New Roman" w:cs="Times New Roman"/>
                <w:color w:val="auto"/>
              </w:rPr>
            </w:pPr>
            <w:r>
              <w:rPr>
                <w:rFonts w:hint="eastAsia" w:ascii="Times New Roman" w:hAnsi="Times New Roman" w:eastAsia="宋体" w:cs="Times New Roman"/>
                <w:color w:val="auto"/>
                <w:szCs w:val="21"/>
                <w:u w:val="none"/>
                <w:lang w:val="en-US" w:eastAsia="zh-CN"/>
              </w:rPr>
              <w:t>《恶臭污染物排放标准值》（GB14554-93）的二级标准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84"/>
              <w:bidi w:val="0"/>
              <w:rPr>
                <w:rFonts w:hint="default" w:ascii="Times New Roman" w:hAnsi="Times New Roman" w:eastAsia="宋体" w:cs="Times New Roman"/>
                <w:color w:val="auto"/>
                <w:lang w:val="en-US" w:eastAsia="zh-CN"/>
              </w:rPr>
            </w:pPr>
            <w:r>
              <w:rPr>
                <w:rFonts w:hint="eastAsia" w:cs="Times New Roman"/>
                <w:color w:val="auto"/>
                <w:lang w:val="en-US" w:eastAsia="zh-CN"/>
              </w:rPr>
              <w:t>地表水环境</w:t>
            </w:r>
          </w:p>
        </w:tc>
        <w:tc>
          <w:tcPr>
            <w:tcW w:w="2705" w:type="dxa"/>
            <w:shd w:val="clear" w:color="auto" w:fill="auto"/>
            <w:noWrap w:val="0"/>
            <w:vAlign w:val="center"/>
          </w:tcPr>
          <w:p>
            <w:pPr>
              <w:pStyle w:val="84"/>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w:t>
            </w:r>
          </w:p>
        </w:tc>
        <w:tc>
          <w:tcPr>
            <w:tcW w:w="1180" w:type="dxa"/>
            <w:shd w:val="clear" w:color="auto" w:fill="auto"/>
            <w:noWrap w:val="0"/>
            <w:vAlign w:val="center"/>
          </w:tcPr>
          <w:p>
            <w:pPr>
              <w:pStyle w:val="84"/>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w:t>
            </w:r>
          </w:p>
        </w:tc>
        <w:tc>
          <w:tcPr>
            <w:tcW w:w="2388" w:type="dxa"/>
            <w:noWrap w:val="0"/>
            <w:vAlign w:val="center"/>
          </w:tcPr>
          <w:p>
            <w:pPr>
              <w:pStyle w:val="84"/>
              <w:bidi w:val="0"/>
              <w:rPr>
                <w:rFonts w:hint="default" w:ascii="Times New Roman" w:hAnsi="Times New Roman" w:eastAsia="宋体" w:cs="Times New Roman"/>
                <w:color w:val="auto"/>
                <w:lang w:val="en-US" w:eastAsia="zh-CN"/>
              </w:rPr>
            </w:pPr>
            <w:r>
              <w:rPr>
                <w:rFonts w:hint="eastAsia" w:cs="宋体"/>
                <w:color w:val="auto"/>
                <w:sz w:val="21"/>
                <w:szCs w:val="21"/>
              </w:rPr>
              <w:t>化粪池</w:t>
            </w:r>
            <w:r>
              <w:rPr>
                <w:rFonts w:hint="eastAsia" w:cs="宋体"/>
                <w:color w:val="auto"/>
                <w:sz w:val="21"/>
                <w:szCs w:val="21"/>
                <w:lang w:val="en-US" w:eastAsia="zh-CN"/>
              </w:rPr>
              <w:t>+市政污水处理厂</w:t>
            </w:r>
          </w:p>
        </w:tc>
        <w:tc>
          <w:tcPr>
            <w:tcW w:w="1190" w:type="dxa"/>
            <w:noWrap w:val="0"/>
            <w:vAlign w:val="center"/>
          </w:tcPr>
          <w:p>
            <w:pPr>
              <w:pStyle w:val="84"/>
              <w:bidi w:val="0"/>
              <w:rPr>
                <w:rFonts w:hint="default" w:ascii="Times New Roman" w:hAnsi="Times New Roman" w:cs="Times New Roman"/>
                <w:color w:val="auto"/>
                <w:lang w:val="en-US" w:eastAsia="zh-CN"/>
              </w:rPr>
            </w:pPr>
            <w:r>
              <w:rPr>
                <w:rFonts w:hint="eastAsia" w:cs="宋体"/>
                <w:color w:val="auto"/>
                <w:sz w:val="21"/>
                <w:szCs w:val="21"/>
                <w:lang w:val="en-US" w:eastAsia="zh-CN"/>
              </w:rPr>
              <w:t>市政污水处理厂进水水质标准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rPr>
              <w:t>固体废物</w:t>
            </w:r>
          </w:p>
        </w:tc>
        <w:tc>
          <w:tcPr>
            <w:tcW w:w="2705" w:type="dxa"/>
            <w:noWrap w:val="0"/>
            <w:vAlign w:val="center"/>
          </w:tcPr>
          <w:p>
            <w:pPr>
              <w:pStyle w:val="8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180" w:type="dxa"/>
            <w:noWrap w:val="0"/>
            <w:vAlign w:val="center"/>
          </w:tcPr>
          <w:p>
            <w:pPr>
              <w:pStyle w:val="8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2388" w:type="dxa"/>
            <w:noWrap w:val="0"/>
            <w:vAlign w:val="center"/>
          </w:tcPr>
          <w:p>
            <w:pPr>
              <w:pStyle w:val="84"/>
              <w:bidi w:val="0"/>
              <w:rPr>
                <w:rFonts w:hint="default" w:ascii="Times New Roman" w:hAnsi="Times New Roman" w:cs="Times New Roman"/>
                <w:color w:val="auto"/>
              </w:rPr>
            </w:pPr>
            <w:r>
              <w:rPr>
                <w:rFonts w:hint="eastAsia" w:cs="宋体"/>
                <w:color w:val="auto"/>
                <w:sz w:val="21"/>
                <w:szCs w:val="21"/>
              </w:rPr>
              <w:t>生活垃圾：分离垃圾桶收集，交由环卫部门统一处置</w:t>
            </w:r>
          </w:p>
        </w:tc>
        <w:tc>
          <w:tcPr>
            <w:tcW w:w="119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rPr>
              <w:t>电磁环境</w:t>
            </w:r>
          </w:p>
        </w:tc>
        <w:tc>
          <w:tcPr>
            <w:tcW w:w="2705"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8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2388"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9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rPr>
              <w:t>环境风险</w:t>
            </w:r>
          </w:p>
        </w:tc>
        <w:tc>
          <w:tcPr>
            <w:tcW w:w="2705"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8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2388" w:type="dxa"/>
            <w:noWrap w:val="0"/>
            <w:vAlign w:val="center"/>
          </w:tcPr>
          <w:p>
            <w:pPr>
              <w:pStyle w:val="84"/>
              <w:bidi w:val="0"/>
              <w:rPr>
                <w:rFonts w:hint="default" w:cs="宋体"/>
                <w:color w:val="auto"/>
                <w:sz w:val="21"/>
                <w:szCs w:val="21"/>
                <w:lang w:val="en-US" w:eastAsia="zh-CN"/>
              </w:rPr>
            </w:pPr>
            <w:r>
              <w:rPr>
                <w:rFonts w:hint="eastAsia" w:cs="宋体"/>
                <w:color w:val="auto"/>
                <w:sz w:val="21"/>
                <w:szCs w:val="21"/>
                <w:lang w:val="en-US" w:eastAsia="zh-CN"/>
              </w:rPr>
              <w:t>加强对天然气管道进行检修维护；合理设置灭火器</w:t>
            </w:r>
          </w:p>
          <w:p>
            <w:pPr>
              <w:pStyle w:val="84"/>
              <w:bidi w:val="0"/>
              <w:rPr>
                <w:rFonts w:hint="default" w:cs="宋体"/>
                <w:color w:val="auto"/>
                <w:sz w:val="21"/>
                <w:szCs w:val="21"/>
              </w:rPr>
            </w:pPr>
          </w:p>
        </w:tc>
        <w:tc>
          <w:tcPr>
            <w:tcW w:w="1190" w:type="dxa"/>
            <w:noWrap w:val="0"/>
            <w:vAlign w:val="center"/>
          </w:tcPr>
          <w:p>
            <w:pPr>
              <w:pStyle w:val="84"/>
              <w:bidi w:val="0"/>
              <w:rPr>
                <w:rFonts w:hint="default" w:cs="宋体"/>
                <w:color w:val="auto"/>
                <w:sz w:val="21"/>
                <w:szCs w:val="21"/>
              </w:rPr>
            </w:pPr>
            <w:r>
              <w:rPr>
                <w:rFonts w:hint="default" w:cs="宋体"/>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rPr>
              <w:t>环境监测</w:t>
            </w:r>
          </w:p>
        </w:tc>
        <w:tc>
          <w:tcPr>
            <w:tcW w:w="2705" w:type="dxa"/>
            <w:noWrap w:val="0"/>
            <w:vAlign w:val="center"/>
          </w:tcPr>
          <w:p>
            <w:pPr>
              <w:pStyle w:val="84"/>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c>
          <w:tcPr>
            <w:tcW w:w="1180" w:type="dxa"/>
            <w:noWrap w:val="0"/>
            <w:vAlign w:val="center"/>
          </w:tcPr>
          <w:p>
            <w:pPr>
              <w:pStyle w:val="8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2388" w:type="dxa"/>
            <w:noWrap w:val="0"/>
            <w:vAlign w:val="center"/>
          </w:tcPr>
          <w:p>
            <w:pPr>
              <w:pStyle w:val="8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19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rPr>
              <w:t>其他</w:t>
            </w:r>
          </w:p>
        </w:tc>
        <w:tc>
          <w:tcPr>
            <w:tcW w:w="2705"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8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2388"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90" w:type="dxa"/>
            <w:noWrap w:val="0"/>
            <w:vAlign w:val="center"/>
          </w:tcPr>
          <w:p>
            <w:pPr>
              <w:pStyle w:val="8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bookmarkEnd w:id="19"/>
      <w:bookmarkEnd w:id="20"/>
    </w:tbl>
    <w:p>
      <w:pPr>
        <w:rPr>
          <w:rFonts w:hint="eastAsia" w:ascii="黑体" w:hAnsi="黑体" w:eastAsia="黑体"/>
          <w:snapToGrid w:val="0"/>
          <w:color w:val="auto"/>
          <w:sz w:val="30"/>
          <w:szCs w:val="30"/>
          <w:lang w:val="en-US" w:eastAsia="zh-CN"/>
        </w:rPr>
      </w:pPr>
      <w:bookmarkStart w:id="62" w:name="_Toc17058"/>
      <w:bookmarkStart w:id="63" w:name="_Toc30481"/>
      <w:r>
        <w:rPr>
          <w:rFonts w:hint="eastAsia" w:ascii="黑体" w:hAnsi="黑体" w:eastAsia="黑体"/>
          <w:snapToGrid w:val="0"/>
          <w:color w:val="auto"/>
          <w:sz w:val="30"/>
          <w:szCs w:val="30"/>
          <w:lang w:val="en-US" w:eastAsia="zh-CN"/>
        </w:rPr>
        <w:br w:type="page"/>
      </w:r>
    </w:p>
    <w:p>
      <w:pPr>
        <w:pStyle w:val="20"/>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lang w:val="en-US" w:eastAsia="zh-CN"/>
        </w:rPr>
        <w:t>七</w:t>
      </w:r>
      <w:r>
        <w:rPr>
          <w:rFonts w:hint="eastAsia" w:ascii="黑体" w:hAnsi="黑体" w:eastAsia="黑体"/>
          <w:snapToGrid w:val="0"/>
          <w:color w:val="auto"/>
          <w:sz w:val="30"/>
          <w:szCs w:val="30"/>
        </w:rPr>
        <w:t>、结论</w:t>
      </w:r>
      <w:bookmarkEnd w:id="62"/>
      <w:bookmarkEnd w:id="63"/>
    </w:p>
    <w:tbl>
      <w:tblPr>
        <w:tblStyle w:val="23"/>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pPr>
              <w:adjustRightInd w:val="0"/>
              <w:snapToGrid w:val="0"/>
              <w:spacing w:line="360" w:lineRule="auto"/>
              <w:ind w:firstLine="482" w:firstLineChars="200"/>
              <w:rPr>
                <w:b/>
                <w:bCs/>
                <w:color w:val="auto"/>
                <w:sz w:val="24"/>
              </w:rPr>
            </w:pPr>
            <w:r>
              <w:rPr>
                <w:rFonts w:hint="eastAsia"/>
                <w:b/>
                <w:bCs/>
                <w:color w:val="auto"/>
                <w:sz w:val="24"/>
              </w:rPr>
              <w:t>1、结论</w:t>
            </w:r>
          </w:p>
          <w:p>
            <w:pPr>
              <w:adjustRightInd w:val="0"/>
              <w:snapToGrid w:val="0"/>
              <w:spacing w:line="360" w:lineRule="auto"/>
              <w:ind w:firstLine="480" w:firstLineChars="200"/>
              <w:rPr>
                <w:color w:val="auto"/>
                <w:sz w:val="24"/>
              </w:rPr>
            </w:pPr>
            <w:r>
              <w:rPr>
                <w:rFonts w:hint="eastAsia"/>
                <w:color w:val="auto"/>
                <w:sz w:val="24"/>
              </w:rPr>
              <w:t>本项目符合国家产业政策，与相关规划相符，选址较合理，通过该项目的工程分析、影响分析，在采取环评提出的污染控制措施的基础上，项目产生的废气、噪声可达到相关排放标准， 固体废物也将得到妥善、安全处置，项目对周边环境空气、声环境、地表水环境</w:t>
            </w:r>
            <w:r>
              <w:rPr>
                <w:rFonts w:hint="eastAsia"/>
                <w:color w:val="auto"/>
                <w:sz w:val="24"/>
                <w:lang w:eastAsia="zh-CN"/>
              </w:rPr>
              <w:t>、</w:t>
            </w:r>
            <w:r>
              <w:rPr>
                <w:rFonts w:hint="eastAsia"/>
                <w:color w:val="auto"/>
                <w:sz w:val="24"/>
                <w:lang w:val="en-US" w:eastAsia="zh-CN"/>
              </w:rPr>
              <w:t>生态环境</w:t>
            </w:r>
            <w:r>
              <w:rPr>
                <w:rFonts w:hint="eastAsia"/>
                <w:color w:val="auto"/>
                <w:sz w:val="24"/>
              </w:rPr>
              <w:t>的影响较小。本项目在该建设地点按照该项目建设内容、建设规模进行建设从环境保护的角度分析是可行的。</w:t>
            </w:r>
          </w:p>
          <w:p>
            <w:pPr>
              <w:numPr>
                <w:ilvl w:val="0"/>
                <w:numId w:val="10"/>
              </w:numPr>
              <w:adjustRightInd w:val="0"/>
              <w:snapToGrid w:val="0"/>
              <w:spacing w:line="360" w:lineRule="auto"/>
              <w:ind w:firstLine="482" w:firstLineChars="200"/>
              <w:rPr>
                <w:b/>
                <w:bCs/>
                <w:color w:val="auto"/>
                <w:sz w:val="24"/>
              </w:rPr>
            </w:pPr>
            <w:r>
              <w:rPr>
                <w:rFonts w:hint="eastAsia"/>
                <w:b/>
                <w:bCs/>
                <w:color w:val="auto"/>
                <w:sz w:val="24"/>
              </w:rPr>
              <w:t>建议</w:t>
            </w:r>
          </w:p>
          <w:p>
            <w:pPr>
              <w:adjustRightInd w:val="0"/>
              <w:snapToGrid w:val="0"/>
              <w:spacing w:line="360" w:lineRule="auto"/>
              <w:ind w:firstLine="480" w:firstLineChars="200"/>
              <w:rPr>
                <w:color w:val="auto"/>
                <w:sz w:val="24"/>
              </w:rPr>
            </w:pPr>
            <w:r>
              <w:rPr>
                <w:color w:val="auto"/>
                <w:sz w:val="24"/>
              </w:rPr>
              <w:t>为确保本项目对环境的影响控制在环境允许的范围内，建设单位要做好下列工作：</w:t>
            </w:r>
          </w:p>
          <w:p>
            <w:pPr>
              <w:adjustRightInd w:val="0"/>
              <w:snapToGrid w:val="0"/>
              <w:spacing w:line="360" w:lineRule="auto"/>
              <w:ind w:firstLine="480" w:firstLineChars="200"/>
              <w:rPr>
                <w:rFonts w:ascii="Times New Roman" w:hAnsi="Times New Roman" w:cs="Times New Roman"/>
                <w:color w:val="auto"/>
                <w:sz w:val="24"/>
              </w:rPr>
            </w:pPr>
            <w:r>
              <w:rPr>
                <w:color w:val="auto"/>
                <w:sz w:val="24"/>
              </w:rPr>
              <w:t>（1</w:t>
            </w:r>
            <w:r>
              <w:rPr>
                <w:rFonts w:ascii="Times New Roman" w:hAnsi="Times New Roman" w:cs="Times New Roman"/>
                <w:color w:val="auto"/>
                <w:sz w:val="24"/>
              </w:rPr>
              <w:t>）</w:t>
            </w:r>
            <w:r>
              <w:rPr>
                <w:rFonts w:hint="eastAsia" w:ascii="Times New Roman" w:hAnsi="Times New Roman" w:cs="Times New Roman"/>
                <w:color w:val="auto"/>
                <w:sz w:val="24"/>
                <w:lang w:val="en-US" w:eastAsia="zh-CN"/>
              </w:rPr>
              <w:t>加强、日常环境管理，有效保证居民生活环境</w:t>
            </w:r>
            <w:r>
              <w:rPr>
                <w:rFonts w:ascii="Times New Roman" w:hAnsi="Times New Roman" w:cs="Times New Roman"/>
                <w:color w:val="auto"/>
                <w:sz w:val="24"/>
              </w:rPr>
              <w:t>。</w:t>
            </w:r>
          </w:p>
          <w:p>
            <w:pPr>
              <w:adjustRightInd w:val="0"/>
              <w:snapToGrid w:val="0"/>
              <w:spacing w:line="360" w:lineRule="auto"/>
              <w:ind w:firstLine="480" w:firstLineChars="200"/>
              <w:rPr>
                <w:rFonts w:ascii="Times New Roman" w:hAnsi="Times New Roman" w:cs="Times New Roman"/>
                <w:color w:val="auto"/>
                <w:sz w:val="24"/>
              </w:rPr>
            </w:pPr>
            <w:r>
              <w:rPr>
                <w:rFonts w:ascii="Times New Roman" w:hAnsi="Times New Roman" w:cs="Times New Roman"/>
                <w:color w:val="auto"/>
                <w:sz w:val="24"/>
              </w:rPr>
              <w:t>（2）如产</w:t>
            </w:r>
            <w:r>
              <w:rPr>
                <w:rFonts w:hint="eastAsia" w:ascii="Times New Roman" w:hAnsi="Times New Roman" w:cs="Times New Roman"/>
                <w:color w:val="auto"/>
                <w:sz w:val="24"/>
                <w:lang w:val="en-US" w:eastAsia="zh-CN"/>
              </w:rPr>
              <w:t>项目规模</w:t>
            </w:r>
            <w:r>
              <w:rPr>
                <w:rFonts w:ascii="Times New Roman" w:hAnsi="Times New Roman" w:cs="Times New Roman"/>
                <w:color w:val="auto"/>
                <w:sz w:val="24"/>
              </w:rPr>
              <w:t>、</w:t>
            </w:r>
            <w:r>
              <w:rPr>
                <w:rFonts w:hint="eastAsia" w:ascii="Times New Roman" w:hAnsi="Times New Roman" w:cs="Times New Roman"/>
                <w:color w:val="auto"/>
                <w:sz w:val="24"/>
                <w:lang w:val="en-US" w:eastAsia="zh-CN"/>
              </w:rPr>
              <w:t>位置等</w:t>
            </w:r>
            <w:r>
              <w:rPr>
                <w:rFonts w:ascii="Times New Roman" w:hAnsi="Times New Roman" w:cs="Times New Roman"/>
                <w:color w:val="auto"/>
                <w:sz w:val="24"/>
              </w:rPr>
              <w:t>情况有大的变动，应及时向有关部门申报。</w:t>
            </w:r>
          </w:p>
          <w:p>
            <w:pPr>
              <w:adjustRightInd w:val="0"/>
              <w:snapToGrid w:val="0"/>
              <w:spacing w:line="360" w:lineRule="auto"/>
              <w:ind w:firstLine="480" w:firstLineChars="200"/>
              <w:rPr>
                <w:rFonts w:hint="eastAsia" w:ascii="Times New Roman" w:hAnsi="Times New Roman" w:cs="Times New Roman"/>
                <w:color w:val="auto"/>
                <w:sz w:val="24"/>
                <w:lang w:val="en-US" w:eastAsia="zh-CN"/>
              </w:rPr>
            </w:pPr>
            <w:r>
              <w:rPr>
                <w:rFonts w:ascii="Times New Roman" w:hAnsi="Times New Roman" w:cs="Times New Roman"/>
                <w:color w:val="auto"/>
                <w:sz w:val="24"/>
              </w:rPr>
              <w:t>（3）</w:t>
            </w:r>
            <w:r>
              <w:rPr>
                <w:rFonts w:hint="eastAsia" w:ascii="Times New Roman" w:hAnsi="Times New Roman" w:cs="Times New Roman"/>
                <w:color w:val="auto"/>
                <w:sz w:val="24"/>
                <w:lang w:val="en-US" w:eastAsia="zh-CN"/>
              </w:rPr>
              <w:t>积极推广生活垃圾分类收集、处理。</w:t>
            </w:r>
          </w:p>
          <w:p>
            <w:pPr>
              <w:adjustRightInd w:val="0"/>
              <w:snapToGrid w:val="0"/>
              <w:spacing w:line="360" w:lineRule="auto"/>
              <w:ind w:firstLine="480" w:firstLineChars="20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4）必须严格执行建设项目竣工环保验收制度，对项目废水、噪声、固废采取相应的治理措施，并将环保治理措施上报环保管理部门备案。项目建成后根据《建设项目竣工环境保护验收暂行办法》经自主验收后方可投入运营。</w:t>
            </w:r>
          </w:p>
          <w:p>
            <w:pPr>
              <w:spacing w:line="360" w:lineRule="auto"/>
              <w:rPr>
                <w:rFonts w:ascii="宋体" w:cs="宋体"/>
                <w:color w:val="auto"/>
                <w:sz w:val="24"/>
              </w:rPr>
            </w:pPr>
          </w:p>
        </w:tc>
      </w:tr>
    </w:tbl>
    <w:p>
      <w:pPr>
        <w:rPr>
          <w:rFonts w:ascii="宋体"/>
          <w:color w:val="auto"/>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pPr>
        <w:jc w:val="center"/>
        <w:outlineLvl w:val="0"/>
        <w:rPr>
          <w:rFonts w:ascii="方正小标宋_GBK" w:hAnsi="黑体" w:eastAsia="方正小标宋_GBK"/>
          <w:snapToGrid w:val="0"/>
          <w:color w:val="auto"/>
          <w:kern w:val="0"/>
          <w:sz w:val="38"/>
          <w:szCs w:val="38"/>
        </w:rPr>
      </w:pPr>
      <w:bookmarkStart w:id="64" w:name="_Toc19926"/>
      <w:bookmarkStart w:id="65" w:name="_Toc23414"/>
      <w:r>
        <w:rPr>
          <w:rFonts w:hint="eastAsia" w:ascii="方正小标宋_GBK" w:hAnsi="黑体" w:eastAsia="方正小标宋_GBK"/>
          <w:snapToGrid w:val="0"/>
          <w:color w:val="auto"/>
          <w:kern w:val="0"/>
          <w:sz w:val="38"/>
          <w:szCs w:val="38"/>
        </w:rPr>
        <w:t>附图</w:t>
      </w:r>
      <w:bookmarkEnd w:id="64"/>
      <w:bookmarkEnd w:id="65"/>
    </w:p>
    <w:p>
      <w:pPr>
        <w:widowControl/>
        <w:spacing w:line="360" w:lineRule="auto"/>
        <w:outlineLvl w:val="1"/>
        <w:rPr>
          <w:color w:val="auto"/>
        </w:rPr>
      </w:pPr>
      <w:bookmarkStart w:id="66" w:name="_Toc14548"/>
      <w:bookmarkStart w:id="67" w:name="_Toc8779"/>
      <w:bookmarkStart w:id="68" w:name="_Toc27214"/>
      <w:bookmarkStart w:id="69" w:name="_Toc5793"/>
      <w:bookmarkStart w:id="70" w:name="_Toc2754"/>
      <w:r>
        <w:rPr>
          <w:b/>
          <w:bCs/>
          <w:color w:val="auto"/>
          <w:sz w:val="28"/>
          <w:szCs w:val="28"/>
        </w:rPr>
        <w:t>附图1 项目地理位置图</w:t>
      </w:r>
      <w:bookmarkEnd w:id="66"/>
      <w:bookmarkEnd w:id="67"/>
      <w:bookmarkEnd w:id="68"/>
      <w:bookmarkEnd w:id="69"/>
      <w:bookmarkEnd w:id="70"/>
    </w:p>
    <w:p>
      <w:pPr>
        <w:jc w:val="center"/>
        <w:rPr>
          <w:color w:val="auto"/>
        </w:rPr>
        <w:sectPr>
          <w:footerReference r:id="rId7" w:type="default"/>
          <w:pgSz w:w="16838" w:h="11906" w:orient="landscape"/>
          <w:pgMar w:top="1417" w:right="1417" w:bottom="1417" w:left="1417" w:header="851" w:footer="992" w:gutter="0"/>
          <w:pgBorders>
            <w:top w:val="none" w:sz="0" w:space="0"/>
            <w:left w:val="none" w:sz="0" w:space="0"/>
            <w:bottom w:val="none" w:sz="0" w:space="0"/>
            <w:right w:val="none" w:sz="0" w:space="0"/>
          </w:pgBorders>
          <w:cols w:space="0" w:num="1"/>
          <w:docGrid w:type="lines" w:linePitch="312" w:charSpace="0"/>
        </w:sectPr>
      </w:pPr>
      <w:r>
        <w:rPr>
          <w:rFonts w:ascii="Times New Roman" w:hAnsi="Times New Roman" w:eastAsia="仿宋_GB2312" w:cs="Times New Roman"/>
          <w:snapToGrid w:val="0"/>
          <w:color w:val="auto"/>
          <w:spacing w:val="0"/>
          <w:kern w:val="0"/>
          <w:position w:val="0"/>
          <w:sz w:val="28"/>
          <w:szCs w:val="28"/>
          <w:lang w:val="en-US" w:eastAsia="en-US" w:bidi="ar-SA"/>
        </w:rPr>
        <w:drawing>
          <wp:inline distT="0" distB="0" distL="114300" distR="114300">
            <wp:extent cx="6126480" cy="4584700"/>
            <wp:effectExtent l="19050" t="19050" r="26670" b="2540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2"/>
                    <a:stretch>
                      <a:fillRect/>
                    </a:stretch>
                  </pic:blipFill>
                  <pic:spPr>
                    <a:xfrm>
                      <a:off x="0" y="0"/>
                      <a:ext cx="6126480" cy="4584700"/>
                    </a:xfrm>
                    <a:prstGeom prst="rect">
                      <a:avLst/>
                    </a:prstGeom>
                    <a:noFill/>
                    <a:ln w="19050" cmpd="sng">
                      <a:solidFill>
                        <a:schemeClr val="tx1"/>
                      </a:solidFill>
                      <a:prstDash val="solid"/>
                    </a:ln>
                  </pic:spPr>
                </pic:pic>
              </a:graphicData>
            </a:graphic>
          </wp:inline>
        </w:drawing>
      </w:r>
    </w:p>
    <w:p>
      <w:pPr>
        <w:widowControl/>
        <w:spacing w:line="360" w:lineRule="auto"/>
        <w:outlineLvl w:val="1"/>
        <w:rPr>
          <w:b/>
          <w:bCs/>
          <w:color w:val="auto"/>
          <w:sz w:val="28"/>
          <w:szCs w:val="28"/>
        </w:rPr>
      </w:pPr>
      <w:bookmarkStart w:id="71" w:name="_Toc29913"/>
      <w:bookmarkStart w:id="72" w:name="_Toc25904"/>
      <w:bookmarkStart w:id="73" w:name="_Toc30049"/>
      <w:bookmarkStart w:id="74" w:name="_Toc32167"/>
      <w:bookmarkStart w:id="75" w:name="_Toc23410"/>
      <w:r>
        <w:rPr>
          <w:b/>
          <w:bCs/>
          <w:color w:val="auto"/>
          <w:sz w:val="28"/>
          <w:szCs w:val="28"/>
        </w:rPr>
        <w:t>附图2 厂区平面布置图</w:t>
      </w:r>
      <w:bookmarkEnd w:id="71"/>
      <w:bookmarkEnd w:id="72"/>
      <w:bookmarkEnd w:id="73"/>
      <w:bookmarkEnd w:id="74"/>
      <w:bookmarkEnd w:id="75"/>
    </w:p>
    <w:p>
      <w:pPr>
        <w:jc w:val="center"/>
      </w:pPr>
      <w:r>
        <w:rPr>
          <w:sz w:val="21"/>
        </w:rPr>
        <mc:AlternateContent>
          <mc:Choice Requires="wps">
            <w:drawing>
              <wp:anchor distT="0" distB="0" distL="114300" distR="114300" simplePos="0" relativeHeight="251686912" behindDoc="0" locked="0" layoutInCell="1" allowOverlap="1">
                <wp:simplePos x="0" y="0"/>
                <wp:positionH relativeFrom="column">
                  <wp:posOffset>6988175</wp:posOffset>
                </wp:positionH>
                <wp:positionV relativeFrom="paragraph">
                  <wp:posOffset>92075</wp:posOffset>
                </wp:positionV>
                <wp:extent cx="1024255" cy="476250"/>
                <wp:effectExtent l="12700" t="12700" r="29845" b="25400"/>
                <wp:wrapNone/>
                <wp:docPr id="89" name="矩形 89"/>
                <wp:cNvGraphicFramePr/>
                <a:graphic xmlns:a="http://schemas.openxmlformats.org/drawingml/2006/main">
                  <a:graphicData uri="http://schemas.microsoft.com/office/word/2010/wordprocessingShape">
                    <wps:wsp>
                      <wps:cNvSpPr/>
                      <wps:spPr>
                        <a:xfrm>
                          <a:off x="8131175" y="1402715"/>
                          <a:ext cx="1024255" cy="4762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安置区一期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50.25pt;margin-top:7.25pt;height:37.5pt;width:80.65pt;z-index:251686912;v-text-anchor:middle;mso-width-relative:page;mso-height-relative:page;" fillcolor="#4F81BD [3204]" filled="t" stroked="t" coordsize="21600,21600" o:gfxdata="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Bf93Fna&#10;AAAACwEAAA8AAAAAAAAAAQAgAAAAIgAAAGRycy9kb3ducmV2LnhtbFBLAQIUABQAAAAIAIdO4kBP&#10;dvFbkAIAABgFAAAOAAAAAAAAAAEAIAAAACkBAABkcnMvZTJvRG9jLnhtbFBLBQYAAAAABgAGAFkB&#10;AAArBgAAAAA=&#10;">
                <v:fill on="t" focussize="0,0"/>
                <v:stroke weight="2pt" color="#376092 [2404]" joinstyle="round"/>
                <v:imagedata o:title=""/>
                <o:lock v:ext="edit" aspectratio="f"/>
                <v:textbox>
                  <w:txbxContent>
                    <w:p>
                      <w:pPr>
                        <w:jc w:val="center"/>
                        <w:rPr>
                          <w:rFonts w:hint="default" w:eastAsia="宋体"/>
                          <w:lang w:val="en-US" w:eastAsia="zh-CN"/>
                        </w:rPr>
                      </w:pPr>
                      <w:r>
                        <w:rPr>
                          <w:rFonts w:hint="eastAsia"/>
                          <w:lang w:val="en-US" w:eastAsia="zh-CN"/>
                        </w:rPr>
                        <w:t>安置区一期</w:t>
                      </w:r>
                    </w:p>
                  </w:txbxContent>
                </v:textbox>
              </v:rect>
            </w:pict>
          </mc:Fallback>
        </mc:AlternateContent>
      </w:r>
      <w:r>
        <w:drawing>
          <wp:inline distT="0" distB="0" distL="114300" distR="114300">
            <wp:extent cx="7803515" cy="5144770"/>
            <wp:effectExtent l="0" t="0" r="0" b="0"/>
            <wp:docPr id="8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9"/>
                    <pic:cNvPicPr>
                      <a:picLocks noChangeAspect="1"/>
                    </pic:cNvPicPr>
                  </pic:nvPicPr>
                  <pic:blipFill>
                    <a:blip r:embed="rId25"/>
                    <a:srcRect l="1214" t="4214" b="6362"/>
                    <a:stretch>
                      <a:fillRect/>
                    </a:stretch>
                  </pic:blipFill>
                  <pic:spPr>
                    <a:xfrm>
                      <a:off x="0" y="0"/>
                      <a:ext cx="7803515" cy="5144770"/>
                    </a:xfrm>
                    <a:prstGeom prst="rect">
                      <a:avLst/>
                    </a:prstGeom>
                    <a:noFill/>
                    <a:ln w="19050" cmpd="sng">
                      <a:solidFill>
                        <a:schemeClr val="tx1"/>
                      </a:solidFill>
                      <a:prstDash val="solid"/>
                    </a:ln>
                  </pic:spPr>
                </pic:pic>
              </a:graphicData>
            </a:graphic>
          </wp:inline>
        </w:drawing>
      </w:r>
    </w:p>
    <w:p>
      <w:pPr>
        <w:jc w:val="center"/>
      </w:pPr>
      <w:r>
        <w:rPr>
          <w:sz w:val="21"/>
        </w:rPr>
        <mc:AlternateContent>
          <mc:Choice Requires="wps">
            <w:drawing>
              <wp:anchor distT="0" distB="0" distL="114300" distR="114300" simplePos="0" relativeHeight="251687936" behindDoc="0" locked="0" layoutInCell="1" allowOverlap="1">
                <wp:simplePos x="0" y="0"/>
                <wp:positionH relativeFrom="column">
                  <wp:posOffset>6012180</wp:posOffset>
                </wp:positionH>
                <wp:positionV relativeFrom="paragraph">
                  <wp:posOffset>143510</wp:posOffset>
                </wp:positionV>
                <wp:extent cx="1024255" cy="476250"/>
                <wp:effectExtent l="12700" t="12700" r="29845" b="25400"/>
                <wp:wrapNone/>
                <wp:docPr id="90" name="矩形 90"/>
                <wp:cNvGraphicFramePr/>
                <a:graphic xmlns:a="http://schemas.openxmlformats.org/drawingml/2006/main">
                  <a:graphicData uri="http://schemas.microsoft.com/office/word/2010/wordprocessingShape">
                    <wps:wsp>
                      <wps:cNvSpPr/>
                      <wps:spPr>
                        <a:xfrm>
                          <a:off x="0" y="0"/>
                          <a:ext cx="1024255" cy="4762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安置区二期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73.4pt;margin-top:11.3pt;height:37.5pt;width:80.65pt;z-index:251687936;v-text-anchor:middle;mso-width-relative:page;mso-height-relative:page;" fillcolor="#4F81BD [3204]" filled="t" stroked="t" coordsize="21600,21600" o:gfxdata="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086ni2QAAAAoBAAAPAAAAAAAA&#10;AAEAIAAAACIAAABkcnMvZG93bnJldi54bWxQSwECFAAUAAAACACHTuJAPp+8CYMCAAAMBQAADgAA&#10;AAAAAAABACAAAAAoAQAAZHJzL2Uyb0RvYy54bWxQSwUGAAAAAAYABgBZAQAAHQYAAAAA&#10;">
                <v:fill on="t" focussize="0,0"/>
                <v:stroke weight="2pt" color="#376092 [2404]" joinstyle="round"/>
                <v:imagedata o:title=""/>
                <o:lock v:ext="edit" aspectratio="f"/>
                <v:textbox>
                  <w:txbxContent>
                    <w:p>
                      <w:pPr>
                        <w:jc w:val="center"/>
                        <w:rPr>
                          <w:rFonts w:hint="default" w:eastAsia="宋体"/>
                          <w:lang w:val="en-US" w:eastAsia="zh-CN"/>
                        </w:rPr>
                      </w:pPr>
                      <w:r>
                        <w:rPr>
                          <w:rFonts w:hint="eastAsia"/>
                          <w:lang w:val="en-US" w:eastAsia="zh-CN"/>
                        </w:rPr>
                        <w:t>安置区二期</w:t>
                      </w:r>
                    </w:p>
                  </w:txbxContent>
                </v:textbox>
              </v:rect>
            </w:pict>
          </mc:Fallback>
        </mc:AlternateContent>
      </w:r>
      <w:r>
        <w:drawing>
          <wp:inline distT="0" distB="0" distL="114300" distR="114300">
            <wp:extent cx="8404225" cy="5153025"/>
            <wp:effectExtent l="19050" t="19050" r="34925" b="28575"/>
            <wp:docPr id="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
                    <pic:cNvPicPr>
                      <a:picLocks noChangeAspect="1"/>
                    </pic:cNvPicPr>
                  </pic:nvPicPr>
                  <pic:blipFill>
                    <a:blip r:embed="rId26"/>
                    <a:srcRect t="2162" b="4006"/>
                    <a:stretch>
                      <a:fillRect/>
                    </a:stretch>
                  </pic:blipFill>
                  <pic:spPr>
                    <a:xfrm>
                      <a:off x="0" y="0"/>
                      <a:ext cx="8404225" cy="5153025"/>
                    </a:xfrm>
                    <a:prstGeom prst="rect">
                      <a:avLst/>
                    </a:prstGeom>
                    <a:noFill/>
                    <a:ln w="19050">
                      <a:solidFill>
                        <a:schemeClr val="tx1"/>
                      </a:solidFill>
                    </a:ln>
                  </pic:spPr>
                </pic:pic>
              </a:graphicData>
            </a:graphic>
          </wp:inline>
        </w:drawing>
      </w:r>
    </w:p>
    <w:p>
      <w:r>
        <w:br w:type="page"/>
      </w:r>
    </w:p>
    <w:p>
      <w:pPr>
        <w:jc w:val="center"/>
        <w:rPr>
          <w:rFonts w:hint="eastAsia"/>
          <w:color w:val="auto"/>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4642485</wp:posOffset>
                </wp:positionH>
                <wp:positionV relativeFrom="paragraph">
                  <wp:posOffset>120015</wp:posOffset>
                </wp:positionV>
                <wp:extent cx="1179195" cy="476250"/>
                <wp:effectExtent l="12700" t="12700" r="27305" b="25400"/>
                <wp:wrapNone/>
                <wp:docPr id="99" name="矩形 99"/>
                <wp:cNvGraphicFramePr/>
                <a:graphic xmlns:a="http://schemas.openxmlformats.org/drawingml/2006/main">
                  <a:graphicData uri="http://schemas.microsoft.com/office/word/2010/wordprocessingShape">
                    <wps:wsp>
                      <wps:cNvSpPr/>
                      <wps:spPr>
                        <a:xfrm>
                          <a:off x="0" y="0"/>
                          <a:ext cx="1179195" cy="4762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安置区三期及配套污水处理厂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5.55pt;margin-top:9.45pt;height:37.5pt;width:92.85pt;z-index:251688960;v-text-anchor:middle;mso-width-relative:page;mso-height-relative:page;" fillcolor="#4F81BD [3204]" filled="t" stroked="t" coordsize="21600,21600" o:gfxdata="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O63LMLYAAAACQEAAA8AAAAAAAAA&#10;AQAgAAAAIgAAAGRycy9kb3ducmV2LnhtbFBLAQIUABQAAAAIAIdO4kDc3nK6gwIAAAwFAAAOAAAA&#10;AAAAAAEAIAAAACcBAABkcnMvZTJvRG9jLnhtbFBLBQYAAAAABgAGAFkBAAAcBgAAAAA=&#10;">
                <v:fill on="t" focussize="0,0"/>
                <v:stroke weight="2pt" color="#376092 [2404]" joinstyle="round"/>
                <v:imagedata o:title=""/>
                <o:lock v:ext="edit" aspectratio="f"/>
                <v:textbox>
                  <w:txbxContent>
                    <w:p>
                      <w:pPr>
                        <w:jc w:val="center"/>
                        <w:rPr>
                          <w:rFonts w:hint="default" w:eastAsia="宋体"/>
                          <w:lang w:val="en-US" w:eastAsia="zh-CN"/>
                        </w:rPr>
                      </w:pPr>
                      <w:r>
                        <w:rPr>
                          <w:rFonts w:hint="eastAsia"/>
                          <w:lang w:val="en-US" w:eastAsia="zh-CN"/>
                        </w:rPr>
                        <w:t>安置区三期及配套污水处理厂</w:t>
                      </w:r>
                    </w:p>
                  </w:txbxContent>
                </v:textbox>
              </v:rect>
            </w:pict>
          </mc:Fallback>
        </mc:AlternateContent>
      </w:r>
      <w:r>
        <w:drawing>
          <wp:inline distT="0" distB="0" distL="114300" distR="114300">
            <wp:extent cx="6520180" cy="5730875"/>
            <wp:effectExtent l="0" t="0" r="13970" b="3175"/>
            <wp:docPr id="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
                    <pic:cNvPicPr>
                      <a:picLocks noChangeAspect="1"/>
                    </pic:cNvPicPr>
                  </pic:nvPicPr>
                  <pic:blipFill>
                    <a:blip r:embed="rId27"/>
                    <a:stretch>
                      <a:fillRect/>
                    </a:stretch>
                  </pic:blipFill>
                  <pic:spPr>
                    <a:xfrm>
                      <a:off x="0" y="0"/>
                      <a:ext cx="6520180" cy="5730875"/>
                    </a:xfrm>
                    <a:prstGeom prst="rect">
                      <a:avLst/>
                    </a:prstGeom>
                    <a:noFill/>
                    <a:ln>
                      <a:noFill/>
                    </a:ln>
                  </pic:spPr>
                </pic:pic>
              </a:graphicData>
            </a:graphic>
          </wp:inline>
        </w:drawing>
      </w:r>
      <w:r>
        <w:rPr>
          <w:rFonts w:hint="eastAsia"/>
          <w:color w:val="auto"/>
          <w:lang w:val="en-US" w:eastAsia="zh-CN"/>
        </w:rPr>
        <w:br w:type="page"/>
      </w:r>
    </w:p>
    <w:p>
      <w:pPr>
        <w:widowControl/>
        <w:spacing w:line="360" w:lineRule="auto"/>
        <w:outlineLvl w:val="1"/>
        <w:rPr>
          <w:b/>
          <w:bCs/>
          <w:color w:val="auto"/>
          <w:sz w:val="28"/>
          <w:szCs w:val="28"/>
        </w:rPr>
      </w:pPr>
      <w:bookmarkStart w:id="76" w:name="_Toc10824"/>
      <w:bookmarkStart w:id="77" w:name="_Toc14316"/>
      <w:bookmarkStart w:id="78" w:name="_Toc4653"/>
      <w:bookmarkStart w:id="79" w:name="_Toc32110"/>
      <w:bookmarkStart w:id="80" w:name="_Toc22328"/>
      <w:r>
        <w:rPr>
          <w:b/>
          <w:bCs/>
          <w:color w:val="auto"/>
          <w:sz w:val="28"/>
          <w:szCs w:val="28"/>
        </w:rPr>
        <w:t>附图</w:t>
      </w:r>
      <w:r>
        <w:rPr>
          <w:rFonts w:hint="eastAsia"/>
          <w:b/>
          <w:bCs/>
          <w:color w:val="auto"/>
          <w:sz w:val="28"/>
          <w:szCs w:val="28"/>
        </w:rPr>
        <w:t>3</w:t>
      </w:r>
      <w:r>
        <w:rPr>
          <w:b/>
          <w:bCs/>
          <w:color w:val="auto"/>
          <w:sz w:val="28"/>
          <w:szCs w:val="28"/>
        </w:rPr>
        <w:t xml:space="preserve"> </w:t>
      </w:r>
      <w:r>
        <w:rPr>
          <w:rFonts w:hint="eastAsia"/>
          <w:b/>
          <w:bCs/>
          <w:color w:val="auto"/>
          <w:sz w:val="28"/>
          <w:szCs w:val="28"/>
        </w:rPr>
        <w:t>项目周边环境及敏感目标</w:t>
      </w:r>
      <w:r>
        <w:rPr>
          <w:b/>
          <w:bCs/>
          <w:color w:val="auto"/>
          <w:sz w:val="28"/>
          <w:szCs w:val="28"/>
        </w:rPr>
        <w:t>图</w:t>
      </w:r>
      <w:bookmarkEnd w:id="76"/>
      <w:bookmarkEnd w:id="77"/>
      <w:bookmarkEnd w:id="78"/>
      <w:bookmarkEnd w:id="79"/>
      <w:bookmarkEnd w:id="80"/>
    </w:p>
    <w:p>
      <w:pPr>
        <w:pStyle w:val="11"/>
        <w:rPr>
          <w:color w:val="auto"/>
        </w:rPr>
      </w:pPr>
      <w:r>
        <w:rPr>
          <w:sz w:val="21"/>
        </w:rPr>
        <mc:AlternateContent>
          <mc:Choice Requires="wps">
            <w:drawing>
              <wp:anchor distT="0" distB="0" distL="114300" distR="114300" simplePos="0" relativeHeight="251689984" behindDoc="0" locked="0" layoutInCell="1" allowOverlap="1">
                <wp:simplePos x="0" y="0"/>
                <wp:positionH relativeFrom="column">
                  <wp:posOffset>6778625</wp:posOffset>
                </wp:positionH>
                <wp:positionV relativeFrom="paragraph">
                  <wp:posOffset>92075</wp:posOffset>
                </wp:positionV>
                <wp:extent cx="1024255" cy="476250"/>
                <wp:effectExtent l="12700" t="12700" r="29845" b="25400"/>
                <wp:wrapNone/>
                <wp:docPr id="46" name="矩形 46"/>
                <wp:cNvGraphicFramePr/>
                <a:graphic xmlns:a="http://schemas.openxmlformats.org/drawingml/2006/main">
                  <a:graphicData uri="http://schemas.microsoft.com/office/word/2010/wordprocessingShape">
                    <wps:wsp>
                      <wps:cNvSpPr/>
                      <wps:spPr>
                        <a:xfrm>
                          <a:off x="0" y="0"/>
                          <a:ext cx="1024255" cy="4762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安置区一期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3.75pt;margin-top:7.25pt;height:37.5pt;width:80.65pt;z-index:251689984;v-text-anchor:middle;mso-width-relative:page;mso-height-relative:page;" fillcolor="#4F81BD [3204]" filled="t" stroked="t" coordsize="21600,21600" o:gfxdata="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In3M32gAAAAsBAAAPAAAAAAAA&#10;AAEAIAAAACIAAABkcnMvZG93bnJldi54bWxQSwECFAAUAAAACACHTuJAzdYzloICAAAMBQAADgAA&#10;AAAAAAABACAAAAApAQAAZHJzL2Uyb0RvYy54bWxQSwUGAAAAAAYABgBZAQAAHQYAAAAA&#10;">
                <v:fill on="t" focussize="0,0"/>
                <v:stroke weight="2pt" color="#376092 [2404]" joinstyle="round"/>
                <v:imagedata o:title=""/>
                <o:lock v:ext="edit" aspectratio="f"/>
                <v:textbox>
                  <w:txbxContent>
                    <w:p>
                      <w:pPr>
                        <w:jc w:val="center"/>
                        <w:rPr>
                          <w:rFonts w:hint="default" w:eastAsia="宋体"/>
                          <w:lang w:val="en-US" w:eastAsia="zh-CN"/>
                        </w:rPr>
                      </w:pPr>
                      <w:r>
                        <w:rPr>
                          <w:rFonts w:hint="eastAsia"/>
                          <w:lang w:val="en-US" w:eastAsia="zh-CN"/>
                        </w:rPr>
                        <w:t>安置区一期</w:t>
                      </w:r>
                    </w:p>
                  </w:txbxContent>
                </v:textbox>
              </v:rect>
            </w:pict>
          </mc:Fallback>
        </mc:AlternateContent>
      </w:r>
      <w:r>
        <w:rPr>
          <w:rFonts w:hint="default" w:ascii="Times New Roman" w:hAnsi="Times New Roman" w:cs="Times New Roman"/>
          <w:color w:val="auto"/>
        </w:rPr>
        <w:drawing>
          <wp:anchor distT="0" distB="0" distL="114300" distR="114300" simplePos="0" relativeHeight="251667456" behindDoc="0" locked="0" layoutInCell="1" allowOverlap="1">
            <wp:simplePos x="0" y="0"/>
            <wp:positionH relativeFrom="column">
              <wp:posOffset>7813675</wp:posOffset>
            </wp:positionH>
            <wp:positionV relativeFrom="paragraph">
              <wp:posOffset>78105</wp:posOffset>
            </wp:positionV>
            <wp:extent cx="529590" cy="689610"/>
            <wp:effectExtent l="0" t="0" r="3810" b="15240"/>
            <wp:wrapNone/>
            <wp:docPr id="36"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11"/>
                    <pic:cNvPicPr>
                      <a:picLocks noChangeAspect="1"/>
                    </pic:cNvPicPr>
                  </pic:nvPicPr>
                  <pic:blipFill>
                    <a:blip r:embed="rId28"/>
                    <a:stretch>
                      <a:fillRect/>
                    </a:stretch>
                  </pic:blipFill>
                  <pic:spPr>
                    <a:xfrm>
                      <a:off x="0" y="0"/>
                      <a:ext cx="529590" cy="689610"/>
                    </a:xfrm>
                    <a:prstGeom prst="rect">
                      <a:avLst/>
                    </a:prstGeom>
                    <a:noFill/>
                    <a:ln>
                      <a:noFill/>
                    </a:ln>
                  </pic:spPr>
                </pic:pic>
              </a:graphicData>
            </a:graphic>
          </wp:anchor>
        </w:drawing>
      </w:r>
      <w:r>
        <w:rPr>
          <w:color w:val="auto"/>
          <w:sz w:val="18"/>
        </w:rPr>
        <mc:AlternateContent>
          <mc:Choice Requires="wps">
            <w:drawing>
              <wp:anchor distT="0" distB="0" distL="114300" distR="114300" simplePos="0" relativeHeight="251666432" behindDoc="0" locked="0" layoutInCell="1" allowOverlap="1">
                <wp:simplePos x="0" y="0"/>
                <wp:positionH relativeFrom="column">
                  <wp:posOffset>3438525</wp:posOffset>
                </wp:positionH>
                <wp:positionV relativeFrom="paragraph">
                  <wp:posOffset>1885950</wp:posOffset>
                </wp:positionV>
                <wp:extent cx="911860" cy="530225"/>
                <wp:effectExtent l="0" t="0" r="0" b="0"/>
                <wp:wrapNone/>
                <wp:docPr id="34" name="矩形 34"/>
                <wp:cNvGraphicFramePr/>
                <a:graphic xmlns:a="http://schemas.openxmlformats.org/drawingml/2006/main">
                  <a:graphicData uri="http://schemas.microsoft.com/office/word/2010/wordprocessingShape">
                    <wps:wsp>
                      <wps:cNvSpPr/>
                      <wps:spPr>
                        <a:xfrm>
                          <a:off x="0" y="0"/>
                          <a:ext cx="911860"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团洲乡中心小学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0.75pt;margin-top:148.5pt;height:41.75pt;width:71.8pt;z-index:251666432;v-text-anchor:middle;mso-width-relative:page;mso-height-relative:page;" filled="f" stroked="f" coordsize="21600,21600" o:gfxdata="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jeeT92gAAAAsB&#10;AAAPAAAAAAAAAAEAIAAAACIAAABkcnMvZG93bnJldi54bWxQSwECFAAUAAAACACHTuJALt1ubFIC&#10;AACXBAAADgAAAAAAAAABACAAAAApAQAAZHJzL2Uyb0RvYy54bWxQSwUGAAAAAAYABgBZAQAA7QUA&#10;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团洲乡中心小学</w:t>
                      </w:r>
                    </w:p>
                  </w:txbxContent>
                </v:textbox>
              </v:rect>
            </w:pict>
          </mc:Fallback>
        </mc:AlternateContent>
      </w:r>
      <w:r>
        <w:rPr>
          <w:color w:val="auto"/>
          <w:sz w:val="18"/>
        </w:rPr>
        <mc:AlternateContent>
          <mc:Choice Requires="wps">
            <w:drawing>
              <wp:anchor distT="0" distB="0" distL="114300" distR="114300" simplePos="0" relativeHeight="251665408" behindDoc="0" locked="0" layoutInCell="1" allowOverlap="1">
                <wp:simplePos x="0" y="0"/>
                <wp:positionH relativeFrom="column">
                  <wp:posOffset>2673350</wp:posOffset>
                </wp:positionH>
                <wp:positionV relativeFrom="paragraph">
                  <wp:posOffset>1459865</wp:posOffset>
                </wp:positionV>
                <wp:extent cx="1101725" cy="530225"/>
                <wp:effectExtent l="0" t="0" r="0" b="0"/>
                <wp:wrapNone/>
                <wp:docPr id="33" name="矩形 33"/>
                <wp:cNvGraphicFramePr/>
                <a:graphic xmlns:a="http://schemas.openxmlformats.org/drawingml/2006/main">
                  <a:graphicData uri="http://schemas.microsoft.com/office/word/2010/wordprocessingShape">
                    <wps:wsp>
                      <wps:cNvSpPr/>
                      <wps:spPr>
                        <a:xfrm>
                          <a:off x="0" y="0"/>
                          <a:ext cx="1101725"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团洲乡居民散户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0.5pt;margin-top:114.95pt;height:41.75pt;width:86.75pt;z-index:251665408;v-text-anchor:middle;mso-width-relative:page;mso-height-relative:page;" filled="f" stroked="f" coordsize="21600,21600" o:gfxdata="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vnTaltoAAAAL&#10;AQAADwAAAAAAAAABACAAAAAiAAAAZHJzL2Rvd25yZXYueG1sUEsBAhQAFAAAAAgAh07iQIX0OG5T&#10;AgAAmAQAAA4AAAAAAAAAAQAgAAAAKQEAAGRycy9lMm9Eb2MueG1sUEsFBgAAAAAGAAYAWQEAAO4F&#10;A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团洲乡居民散户</w:t>
                      </w:r>
                    </w:p>
                  </w:txbxContent>
                </v:textbox>
              </v:rect>
            </w:pict>
          </mc:Fallback>
        </mc:AlternateContent>
      </w:r>
      <w:r>
        <w:rPr>
          <w:color w:val="auto"/>
          <w:sz w:val="18"/>
        </w:rPr>
        <mc:AlternateContent>
          <mc:Choice Requires="wps">
            <w:drawing>
              <wp:anchor distT="0" distB="0" distL="114300" distR="114300" simplePos="0" relativeHeight="251664384" behindDoc="0" locked="0" layoutInCell="1" allowOverlap="1">
                <wp:simplePos x="0" y="0"/>
                <wp:positionH relativeFrom="column">
                  <wp:posOffset>4657090</wp:posOffset>
                </wp:positionH>
                <wp:positionV relativeFrom="paragraph">
                  <wp:posOffset>2259330</wp:posOffset>
                </wp:positionV>
                <wp:extent cx="1101725" cy="448945"/>
                <wp:effectExtent l="0" t="0" r="0" b="0"/>
                <wp:wrapNone/>
                <wp:docPr id="29" name="矩形 29"/>
                <wp:cNvGraphicFramePr/>
                <a:graphic xmlns:a="http://schemas.openxmlformats.org/drawingml/2006/main">
                  <a:graphicData uri="http://schemas.microsoft.com/office/word/2010/wordprocessingShape">
                    <wps:wsp>
                      <wps:cNvSpPr/>
                      <wps:spPr>
                        <a:xfrm>
                          <a:off x="0" y="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花园小区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6.7pt;margin-top:177.9pt;height:35.35pt;width:86.75pt;z-index:251664384;v-text-anchor:middle;mso-width-relative:page;mso-height-relative:page;" filled="f" stroked="f" coordsize="21600,21600" o:gfxdata="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fZKB2wAA&#10;AAsBAAAPAAAAAAAAAAEAIAAAACIAAABkcnMvZG93bnJldi54bWxQSwECFAAUAAAACACHTuJAZ1dJ&#10;zlQCAACYBAAADgAAAAAAAAABACAAAAAqAQAAZHJzL2Uyb0RvYy54bWxQSwUGAAAAAAYABgBZAQAA&#10;8AU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花园小区</w:t>
                      </w:r>
                    </w:p>
                  </w:txbxContent>
                </v:textbox>
              </v:rect>
            </w:pict>
          </mc:Fallback>
        </mc:AlternateContent>
      </w:r>
      <w:r>
        <w:rPr>
          <w:color w:val="auto"/>
          <w:sz w:val="18"/>
        </w:rPr>
        <mc:AlternateContent>
          <mc:Choice Requires="wps">
            <w:drawing>
              <wp:anchor distT="0" distB="0" distL="114300" distR="114300" simplePos="0" relativeHeight="251663360" behindDoc="0" locked="0" layoutInCell="1" allowOverlap="1">
                <wp:simplePos x="0" y="0"/>
                <wp:positionH relativeFrom="column">
                  <wp:posOffset>4150995</wp:posOffset>
                </wp:positionH>
                <wp:positionV relativeFrom="paragraph">
                  <wp:posOffset>1929765</wp:posOffset>
                </wp:positionV>
                <wp:extent cx="1101725" cy="448945"/>
                <wp:effectExtent l="0" t="0" r="0" b="0"/>
                <wp:wrapNone/>
                <wp:docPr id="28" name="矩形 28"/>
                <wp:cNvGraphicFramePr/>
                <a:graphic xmlns:a="http://schemas.openxmlformats.org/drawingml/2006/main">
                  <a:graphicData uri="http://schemas.microsoft.com/office/word/2010/wordprocessingShape">
                    <wps:wsp>
                      <wps:cNvSpPr/>
                      <wps:spPr>
                        <a:xfrm>
                          <a:off x="5728335" y="204216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安置区一期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6.85pt;margin-top:151.95pt;height:35.35pt;width:86.75pt;z-index:251663360;v-text-anchor:middle;mso-width-relative:page;mso-height-relative:page;" filled="f" stroked="f" coordsize="21600,21600" o:gfxdata="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JvH6LNoAAAALAQAADwAAAAAAAAABACAAAAAiAAAAZHJzL2Rvd25yZXYueG1sUEsBAhQAFAAA&#10;AAgAh07iQCeD7rBfAgAApAQAAA4AAAAAAAAAAQAgAAAAKQEAAGRycy9lMm9Eb2MueG1sUEsFBgAA&#10;AAAGAAYAWQEAAPoFA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安置区一期</w:t>
                      </w:r>
                    </w:p>
                  </w:txbxContent>
                </v:textbox>
              </v:rect>
            </w:pict>
          </mc:Fallback>
        </mc:AlternateContent>
      </w:r>
      <w:r>
        <w:rPr>
          <w:color w:val="auto"/>
        </w:rPr>
        <w:drawing>
          <wp:inline distT="0" distB="0" distL="114300" distR="114300">
            <wp:extent cx="8405495" cy="5151755"/>
            <wp:effectExtent l="19050" t="19050" r="33655" b="29845"/>
            <wp:docPr id="2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
                    <pic:cNvPicPr>
                      <a:picLocks noChangeAspect="1"/>
                    </pic:cNvPicPr>
                  </pic:nvPicPr>
                  <pic:blipFill>
                    <a:blip r:embed="rId29"/>
                    <a:stretch>
                      <a:fillRect/>
                    </a:stretch>
                  </pic:blipFill>
                  <pic:spPr>
                    <a:xfrm>
                      <a:off x="0" y="0"/>
                      <a:ext cx="8405495" cy="5151755"/>
                    </a:xfrm>
                    <a:prstGeom prst="rect">
                      <a:avLst/>
                    </a:prstGeom>
                    <a:noFill/>
                    <a:ln w="19050" cmpd="sng">
                      <a:solidFill>
                        <a:schemeClr val="tx1"/>
                      </a:solidFill>
                      <a:prstDash val="solid"/>
                    </a:ln>
                  </pic:spPr>
                </pic:pic>
              </a:graphicData>
            </a:graphic>
          </wp:inline>
        </w:drawing>
      </w:r>
    </w:p>
    <w:p>
      <w:r>
        <w:rPr>
          <w:sz w:val="21"/>
        </w:rPr>
        <mc:AlternateContent>
          <mc:Choice Requires="wps">
            <w:drawing>
              <wp:anchor distT="0" distB="0" distL="114300" distR="114300" simplePos="0" relativeHeight="251708416" behindDoc="0" locked="0" layoutInCell="1" allowOverlap="1">
                <wp:simplePos x="0" y="0"/>
                <wp:positionH relativeFrom="column">
                  <wp:posOffset>6523355</wp:posOffset>
                </wp:positionH>
                <wp:positionV relativeFrom="paragraph">
                  <wp:posOffset>80010</wp:posOffset>
                </wp:positionV>
                <wp:extent cx="1024255" cy="476250"/>
                <wp:effectExtent l="12700" t="12700" r="29845" b="25400"/>
                <wp:wrapNone/>
                <wp:docPr id="129" name="矩形 129"/>
                <wp:cNvGraphicFramePr/>
                <a:graphic xmlns:a="http://schemas.openxmlformats.org/drawingml/2006/main">
                  <a:graphicData uri="http://schemas.microsoft.com/office/word/2010/wordprocessingShape">
                    <wps:wsp>
                      <wps:cNvSpPr/>
                      <wps:spPr>
                        <a:xfrm>
                          <a:off x="0" y="0"/>
                          <a:ext cx="1024255" cy="4762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安置区二期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3.65pt;margin-top:6.3pt;height:37.5pt;width:80.65pt;z-index:251708416;v-text-anchor:middle;mso-width-relative:page;mso-height-relative:page;" fillcolor="#4F81BD [3204]" filled="t" stroked="t" coordsize="21600,21600" o:gfxdata="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oYsYf2QAAAAsBAAAPAAAAAAAA&#10;AAEAIAAAACIAAABkcnMvZG93bnJldi54bWxQSwECFAAUAAAACACHTuJAiaypU4MCAAAOBQAADgAA&#10;AAAAAAABACAAAAAoAQAAZHJzL2Uyb0RvYy54bWxQSwUGAAAAAAYABgBZAQAAHQYAAAAA&#10;">
                <v:fill on="t" focussize="0,0"/>
                <v:stroke weight="2pt" color="#376092 [2404]" joinstyle="round"/>
                <v:imagedata o:title=""/>
                <o:lock v:ext="edit" aspectratio="f"/>
                <v:textbox>
                  <w:txbxContent>
                    <w:p>
                      <w:pPr>
                        <w:jc w:val="center"/>
                        <w:rPr>
                          <w:rFonts w:hint="default" w:eastAsia="宋体"/>
                          <w:lang w:val="en-US" w:eastAsia="zh-CN"/>
                        </w:rPr>
                      </w:pPr>
                      <w:r>
                        <w:rPr>
                          <w:rFonts w:hint="eastAsia"/>
                          <w:lang w:val="en-US" w:eastAsia="zh-CN"/>
                        </w:rPr>
                        <w:t>安置区二期</w:t>
                      </w:r>
                    </w:p>
                  </w:txbxContent>
                </v:textbox>
              </v:rect>
            </w:pict>
          </mc:Fallback>
        </mc:AlternateContent>
      </w:r>
      <w:r>
        <w:rPr>
          <w:color w:val="auto"/>
          <w:sz w:val="18"/>
        </w:rPr>
        <mc:AlternateContent>
          <mc:Choice Requires="wps">
            <w:drawing>
              <wp:anchor distT="0" distB="0" distL="114300" distR="114300" simplePos="0" relativeHeight="251703296" behindDoc="0" locked="0" layoutInCell="1" allowOverlap="1">
                <wp:simplePos x="0" y="0"/>
                <wp:positionH relativeFrom="column">
                  <wp:posOffset>3937000</wp:posOffset>
                </wp:positionH>
                <wp:positionV relativeFrom="paragraph">
                  <wp:posOffset>1894205</wp:posOffset>
                </wp:positionV>
                <wp:extent cx="1101725" cy="448945"/>
                <wp:effectExtent l="0" t="0" r="0" b="0"/>
                <wp:wrapNone/>
                <wp:docPr id="123" name="矩形 123"/>
                <wp:cNvGraphicFramePr/>
                <a:graphic xmlns:a="http://schemas.openxmlformats.org/drawingml/2006/main">
                  <a:graphicData uri="http://schemas.microsoft.com/office/word/2010/wordprocessingShape">
                    <wps:wsp>
                      <wps:cNvSpPr/>
                      <wps:spPr>
                        <a:xfrm>
                          <a:off x="5728335" y="204216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安置区二期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0pt;margin-top:149.15pt;height:35.35pt;width:86.75pt;z-index:251703296;v-text-anchor:middle;mso-width-relative:page;mso-height-relative:page;" filled="f" stroked="f" coordsize="21600,21600" o:gfxdata="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0565D2AAAAAsBAAAPAAAAAAAAAAEAIAAAACIAAABkcnMvZG93bnJldi54bWxQSwECFAAUAAAA&#10;CACHTuJALVRPuWACAACmBAAADgAAAAAAAAABACAAAAAnAQAAZHJzL2Uyb0RvYy54bWxQSwUGAAAA&#10;AAYABgBZAQAA+QU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安置区二期</w:t>
                      </w:r>
                    </w:p>
                  </w:txbxContent>
                </v:textbox>
              </v:rect>
            </w:pict>
          </mc:Fallback>
        </mc:AlternateContent>
      </w:r>
      <w:r>
        <w:rPr>
          <w:color w:val="auto"/>
          <w:sz w:val="18"/>
        </w:rPr>
        <mc:AlternateContent>
          <mc:Choice Requires="wps">
            <w:drawing>
              <wp:anchor distT="0" distB="0" distL="114300" distR="114300" simplePos="0" relativeHeight="251704320" behindDoc="0" locked="0" layoutInCell="1" allowOverlap="1">
                <wp:simplePos x="0" y="0"/>
                <wp:positionH relativeFrom="column">
                  <wp:posOffset>2787650</wp:posOffset>
                </wp:positionH>
                <wp:positionV relativeFrom="paragraph">
                  <wp:posOffset>1711325</wp:posOffset>
                </wp:positionV>
                <wp:extent cx="1101725" cy="448945"/>
                <wp:effectExtent l="0" t="0" r="0" b="0"/>
                <wp:wrapNone/>
                <wp:docPr id="124" name="矩形 124"/>
                <wp:cNvGraphicFramePr/>
                <a:graphic xmlns:a="http://schemas.openxmlformats.org/drawingml/2006/main">
                  <a:graphicData uri="http://schemas.microsoft.com/office/word/2010/wordprocessingShape">
                    <wps:wsp>
                      <wps:cNvSpPr/>
                      <wps:spPr>
                        <a:xfrm>
                          <a:off x="0" y="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花园小区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5pt;margin-top:134.75pt;height:35.35pt;width:86.75pt;z-index:251704320;v-text-anchor:middle;mso-width-relative:page;mso-height-relative:page;" filled="f" stroked="f" coordsize="21600,21600" o:gfxdata="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7KogA2gAA&#10;AAsBAAAPAAAAAAAAAAEAIAAAACIAAABkcnMvZG93bnJldi54bWxQSwECFAAUAAAACACHTuJA8KTf&#10;+VUCAACaBAAADgAAAAAAAAABACAAAAApAQAAZHJzL2Uyb0RvYy54bWxQSwUGAAAAAAYABgBZAQAA&#10;8AU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花园小区</w:t>
                      </w:r>
                    </w:p>
                  </w:txbxContent>
                </v:textbox>
              </v:rect>
            </w:pict>
          </mc:Fallback>
        </mc:AlternateContent>
      </w:r>
      <w:r>
        <w:rPr>
          <w:color w:val="auto"/>
          <w:sz w:val="18"/>
        </w:rPr>
        <mc:AlternateContent>
          <mc:Choice Requires="wps">
            <w:drawing>
              <wp:anchor distT="0" distB="0" distL="114300" distR="114300" simplePos="0" relativeHeight="251706368" behindDoc="0" locked="0" layoutInCell="1" allowOverlap="1">
                <wp:simplePos x="0" y="0"/>
                <wp:positionH relativeFrom="column">
                  <wp:posOffset>1711960</wp:posOffset>
                </wp:positionH>
                <wp:positionV relativeFrom="paragraph">
                  <wp:posOffset>1386205</wp:posOffset>
                </wp:positionV>
                <wp:extent cx="911860" cy="530225"/>
                <wp:effectExtent l="0" t="0" r="0" b="0"/>
                <wp:wrapNone/>
                <wp:docPr id="125" name="矩形 125"/>
                <wp:cNvGraphicFramePr/>
                <a:graphic xmlns:a="http://schemas.openxmlformats.org/drawingml/2006/main">
                  <a:graphicData uri="http://schemas.microsoft.com/office/word/2010/wordprocessingShape">
                    <wps:wsp>
                      <wps:cNvSpPr/>
                      <wps:spPr>
                        <a:xfrm>
                          <a:off x="0" y="0"/>
                          <a:ext cx="911860"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团洲乡中心小学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4.8pt;margin-top:109.15pt;height:41.75pt;width:71.8pt;z-index:251706368;v-text-anchor:middle;mso-width-relative:page;mso-height-relative:page;" filled="f" stroked="f" coordsize="21600,21600" o:gfxdata="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KzG/toAAAAL&#10;AQAADwAAAAAAAAABACAAAAAiAAAAZHJzL2Rvd25yZXYueG1sUEsBAhQAFAAAAAgAh07iQOMh4AVT&#10;AgAAmQQAAA4AAAAAAAAAAQAgAAAAKQEAAGRycy9lMm9Eb2MueG1sUEsFBgAAAAAGAAYAWQEAAO4F&#10;A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团洲乡中心小学</w:t>
                      </w:r>
                    </w:p>
                  </w:txbxContent>
                </v:textbox>
              </v:rect>
            </w:pict>
          </mc:Fallback>
        </mc:AlternateContent>
      </w:r>
      <w:r>
        <w:rPr>
          <w:color w:val="auto"/>
          <w:sz w:val="18"/>
        </w:rPr>
        <mc:AlternateContent>
          <mc:Choice Requires="wps">
            <w:drawing>
              <wp:anchor distT="0" distB="0" distL="114300" distR="114300" simplePos="0" relativeHeight="251705344" behindDoc="0" locked="0" layoutInCell="1" allowOverlap="1">
                <wp:simplePos x="0" y="0"/>
                <wp:positionH relativeFrom="column">
                  <wp:posOffset>3077845</wp:posOffset>
                </wp:positionH>
                <wp:positionV relativeFrom="paragraph">
                  <wp:posOffset>3186430</wp:posOffset>
                </wp:positionV>
                <wp:extent cx="1101725" cy="530225"/>
                <wp:effectExtent l="0" t="0" r="0" b="0"/>
                <wp:wrapNone/>
                <wp:docPr id="126" name="矩形 126"/>
                <wp:cNvGraphicFramePr/>
                <a:graphic xmlns:a="http://schemas.openxmlformats.org/drawingml/2006/main">
                  <a:graphicData uri="http://schemas.microsoft.com/office/word/2010/wordprocessingShape">
                    <wps:wsp>
                      <wps:cNvSpPr/>
                      <wps:spPr>
                        <a:xfrm>
                          <a:off x="0" y="0"/>
                          <a:ext cx="1101725"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团洲乡居民散户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2.35pt;margin-top:250.9pt;height:41.75pt;width:86.75pt;z-index:251705344;v-text-anchor:middle;mso-width-relative:page;mso-height-relative:page;" filled="f" stroked="f" coordsize="21600,21600" o:gfxdata="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cZuhnaAAAA&#10;CwEAAA8AAAAAAAAAAQAgAAAAIgAAAGRycy9kb3ducmV2LnhtbFBLAQIUABQAAAAIAIdO4kBx0Rrf&#10;VAIAAJoEAAAOAAAAAAAAAAEAIAAAACkBAABkcnMvZTJvRG9jLnhtbFBLBQYAAAAABgAGAFkBAADv&#10;BQ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团洲乡居民散户</w:t>
                      </w:r>
                    </w:p>
                  </w:txbxContent>
                </v:textbox>
              </v:rect>
            </w:pict>
          </mc:Fallback>
        </mc:AlternateContent>
      </w:r>
      <w:r>
        <w:rPr>
          <w:rFonts w:hint="default" w:ascii="Times New Roman" w:hAnsi="Times New Roman" w:cs="Times New Roman"/>
          <w:color w:val="auto"/>
        </w:rPr>
        <w:drawing>
          <wp:anchor distT="0" distB="0" distL="114300" distR="114300" simplePos="0" relativeHeight="251707392" behindDoc="0" locked="0" layoutInCell="1" allowOverlap="1">
            <wp:simplePos x="0" y="0"/>
            <wp:positionH relativeFrom="column">
              <wp:posOffset>7813675</wp:posOffset>
            </wp:positionH>
            <wp:positionV relativeFrom="paragraph">
              <wp:posOffset>78105</wp:posOffset>
            </wp:positionV>
            <wp:extent cx="529590" cy="689610"/>
            <wp:effectExtent l="0" t="0" r="3810" b="15240"/>
            <wp:wrapNone/>
            <wp:docPr id="127"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211"/>
                    <pic:cNvPicPr>
                      <a:picLocks noChangeAspect="1"/>
                    </pic:cNvPicPr>
                  </pic:nvPicPr>
                  <pic:blipFill>
                    <a:blip r:embed="rId28"/>
                    <a:stretch>
                      <a:fillRect/>
                    </a:stretch>
                  </pic:blipFill>
                  <pic:spPr>
                    <a:xfrm>
                      <a:off x="0" y="0"/>
                      <a:ext cx="529590" cy="689610"/>
                    </a:xfrm>
                    <a:prstGeom prst="rect">
                      <a:avLst/>
                    </a:prstGeom>
                    <a:noFill/>
                    <a:ln>
                      <a:noFill/>
                    </a:ln>
                  </pic:spPr>
                </pic:pic>
              </a:graphicData>
            </a:graphic>
          </wp:anchor>
        </w:drawing>
      </w:r>
      <w:r>
        <w:rPr>
          <w:color w:val="auto"/>
        </w:rPr>
        <w:drawing>
          <wp:inline distT="0" distB="0" distL="114300" distR="114300">
            <wp:extent cx="8397875" cy="5053330"/>
            <wp:effectExtent l="19050" t="19050" r="22225" b="33020"/>
            <wp:docPr id="1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4"/>
                    <pic:cNvPicPr>
                      <a:picLocks noChangeAspect="1"/>
                    </pic:cNvPicPr>
                  </pic:nvPicPr>
                  <pic:blipFill>
                    <a:blip r:embed="rId30"/>
                    <a:stretch>
                      <a:fillRect/>
                    </a:stretch>
                  </pic:blipFill>
                  <pic:spPr>
                    <a:xfrm>
                      <a:off x="0" y="0"/>
                      <a:ext cx="8397875" cy="5053330"/>
                    </a:xfrm>
                    <a:prstGeom prst="rect">
                      <a:avLst/>
                    </a:prstGeom>
                    <a:noFill/>
                    <a:ln w="19050">
                      <a:solidFill>
                        <a:schemeClr val="tx1"/>
                      </a:solidFill>
                    </a:ln>
                  </pic:spPr>
                </pic:pic>
              </a:graphicData>
            </a:graphic>
          </wp:inline>
        </w:drawing>
      </w:r>
    </w:p>
    <w:p>
      <w:pPr>
        <w:rPr>
          <w:color w:val="auto"/>
        </w:rPr>
      </w:pPr>
      <w:r>
        <w:rPr>
          <w:color w:val="auto"/>
        </w:rPr>
        <w:br w:type="page"/>
      </w:r>
    </w:p>
    <w:p>
      <w:pPr>
        <w:pStyle w:val="11"/>
        <w:rPr>
          <w:color w:val="auto"/>
        </w:rPr>
      </w:pPr>
      <w:bookmarkStart w:id="81" w:name="_Toc21089"/>
      <w:r>
        <w:rPr>
          <w:sz w:val="21"/>
        </w:rPr>
        <mc:AlternateContent>
          <mc:Choice Requires="wps">
            <w:drawing>
              <wp:anchor distT="0" distB="0" distL="114300" distR="114300" simplePos="0" relativeHeight="251702272" behindDoc="0" locked="0" layoutInCell="1" allowOverlap="1">
                <wp:simplePos x="0" y="0"/>
                <wp:positionH relativeFrom="column">
                  <wp:posOffset>4231640</wp:posOffset>
                </wp:positionH>
                <wp:positionV relativeFrom="paragraph">
                  <wp:posOffset>3001645</wp:posOffset>
                </wp:positionV>
                <wp:extent cx="221615" cy="225425"/>
                <wp:effectExtent l="33655" t="33020" r="49530" b="46355"/>
                <wp:wrapNone/>
                <wp:docPr id="121" name="矩形 121"/>
                <wp:cNvGraphicFramePr/>
                <a:graphic xmlns:a="http://schemas.openxmlformats.org/drawingml/2006/main">
                  <a:graphicData uri="http://schemas.microsoft.com/office/word/2010/wordprocessingShape">
                    <wps:wsp>
                      <wps:cNvSpPr/>
                      <wps:spPr>
                        <a:xfrm rot="840000">
                          <a:off x="0" y="0"/>
                          <a:ext cx="221615" cy="225425"/>
                        </a:xfrm>
                        <a:prstGeom prst="rect">
                          <a:avLst/>
                        </a:prstGeom>
                        <a:solidFill>
                          <a:srgbClr val="FF0000">
                            <a:alpha val="21000"/>
                          </a:srgbClr>
                        </a:solidFill>
                        <a:ln w="1905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3.2pt;margin-top:236.35pt;height:17.75pt;width:17.45pt;rotation:917504f;z-index:251702272;v-text-anchor:middle;mso-width-relative:page;mso-height-relative:page;" fillcolor="#FF0000" filled="t" stroked="t" coordsize="21600,21600" o:gfxdata="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F7Wh3DaAAAACwEAAA8AAAAAAAAAAQAgAAAA&#10;IgAAAGRycy9kb3ducmV2LnhtbFBLAQIUABQAAAAIAIdO4kALN0zvewIAAA4FAAAOAAAAAAAAAAEA&#10;IAAAACkBAABkcnMvZTJvRG9jLnhtbFBLBQYAAAAABgAGAFkBAAAWBgAAAAA=&#10;">
                <v:fill on="t" opacity="13762f" focussize="0,0"/>
                <v:stroke weight="1.5pt" color="#000000 [3213]" joinstyle="round"/>
                <v:imagedata o:title=""/>
                <o:lock v:ext="edit" aspectratio="f"/>
              </v:rect>
            </w:pict>
          </mc:Fallback>
        </mc:AlternateContent>
      </w:r>
      <w:r>
        <w:rPr>
          <w:color w:val="auto"/>
          <w:sz w:val="18"/>
        </w:rPr>
        <mc:AlternateContent>
          <mc:Choice Requires="wps">
            <w:drawing>
              <wp:anchor distT="0" distB="0" distL="114300" distR="114300" simplePos="0" relativeHeight="251697152" behindDoc="0" locked="0" layoutInCell="1" allowOverlap="1">
                <wp:simplePos x="0" y="0"/>
                <wp:positionH relativeFrom="column">
                  <wp:posOffset>2292350</wp:posOffset>
                </wp:positionH>
                <wp:positionV relativeFrom="paragraph">
                  <wp:posOffset>3138805</wp:posOffset>
                </wp:positionV>
                <wp:extent cx="1268095" cy="530225"/>
                <wp:effectExtent l="0" t="0" r="0" b="0"/>
                <wp:wrapNone/>
                <wp:docPr id="113" name="矩形 113"/>
                <wp:cNvGraphicFramePr/>
                <a:graphic xmlns:a="http://schemas.openxmlformats.org/drawingml/2006/main">
                  <a:graphicData uri="http://schemas.microsoft.com/office/word/2010/wordprocessingShape">
                    <wps:wsp>
                      <wps:cNvSpPr/>
                      <wps:spPr>
                        <a:xfrm>
                          <a:off x="0" y="0"/>
                          <a:ext cx="1268095"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团洲乡居民散户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0.5pt;margin-top:247.15pt;height:41.75pt;width:99.85pt;z-index:251697152;v-text-anchor:middle;mso-width-relative:page;mso-height-relative:page;" filled="f" stroked="f" coordsize="21600,21600" o:gfxdata="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HYmXHb&#10;AAAACwEAAA8AAAAAAAAAAQAgAAAAIgAAAGRycy9kb3ducmV2LnhtbFBLAQIUABQAAAAIAIdO4kDB&#10;0RGMVgIAAJoEAAAOAAAAAAAAAAEAIAAAACoBAABkcnMvZTJvRG9jLnhtbFBLBQYAAAAABgAGAFkB&#10;AADyBQ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团洲乡居民散户</w:t>
                      </w:r>
                    </w:p>
                  </w:txbxContent>
                </v:textbox>
              </v:rect>
            </w:pict>
          </mc:Fallback>
        </mc:AlternateContent>
      </w:r>
      <w:r>
        <w:rPr>
          <w:color w:val="auto"/>
          <w:sz w:val="18"/>
        </w:rPr>
        <mc:AlternateContent>
          <mc:Choice Requires="wps">
            <w:drawing>
              <wp:anchor distT="0" distB="0" distL="114300" distR="114300" simplePos="0" relativeHeight="251700224" behindDoc="0" locked="0" layoutInCell="1" allowOverlap="1">
                <wp:simplePos x="0" y="0"/>
                <wp:positionH relativeFrom="column">
                  <wp:posOffset>4610735</wp:posOffset>
                </wp:positionH>
                <wp:positionV relativeFrom="paragraph">
                  <wp:posOffset>2231390</wp:posOffset>
                </wp:positionV>
                <wp:extent cx="1196340" cy="530225"/>
                <wp:effectExtent l="0" t="0" r="0" b="0"/>
                <wp:wrapNone/>
                <wp:docPr id="114" name="矩形 114"/>
                <wp:cNvGraphicFramePr/>
                <a:graphic xmlns:a="http://schemas.openxmlformats.org/drawingml/2006/main">
                  <a:graphicData uri="http://schemas.microsoft.com/office/word/2010/wordprocessingShape">
                    <wps:wsp>
                      <wps:cNvSpPr/>
                      <wps:spPr>
                        <a:xfrm>
                          <a:off x="0" y="0"/>
                          <a:ext cx="1196340"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团洲乡居民散户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3.05pt;margin-top:175.7pt;height:41.75pt;width:94.2pt;z-index:251700224;v-text-anchor:middle;mso-width-relative:page;mso-height-relative:page;" filled="f" stroked="f" coordsize="21600,21600" o:gfxdata="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7s3l3aAAAA&#10;CwEAAA8AAAAAAAAAAQAgAAAAIgAAAGRycy9kb3ducmV2LnhtbFBLAQIUABQAAAAIAIdO4kDW08q4&#10;VAIAAJoEAAAOAAAAAAAAAAEAIAAAACkBAABkcnMvZTJvRG9jLnhtbFBLBQYAAAAABgAGAFkBAADv&#10;BQ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团洲乡居民散户</w:t>
                      </w:r>
                    </w:p>
                  </w:txbxContent>
                </v:textbox>
              </v:rect>
            </w:pict>
          </mc:Fallback>
        </mc:AlternateContent>
      </w:r>
      <w:r>
        <w:rPr>
          <w:color w:val="auto"/>
          <w:sz w:val="18"/>
        </w:rPr>
        <mc:AlternateContent>
          <mc:Choice Requires="wps">
            <w:drawing>
              <wp:anchor distT="0" distB="0" distL="114300" distR="114300" simplePos="0" relativeHeight="251696128" behindDoc="0" locked="0" layoutInCell="1" allowOverlap="1">
                <wp:simplePos x="0" y="0"/>
                <wp:positionH relativeFrom="column">
                  <wp:posOffset>2323465</wp:posOffset>
                </wp:positionH>
                <wp:positionV relativeFrom="paragraph">
                  <wp:posOffset>1163955</wp:posOffset>
                </wp:positionV>
                <wp:extent cx="1101725" cy="448945"/>
                <wp:effectExtent l="0" t="0" r="0" b="0"/>
                <wp:wrapNone/>
                <wp:docPr id="115" name="矩形 115"/>
                <wp:cNvGraphicFramePr/>
                <a:graphic xmlns:a="http://schemas.openxmlformats.org/drawingml/2006/main">
                  <a:graphicData uri="http://schemas.microsoft.com/office/word/2010/wordprocessingShape">
                    <wps:wsp>
                      <wps:cNvSpPr/>
                      <wps:spPr>
                        <a:xfrm>
                          <a:off x="0" y="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花园小区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95pt;margin-top:91.65pt;height:35.35pt;width:86.75pt;z-index:251696128;v-text-anchor:middle;mso-width-relative:page;mso-height-relative:page;" filled="f" stroked="f" coordsize="21600,21600" o:gfxdata="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7hIw62gAA&#10;AAsBAAAPAAAAAAAAAAEAIAAAACIAAABkcnMvZG93bnJldi54bWxQSwECFAAUAAAACACHTuJAANIZ&#10;lVUCAACaBAAADgAAAAAAAAABACAAAAApAQAAZHJzL2Uyb0RvYy54bWxQSwUGAAAAAAYABgBZAQAA&#10;8AU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花园小区</w:t>
                      </w:r>
                    </w:p>
                  </w:txbxContent>
                </v:textbox>
              </v:rect>
            </w:pict>
          </mc:Fallback>
        </mc:AlternateContent>
      </w:r>
      <w:r>
        <w:rPr>
          <w:color w:val="auto"/>
          <w:sz w:val="18"/>
        </w:rPr>
        <mc:AlternateContent>
          <mc:Choice Requires="wps">
            <w:drawing>
              <wp:anchor distT="0" distB="0" distL="114300" distR="114300" simplePos="0" relativeHeight="251698176" behindDoc="0" locked="0" layoutInCell="1" allowOverlap="1">
                <wp:simplePos x="0" y="0"/>
                <wp:positionH relativeFrom="column">
                  <wp:posOffset>1294765</wp:posOffset>
                </wp:positionH>
                <wp:positionV relativeFrom="paragraph">
                  <wp:posOffset>790575</wp:posOffset>
                </wp:positionV>
                <wp:extent cx="911860" cy="530225"/>
                <wp:effectExtent l="0" t="0" r="0" b="0"/>
                <wp:wrapNone/>
                <wp:docPr id="116" name="矩形 116"/>
                <wp:cNvGraphicFramePr/>
                <a:graphic xmlns:a="http://schemas.openxmlformats.org/drawingml/2006/main">
                  <a:graphicData uri="http://schemas.microsoft.com/office/word/2010/wordprocessingShape">
                    <wps:wsp>
                      <wps:cNvSpPr/>
                      <wps:spPr>
                        <a:xfrm>
                          <a:off x="0" y="0"/>
                          <a:ext cx="911860"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团洲乡中心小学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1.95pt;margin-top:62.25pt;height:41.75pt;width:71.8pt;z-index:251698176;v-text-anchor:middle;mso-width-relative:page;mso-height-relative:page;" filled="f" stroked="f" coordsize="21600,21600" o:gfxdata="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y2K0HYAAAACwEA&#10;AA8AAAAAAAAAAQAgAAAAIgAAAGRycy9kb3ducmV2LnhtbFBLAQIUABQAAAAIAIdO4kCLCHjuUwIA&#10;AJkEAAAOAAAAAAAAAAEAIAAAACcBAABkcnMvZTJvRG9jLnhtbFBLBQYAAAAABgAGAFkBAADsBQAA&#10;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团洲乡中心小学</w:t>
                      </w:r>
                    </w:p>
                  </w:txbxContent>
                </v:textbox>
              </v:rect>
            </w:pict>
          </mc:Fallback>
        </mc:AlternateContent>
      </w:r>
      <w:r>
        <w:rPr>
          <w:color w:val="auto"/>
          <w:sz w:val="18"/>
        </w:rPr>
        <mc:AlternateContent>
          <mc:Choice Requires="wps">
            <w:drawing>
              <wp:anchor distT="0" distB="0" distL="114300" distR="114300" simplePos="0" relativeHeight="251695104" behindDoc="0" locked="0" layoutInCell="1" allowOverlap="1">
                <wp:simplePos x="0" y="0"/>
                <wp:positionH relativeFrom="column">
                  <wp:posOffset>3365500</wp:posOffset>
                </wp:positionH>
                <wp:positionV relativeFrom="paragraph">
                  <wp:posOffset>2155825</wp:posOffset>
                </wp:positionV>
                <wp:extent cx="1101725" cy="448945"/>
                <wp:effectExtent l="0" t="0" r="0" b="0"/>
                <wp:wrapNone/>
                <wp:docPr id="117" name="矩形 117"/>
                <wp:cNvGraphicFramePr/>
                <a:graphic xmlns:a="http://schemas.openxmlformats.org/drawingml/2006/main">
                  <a:graphicData uri="http://schemas.microsoft.com/office/word/2010/wordprocessingShape">
                    <wps:wsp>
                      <wps:cNvSpPr/>
                      <wps:spPr>
                        <a:xfrm>
                          <a:off x="5728335" y="204216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安置区三期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5pt;margin-top:169.75pt;height:35.35pt;width:86.75pt;z-index:251695104;v-text-anchor:middle;mso-width-relative:page;mso-height-relative:page;" filled="f" stroked="f" coordsize="21600,21600" o:gfxdata="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tINhotsAAAALAQAADwAAAAAAAAABACAAAAAiAAAAZHJzL2Rvd25yZXYueG1sUEsBAhQA&#10;FAAAAAgAh07iQN9556JhAgAApgQAAA4AAAAAAAAAAQAgAAAAKgEAAGRycy9lMm9Eb2MueG1sUEsF&#10;BgAAAAAGAAYAWQEAAP0FA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安置区三期</w:t>
                      </w:r>
                    </w:p>
                  </w:txbxContent>
                </v:textbox>
              </v:rect>
            </w:pict>
          </mc:Fallback>
        </mc:AlternateContent>
      </w:r>
      <w:r>
        <w:rPr>
          <w:rFonts w:hint="default" w:ascii="Times New Roman" w:hAnsi="Times New Roman" w:cs="Times New Roman"/>
          <w:color w:val="auto"/>
        </w:rPr>
        <w:drawing>
          <wp:anchor distT="0" distB="0" distL="114300" distR="114300" simplePos="0" relativeHeight="251699200" behindDoc="0" locked="0" layoutInCell="1" allowOverlap="1">
            <wp:simplePos x="0" y="0"/>
            <wp:positionH relativeFrom="column">
              <wp:posOffset>7813675</wp:posOffset>
            </wp:positionH>
            <wp:positionV relativeFrom="paragraph">
              <wp:posOffset>78105</wp:posOffset>
            </wp:positionV>
            <wp:extent cx="529590" cy="689610"/>
            <wp:effectExtent l="0" t="0" r="3810" b="15240"/>
            <wp:wrapNone/>
            <wp:docPr id="118"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211"/>
                    <pic:cNvPicPr>
                      <a:picLocks noChangeAspect="1"/>
                    </pic:cNvPicPr>
                  </pic:nvPicPr>
                  <pic:blipFill>
                    <a:blip r:embed="rId28"/>
                    <a:stretch>
                      <a:fillRect/>
                    </a:stretch>
                  </pic:blipFill>
                  <pic:spPr>
                    <a:xfrm>
                      <a:off x="0" y="0"/>
                      <a:ext cx="529590" cy="689610"/>
                    </a:xfrm>
                    <a:prstGeom prst="rect">
                      <a:avLst/>
                    </a:prstGeom>
                    <a:noFill/>
                    <a:ln>
                      <a:noFill/>
                    </a:ln>
                  </pic:spPr>
                </pic:pic>
              </a:graphicData>
            </a:graphic>
          </wp:anchor>
        </w:drawing>
      </w:r>
      <w:r>
        <w:rPr>
          <w:sz w:val="21"/>
        </w:rPr>
        <mc:AlternateContent>
          <mc:Choice Requires="wps">
            <w:drawing>
              <wp:anchor distT="0" distB="0" distL="114300" distR="114300" simplePos="0" relativeHeight="251701248" behindDoc="0" locked="0" layoutInCell="1" allowOverlap="1">
                <wp:simplePos x="0" y="0"/>
                <wp:positionH relativeFrom="column">
                  <wp:posOffset>6499225</wp:posOffset>
                </wp:positionH>
                <wp:positionV relativeFrom="paragraph">
                  <wp:posOffset>202565</wp:posOffset>
                </wp:positionV>
                <wp:extent cx="1334135" cy="476250"/>
                <wp:effectExtent l="12700" t="12700" r="24765" b="25400"/>
                <wp:wrapNone/>
                <wp:docPr id="120" name="矩形 120"/>
                <wp:cNvGraphicFramePr/>
                <a:graphic xmlns:a="http://schemas.openxmlformats.org/drawingml/2006/main">
                  <a:graphicData uri="http://schemas.microsoft.com/office/word/2010/wordprocessingShape">
                    <wps:wsp>
                      <wps:cNvSpPr/>
                      <wps:spPr>
                        <a:xfrm>
                          <a:off x="0" y="0"/>
                          <a:ext cx="1334135" cy="4762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安置区三期级配套污水处理站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1.75pt;margin-top:15.95pt;height:37.5pt;width:105.05pt;z-index:251701248;v-text-anchor:middle;mso-width-relative:page;mso-height-relative:page;" fillcolor="#4F81BD [3204]" filled="t" stroked="t" coordsize="21600,21600" o:gfxdata="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G2XGdNkAAAAMAQAADwAAAAAA&#10;AAABACAAAAAiAAAAZHJzL2Rvd25yZXYueG1sUEsBAhQAFAAAAAgAh07iQE/Qot6EAgAADgUAAA4A&#10;AAAAAAAAAQAgAAAAKAEAAGRycy9lMm9Eb2MueG1sUEsFBgAAAAAGAAYAWQEAAB4GAAAAAA==&#10;">
                <v:fill on="t" focussize="0,0"/>
                <v:stroke weight="2pt" color="#376092 [2404]" joinstyle="round"/>
                <v:imagedata o:title=""/>
                <o:lock v:ext="edit" aspectratio="f"/>
                <v:textbox>
                  <w:txbxContent>
                    <w:p>
                      <w:pPr>
                        <w:jc w:val="center"/>
                        <w:rPr>
                          <w:rFonts w:hint="default" w:eastAsia="宋体"/>
                          <w:lang w:val="en-US" w:eastAsia="zh-CN"/>
                        </w:rPr>
                      </w:pPr>
                      <w:r>
                        <w:rPr>
                          <w:rFonts w:hint="eastAsia"/>
                          <w:lang w:val="en-US" w:eastAsia="zh-CN"/>
                        </w:rPr>
                        <w:t>安置区三期级配套污水处理站</w:t>
                      </w:r>
                    </w:p>
                  </w:txbxContent>
                </v:textbox>
              </v:rect>
            </w:pict>
          </mc:Fallback>
        </mc:AlternateContent>
      </w:r>
      <w:r>
        <w:rPr>
          <w:color w:val="auto"/>
        </w:rPr>
        <w:drawing>
          <wp:inline distT="0" distB="0" distL="114300" distR="114300">
            <wp:extent cx="8058785" cy="5189855"/>
            <wp:effectExtent l="19050" t="19050" r="37465" b="29845"/>
            <wp:docPr id="1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5"/>
                    <pic:cNvPicPr>
                      <a:picLocks noChangeAspect="1"/>
                    </pic:cNvPicPr>
                  </pic:nvPicPr>
                  <pic:blipFill>
                    <a:blip r:embed="rId31"/>
                    <a:stretch>
                      <a:fillRect/>
                    </a:stretch>
                  </pic:blipFill>
                  <pic:spPr>
                    <a:xfrm>
                      <a:off x="0" y="0"/>
                      <a:ext cx="8058785" cy="5189855"/>
                    </a:xfrm>
                    <a:prstGeom prst="rect">
                      <a:avLst/>
                    </a:prstGeom>
                    <a:noFill/>
                    <a:ln w="19050">
                      <a:solidFill>
                        <a:schemeClr val="tx1"/>
                      </a:solidFill>
                    </a:ln>
                  </pic:spPr>
                </pic:pic>
              </a:graphicData>
            </a:graphic>
          </wp:inline>
        </w:drawing>
      </w:r>
    </w:p>
    <w:p>
      <w:pPr>
        <w:widowControl/>
        <w:spacing w:line="360" w:lineRule="auto"/>
        <w:outlineLvl w:val="1"/>
        <w:rPr>
          <w:rFonts w:hint="eastAsia"/>
          <w:b/>
          <w:bCs/>
          <w:color w:val="auto"/>
          <w:sz w:val="28"/>
          <w:szCs w:val="28"/>
        </w:rPr>
      </w:pPr>
    </w:p>
    <w:p>
      <w:pPr>
        <w:widowControl/>
        <w:spacing w:line="360" w:lineRule="auto"/>
        <w:outlineLvl w:val="1"/>
        <w:rPr>
          <w:rFonts w:hint="eastAsia"/>
          <w:b/>
          <w:bCs/>
          <w:color w:val="auto"/>
          <w:sz w:val="28"/>
          <w:szCs w:val="28"/>
        </w:rPr>
      </w:pPr>
      <w:r>
        <w:rPr>
          <w:rFonts w:hint="eastAsia"/>
          <w:b/>
          <w:bCs/>
          <w:color w:val="auto"/>
          <w:sz w:val="28"/>
          <w:szCs w:val="28"/>
        </w:rPr>
        <w:t>附图</w:t>
      </w:r>
      <w:r>
        <w:rPr>
          <w:rFonts w:hint="eastAsia"/>
          <w:b/>
          <w:bCs/>
          <w:color w:val="auto"/>
          <w:sz w:val="28"/>
          <w:szCs w:val="28"/>
          <w:lang w:val="en-US" w:eastAsia="zh-CN"/>
        </w:rPr>
        <w:t>4</w:t>
      </w:r>
      <w:r>
        <w:rPr>
          <w:rFonts w:hint="eastAsia"/>
          <w:b/>
          <w:bCs/>
          <w:color w:val="auto"/>
          <w:sz w:val="28"/>
          <w:szCs w:val="28"/>
        </w:rPr>
        <w:t xml:space="preserve"> </w:t>
      </w:r>
      <w:r>
        <w:rPr>
          <w:rFonts w:hint="eastAsia"/>
          <w:b/>
          <w:bCs/>
          <w:color w:val="auto"/>
          <w:sz w:val="28"/>
          <w:szCs w:val="28"/>
          <w:lang w:val="en-US" w:eastAsia="zh-CN"/>
        </w:rPr>
        <w:t>噪声监测布点</w:t>
      </w:r>
      <w:r>
        <w:rPr>
          <w:rFonts w:hint="eastAsia"/>
          <w:b/>
          <w:bCs/>
          <w:color w:val="auto"/>
          <w:sz w:val="28"/>
          <w:szCs w:val="28"/>
        </w:rPr>
        <w:t>图</w:t>
      </w:r>
      <w:bookmarkEnd w:id="81"/>
    </w:p>
    <w:p>
      <w:pPr>
        <w:rPr>
          <w:color w:val="auto"/>
        </w:rPr>
      </w:pPr>
      <w:r>
        <w:rPr>
          <w:sz w:val="21"/>
        </w:rPr>
        <mc:AlternateContent>
          <mc:Choice Requires="wps">
            <w:drawing>
              <wp:anchor distT="0" distB="0" distL="114300" distR="114300" simplePos="0" relativeHeight="251691008" behindDoc="0" locked="0" layoutInCell="1" allowOverlap="1">
                <wp:simplePos x="0" y="0"/>
                <wp:positionH relativeFrom="column">
                  <wp:posOffset>6726555</wp:posOffset>
                </wp:positionH>
                <wp:positionV relativeFrom="paragraph">
                  <wp:posOffset>147955</wp:posOffset>
                </wp:positionV>
                <wp:extent cx="1024255" cy="476250"/>
                <wp:effectExtent l="12700" t="12700" r="29845" b="25400"/>
                <wp:wrapNone/>
                <wp:docPr id="83" name="矩形 83"/>
                <wp:cNvGraphicFramePr/>
                <a:graphic xmlns:a="http://schemas.openxmlformats.org/drawingml/2006/main">
                  <a:graphicData uri="http://schemas.microsoft.com/office/word/2010/wordprocessingShape">
                    <wps:wsp>
                      <wps:cNvSpPr/>
                      <wps:spPr>
                        <a:xfrm>
                          <a:off x="0" y="0"/>
                          <a:ext cx="1024255" cy="4762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安置区一期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29.65pt;margin-top:11.65pt;height:37.5pt;width:80.65pt;z-index:251691008;v-text-anchor:middle;mso-width-relative:page;mso-height-relative:page;" fillcolor="#4F81BD [3204]" filled="t" stroked="t" coordsize="21600,21600" o:gfxdata="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hb8QBdoAAAALAQAADwAAAAAA&#10;AAABACAAAAAiAAAAZHJzL2Rvd25yZXYueG1sUEsBAhQAFAAAAAgAh07iQF354KuDAgAADAUAAA4A&#10;AAAAAAAAAQAgAAAAKQEAAGRycy9lMm9Eb2MueG1sUEsFBgAAAAAGAAYAWQEAAB4GAAAAAA==&#10;">
                <v:fill on="t" focussize="0,0"/>
                <v:stroke weight="2pt" color="#376092 [2404]" joinstyle="round"/>
                <v:imagedata o:title=""/>
                <o:lock v:ext="edit" aspectratio="f"/>
                <v:textbox>
                  <w:txbxContent>
                    <w:p>
                      <w:pPr>
                        <w:jc w:val="center"/>
                        <w:rPr>
                          <w:rFonts w:hint="default" w:eastAsia="宋体"/>
                          <w:lang w:val="en-US" w:eastAsia="zh-CN"/>
                        </w:rPr>
                      </w:pPr>
                      <w:r>
                        <w:rPr>
                          <w:rFonts w:hint="eastAsia"/>
                          <w:lang w:val="en-US" w:eastAsia="zh-CN"/>
                        </w:rPr>
                        <w:t>安置区一期</w:t>
                      </w:r>
                    </w:p>
                  </w:txbxContent>
                </v:textbox>
              </v:rect>
            </w:pict>
          </mc:Fallback>
        </mc:AlternateContent>
      </w:r>
      <w:r>
        <w:rPr>
          <w:rFonts w:hint="default" w:ascii="Times New Roman" w:hAnsi="Times New Roman" w:cs="Times New Roman"/>
          <w:color w:val="auto"/>
        </w:rPr>
        <w:drawing>
          <wp:anchor distT="0" distB="0" distL="114300" distR="114300" simplePos="0" relativeHeight="251668480" behindDoc="0" locked="0" layoutInCell="1" allowOverlap="1">
            <wp:simplePos x="0" y="0"/>
            <wp:positionH relativeFrom="column">
              <wp:posOffset>7840980</wp:posOffset>
            </wp:positionH>
            <wp:positionV relativeFrom="paragraph">
              <wp:posOffset>125095</wp:posOffset>
            </wp:positionV>
            <wp:extent cx="529590" cy="689610"/>
            <wp:effectExtent l="0" t="0" r="3810" b="15240"/>
            <wp:wrapNone/>
            <wp:docPr id="38"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11"/>
                    <pic:cNvPicPr>
                      <a:picLocks noChangeAspect="1"/>
                    </pic:cNvPicPr>
                  </pic:nvPicPr>
                  <pic:blipFill>
                    <a:blip r:embed="rId28"/>
                    <a:stretch>
                      <a:fillRect/>
                    </a:stretch>
                  </pic:blipFill>
                  <pic:spPr>
                    <a:xfrm>
                      <a:off x="0" y="0"/>
                      <a:ext cx="529590" cy="689610"/>
                    </a:xfrm>
                    <a:prstGeom prst="rect">
                      <a:avLst/>
                    </a:prstGeom>
                    <a:noFill/>
                    <a:ln>
                      <a:noFill/>
                    </a:ln>
                  </pic:spPr>
                </pic:pic>
              </a:graphicData>
            </a:graphic>
          </wp:anchor>
        </w:drawing>
      </w:r>
      <w:r>
        <w:rPr>
          <w:color w:val="auto"/>
        </w:rPr>
        <w:drawing>
          <wp:inline distT="0" distB="0" distL="114300" distR="114300">
            <wp:extent cx="8405495" cy="4820920"/>
            <wp:effectExtent l="19050" t="19050" r="33655" b="36830"/>
            <wp:docPr id="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0"/>
                    <pic:cNvPicPr>
                      <a:picLocks noChangeAspect="1"/>
                    </pic:cNvPicPr>
                  </pic:nvPicPr>
                  <pic:blipFill>
                    <a:blip r:embed="rId32"/>
                    <a:stretch>
                      <a:fillRect/>
                    </a:stretch>
                  </pic:blipFill>
                  <pic:spPr>
                    <a:xfrm>
                      <a:off x="0" y="0"/>
                      <a:ext cx="8405495" cy="4820920"/>
                    </a:xfrm>
                    <a:prstGeom prst="rect">
                      <a:avLst/>
                    </a:prstGeom>
                    <a:noFill/>
                    <a:ln w="19050" cmpd="sng">
                      <a:solidFill>
                        <a:schemeClr val="tx1"/>
                      </a:solidFill>
                      <a:prstDash val="solid"/>
                    </a:ln>
                  </pic:spPr>
                </pic:pic>
              </a:graphicData>
            </a:graphic>
          </wp:inline>
        </w:drawing>
      </w:r>
    </w:p>
    <w:p>
      <w:r>
        <w:rPr>
          <w:sz w:val="21"/>
        </w:rPr>
        <mc:AlternateContent>
          <mc:Choice Requires="wps">
            <w:drawing>
              <wp:anchor distT="0" distB="0" distL="114300" distR="114300" simplePos="0" relativeHeight="251692032" behindDoc="0" locked="0" layoutInCell="1" allowOverlap="1">
                <wp:simplePos x="0" y="0"/>
                <wp:positionH relativeFrom="column">
                  <wp:posOffset>6523355</wp:posOffset>
                </wp:positionH>
                <wp:positionV relativeFrom="paragraph">
                  <wp:posOffset>190500</wp:posOffset>
                </wp:positionV>
                <wp:extent cx="1024255" cy="476250"/>
                <wp:effectExtent l="12700" t="12700" r="29845" b="25400"/>
                <wp:wrapNone/>
                <wp:docPr id="85" name="矩形 85"/>
                <wp:cNvGraphicFramePr/>
                <a:graphic xmlns:a="http://schemas.openxmlformats.org/drawingml/2006/main">
                  <a:graphicData uri="http://schemas.microsoft.com/office/word/2010/wordprocessingShape">
                    <wps:wsp>
                      <wps:cNvSpPr/>
                      <wps:spPr>
                        <a:xfrm>
                          <a:off x="0" y="0"/>
                          <a:ext cx="1024255" cy="4762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安置区二期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3.65pt;margin-top:15pt;height:37.5pt;width:80.65pt;z-index:251692032;v-text-anchor:middle;mso-width-relative:page;mso-height-relative:page;" fillcolor="#4F81BD [3204]" filled="t" stroked="t" coordsize="21600,21600" o:gfxdata="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LYTaw2QAAAAwBAAAPAAAAAAAA&#10;AAEAIAAAACIAAABkcnMvZG93bnJldi54bWxQSwECFAAUAAAACACHTuJAXTHhgoMCAAAMBQAADgAA&#10;AAAAAAABACAAAAAoAQAAZHJzL2Uyb0RvYy54bWxQSwUGAAAAAAYABgBZAQAAHQYAAAAA&#10;">
                <v:fill on="t" focussize="0,0"/>
                <v:stroke weight="2pt" color="#376092 [2404]" joinstyle="round"/>
                <v:imagedata o:title=""/>
                <o:lock v:ext="edit" aspectratio="f"/>
                <v:textbox>
                  <w:txbxContent>
                    <w:p>
                      <w:pPr>
                        <w:jc w:val="center"/>
                        <w:rPr>
                          <w:rFonts w:hint="default" w:eastAsia="宋体"/>
                          <w:lang w:val="en-US" w:eastAsia="zh-CN"/>
                        </w:rPr>
                      </w:pPr>
                      <w:r>
                        <w:rPr>
                          <w:rFonts w:hint="eastAsia"/>
                          <w:lang w:val="en-US" w:eastAsia="zh-CN"/>
                        </w:rPr>
                        <w:t>安置区二期</w:t>
                      </w:r>
                    </w:p>
                  </w:txbxContent>
                </v:textbox>
              </v:rect>
            </w:pict>
          </mc:Fallback>
        </mc:AlternateContent>
      </w:r>
      <w:r>
        <w:rPr>
          <w:color w:val="auto"/>
        </w:rPr>
        <w:drawing>
          <wp:inline distT="0" distB="0" distL="114300" distR="114300">
            <wp:extent cx="7958455" cy="4963795"/>
            <wp:effectExtent l="19050" t="19050" r="23495" b="27305"/>
            <wp:docPr id="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
                    <pic:cNvPicPr>
                      <a:picLocks noChangeAspect="1"/>
                    </pic:cNvPicPr>
                  </pic:nvPicPr>
                  <pic:blipFill>
                    <a:blip r:embed="rId33"/>
                    <a:stretch>
                      <a:fillRect/>
                    </a:stretch>
                  </pic:blipFill>
                  <pic:spPr>
                    <a:xfrm>
                      <a:off x="0" y="0"/>
                      <a:ext cx="7958455" cy="4963795"/>
                    </a:xfrm>
                    <a:prstGeom prst="rect">
                      <a:avLst/>
                    </a:prstGeom>
                    <a:noFill/>
                    <a:ln w="19050" cmpd="sng">
                      <a:solidFill>
                        <a:schemeClr val="tx1"/>
                      </a:solidFill>
                      <a:prstDash val="solid"/>
                    </a:ln>
                  </pic:spPr>
                </pic:pic>
              </a:graphicData>
            </a:graphic>
          </wp:inline>
        </w:drawing>
      </w:r>
      <w:r>
        <w:rPr>
          <w:sz w:val="21"/>
        </w:rPr>
        <mc:AlternateContent>
          <mc:Choice Requires="wps">
            <w:drawing>
              <wp:anchor distT="0" distB="0" distL="114300" distR="114300" simplePos="0" relativeHeight="251694080" behindDoc="0" locked="0" layoutInCell="1" allowOverlap="1">
                <wp:simplePos x="0" y="0"/>
                <wp:positionH relativeFrom="column">
                  <wp:posOffset>4781550</wp:posOffset>
                </wp:positionH>
                <wp:positionV relativeFrom="paragraph">
                  <wp:posOffset>3444875</wp:posOffset>
                </wp:positionV>
                <wp:extent cx="487045" cy="371475"/>
                <wp:effectExtent l="46990" t="62865" r="56515" b="80010"/>
                <wp:wrapNone/>
                <wp:docPr id="112" name="矩形 112"/>
                <wp:cNvGraphicFramePr/>
                <a:graphic xmlns:a="http://schemas.openxmlformats.org/drawingml/2006/main">
                  <a:graphicData uri="http://schemas.microsoft.com/office/word/2010/wordprocessingShape">
                    <wps:wsp>
                      <wps:cNvSpPr/>
                      <wps:spPr>
                        <a:xfrm rot="840000">
                          <a:off x="5821680" y="3795395"/>
                          <a:ext cx="487045" cy="371475"/>
                        </a:xfrm>
                        <a:prstGeom prst="rect">
                          <a:avLst/>
                        </a:prstGeom>
                        <a:solidFill>
                          <a:srgbClr val="FF0000">
                            <a:alpha val="21000"/>
                          </a:srgbClr>
                        </a:solidFill>
                        <a:ln w="1905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6.5pt;margin-top:271.25pt;height:29.25pt;width:38.35pt;rotation:917504f;z-index:251694080;v-text-anchor:middle;mso-width-relative:page;mso-height-relative:page;" fillcolor="#FF0000" filled="t" stroked="t" coordsize="21600,21600" o:gfxdata="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a0/KFtoAAAALAQAA&#10;DwAAAAAAAAABACAAAAAiAAAAZHJzL2Rvd25yZXYueG1sUEsBAhQAFAAAAAgAh07iQFv7SeGJAgAA&#10;GgUAAA4AAAAAAAAAAQAgAAAAKQEAAGRycy9lMm9Eb2MueG1sUEsFBgAAAAAGAAYAWQEAACQGAAAA&#10;AA==&#10;">
                <v:fill on="t" opacity="13762f" focussize="0,0"/>
                <v:stroke weight="1.5pt" color="#000000 [3213]" joinstyle="round"/>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6499225</wp:posOffset>
                </wp:positionH>
                <wp:positionV relativeFrom="paragraph">
                  <wp:posOffset>202565</wp:posOffset>
                </wp:positionV>
                <wp:extent cx="1334135" cy="476250"/>
                <wp:effectExtent l="12700" t="12700" r="24765" b="25400"/>
                <wp:wrapNone/>
                <wp:docPr id="111" name="矩形 111"/>
                <wp:cNvGraphicFramePr/>
                <a:graphic xmlns:a="http://schemas.openxmlformats.org/drawingml/2006/main">
                  <a:graphicData uri="http://schemas.microsoft.com/office/word/2010/wordprocessingShape">
                    <wps:wsp>
                      <wps:cNvSpPr/>
                      <wps:spPr>
                        <a:xfrm>
                          <a:off x="0" y="0"/>
                          <a:ext cx="1334135" cy="4762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安置区三期级配套污水处理站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1.75pt;margin-top:15.95pt;height:37.5pt;width:105.05pt;z-index:251693056;v-text-anchor:middle;mso-width-relative:page;mso-height-relative:page;" fillcolor="#4F81BD [3204]" filled="t" stroked="t" coordsize="21600,21600" o:gfxdata="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G2XGdNkAAAAMAQAADwAAAAAA&#10;AAABACAAAAAiAAAAZHJzL2Rvd25yZXYueG1sUEsBAhQAFAAAAAgAh07iQPX/qfCEAgAADgUAAA4A&#10;AAAAAAAAAQAgAAAAKAEAAGRycy9lMm9Eb2MueG1sUEsFBgAAAAAGAAYAWQEAAB4GAAAAAA==&#10;">
                <v:fill on="t" focussize="0,0"/>
                <v:stroke weight="2pt" color="#376092 [2404]" joinstyle="round"/>
                <v:imagedata o:title=""/>
                <o:lock v:ext="edit" aspectratio="f"/>
                <v:textbox>
                  <w:txbxContent>
                    <w:p>
                      <w:pPr>
                        <w:jc w:val="center"/>
                        <w:rPr>
                          <w:rFonts w:hint="default" w:eastAsia="宋体"/>
                          <w:lang w:val="en-US" w:eastAsia="zh-CN"/>
                        </w:rPr>
                      </w:pPr>
                      <w:r>
                        <w:rPr>
                          <w:rFonts w:hint="eastAsia"/>
                          <w:lang w:val="en-US" w:eastAsia="zh-CN"/>
                        </w:rPr>
                        <w:t>安置区三期级配套污水处理站</w:t>
                      </w:r>
                    </w:p>
                  </w:txbxContent>
                </v:textbox>
              </v:rect>
            </w:pict>
          </mc:Fallback>
        </mc:AlternateContent>
      </w:r>
      <w:r>
        <w:rPr>
          <w:color w:val="auto"/>
        </w:rPr>
        <w:drawing>
          <wp:inline distT="0" distB="0" distL="114300" distR="114300">
            <wp:extent cx="8434705" cy="4849495"/>
            <wp:effectExtent l="19050" t="19050" r="23495" b="27305"/>
            <wp:docPr id="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pic:cNvPicPr>
                      <a:picLocks noChangeAspect="1"/>
                    </pic:cNvPicPr>
                  </pic:nvPicPr>
                  <pic:blipFill>
                    <a:blip r:embed="rId34"/>
                    <a:stretch>
                      <a:fillRect/>
                    </a:stretch>
                  </pic:blipFill>
                  <pic:spPr>
                    <a:xfrm>
                      <a:off x="0" y="0"/>
                      <a:ext cx="8434705" cy="4849495"/>
                    </a:xfrm>
                    <a:prstGeom prst="rect">
                      <a:avLst/>
                    </a:prstGeom>
                    <a:noFill/>
                    <a:ln w="19050" cmpd="sng">
                      <a:solidFill>
                        <a:schemeClr val="tx1"/>
                      </a:solidFill>
                      <a:prstDash val="solid"/>
                    </a:ln>
                  </pic:spPr>
                </pic:pic>
              </a:graphicData>
            </a:graphic>
          </wp:inline>
        </w:drawing>
      </w:r>
    </w:p>
    <w:p>
      <w:pPr>
        <w:widowControl/>
        <w:spacing w:line="360" w:lineRule="auto"/>
        <w:outlineLvl w:val="1"/>
        <w:rPr>
          <w:rFonts w:hint="default"/>
          <w:b/>
          <w:bCs/>
          <w:color w:val="auto"/>
          <w:sz w:val="28"/>
          <w:szCs w:val="28"/>
          <w:lang w:val="en-US"/>
        </w:rPr>
      </w:pPr>
      <w:bookmarkStart w:id="82" w:name="_Toc27164"/>
      <w:r>
        <w:rPr>
          <w:b/>
          <w:bCs/>
          <w:color w:val="auto"/>
          <w:sz w:val="28"/>
          <w:szCs w:val="28"/>
        </w:rPr>
        <w:t>附图</w:t>
      </w:r>
      <w:r>
        <w:rPr>
          <w:rFonts w:hint="eastAsia"/>
          <w:b/>
          <w:bCs/>
          <w:color w:val="auto"/>
          <w:sz w:val="28"/>
          <w:szCs w:val="28"/>
          <w:lang w:val="en-US" w:eastAsia="zh-CN"/>
        </w:rPr>
        <w:t>5</w:t>
      </w:r>
      <w:r>
        <w:rPr>
          <w:b/>
          <w:bCs/>
          <w:color w:val="auto"/>
          <w:sz w:val="28"/>
          <w:szCs w:val="28"/>
        </w:rPr>
        <w:t xml:space="preserve"> </w:t>
      </w:r>
      <w:r>
        <w:rPr>
          <w:rFonts w:hint="eastAsia"/>
          <w:b/>
          <w:bCs/>
          <w:color w:val="auto"/>
          <w:sz w:val="28"/>
          <w:szCs w:val="28"/>
          <w:lang w:val="en-US" w:eastAsia="zh-CN"/>
        </w:rPr>
        <w:t>本项目与湖南东洞庭湖国家级自然保护区位置示意图（调整前及调整后）</w:t>
      </w:r>
      <w:bookmarkEnd w:id="82"/>
    </w:p>
    <w:p>
      <w:pPr>
        <w:rPr>
          <w:color w:val="auto"/>
        </w:rPr>
      </w:pPr>
      <w:r>
        <w:rPr>
          <w:color w:val="auto"/>
          <w:sz w:val="21"/>
        </w:rPr>
        <mc:AlternateContent>
          <mc:Choice Requires="wps">
            <w:drawing>
              <wp:anchor distT="0" distB="0" distL="114300" distR="114300" simplePos="0" relativeHeight="251670528" behindDoc="0" locked="0" layoutInCell="1" allowOverlap="1">
                <wp:simplePos x="0" y="0"/>
                <wp:positionH relativeFrom="column">
                  <wp:posOffset>2600960</wp:posOffset>
                </wp:positionH>
                <wp:positionV relativeFrom="paragraph">
                  <wp:posOffset>1749425</wp:posOffset>
                </wp:positionV>
                <wp:extent cx="976630" cy="424815"/>
                <wp:effectExtent l="0" t="0" r="0" b="0"/>
                <wp:wrapNone/>
                <wp:docPr id="10" name="矩形 10"/>
                <wp:cNvGraphicFramePr/>
                <a:graphic xmlns:a="http://schemas.openxmlformats.org/drawingml/2006/main">
                  <a:graphicData uri="http://schemas.microsoft.com/office/word/2010/wordprocessingShape">
                    <wps:wsp>
                      <wps:cNvSpPr/>
                      <wps:spPr>
                        <a:xfrm>
                          <a:off x="3971925" y="3169920"/>
                          <a:ext cx="976630" cy="424815"/>
                        </a:xfrm>
                        <a:prstGeom prst="rect">
                          <a:avLst/>
                        </a:prstGeom>
                        <a:noFill/>
                        <a:ln w="15875">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color w:val="FF0000"/>
                                <w:lang w:val="en-US" w:eastAsia="zh-CN"/>
                              </w:rPr>
                            </w:pPr>
                            <w:r>
                              <w:rPr>
                                <w:rFonts w:hint="eastAsia"/>
                                <w:color w:val="FF0000"/>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4.8pt;margin-top:137.75pt;height:33.45pt;width:76.9pt;z-index:251670528;v-text-anchor:middle;mso-width-relative:page;mso-height-relative:page;" filled="f" stroked="f" coordsize="21600,21600" o:gfxdata="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0oXyFtsAAAALAQAADwAAAAAAAAABACAAAAAiAAAAZHJzL2Rvd25yZXYueG1sUEsBAhQAFAAA&#10;AAgAh07iQD+kciVeAgAAowQAAA4AAAAAAAAAAQAgAAAAKgEAAGRycy9lMm9Eb2MueG1sUEsFBgAA&#10;AAAGAAYAWQEAAPoFAAAAAA==&#10;">
                <v:fill on="f" focussize="0,0"/>
                <v:stroke on="f" weight="1.25pt"/>
                <v:imagedata o:title=""/>
                <o:lock v:ext="edit" aspectratio="f"/>
                <v:textbox>
                  <w:txbxContent>
                    <w:p>
                      <w:pPr>
                        <w:jc w:val="center"/>
                        <w:rPr>
                          <w:rFonts w:hint="default" w:eastAsia="宋体"/>
                          <w:color w:val="FF0000"/>
                          <w:lang w:val="en-US" w:eastAsia="zh-CN"/>
                        </w:rPr>
                      </w:pPr>
                      <w:r>
                        <w:rPr>
                          <w:rFonts w:hint="eastAsia"/>
                          <w:color w:val="FF0000"/>
                          <w:lang w:val="en-US" w:eastAsia="zh-CN"/>
                        </w:rPr>
                        <w:t>项目所在地</w:t>
                      </w:r>
                    </w:p>
                  </w:txbxContent>
                </v:textbox>
              </v:rect>
            </w:pict>
          </mc:Fallback>
        </mc:AlternateContent>
      </w:r>
      <w:r>
        <w:rPr>
          <w:color w:val="auto"/>
          <w:sz w:val="21"/>
        </w:rPr>
        <mc:AlternateContent>
          <mc:Choice Requires="wps">
            <w:drawing>
              <wp:anchor distT="0" distB="0" distL="114300" distR="114300" simplePos="0" relativeHeight="251669504" behindDoc="0" locked="0" layoutInCell="1" allowOverlap="1">
                <wp:simplePos x="0" y="0"/>
                <wp:positionH relativeFrom="column">
                  <wp:posOffset>3041650</wp:posOffset>
                </wp:positionH>
                <wp:positionV relativeFrom="paragraph">
                  <wp:posOffset>2122170</wp:posOffset>
                </wp:positionV>
                <wp:extent cx="97790" cy="102235"/>
                <wp:effectExtent l="4445" t="4445" r="12065" b="7620"/>
                <wp:wrapNone/>
                <wp:docPr id="9" name="五角星 9"/>
                <wp:cNvGraphicFramePr/>
                <a:graphic xmlns:a="http://schemas.openxmlformats.org/drawingml/2006/main">
                  <a:graphicData uri="http://schemas.microsoft.com/office/word/2010/wordprocessingShape">
                    <wps:wsp>
                      <wps:cNvSpPr/>
                      <wps:spPr>
                        <a:xfrm>
                          <a:off x="4241165" y="3517265"/>
                          <a:ext cx="97790" cy="102235"/>
                        </a:xfrm>
                        <a:prstGeom prst="star5">
                          <a:avLst/>
                        </a:prstGeom>
                        <a:solidFill>
                          <a:schemeClr val="accent2"/>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39.5pt;margin-top:167.1pt;height:8.05pt;width:7.7pt;z-index:251669504;v-text-anchor:middle;mso-width-relative:page;mso-height-relative:page;" fillcolor="#C0504D [3205]" filled="t" stroked="t" coordsize="97790,102235" o:gfxdata="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pOVyC9cAAAALAQAADwAAAAAAAAABACAAAAAiAAAA&#10;ZHJzL2Rvd25yZXYueG1sUEsBAhQAFAAAAAgAh07iQC8IKjp6AgAA6gQAAA4AAAAAAAAAAQAgAAAA&#10;JgEAAGRycy9lMm9Eb2MueG1sUEsFBgAAAAAGAAYAWQEAABIGAAAAAA==&#10;" path="m0,39050l37352,39050,48895,0,60437,39050,97789,39050,67570,63184,79113,102234,48895,78100,18676,102234,30219,63184xe">
                <v:path o:connectlocs="48895,0;0,39050;18676,102234;79113,102234;97789,39050" o:connectangles="247,164,82,82,0"/>
                <v:fill on="t" focussize="0,0"/>
                <v:stroke color="#000000 [3213]" joinstyle="round"/>
                <v:imagedata o:title=""/>
                <o:lock v:ext="edit" aspectratio="f"/>
              </v:shape>
            </w:pict>
          </mc:Fallback>
        </mc:AlternateContent>
      </w:r>
      <w:r>
        <w:rPr>
          <w:color w:val="auto"/>
        </w:rPr>
        <w:drawing>
          <wp:inline distT="0" distB="0" distL="114300" distR="114300">
            <wp:extent cx="8048625" cy="5265420"/>
            <wp:effectExtent l="0" t="0" r="9525" b="1143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35"/>
                    <a:stretch>
                      <a:fillRect/>
                    </a:stretch>
                  </pic:blipFill>
                  <pic:spPr>
                    <a:xfrm>
                      <a:off x="0" y="0"/>
                      <a:ext cx="8048625" cy="5265420"/>
                    </a:xfrm>
                    <a:prstGeom prst="rect">
                      <a:avLst/>
                    </a:prstGeom>
                    <a:noFill/>
                    <a:ln>
                      <a:noFill/>
                    </a:ln>
                  </pic:spPr>
                </pic:pic>
              </a:graphicData>
            </a:graphic>
          </wp:inline>
        </w:drawing>
      </w:r>
    </w:p>
    <w:p>
      <w:pPr>
        <w:rPr>
          <w:rFonts w:hint="eastAsia" w:eastAsia="宋体"/>
          <w:color w:val="auto"/>
          <w:lang w:eastAsia="zh-CN"/>
        </w:rPr>
      </w:pPr>
      <w:r>
        <w:rPr>
          <w:color w:val="auto"/>
          <w:sz w:val="21"/>
        </w:rPr>
        <mc:AlternateContent>
          <mc:Choice Requires="wps">
            <w:drawing>
              <wp:anchor distT="0" distB="0" distL="114300" distR="114300" simplePos="0" relativeHeight="251679744" behindDoc="0" locked="0" layoutInCell="1" allowOverlap="1">
                <wp:simplePos x="0" y="0"/>
                <wp:positionH relativeFrom="column">
                  <wp:posOffset>2261870</wp:posOffset>
                </wp:positionH>
                <wp:positionV relativeFrom="paragraph">
                  <wp:posOffset>2283460</wp:posOffset>
                </wp:positionV>
                <wp:extent cx="976630" cy="424815"/>
                <wp:effectExtent l="0" t="0" r="0" b="0"/>
                <wp:wrapNone/>
                <wp:docPr id="21" name="矩形 21"/>
                <wp:cNvGraphicFramePr/>
                <a:graphic xmlns:a="http://schemas.openxmlformats.org/drawingml/2006/main">
                  <a:graphicData uri="http://schemas.microsoft.com/office/word/2010/wordprocessingShape">
                    <wps:wsp>
                      <wps:cNvSpPr/>
                      <wps:spPr>
                        <a:xfrm>
                          <a:off x="0" y="0"/>
                          <a:ext cx="976630" cy="424815"/>
                        </a:xfrm>
                        <a:prstGeom prst="rect">
                          <a:avLst/>
                        </a:prstGeom>
                        <a:noFill/>
                        <a:ln w="15875">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color w:val="FF0000"/>
                                <w:lang w:val="en-US" w:eastAsia="zh-CN"/>
                              </w:rPr>
                            </w:pPr>
                            <w:r>
                              <w:rPr>
                                <w:rFonts w:hint="eastAsia"/>
                                <w:color w:val="FF0000"/>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8.1pt;margin-top:179.8pt;height:33.45pt;width:76.9pt;z-index:251679744;v-text-anchor:middle;mso-width-relative:page;mso-height-relative:page;" filled="f" stroked="f" coordsize="21600,21600" o:gfxdata="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XyX1D2gAAAAsB&#10;AAAPAAAAAAAAAAEAIAAAACIAAABkcnMvZG93bnJldi54bWxQSwECFAAUAAAACACHTuJAc/Lq5VIC&#10;AACXBAAADgAAAAAAAAABACAAAAApAQAAZHJzL2Uyb0RvYy54bWxQSwUGAAAAAAYABgBZAQAA7QUA&#10;AAAA&#10;">
                <v:fill on="f" focussize="0,0"/>
                <v:stroke on="f" weight="1.25pt"/>
                <v:imagedata o:title=""/>
                <o:lock v:ext="edit" aspectratio="f"/>
                <v:textbox>
                  <w:txbxContent>
                    <w:p>
                      <w:pPr>
                        <w:jc w:val="center"/>
                        <w:rPr>
                          <w:rFonts w:hint="default" w:eastAsia="宋体"/>
                          <w:color w:val="FF0000"/>
                          <w:lang w:val="en-US" w:eastAsia="zh-CN"/>
                        </w:rPr>
                      </w:pPr>
                      <w:r>
                        <w:rPr>
                          <w:rFonts w:hint="eastAsia"/>
                          <w:color w:val="FF0000"/>
                          <w:lang w:val="en-US" w:eastAsia="zh-CN"/>
                        </w:rPr>
                        <w:t>项目所在地</w:t>
                      </w:r>
                    </w:p>
                  </w:txbxContent>
                </v:textbox>
              </v:rect>
            </w:pict>
          </mc:Fallback>
        </mc:AlternateContent>
      </w:r>
      <w:r>
        <w:rPr>
          <w:color w:val="auto"/>
          <w:sz w:val="21"/>
        </w:rPr>
        <mc:AlternateContent>
          <mc:Choice Requires="wps">
            <w:drawing>
              <wp:anchor distT="0" distB="0" distL="114300" distR="114300" simplePos="0" relativeHeight="251681792" behindDoc="0" locked="0" layoutInCell="1" allowOverlap="1">
                <wp:simplePos x="0" y="0"/>
                <wp:positionH relativeFrom="column">
                  <wp:posOffset>2728595</wp:posOffset>
                </wp:positionH>
                <wp:positionV relativeFrom="paragraph">
                  <wp:posOffset>2698750</wp:posOffset>
                </wp:positionV>
                <wp:extent cx="97790" cy="102235"/>
                <wp:effectExtent l="4445" t="4445" r="12065" b="7620"/>
                <wp:wrapNone/>
                <wp:docPr id="23" name="五角星 23"/>
                <wp:cNvGraphicFramePr/>
                <a:graphic xmlns:a="http://schemas.openxmlformats.org/drawingml/2006/main">
                  <a:graphicData uri="http://schemas.microsoft.com/office/word/2010/wordprocessingShape">
                    <wps:wsp>
                      <wps:cNvSpPr/>
                      <wps:spPr>
                        <a:xfrm>
                          <a:off x="0" y="0"/>
                          <a:ext cx="97790" cy="102235"/>
                        </a:xfrm>
                        <a:prstGeom prst="star5">
                          <a:avLst/>
                        </a:prstGeom>
                        <a:solidFill>
                          <a:schemeClr val="accent2"/>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14.85pt;margin-top:212.5pt;height:8.05pt;width:7.7pt;z-index:251681792;v-text-anchor:middle;mso-width-relative:page;mso-height-relative:page;" fillcolor="#C0504D [3205]" filled="t" stroked="t" coordsize="97790,102235" o:gfxdata="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ecoT91QAAAAsBAAAPAAAAAAAAAAEAIAAAACIAAABkcnMvZG93bnJldi54bWxQ&#10;SwECFAAUAAAACACHTuJAnu4sJGwCAADgBAAADgAAAAAAAAABACAAAAAkAQAAZHJzL2Uyb0RvYy54&#10;bWxQSwUGAAAAAAYABgBZAQAAAgYAAAAA&#10;" path="m0,39050l37352,39050,48895,0,60437,39050,97789,39050,67570,63184,79113,102234,48895,78100,18676,102234,30219,63184xe">
                <v:path o:connectlocs="48895,0;0,39050;18676,102234;79113,102234;97789,39050" o:connectangles="247,164,82,82,0"/>
                <v:fill on="t" focussize="0,0"/>
                <v:stroke color="#000000 [3213]" joinstyle="round"/>
                <v:imagedata o:title=""/>
                <o:lock v:ext="edit" aspectratio="f"/>
              </v:shape>
            </w:pict>
          </mc:Fallback>
        </mc:AlternateContent>
      </w:r>
      <w:r>
        <w:rPr>
          <w:rFonts w:hint="eastAsia" w:eastAsia="宋体"/>
          <w:color w:val="auto"/>
          <w:lang w:eastAsia="zh-CN"/>
        </w:rPr>
        <w:drawing>
          <wp:inline distT="0" distB="0" distL="114300" distR="114300">
            <wp:extent cx="8190230" cy="5725795"/>
            <wp:effectExtent l="0" t="0" r="1270" b="8255"/>
            <wp:docPr id="20" name="图片 20" descr="0e0ff5dcd1ae8b1b665183315c5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e0ff5dcd1ae8b1b665183315c58220"/>
                    <pic:cNvPicPr>
                      <a:picLocks noChangeAspect="1"/>
                    </pic:cNvPicPr>
                  </pic:nvPicPr>
                  <pic:blipFill>
                    <a:blip r:embed="rId36"/>
                    <a:stretch>
                      <a:fillRect/>
                    </a:stretch>
                  </pic:blipFill>
                  <pic:spPr>
                    <a:xfrm>
                      <a:off x="0" y="0"/>
                      <a:ext cx="8190230" cy="5725795"/>
                    </a:xfrm>
                    <a:prstGeom prst="rect">
                      <a:avLst/>
                    </a:prstGeom>
                  </pic:spPr>
                </pic:pic>
              </a:graphicData>
            </a:graphic>
          </wp:inline>
        </w:drawing>
      </w:r>
      <w:r>
        <w:rPr>
          <w:color w:val="auto"/>
          <w:sz w:val="21"/>
        </w:rPr>
        <mc:AlternateContent>
          <mc:Choice Requires="wps">
            <w:drawing>
              <wp:anchor distT="0" distB="0" distL="114300" distR="114300" simplePos="0" relativeHeight="251680768" behindDoc="0" locked="0" layoutInCell="1" allowOverlap="1">
                <wp:simplePos x="0" y="0"/>
                <wp:positionH relativeFrom="column">
                  <wp:posOffset>2611120</wp:posOffset>
                </wp:positionH>
                <wp:positionV relativeFrom="paragraph">
                  <wp:posOffset>2320925</wp:posOffset>
                </wp:positionV>
                <wp:extent cx="976630" cy="424815"/>
                <wp:effectExtent l="0" t="0" r="0" b="0"/>
                <wp:wrapNone/>
                <wp:docPr id="22" name="矩形 22"/>
                <wp:cNvGraphicFramePr/>
                <a:graphic xmlns:a="http://schemas.openxmlformats.org/drawingml/2006/main">
                  <a:graphicData uri="http://schemas.microsoft.com/office/word/2010/wordprocessingShape">
                    <wps:wsp>
                      <wps:cNvSpPr/>
                      <wps:spPr>
                        <a:xfrm>
                          <a:off x="0" y="0"/>
                          <a:ext cx="976630" cy="424815"/>
                        </a:xfrm>
                        <a:prstGeom prst="rect">
                          <a:avLst/>
                        </a:prstGeom>
                        <a:noFill/>
                        <a:ln w="15875">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color w:val="FF0000"/>
                                <w:lang w:val="en-US" w:eastAsia="zh-CN"/>
                              </w:rPr>
                            </w:pPr>
                            <w:r>
                              <w:rPr>
                                <w:rFonts w:hint="eastAsia"/>
                                <w:color w:val="FF0000"/>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5.6pt;margin-top:182.75pt;height:33.45pt;width:76.9pt;z-index:251680768;v-text-anchor:middle;mso-width-relative:page;mso-height-relative:page;" filled="f" stroked="f" coordsize="21600,21600" o:gfxdata="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JTe4jYAAAACwEA&#10;AA8AAAAAAAAAAQAgAAAAIgAAAGRycy9kb3ducmV2LnhtbFBLAQIUABQAAAAIAIdO4kDXHrPTUwIA&#10;AJcEAAAOAAAAAAAAAAEAIAAAACcBAABkcnMvZTJvRG9jLnhtbFBLBQYAAAAABgAGAFkBAADsBQAA&#10;AAA=&#10;">
                <v:fill on="f" focussize="0,0"/>
                <v:stroke on="f" weight="1.25pt"/>
                <v:imagedata o:title=""/>
                <o:lock v:ext="edit" aspectratio="f"/>
                <v:textbox>
                  <w:txbxContent>
                    <w:p>
                      <w:pPr>
                        <w:jc w:val="center"/>
                        <w:rPr>
                          <w:rFonts w:hint="default" w:eastAsia="宋体"/>
                          <w:color w:val="FF0000"/>
                          <w:lang w:val="en-US" w:eastAsia="zh-CN"/>
                        </w:rPr>
                      </w:pPr>
                      <w:r>
                        <w:rPr>
                          <w:rFonts w:hint="eastAsia"/>
                          <w:color w:val="FF0000"/>
                          <w:lang w:val="en-US" w:eastAsia="zh-CN"/>
                        </w:rPr>
                        <w:t>项目所在地</w:t>
                      </w:r>
                    </w:p>
                  </w:txbxContent>
                </v:textbox>
              </v:rect>
            </w:pict>
          </mc:Fallback>
        </mc:AlternateContent>
      </w:r>
      <w:r>
        <w:rPr>
          <w:color w:val="auto"/>
          <w:sz w:val="21"/>
        </w:rPr>
        <mc:AlternateContent>
          <mc:Choice Requires="wps">
            <w:drawing>
              <wp:anchor distT="0" distB="0" distL="114300" distR="114300" simplePos="0" relativeHeight="251682816" behindDoc="0" locked="0" layoutInCell="1" allowOverlap="1">
                <wp:simplePos x="0" y="0"/>
                <wp:positionH relativeFrom="column">
                  <wp:posOffset>3126105</wp:posOffset>
                </wp:positionH>
                <wp:positionV relativeFrom="paragraph">
                  <wp:posOffset>2698115</wp:posOffset>
                </wp:positionV>
                <wp:extent cx="97790" cy="102235"/>
                <wp:effectExtent l="4445" t="4445" r="12065" b="7620"/>
                <wp:wrapNone/>
                <wp:docPr id="24" name="五角星 24"/>
                <wp:cNvGraphicFramePr/>
                <a:graphic xmlns:a="http://schemas.openxmlformats.org/drawingml/2006/main">
                  <a:graphicData uri="http://schemas.microsoft.com/office/word/2010/wordprocessingShape">
                    <wps:wsp>
                      <wps:cNvSpPr/>
                      <wps:spPr>
                        <a:xfrm>
                          <a:off x="0" y="0"/>
                          <a:ext cx="97790" cy="102235"/>
                        </a:xfrm>
                        <a:prstGeom prst="star5">
                          <a:avLst/>
                        </a:prstGeom>
                        <a:solidFill>
                          <a:schemeClr val="accent2"/>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46.15pt;margin-top:212.45pt;height:8.05pt;width:7.7pt;z-index:251682816;v-text-anchor:middle;mso-width-relative:page;mso-height-relative:page;" fillcolor="#C0504D [3205]" filled="t" stroked="t" coordsize="97790,102235" o:gfxdata="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Pxq11dcAAAALAQAADwAAAAAAAAABACAAAAAiAAAAZHJzL2Rvd25yZXYueG1s&#10;UEsBAhQAFAAAAAgAh07iQCIJcM9rAgAA4AQAAA4AAAAAAAAAAQAgAAAAJgEAAGRycy9lMm9Eb2Mu&#10;eG1sUEsFBgAAAAAGAAYAWQEAAAMGAAAAAA==&#10;" path="m0,39050l37352,39050,48895,0,60437,39050,97789,39050,67570,63184,79113,102234,48895,78100,18676,102234,30219,63184xe">
                <v:path o:connectlocs="48895,0;0,39050;18676,102234;79113,102234;97789,39050" o:connectangles="247,164,82,82,0"/>
                <v:fill on="t" focussize="0,0"/>
                <v:stroke color="#000000 [3213]" joinstyle="round"/>
                <v:imagedata o:title=""/>
                <o:lock v:ext="edit" aspectratio="f"/>
              </v:shape>
            </w:pict>
          </mc:Fallback>
        </mc:AlternateContent>
      </w:r>
      <w:r>
        <w:rPr>
          <w:rFonts w:hint="eastAsia" w:eastAsia="宋体"/>
          <w:color w:val="auto"/>
          <w:lang w:eastAsia="zh-CN"/>
        </w:rPr>
        <w:drawing>
          <wp:inline distT="0" distB="0" distL="114300" distR="114300">
            <wp:extent cx="8072120" cy="5419725"/>
            <wp:effectExtent l="0" t="0" r="5080" b="9525"/>
            <wp:docPr id="18" name="图片 18" descr="d94741a5bbb773df5d1adb930f9a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d94741a5bbb773df5d1adb930f9a125"/>
                    <pic:cNvPicPr>
                      <a:picLocks noChangeAspect="1"/>
                    </pic:cNvPicPr>
                  </pic:nvPicPr>
                  <pic:blipFill>
                    <a:blip r:embed="rId37"/>
                    <a:stretch>
                      <a:fillRect/>
                    </a:stretch>
                  </pic:blipFill>
                  <pic:spPr>
                    <a:xfrm>
                      <a:off x="0" y="0"/>
                      <a:ext cx="8072120" cy="5419725"/>
                    </a:xfrm>
                    <a:prstGeom prst="rect">
                      <a:avLst/>
                    </a:prstGeom>
                  </pic:spPr>
                </pic:pic>
              </a:graphicData>
            </a:graphic>
          </wp:inline>
        </w:drawing>
      </w:r>
    </w:p>
    <w:p>
      <w:pPr>
        <w:rPr>
          <w:rFonts w:hint="eastAsia" w:eastAsia="宋体"/>
          <w:color w:val="auto"/>
          <w:lang w:eastAsia="zh-CN"/>
        </w:rPr>
      </w:pPr>
      <w:r>
        <w:rPr>
          <w:rFonts w:hint="eastAsia" w:eastAsia="宋体"/>
          <w:color w:val="auto"/>
          <w:lang w:eastAsia="zh-CN"/>
        </w:rPr>
        <w:br w:type="page"/>
      </w:r>
    </w:p>
    <w:p>
      <w:pPr>
        <w:rPr>
          <w:rFonts w:hint="default" w:eastAsia="宋体"/>
          <w:color w:val="auto"/>
          <w:lang w:val="en-US" w:eastAsia="zh-CN"/>
        </w:rPr>
      </w:pPr>
      <w:bookmarkStart w:id="83" w:name="_Toc13715"/>
      <w:r>
        <w:rPr>
          <w:b/>
          <w:bCs/>
          <w:color w:val="auto"/>
          <w:sz w:val="28"/>
          <w:szCs w:val="28"/>
        </w:rPr>
        <w:t>附图</w:t>
      </w:r>
      <w:r>
        <w:rPr>
          <w:rFonts w:hint="eastAsia"/>
          <w:b/>
          <w:bCs/>
          <w:color w:val="auto"/>
          <w:sz w:val="28"/>
          <w:szCs w:val="28"/>
          <w:lang w:val="en-US" w:eastAsia="zh-CN"/>
        </w:rPr>
        <w:t>6</w:t>
      </w:r>
      <w:r>
        <w:rPr>
          <w:b/>
          <w:bCs/>
          <w:color w:val="auto"/>
          <w:sz w:val="28"/>
          <w:szCs w:val="28"/>
        </w:rPr>
        <w:t xml:space="preserve"> </w:t>
      </w:r>
      <w:r>
        <w:rPr>
          <w:rFonts w:hint="eastAsia"/>
          <w:b/>
          <w:bCs/>
          <w:color w:val="auto"/>
          <w:sz w:val="28"/>
          <w:szCs w:val="28"/>
          <w:lang w:val="en-US" w:eastAsia="zh-CN"/>
        </w:rPr>
        <w:t>项目及周边土地利用现状图</w:t>
      </w:r>
      <w:bookmarkEnd w:id="83"/>
    </w:p>
    <w:p>
      <w:pPr>
        <w:jc w:val="center"/>
        <w:rPr>
          <w:color w:val="auto"/>
        </w:rPr>
      </w:pPr>
      <w:r>
        <w:rPr>
          <w:color w:val="auto"/>
        </w:rPr>
        <w:drawing>
          <wp:inline distT="0" distB="0" distL="114300" distR="114300">
            <wp:extent cx="8065135" cy="5120005"/>
            <wp:effectExtent l="0" t="0" r="12065" b="4445"/>
            <wp:docPr id="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
                    <pic:cNvPicPr>
                      <a:picLocks noChangeAspect="1"/>
                    </pic:cNvPicPr>
                  </pic:nvPicPr>
                  <pic:blipFill>
                    <a:blip r:embed="rId38"/>
                    <a:srcRect t="3252" r="58"/>
                    <a:stretch>
                      <a:fillRect/>
                    </a:stretch>
                  </pic:blipFill>
                  <pic:spPr>
                    <a:xfrm>
                      <a:off x="0" y="0"/>
                      <a:ext cx="8065135" cy="5120005"/>
                    </a:xfrm>
                    <a:prstGeom prst="rect">
                      <a:avLst/>
                    </a:prstGeom>
                    <a:noFill/>
                    <a:ln>
                      <a:noFill/>
                    </a:ln>
                  </pic:spPr>
                </pic:pic>
              </a:graphicData>
            </a:graphic>
          </wp:inline>
        </w:drawing>
      </w:r>
    </w:p>
    <w:p>
      <w:pPr>
        <w:widowControl/>
        <w:spacing w:line="360" w:lineRule="auto"/>
        <w:outlineLvl w:val="1"/>
        <w:rPr>
          <w:rFonts w:hint="default" w:eastAsia="宋体"/>
          <w:color w:val="auto"/>
          <w:lang w:val="en-US" w:eastAsia="zh-CN"/>
        </w:rPr>
      </w:pPr>
      <w:bookmarkStart w:id="84" w:name="_Toc1419"/>
      <w:bookmarkStart w:id="85" w:name="_Toc3491"/>
      <w:r>
        <w:rPr>
          <w:b/>
          <w:bCs/>
          <w:color w:val="auto"/>
          <w:sz w:val="28"/>
          <w:szCs w:val="28"/>
        </w:rPr>
        <w:t>附图</w:t>
      </w:r>
      <w:r>
        <w:rPr>
          <w:rFonts w:hint="eastAsia"/>
          <w:b/>
          <w:bCs/>
          <w:color w:val="auto"/>
          <w:sz w:val="28"/>
          <w:szCs w:val="28"/>
          <w:lang w:val="en-US" w:eastAsia="zh-CN"/>
        </w:rPr>
        <w:t>7</w:t>
      </w:r>
      <w:r>
        <w:rPr>
          <w:b/>
          <w:bCs/>
          <w:color w:val="auto"/>
          <w:sz w:val="28"/>
          <w:szCs w:val="28"/>
        </w:rPr>
        <w:t xml:space="preserve"> </w:t>
      </w:r>
      <w:r>
        <w:rPr>
          <w:rFonts w:hint="eastAsia"/>
          <w:b/>
          <w:bCs/>
          <w:color w:val="auto"/>
          <w:sz w:val="28"/>
          <w:szCs w:val="28"/>
          <w:lang w:val="en-US" w:eastAsia="zh-CN"/>
        </w:rPr>
        <w:t>项目及周边区域植被分布图</w:t>
      </w:r>
      <w:bookmarkEnd w:id="84"/>
      <w:bookmarkEnd w:id="85"/>
    </w:p>
    <w:p>
      <w:pPr>
        <w:pStyle w:val="2"/>
        <w:ind w:left="0" w:leftChars="0" w:firstLine="0" w:firstLineChars="0"/>
        <w:jc w:val="center"/>
        <w:rPr>
          <w:color w:val="auto"/>
        </w:rPr>
      </w:pPr>
      <w:r>
        <w:rPr>
          <w:color w:val="auto"/>
        </w:rPr>
        <w:drawing>
          <wp:inline distT="0" distB="0" distL="114300" distR="114300">
            <wp:extent cx="8261985" cy="5045075"/>
            <wp:effectExtent l="0" t="0" r="5715" b="3175"/>
            <wp:docPr id="6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3"/>
                    <pic:cNvPicPr>
                      <a:picLocks noChangeAspect="1"/>
                    </pic:cNvPicPr>
                  </pic:nvPicPr>
                  <pic:blipFill>
                    <a:blip r:embed="rId39"/>
                    <a:srcRect t="5776" r="216"/>
                    <a:stretch>
                      <a:fillRect/>
                    </a:stretch>
                  </pic:blipFill>
                  <pic:spPr>
                    <a:xfrm>
                      <a:off x="0" y="0"/>
                      <a:ext cx="8261985" cy="5045075"/>
                    </a:xfrm>
                    <a:prstGeom prst="rect">
                      <a:avLst/>
                    </a:prstGeom>
                    <a:noFill/>
                    <a:ln>
                      <a:noFill/>
                    </a:ln>
                  </pic:spPr>
                </pic:pic>
              </a:graphicData>
            </a:graphic>
          </wp:inline>
        </w:drawing>
      </w:r>
    </w:p>
    <w:p>
      <w:pPr>
        <w:rPr>
          <w:color w:val="auto"/>
        </w:rPr>
      </w:pPr>
      <w:r>
        <w:rPr>
          <w:color w:val="auto"/>
        </w:rPr>
        <w:br w:type="page"/>
      </w:r>
    </w:p>
    <w:p>
      <w:pPr>
        <w:widowControl/>
        <w:spacing w:line="360" w:lineRule="auto"/>
        <w:outlineLvl w:val="1"/>
        <w:rPr>
          <w:rFonts w:hint="default" w:eastAsia="宋体"/>
          <w:color w:val="auto"/>
          <w:lang w:val="en-US" w:eastAsia="zh-CN"/>
        </w:rPr>
      </w:pPr>
      <w:bookmarkStart w:id="86" w:name="_Toc4938"/>
      <w:bookmarkStart w:id="87" w:name="_Toc5804"/>
      <w:r>
        <w:rPr>
          <w:b/>
          <w:bCs/>
          <w:color w:val="auto"/>
          <w:sz w:val="28"/>
          <w:szCs w:val="28"/>
        </w:rPr>
        <w:t>附图</w:t>
      </w:r>
      <w:r>
        <w:rPr>
          <w:rFonts w:hint="eastAsia"/>
          <w:b/>
          <w:bCs/>
          <w:color w:val="auto"/>
          <w:sz w:val="28"/>
          <w:szCs w:val="28"/>
          <w:lang w:val="en-US" w:eastAsia="zh-CN"/>
        </w:rPr>
        <w:t>8</w:t>
      </w:r>
      <w:r>
        <w:rPr>
          <w:b/>
          <w:bCs/>
          <w:color w:val="auto"/>
          <w:sz w:val="28"/>
          <w:szCs w:val="28"/>
        </w:rPr>
        <w:t xml:space="preserve"> </w:t>
      </w:r>
      <w:r>
        <w:rPr>
          <w:rFonts w:hint="eastAsia"/>
          <w:b/>
          <w:bCs/>
          <w:color w:val="auto"/>
          <w:sz w:val="28"/>
          <w:szCs w:val="28"/>
          <w:lang w:val="en-US" w:eastAsia="zh-CN"/>
        </w:rPr>
        <w:t>项目三区三线套合图</w:t>
      </w:r>
      <w:bookmarkEnd w:id="86"/>
      <w:bookmarkEnd w:id="87"/>
    </w:p>
    <w:p>
      <w:pPr>
        <w:pStyle w:val="2"/>
        <w:rPr>
          <w:color w:val="auto"/>
        </w:rPr>
      </w:pPr>
      <w:r>
        <w:rPr>
          <w:color w:val="auto"/>
        </w:rPr>
        <w:drawing>
          <wp:inline distT="0" distB="0" distL="114300" distR="114300">
            <wp:extent cx="7486650" cy="5302250"/>
            <wp:effectExtent l="0" t="0" r="0" b="12700"/>
            <wp:docPr id="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4"/>
                    <pic:cNvPicPr>
                      <a:picLocks noChangeAspect="1"/>
                    </pic:cNvPicPr>
                  </pic:nvPicPr>
                  <pic:blipFill>
                    <a:blip r:embed="rId40"/>
                    <a:stretch>
                      <a:fillRect/>
                    </a:stretch>
                  </pic:blipFill>
                  <pic:spPr>
                    <a:xfrm>
                      <a:off x="0" y="0"/>
                      <a:ext cx="7486650" cy="5302250"/>
                    </a:xfrm>
                    <a:prstGeom prst="rect">
                      <a:avLst/>
                    </a:prstGeom>
                    <a:noFill/>
                    <a:ln>
                      <a:noFill/>
                    </a:ln>
                  </pic:spPr>
                </pic:pic>
              </a:graphicData>
            </a:graphic>
          </wp:inline>
        </w:drawing>
      </w:r>
    </w:p>
    <w:p>
      <w:pPr>
        <w:widowControl/>
        <w:spacing w:line="360" w:lineRule="auto"/>
        <w:outlineLvl w:val="1"/>
        <w:rPr>
          <w:rFonts w:hint="default" w:eastAsia="宋体"/>
          <w:color w:val="auto"/>
          <w:lang w:val="en-US" w:eastAsia="zh-CN"/>
        </w:rPr>
      </w:pPr>
      <w:bookmarkStart w:id="88" w:name="_Toc29208"/>
      <w:bookmarkStart w:id="89" w:name="_Toc913"/>
      <w:r>
        <w:rPr>
          <w:b/>
          <w:bCs/>
          <w:color w:val="auto"/>
          <w:sz w:val="28"/>
          <w:szCs w:val="28"/>
        </w:rPr>
        <w:t>附图</w:t>
      </w:r>
      <w:r>
        <w:rPr>
          <w:rFonts w:hint="eastAsia"/>
          <w:b/>
          <w:bCs/>
          <w:color w:val="auto"/>
          <w:sz w:val="28"/>
          <w:szCs w:val="28"/>
          <w:lang w:val="en-US" w:eastAsia="zh-CN"/>
        </w:rPr>
        <w:t>9</w:t>
      </w:r>
      <w:r>
        <w:rPr>
          <w:b/>
          <w:bCs/>
          <w:color w:val="auto"/>
          <w:sz w:val="28"/>
          <w:szCs w:val="28"/>
        </w:rPr>
        <w:t xml:space="preserve"> </w:t>
      </w:r>
      <w:r>
        <w:rPr>
          <w:rFonts w:hint="eastAsia"/>
          <w:b/>
          <w:bCs/>
          <w:color w:val="auto"/>
          <w:sz w:val="28"/>
          <w:szCs w:val="28"/>
          <w:lang w:val="en-US" w:eastAsia="zh-CN"/>
        </w:rPr>
        <w:t>项目调查样方调查分布图</w:t>
      </w:r>
      <w:bookmarkEnd w:id="88"/>
      <w:bookmarkEnd w:id="89"/>
    </w:p>
    <w:p>
      <w:pPr>
        <w:pStyle w:val="2"/>
        <w:rPr>
          <w:color w:val="auto"/>
        </w:rPr>
        <w:sectPr>
          <w:pgSz w:w="16838" w:h="11906" w:orient="landscape"/>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color w:val="auto"/>
        </w:rPr>
        <w:drawing>
          <wp:inline distT="0" distB="0" distL="114300" distR="114300">
            <wp:extent cx="7664450" cy="4906010"/>
            <wp:effectExtent l="0" t="0" r="12700" b="8890"/>
            <wp:docPr id="6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5"/>
                    <pic:cNvPicPr>
                      <a:picLocks noChangeAspect="1"/>
                    </pic:cNvPicPr>
                  </pic:nvPicPr>
                  <pic:blipFill>
                    <a:blip r:embed="rId41"/>
                    <a:srcRect t="4144" r="609"/>
                    <a:stretch>
                      <a:fillRect/>
                    </a:stretch>
                  </pic:blipFill>
                  <pic:spPr>
                    <a:xfrm>
                      <a:off x="0" y="0"/>
                      <a:ext cx="7664450" cy="4906010"/>
                    </a:xfrm>
                    <a:prstGeom prst="rect">
                      <a:avLst/>
                    </a:prstGeom>
                    <a:noFill/>
                    <a:ln>
                      <a:noFill/>
                    </a:ln>
                  </pic:spPr>
                </pic:pic>
              </a:graphicData>
            </a:graphic>
          </wp:inline>
        </w:drawing>
      </w:r>
    </w:p>
    <w:p>
      <w:pPr>
        <w:jc w:val="center"/>
        <w:outlineLvl w:val="0"/>
        <w:rPr>
          <w:rFonts w:ascii="方正小标宋_GBK" w:hAnsi="黑体" w:eastAsia="方正小标宋_GBK"/>
          <w:snapToGrid w:val="0"/>
          <w:color w:val="auto"/>
          <w:kern w:val="0"/>
          <w:sz w:val="38"/>
          <w:szCs w:val="38"/>
        </w:rPr>
      </w:pPr>
      <w:bookmarkStart w:id="90" w:name="_Toc18817"/>
      <w:bookmarkStart w:id="91" w:name="_Toc1276"/>
      <w:r>
        <w:rPr>
          <w:rFonts w:hint="eastAsia" w:ascii="方正小标宋_GBK" w:hAnsi="黑体" w:eastAsia="方正小标宋_GBK"/>
          <w:snapToGrid w:val="0"/>
          <w:color w:val="auto"/>
          <w:kern w:val="0"/>
          <w:sz w:val="38"/>
          <w:szCs w:val="38"/>
        </w:rPr>
        <w:t>附件</w:t>
      </w:r>
      <w:bookmarkEnd w:id="90"/>
      <w:bookmarkEnd w:id="91"/>
    </w:p>
    <w:p>
      <w:pPr>
        <w:outlineLvl w:val="1"/>
        <w:rPr>
          <w:b/>
          <w:bCs/>
          <w:color w:val="auto"/>
          <w:sz w:val="28"/>
          <w:szCs w:val="28"/>
        </w:rPr>
      </w:pPr>
      <w:bookmarkStart w:id="92" w:name="_Toc10261"/>
      <w:bookmarkStart w:id="93" w:name="_Toc8590"/>
      <w:bookmarkStart w:id="94" w:name="_Toc31062"/>
      <w:bookmarkStart w:id="95" w:name="_Toc17014"/>
      <w:r>
        <w:rPr>
          <w:b/>
          <w:bCs/>
          <w:color w:val="auto"/>
          <w:sz w:val="28"/>
          <w:szCs w:val="28"/>
        </w:rPr>
        <w:t>附</w:t>
      </w:r>
      <w:r>
        <w:rPr>
          <w:rFonts w:hint="eastAsia"/>
          <w:b/>
          <w:bCs/>
          <w:color w:val="auto"/>
          <w:sz w:val="28"/>
          <w:szCs w:val="28"/>
        </w:rPr>
        <w:t>件</w:t>
      </w:r>
      <w:r>
        <w:rPr>
          <w:b/>
          <w:bCs/>
          <w:color w:val="auto"/>
          <w:sz w:val="28"/>
          <w:szCs w:val="28"/>
        </w:rPr>
        <w:t xml:space="preserve">1 </w:t>
      </w:r>
      <w:r>
        <w:rPr>
          <w:rFonts w:hint="eastAsia"/>
          <w:b/>
          <w:bCs/>
          <w:color w:val="auto"/>
          <w:sz w:val="28"/>
          <w:szCs w:val="28"/>
        </w:rPr>
        <w:t>环评委托书</w:t>
      </w:r>
      <w:bookmarkEnd w:id="92"/>
      <w:bookmarkEnd w:id="93"/>
      <w:bookmarkEnd w:id="94"/>
      <w:bookmarkEnd w:id="95"/>
    </w:p>
    <w:p>
      <w:pPr>
        <w:pStyle w:val="11"/>
        <w:rPr>
          <w:rFonts w:hint="eastAsia" w:eastAsia="宋体"/>
          <w:color w:val="auto"/>
          <w:lang w:eastAsia="zh-CN"/>
        </w:rPr>
        <w:sectPr>
          <w:pgSz w:w="11906" w:h="16838"/>
          <w:pgMar w:top="1417" w:right="1417" w:bottom="1417" w:left="1417" w:header="851" w:footer="992" w:gutter="0"/>
          <w:pgBorders>
            <w:top w:val="none" w:sz="0" w:space="0"/>
            <w:left w:val="none" w:sz="0" w:space="0"/>
            <w:bottom w:val="none" w:sz="0" w:space="0"/>
            <w:right w:val="none" w:sz="0" w:space="0"/>
          </w:pgBorders>
          <w:cols w:space="0" w:num="1"/>
          <w:docGrid w:type="lines" w:linePitch="312" w:charSpace="0"/>
        </w:sectPr>
      </w:pPr>
      <w:r>
        <w:rPr>
          <w:rFonts w:hint="eastAsia" w:eastAsia="宋体"/>
          <w:color w:val="auto"/>
          <w:lang w:eastAsia="zh-CN"/>
        </w:rPr>
        <w:drawing>
          <wp:inline distT="0" distB="0" distL="114300" distR="114300">
            <wp:extent cx="5364480" cy="7971790"/>
            <wp:effectExtent l="0" t="0" r="7620" b="10160"/>
            <wp:docPr id="87" name="图片 87" descr="委托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委托书"/>
                    <pic:cNvPicPr>
                      <a:picLocks noChangeAspect="1"/>
                    </pic:cNvPicPr>
                  </pic:nvPicPr>
                  <pic:blipFill>
                    <a:blip r:embed="rId42"/>
                    <a:srcRect r="1575" b="17732"/>
                    <a:stretch>
                      <a:fillRect/>
                    </a:stretch>
                  </pic:blipFill>
                  <pic:spPr>
                    <a:xfrm>
                      <a:off x="0" y="0"/>
                      <a:ext cx="5364480" cy="7971790"/>
                    </a:xfrm>
                    <a:prstGeom prst="rect">
                      <a:avLst/>
                    </a:prstGeom>
                  </pic:spPr>
                </pic:pic>
              </a:graphicData>
            </a:graphic>
          </wp:inline>
        </w:drawing>
      </w:r>
    </w:p>
    <w:p>
      <w:pPr>
        <w:outlineLvl w:val="1"/>
        <w:rPr>
          <w:b/>
          <w:bCs/>
          <w:color w:val="auto"/>
          <w:sz w:val="28"/>
          <w:szCs w:val="28"/>
          <w:highlight w:val="none"/>
        </w:rPr>
      </w:pPr>
      <w:bookmarkStart w:id="96" w:name="_Toc11325"/>
      <w:bookmarkStart w:id="97" w:name="_Toc8645"/>
      <w:bookmarkStart w:id="98" w:name="_Toc8393"/>
      <w:bookmarkStart w:id="99" w:name="_Toc11887"/>
      <w:r>
        <w:rPr>
          <w:b/>
          <w:bCs/>
          <w:color w:val="auto"/>
          <w:sz w:val="28"/>
          <w:szCs w:val="28"/>
          <w:highlight w:val="none"/>
        </w:rPr>
        <w:t>附</w:t>
      </w:r>
      <w:r>
        <w:rPr>
          <w:rFonts w:hint="eastAsia"/>
          <w:b/>
          <w:bCs/>
          <w:color w:val="auto"/>
          <w:sz w:val="28"/>
          <w:szCs w:val="28"/>
          <w:highlight w:val="none"/>
        </w:rPr>
        <w:t>件2</w:t>
      </w:r>
      <w:r>
        <w:rPr>
          <w:b/>
          <w:bCs/>
          <w:color w:val="auto"/>
          <w:sz w:val="28"/>
          <w:szCs w:val="28"/>
          <w:highlight w:val="none"/>
        </w:rPr>
        <w:t xml:space="preserve"> </w:t>
      </w:r>
      <w:r>
        <w:rPr>
          <w:rFonts w:hint="eastAsia"/>
          <w:b/>
          <w:bCs/>
          <w:color w:val="auto"/>
          <w:sz w:val="28"/>
          <w:szCs w:val="28"/>
          <w:highlight w:val="none"/>
        </w:rPr>
        <w:t>营业执照</w:t>
      </w:r>
      <w:bookmarkEnd w:id="96"/>
      <w:bookmarkEnd w:id="97"/>
      <w:bookmarkEnd w:id="98"/>
      <w:bookmarkEnd w:id="99"/>
    </w:p>
    <w:p>
      <w:pPr>
        <w:jc w:val="center"/>
        <w:rPr>
          <w:rFonts w:hint="eastAsia" w:eastAsia="宋体"/>
          <w:color w:val="auto"/>
          <w:lang w:eastAsia="zh-CN"/>
        </w:rPr>
        <w:sectPr>
          <w:pgSz w:w="16838" w:h="11906" w:orient="landscape"/>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eastAsia="宋体"/>
          <w:color w:val="auto"/>
          <w:lang w:eastAsia="zh-CN"/>
        </w:rPr>
        <w:drawing>
          <wp:inline distT="0" distB="0" distL="114300" distR="114300">
            <wp:extent cx="7170420" cy="5100955"/>
            <wp:effectExtent l="0" t="0" r="11430" b="4445"/>
            <wp:docPr id="4" name="图片 4" descr="6efec0c5439e84ccb6747a3055df8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efec0c5439e84ccb6747a3055df8f2"/>
                    <pic:cNvPicPr>
                      <a:picLocks noChangeAspect="1"/>
                    </pic:cNvPicPr>
                  </pic:nvPicPr>
                  <pic:blipFill>
                    <a:blip r:embed="rId43"/>
                    <a:stretch>
                      <a:fillRect/>
                    </a:stretch>
                  </pic:blipFill>
                  <pic:spPr>
                    <a:xfrm>
                      <a:off x="0" y="0"/>
                      <a:ext cx="7170420" cy="5100955"/>
                    </a:xfrm>
                    <a:prstGeom prst="rect">
                      <a:avLst/>
                    </a:prstGeom>
                  </pic:spPr>
                </pic:pic>
              </a:graphicData>
            </a:graphic>
          </wp:inline>
        </w:drawing>
      </w:r>
    </w:p>
    <w:p>
      <w:pPr>
        <w:outlineLvl w:val="1"/>
        <w:rPr>
          <w:rFonts w:hint="default" w:eastAsia="宋体"/>
          <w:b/>
          <w:bCs/>
          <w:color w:val="auto"/>
          <w:sz w:val="28"/>
          <w:szCs w:val="28"/>
          <w:lang w:val="en-US" w:eastAsia="zh-CN"/>
        </w:rPr>
      </w:pPr>
      <w:bookmarkStart w:id="100" w:name="_Toc17010"/>
      <w:bookmarkStart w:id="101" w:name="_Toc27929"/>
      <w:bookmarkStart w:id="102" w:name="_Toc19870"/>
      <w:bookmarkStart w:id="103" w:name="_Toc932"/>
      <w:r>
        <w:rPr>
          <w:b/>
          <w:bCs/>
          <w:color w:val="auto"/>
          <w:sz w:val="28"/>
          <w:szCs w:val="28"/>
        </w:rPr>
        <w:t>附</w:t>
      </w:r>
      <w:r>
        <w:rPr>
          <w:rFonts w:hint="eastAsia"/>
          <w:b/>
          <w:bCs/>
          <w:color w:val="auto"/>
          <w:sz w:val="28"/>
          <w:szCs w:val="28"/>
        </w:rPr>
        <w:t>件3</w:t>
      </w:r>
      <w:r>
        <w:rPr>
          <w:b/>
          <w:bCs/>
          <w:color w:val="auto"/>
          <w:sz w:val="28"/>
          <w:szCs w:val="28"/>
        </w:rPr>
        <w:t xml:space="preserve"> </w:t>
      </w:r>
      <w:bookmarkEnd w:id="100"/>
      <w:bookmarkEnd w:id="101"/>
      <w:bookmarkEnd w:id="102"/>
      <w:r>
        <w:rPr>
          <w:rFonts w:hint="eastAsia"/>
          <w:b/>
          <w:bCs/>
          <w:color w:val="auto"/>
          <w:sz w:val="28"/>
          <w:szCs w:val="28"/>
          <w:lang w:val="en-US" w:eastAsia="zh-CN"/>
        </w:rPr>
        <w:t>用地</w:t>
      </w:r>
      <w:bookmarkEnd w:id="103"/>
      <w:r>
        <w:rPr>
          <w:rFonts w:hint="eastAsia"/>
          <w:b/>
          <w:bCs/>
          <w:color w:val="auto"/>
          <w:sz w:val="28"/>
          <w:szCs w:val="28"/>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before="159" w:beforeLines="50" w:after="159" w:afterLines="50" w:afterAutospacing="0" w:line="360" w:lineRule="auto"/>
        <w:ind w:firstLine="420" w:firstLineChars="200"/>
        <w:jc w:val="left"/>
        <w:textAlignment w:val="auto"/>
        <w:outlineLvl w:val="9"/>
        <w:rPr>
          <w:color w:val="auto"/>
        </w:rPr>
      </w:pPr>
      <w:r>
        <w:rPr>
          <w:color w:val="auto"/>
        </w:rPr>
        <w:drawing>
          <wp:inline distT="0" distB="0" distL="114300" distR="114300">
            <wp:extent cx="5334000" cy="7467600"/>
            <wp:effectExtent l="0" t="0" r="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44"/>
                    <a:stretch>
                      <a:fillRect/>
                    </a:stretch>
                  </pic:blipFill>
                  <pic:spPr>
                    <a:xfrm>
                      <a:off x="0" y="0"/>
                      <a:ext cx="5334000" cy="7467600"/>
                    </a:xfrm>
                    <a:prstGeom prst="rect">
                      <a:avLst/>
                    </a:prstGeom>
                    <a:noFill/>
                    <a:ln>
                      <a:noFill/>
                    </a:ln>
                  </pic:spPr>
                </pic:pic>
              </a:graphicData>
            </a:graphic>
          </wp:inline>
        </w:drawing>
      </w:r>
      <w:r>
        <w:rPr>
          <w:color w:val="auto"/>
        </w:rPr>
        <w:drawing>
          <wp:inline distT="0" distB="0" distL="114300" distR="114300">
            <wp:extent cx="5692140" cy="7903845"/>
            <wp:effectExtent l="0" t="0" r="3810" b="190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45"/>
                    <a:stretch>
                      <a:fillRect/>
                    </a:stretch>
                  </pic:blipFill>
                  <pic:spPr>
                    <a:xfrm>
                      <a:off x="0" y="0"/>
                      <a:ext cx="5692140" cy="7903845"/>
                    </a:xfrm>
                    <a:prstGeom prst="rect">
                      <a:avLst/>
                    </a:prstGeom>
                    <a:noFill/>
                    <a:ln>
                      <a:noFill/>
                    </a:ln>
                  </pic:spPr>
                </pic:pic>
              </a:graphicData>
            </a:graphic>
          </wp:inline>
        </w:drawing>
      </w:r>
    </w:p>
    <w:p>
      <w:pPr>
        <w:rPr>
          <w:color w:val="auto"/>
        </w:rPr>
      </w:pPr>
      <w:r>
        <w:rPr>
          <w:color w:val="auto"/>
        </w:rPr>
        <w:br w:type="page"/>
      </w:r>
    </w:p>
    <w:p>
      <w:pPr>
        <w:pStyle w:val="2"/>
        <w:rPr>
          <w:color w:val="auto"/>
        </w:rPr>
      </w:pPr>
      <w:r>
        <w:rPr>
          <w:color w:val="auto"/>
        </w:rPr>
        <w:drawing>
          <wp:inline distT="0" distB="0" distL="114300" distR="114300">
            <wp:extent cx="5186680" cy="7780020"/>
            <wp:effectExtent l="0" t="0" r="13970" b="11430"/>
            <wp:docPr id="10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6"/>
                    <pic:cNvPicPr>
                      <a:picLocks noChangeAspect="1"/>
                    </pic:cNvPicPr>
                  </pic:nvPicPr>
                  <pic:blipFill>
                    <a:blip r:embed="rId46"/>
                    <a:stretch>
                      <a:fillRect/>
                    </a:stretch>
                  </pic:blipFill>
                  <pic:spPr>
                    <a:xfrm>
                      <a:off x="0" y="0"/>
                      <a:ext cx="5186680" cy="7780020"/>
                    </a:xfrm>
                    <a:prstGeom prst="rect">
                      <a:avLst/>
                    </a:prstGeom>
                    <a:noFill/>
                    <a:ln>
                      <a:noFill/>
                    </a:ln>
                  </pic:spPr>
                </pic:pic>
              </a:graphicData>
            </a:graphic>
          </wp:inline>
        </w:drawing>
      </w:r>
      <w:r>
        <w:rPr>
          <w:color w:val="auto"/>
        </w:rPr>
        <w:drawing>
          <wp:inline distT="0" distB="0" distL="114300" distR="114300">
            <wp:extent cx="5711190" cy="7505065"/>
            <wp:effectExtent l="0" t="0" r="3810" b="63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47"/>
                    <a:stretch>
                      <a:fillRect/>
                    </a:stretch>
                  </pic:blipFill>
                  <pic:spPr>
                    <a:xfrm>
                      <a:off x="0" y="0"/>
                      <a:ext cx="5711190" cy="7505065"/>
                    </a:xfrm>
                    <a:prstGeom prst="rect">
                      <a:avLst/>
                    </a:prstGeom>
                    <a:noFill/>
                    <a:ln>
                      <a:noFill/>
                    </a:ln>
                  </pic:spPr>
                </pic:pic>
              </a:graphicData>
            </a:graphic>
          </wp:inline>
        </w:drawing>
      </w:r>
    </w:p>
    <w:p>
      <w:pPr>
        <w:rPr>
          <w:color w:val="auto"/>
        </w:rPr>
      </w:pPr>
      <w:r>
        <w:rPr>
          <w:color w:val="auto"/>
        </w:rPr>
        <w:br w:type="page"/>
      </w:r>
    </w:p>
    <w:p>
      <w:pPr>
        <w:pStyle w:val="2"/>
        <w:ind w:left="0" w:leftChars="0" w:firstLine="0" w:firstLineChars="0"/>
        <w:rPr>
          <w:color w:val="auto"/>
        </w:rPr>
      </w:pPr>
      <w:r>
        <w:rPr>
          <w:color w:val="auto"/>
        </w:rPr>
        <w:drawing>
          <wp:inline distT="0" distB="0" distL="114300" distR="114300">
            <wp:extent cx="8134985" cy="5132070"/>
            <wp:effectExtent l="0" t="0" r="11430" b="18415"/>
            <wp:docPr id="10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6"/>
                    <pic:cNvPicPr>
                      <a:picLocks noChangeAspect="1"/>
                    </pic:cNvPicPr>
                  </pic:nvPicPr>
                  <pic:blipFill>
                    <a:blip r:embed="rId48"/>
                    <a:stretch>
                      <a:fillRect/>
                    </a:stretch>
                  </pic:blipFill>
                  <pic:spPr>
                    <a:xfrm rot="16200000">
                      <a:off x="0" y="0"/>
                      <a:ext cx="8134985" cy="5132070"/>
                    </a:xfrm>
                    <a:prstGeom prst="rect">
                      <a:avLst/>
                    </a:prstGeom>
                    <a:noFill/>
                    <a:ln>
                      <a:noFill/>
                    </a:ln>
                  </pic:spPr>
                </pic:pic>
              </a:graphicData>
            </a:graphic>
          </wp:inline>
        </w:drawing>
      </w:r>
    </w:p>
    <w:p>
      <w:pPr>
        <w:pStyle w:val="2"/>
        <w:ind w:left="0" w:leftChars="0" w:firstLine="0" w:firstLineChars="0"/>
        <w:rPr>
          <w:color w:val="auto"/>
        </w:rPr>
      </w:pPr>
      <w:r>
        <w:drawing>
          <wp:inline distT="0" distB="0" distL="114300" distR="114300">
            <wp:extent cx="6149340" cy="8031480"/>
            <wp:effectExtent l="0" t="0" r="3810" b="7620"/>
            <wp:docPr id="1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3"/>
                    <pic:cNvPicPr>
                      <a:picLocks noChangeAspect="1"/>
                    </pic:cNvPicPr>
                  </pic:nvPicPr>
                  <pic:blipFill>
                    <a:blip r:embed="rId49"/>
                    <a:stretch>
                      <a:fillRect/>
                    </a:stretch>
                  </pic:blipFill>
                  <pic:spPr>
                    <a:xfrm>
                      <a:off x="0" y="0"/>
                      <a:ext cx="6149340" cy="8031480"/>
                    </a:xfrm>
                    <a:prstGeom prst="rect">
                      <a:avLst/>
                    </a:prstGeom>
                    <a:noFill/>
                    <a:ln>
                      <a:noFill/>
                    </a:ln>
                  </pic:spPr>
                </pic:pic>
              </a:graphicData>
            </a:graphic>
          </wp:inline>
        </w:drawing>
      </w:r>
      <w:r>
        <w:drawing>
          <wp:inline distT="0" distB="0" distL="114300" distR="114300">
            <wp:extent cx="5880735" cy="7893050"/>
            <wp:effectExtent l="0" t="0" r="5715" b="12700"/>
            <wp:docPr id="10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4"/>
                    <pic:cNvPicPr>
                      <a:picLocks noChangeAspect="1"/>
                    </pic:cNvPicPr>
                  </pic:nvPicPr>
                  <pic:blipFill>
                    <a:blip r:embed="rId50"/>
                    <a:stretch>
                      <a:fillRect/>
                    </a:stretch>
                  </pic:blipFill>
                  <pic:spPr>
                    <a:xfrm>
                      <a:off x="0" y="0"/>
                      <a:ext cx="5880735" cy="7893050"/>
                    </a:xfrm>
                    <a:prstGeom prst="rect">
                      <a:avLst/>
                    </a:prstGeom>
                    <a:noFill/>
                    <a:ln>
                      <a:noFill/>
                    </a:ln>
                  </pic:spPr>
                </pic:pic>
              </a:graphicData>
            </a:graphic>
          </wp:inline>
        </w:drawing>
      </w:r>
      <w:r>
        <w:drawing>
          <wp:inline distT="0" distB="0" distL="114300" distR="114300">
            <wp:extent cx="5324475" cy="7543800"/>
            <wp:effectExtent l="0" t="0" r="9525" b="0"/>
            <wp:docPr id="1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2"/>
                    <pic:cNvPicPr>
                      <a:picLocks noChangeAspect="1"/>
                    </pic:cNvPicPr>
                  </pic:nvPicPr>
                  <pic:blipFill>
                    <a:blip r:embed="rId51"/>
                    <a:stretch>
                      <a:fillRect/>
                    </a:stretch>
                  </pic:blipFill>
                  <pic:spPr>
                    <a:xfrm>
                      <a:off x="0" y="0"/>
                      <a:ext cx="5324475" cy="7543800"/>
                    </a:xfrm>
                    <a:prstGeom prst="rect">
                      <a:avLst/>
                    </a:prstGeom>
                    <a:noFill/>
                    <a:ln>
                      <a:noFill/>
                    </a:ln>
                  </pic:spPr>
                </pic:pic>
              </a:graphicData>
            </a:graphic>
          </wp:inline>
        </w:drawing>
      </w:r>
    </w:p>
    <w:p>
      <w:pPr>
        <w:rPr>
          <w:color w:val="auto"/>
        </w:rPr>
      </w:pPr>
      <w:r>
        <w:rPr>
          <w:color w:val="auto"/>
        </w:rPr>
        <w:br w:type="page"/>
      </w:r>
    </w:p>
    <w:p>
      <w:pPr>
        <w:outlineLvl w:val="1"/>
        <w:rPr>
          <w:rFonts w:hint="eastAsia" w:ascii="Times New Roman" w:hAnsi="Times New Roman" w:eastAsia="宋体" w:cs="Times New Roman"/>
          <w:b/>
          <w:bCs/>
          <w:color w:val="auto"/>
          <w:sz w:val="28"/>
          <w:szCs w:val="28"/>
          <w:lang w:val="en-US" w:eastAsia="zh-CN"/>
        </w:rPr>
      </w:pPr>
      <w:bookmarkStart w:id="104" w:name="_Toc26024"/>
      <w:bookmarkStart w:id="105" w:name="_Toc20762"/>
      <w:r>
        <w:rPr>
          <w:rFonts w:hint="eastAsia" w:ascii="Times New Roman" w:hAnsi="Times New Roman" w:eastAsia="宋体" w:cs="Times New Roman"/>
          <w:b/>
          <w:bCs/>
          <w:color w:val="auto"/>
          <w:sz w:val="28"/>
          <w:szCs w:val="28"/>
          <w:lang w:val="en-US" w:eastAsia="zh-CN"/>
        </w:rPr>
        <w:t>附件4、华容县住房和城乡建设局关于华容县团洲垸灾后重建安置房建设项目的审查意见</w:t>
      </w:r>
      <w:bookmarkEnd w:id="104"/>
      <w:bookmarkEnd w:id="105"/>
    </w:p>
    <w:p>
      <w:pPr>
        <w:rPr>
          <w:rFonts w:hint="eastAsia" w:ascii="仿宋" w:hAnsi="仿宋" w:eastAsia="仿宋" w:cs="仿宋"/>
          <w:b w:val="0"/>
          <w:bCs w:val="0"/>
          <w:color w:val="auto"/>
          <w:spacing w:val="0"/>
          <w:kern w:val="0"/>
          <w:sz w:val="28"/>
          <w:szCs w:val="28"/>
          <w:lang w:val="en-US" w:eastAsia="zh-CN" w:bidi="ar"/>
        </w:rPr>
      </w:pPr>
      <w:r>
        <w:rPr>
          <w:rFonts w:hint="eastAsia" w:ascii="仿宋" w:hAnsi="仿宋" w:eastAsia="仿宋" w:cs="仿宋"/>
          <w:b w:val="0"/>
          <w:bCs w:val="0"/>
          <w:color w:val="auto"/>
          <w:spacing w:val="0"/>
          <w:kern w:val="0"/>
          <w:sz w:val="28"/>
          <w:szCs w:val="28"/>
          <w:lang w:val="en-US" w:eastAsia="zh-CN" w:bidi="ar"/>
        </w:rPr>
        <w:drawing>
          <wp:inline distT="0" distB="0" distL="114300" distR="114300">
            <wp:extent cx="5261610" cy="7434580"/>
            <wp:effectExtent l="0" t="0" r="15240" b="13970"/>
            <wp:docPr id="39" name="图片 39" descr="行业主管部门审查意见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行业主管部门审查意见_00"/>
                    <pic:cNvPicPr>
                      <a:picLocks noChangeAspect="1"/>
                    </pic:cNvPicPr>
                  </pic:nvPicPr>
                  <pic:blipFill>
                    <a:blip r:embed="rId52"/>
                    <a:stretch>
                      <a:fillRect/>
                    </a:stretch>
                  </pic:blipFill>
                  <pic:spPr>
                    <a:xfrm>
                      <a:off x="0" y="0"/>
                      <a:ext cx="5261610" cy="7434580"/>
                    </a:xfrm>
                    <a:prstGeom prst="rect">
                      <a:avLst/>
                    </a:prstGeom>
                  </pic:spPr>
                </pic:pic>
              </a:graphicData>
            </a:graphic>
          </wp:inline>
        </w:drawing>
      </w:r>
    </w:p>
    <w:p>
      <w:pPr>
        <w:rPr>
          <w:rFonts w:hint="eastAsia" w:ascii="仿宋" w:hAnsi="仿宋" w:eastAsia="仿宋" w:cs="仿宋"/>
          <w:b w:val="0"/>
          <w:bCs w:val="0"/>
          <w:color w:val="auto"/>
          <w:spacing w:val="0"/>
          <w:kern w:val="0"/>
          <w:sz w:val="28"/>
          <w:szCs w:val="28"/>
          <w:lang w:val="en-US" w:eastAsia="zh-CN" w:bidi="ar"/>
        </w:rPr>
      </w:pPr>
      <w:r>
        <w:rPr>
          <w:rFonts w:hint="eastAsia" w:ascii="仿宋" w:hAnsi="仿宋" w:eastAsia="仿宋" w:cs="仿宋"/>
          <w:b w:val="0"/>
          <w:bCs w:val="0"/>
          <w:color w:val="auto"/>
          <w:spacing w:val="0"/>
          <w:kern w:val="0"/>
          <w:sz w:val="28"/>
          <w:szCs w:val="28"/>
          <w:lang w:val="en-US" w:eastAsia="zh-CN" w:bidi="ar"/>
        </w:rPr>
        <w:br w:type="page"/>
      </w:r>
    </w:p>
    <w:p>
      <w:pPr>
        <w:jc w:val="both"/>
        <w:rPr>
          <w:rFonts w:hint="eastAsia" w:ascii="仿宋" w:hAnsi="仿宋" w:eastAsia="仿宋" w:cs="仿宋"/>
          <w:b w:val="0"/>
          <w:bCs w:val="0"/>
          <w:color w:val="auto"/>
          <w:spacing w:val="0"/>
          <w:kern w:val="0"/>
          <w:sz w:val="28"/>
          <w:szCs w:val="28"/>
          <w:lang w:val="en-US" w:eastAsia="zh-CN" w:bidi="ar"/>
        </w:rPr>
      </w:pPr>
      <w:r>
        <w:rPr>
          <w:rFonts w:hint="eastAsia" w:ascii="仿宋" w:hAnsi="仿宋" w:eastAsia="仿宋" w:cs="仿宋"/>
          <w:b w:val="0"/>
          <w:bCs w:val="0"/>
          <w:color w:val="auto"/>
          <w:spacing w:val="0"/>
          <w:kern w:val="0"/>
          <w:sz w:val="28"/>
          <w:szCs w:val="28"/>
          <w:lang w:val="en-US" w:eastAsia="zh-CN" w:bidi="ar"/>
        </w:rPr>
        <w:drawing>
          <wp:inline distT="0" distB="0" distL="114300" distR="114300">
            <wp:extent cx="5577840" cy="7881620"/>
            <wp:effectExtent l="0" t="0" r="3810" b="5080"/>
            <wp:docPr id="15" name="图片 15" descr="行业主管部门审查意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行业主管部门审查意见_01"/>
                    <pic:cNvPicPr>
                      <a:picLocks noChangeAspect="1"/>
                    </pic:cNvPicPr>
                  </pic:nvPicPr>
                  <pic:blipFill>
                    <a:blip r:embed="rId53"/>
                    <a:stretch>
                      <a:fillRect/>
                    </a:stretch>
                  </pic:blipFill>
                  <pic:spPr>
                    <a:xfrm>
                      <a:off x="0" y="0"/>
                      <a:ext cx="5577840" cy="7881620"/>
                    </a:xfrm>
                    <a:prstGeom prst="rect">
                      <a:avLst/>
                    </a:prstGeom>
                  </pic:spPr>
                </pic:pic>
              </a:graphicData>
            </a:graphic>
          </wp:inline>
        </w:drawing>
      </w:r>
    </w:p>
    <w:p>
      <w:pPr>
        <w:pStyle w:val="2"/>
        <w:ind w:left="0" w:leftChars="0" w:firstLine="0" w:firstLineChars="0"/>
      </w:pPr>
      <w:r>
        <w:rPr>
          <w:color w:val="auto"/>
        </w:rPr>
        <w:drawing>
          <wp:inline distT="0" distB="0" distL="114300" distR="114300">
            <wp:extent cx="5410835" cy="7329170"/>
            <wp:effectExtent l="0" t="0" r="18415" b="508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54"/>
                    <a:stretch>
                      <a:fillRect/>
                    </a:stretch>
                  </pic:blipFill>
                  <pic:spPr>
                    <a:xfrm>
                      <a:off x="0" y="0"/>
                      <a:ext cx="5410835" cy="7329170"/>
                    </a:xfrm>
                    <a:prstGeom prst="rect">
                      <a:avLst/>
                    </a:prstGeom>
                    <a:noFill/>
                    <a:ln>
                      <a:noFill/>
                    </a:ln>
                  </pic:spPr>
                </pic:pic>
              </a:graphicData>
            </a:graphic>
          </wp:inline>
        </w:drawing>
      </w:r>
    </w:p>
    <w:p>
      <w:pPr>
        <w:jc w:val="center"/>
        <w:rPr>
          <w:color w:val="auto"/>
        </w:rPr>
      </w:pPr>
    </w:p>
    <w:p>
      <w:pPr>
        <w:pStyle w:val="11"/>
        <w:rPr>
          <w:color w:val="auto"/>
        </w:rPr>
      </w:pPr>
    </w:p>
    <w:p>
      <w:pPr>
        <w:rPr>
          <w:color w:val="auto"/>
        </w:rPr>
      </w:pPr>
      <w:r>
        <w:rPr>
          <w:color w:val="auto"/>
        </w:rPr>
        <w:br w:type="page"/>
      </w:r>
    </w:p>
    <w:p>
      <w:pPr>
        <w:pStyle w:val="2"/>
        <w:ind w:left="0" w:leftChars="0" w:firstLine="0" w:firstLineChars="0"/>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color w:val="auto"/>
        </w:rPr>
        <w:drawing>
          <wp:inline distT="0" distB="0" distL="114300" distR="114300">
            <wp:extent cx="5264150" cy="6945630"/>
            <wp:effectExtent l="0" t="0" r="12700" b="7620"/>
            <wp:docPr id="1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7"/>
                    <pic:cNvPicPr>
                      <a:picLocks noChangeAspect="1"/>
                    </pic:cNvPicPr>
                  </pic:nvPicPr>
                  <pic:blipFill>
                    <a:blip r:embed="rId55"/>
                    <a:stretch>
                      <a:fillRect/>
                    </a:stretch>
                  </pic:blipFill>
                  <pic:spPr>
                    <a:xfrm>
                      <a:off x="0" y="0"/>
                      <a:ext cx="5264150" cy="6945630"/>
                    </a:xfrm>
                    <a:prstGeom prst="rect">
                      <a:avLst/>
                    </a:prstGeom>
                    <a:noFill/>
                    <a:ln>
                      <a:noFill/>
                    </a:ln>
                  </pic:spPr>
                </pic:pic>
              </a:graphicData>
            </a:graphic>
          </wp:inline>
        </w:drawing>
      </w:r>
      <w:r>
        <w:drawing>
          <wp:inline distT="0" distB="0" distL="114300" distR="114300">
            <wp:extent cx="5381625" cy="7581900"/>
            <wp:effectExtent l="0" t="0" r="9525" b="0"/>
            <wp:docPr id="10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5"/>
                    <pic:cNvPicPr>
                      <a:picLocks noChangeAspect="1"/>
                    </pic:cNvPicPr>
                  </pic:nvPicPr>
                  <pic:blipFill>
                    <a:blip r:embed="rId56"/>
                    <a:stretch>
                      <a:fillRect/>
                    </a:stretch>
                  </pic:blipFill>
                  <pic:spPr>
                    <a:xfrm>
                      <a:off x="0" y="0"/>
                      <a:ext cx="5381625" cy="7581900"/>
                    </a:xfrm>
                    <a:prstGeom prst="rect">
                      <a:avLst/>
                    </a:prstGeom>
                    <a:noFill/>
                    <a:ln>
                      <a:noFill/>
                    </a:ln>
                  </pic:spPr>
                </pic:pic>
              </a:graphicData>
            </a:graphic>
          </wp:inline>
        </w:drawing>
      </w:r>
      <w:r>
        <w:drawing>
          <wp:inline distT="0" distB="0" distL="114300" distR="114300">
            <wp:extent cx="5758815" cy="7579995"/>
            <wp:effectExtent l="0" t="0" r="13335" b="1905"/>
            <wp:docPr id="1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6"/>
                    <pic:cNvPicPr>
                      <a:picLocks noChangeAspect="1"/>
                    </pic:cNvPicPr>
                  </pic:nvPicPr>
                  <pic:blipFill>
                    <a:blip r:embed="rId57"/>
                    <a:stretch>
                      <a:fillRect/>
                    </a:stretch>
                  </pic:blipFill>
                  <pic:spPr>
                    <a:xfrm>
                      <a:off x="0" y="0"/>
                      <a:ext cx="5758815" cy="7579995"/>
                    </a:xfrm>
                    <a:prstGeom prst="rect">
                      <a:avLst/>
                    </a:prstGeom>
                    <a:noFill/>
                    <a:ln>
                      <a:noFill/>
                    </a:ln>
                  </pic:spPr>
                </pic:pic>
              </a:graphicData>
            </a:graphic>
          </wp:inline>
        </w:drawing>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beforeLines="50" w:after="159" w:afterLines="50" w:afterAutospacing="0" w:line="360" w:lineRule="auto"/>
        <w:ind w:left="17" w:leftChars="0" w:firstLine="0" w:firstLineChars="0"/>
        <w:jc w:val="left"/>
        <w:textAlignment w:val="baseline"/>
        <w:outlineLvl w:val="1"/>
        <w:rPr>
          <w:rFonts w:hint="default" w:ascii="Times New Roman" w:hAnsi="Times New Roman" w:eastAsia="宋体" w:cs="Times New Roman"/>
          <w:b/>
          <w:bCs/>
          <w:color w:val="auto"/>
          <w:sz w:val="28"/>
          <w:szCs w:val="28"/>
          <w:lang w:val="en-US" w:eastAsia="zh-CN"/>
        </w:rPr>
      </w:pPr>
      <w:bookmarkStart w:id="106" w:name="_Toc2911"/>
      <w:bookmarkStart w:id="107" w:name="_Toc3875"/>
      <w:bookmarkStart w:id="108" w:name="_Toc15892"/>
      <w:bookmarkStart w:id="109" w:name="_Toc6630"/>
      <w:r>
        <w:rPr>
          <w:rFonts w:hint="eastAsia" w:ascii="Times New Roman" w:hAnsi="Times New Roman" w:eastAsia="宋体" w:cs="Times New Roman"/>
          <w:b/>
          <w:bCs/>
          <w:color w:val="auto"/>
          <w:sz w:val="28"/>
          <w:szCs w:val="28"/>
        </w:rPr>
        <w:t xml:space="preserve">附件5 </w:t>
      </w:r>
      <w:r>
        <w:rPr>
          <w:rFonts w:hint="eastAsia" w:cs="Times New Roman"/>
          <w:b/>
          <w:bCs/>
          <w:color w:val="auto"/>
          <w:sz w:val="28"/>
          <w:szCs w:val="28"/>
          <w:lang w:val="en-US" w:eastAsia="zh-CN"/>
        </w:rPr>
        <w:t>生物多样性影响评价报告</w:t>
      </w:r>
      <w:bookmarkEnd w:id="106"/>
    </w:p>
    <w:p>
      <w:r>
        <w:drawing>
          <wp:inline distT="0" distB="0" distL="114300" distR="114300">
            <wp:extent cx="5601335" cy="7063740"/>
            <wp:effectExtent l="0" t="0" r="18415" b="3810"/>
            <wp:docPr id="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pic:cNvPicPr>
                      <a:picLocks noChangeAspect="1"/>
                    </pic:cNvPicPr>
                  </pic:nvPicPr>
                  <pic:blipFill>
                    <a:blip r:embed="rId58"/>
                    <a:srcRect r="4286"/>
                    <a:stretch>
                      <a:fillRect/>
                    </a:stretch>
                  </pic:blipFill>
                  <pic:spPr>
                    <a:xfrm>
                      <a:off x="0" y="0"/>
                      <a:ext cx="5601335" cy="7063740"/>
                    </a:xfrm>
                    <a:prstGeom prst="rect">
                      <a:avLst/>
                    </a:prstGeom>
                    <a:noFill/>
                    <a:ln>
                      <a:noFill/>
                    </a:ln>
                  </pic:spPr>
                </pic:pic>
              </a:graphicData>
            </a:graphic>
          </wp:inline>
        </w:drawing>
      </w:r>
    </w:p>
    <w:p>
      <w:r>
        <w:br w:type="page"/>
      </w:r>
      <w:r>
        <w:drawing>
          <wp:inline distT="0" distB="0" distL="114300" distR="114300">
            <wp:extent cx="5561965" cy="6501130"/>
            <wp:effectExtent l="0" t="0" r="635" b="13970"/>
            <wp:docPr id="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
                    <pic:cNvPicPr>
                      <a:picLocks noChangeAspect="1"/>
                    </pic:cNvPicPr>
                  </pic:nvPicPr>
                  <pic:blipFill>
                    <a:blip r:embed="rId59"/>
                    <a:stretch>
                      <a:fillRect/>
                    </a:stretch>
                  </pic:blipFill>
                  <pic:spPr>
                    <a:xfrm>
                      <a:off x="0" y="0"/>
                      <a:ext cx="5561965" cy="6501130"/>
                    </a:xfrm>
                    <a:prstGeom prst="rect">
                      <a:avLst/>
                    </a:prstGeom>
                    <a:noFill/>
                    <a:ln>
                      <a:noFill/>
                    </a:ln>
                  </pic:spPr>
                </pic:pic>
              </a:graphicData>
            </a:graphic>
          </wp:inline>
        </w:drawing>
      </w:r>
      <w:r>
        <w:drawing>
          <wp:inline distT="0" distB="0" distL="114300" distR="114300">
            <wp:extent cx="5516245" cy="7983220"/>
            <wp:effectExtent l="0" t="0" r="8255" b="17780"/>
            <wp:docPr id="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
                    <pic:cNvPicPr>
                      <a:picLocks noChangeAspect="1"/>
                    </pic:cNvPicPr>
                  </pic:nvPicPr>
                  <pic:blipFill>
                    <a:blip r:embed="rId60"/>
                    <a:stretch>
                      <a:fillRect/>
                    </a:stretch>
                  </pic:blipFill>
                  <pic:spPr>
                    <a:xfrm>
                      <a:off x="0" y="0"/>
                      <a:ext cx="5516245" cy="7983220"/>
                    </a:xfrm>
                    <a:prstGeom prst="rect">
                      <a:avLst/>
                    </a:prstGeom>
                    <a:noFill/>
                    <a:ln>
                      <a:noFill/>
                    </a:ln>
                  </pic:spPr>
                </pic:pic>
              </a:graphicData>
            </a:graphic>
          </wp:inline>
        </w:drawing>
      </w:r>
      <w:r>
        <w:drawing>
          <wp:inline distT="0" distB="0" distL="114300" distR="114300">
            <wp:extent cx="5602605" cy="7877175"/>
            <wp:effectExtent l="0" t="0" r="17145" b="9525"/>
            <wp:docPr id="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4"/>
                    <pic:cNvPicPr>
                      <a:picLocks noChangeAspect="1"/>
                    </pic:cNvPicPr>
                  </pic:nvPicPr>
                  <pic:blipFill>
                    <a:blip r:embed="rId61"/>
                    <a:stretch>
                      <a:fillRect/>
                    </a:stretch>
                  </pic:blipFill>
                  <pic:spPr>
                    <a:xfrm>
                      <a:off x="0" y="0"/>
                      <a:ext cx="5602605" cy="7877175"/>
                    </a:xfrm>
                    <a:prstGeom prst="rect">
                      <a:avLst/>
                    </a:prstGeom>
                    <a:noFill/>
                    <a:ln>
                      <a:noFill/>
                    </a:ln>
                  </pic:spPr>
                </pic:pic>
              </a:graphicData>
            </a:graphic>
          </wp:inline>
        </w:drawing>
      </w:r>
      <w:r>
        <w:drawing>
          <wp:inline distT="0" distB="0" distL="114300" distR="114300">
            <wp:extent cx="5655310" cy="7079615"/>
            <wp:effectExtent l="0" t="0" r="2540" b="6985"/>
            <wp:docPr id="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
                    <pic:cNvPicPr>
                      <a:picLocks noChangeAspect="1"/>
                    </pic:cNvPicPr>
                  </pic:nvPicPr>
                  <pic:blipFill>
                    <a:blip r:embed="rId62"/>
                    <a:stretch>
                      <a:fillRect/>
                    </a:stretch>
                  </pic:blipFill>
                  <pic:spPr>
                    <a:xfrm>
                      <a:off x="0" y="0"/>
                      <a:ext cx="5655310" cy="7079615"/>
                    </a:xfrm>
                    <a:prstGeom prst="rect">
                      <a:avLst/>
                    </a:prstGeom>
                    <a:noFill/>
                    <a:ln>
                      <a:noFill/>
                    </a:ln>
                  </pic:spPr>
                </pic:pic>
              </a:graphicData>
            </a:graphic>
          </wp:inline>
        </w:drawing>
      </w:r>
    </w:p>
    <w:p>
      <w:r>
        <w:br w:type="page"/>
      </w:r>
    </w:p>
    <w:p>
      <w:pPr>
        <w:pStyle w:val="2"/>
        <w:rPr>
          <w:rFonts w:hint="eastAsia"/>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beforeLines="50" w:after="159" w:afterLines="50" w:afterAutospacing="0" w:line="360" w:lineRule="auto"/>
        <w:ind w:left="17" w:leftChars="0" w:firstLine="0" w:firstLineChars="0"/>
        <w:jc w:val="left"/>
        <w:textAlignment w:val="baseline"/>
        <w:outlineLvl w:val="1"/>
        <w:rPr>
          <w:rFonts w:hint="default" w:ascii="Times New Roman" w:hAnsi="Times New Roman" w:eastAsia="宋体" w:cs="Times New Roman"/>
          <w:b/>
          <w:bCs/>
          <w:color w:val="auto"/>
          <w:sz w:val="28"/>
          <w:szCs w:val="28"/>
          <w:lang w:val="en-US" w:eastAsia="zh-CN"/>
        </w:rPr>
      </w:pPr>
      <w:bookmarkStart w:id="110" w:name="_Toc9444"/>
      <w:r>
        <w:rPr>
          <w:rFonts w:hint="eastAsia" w:cs="Times New Roman"/>
          <w:b/>
          <w:bCs/>
          <w:color w:val="auto"/>
          <w:sz w:val="28"/>
          <w:szCs w:val="28"/>
          <w:lang w:val="en-US" w:eastAsia="zh-CN"/>
        </w:rPr>
        <w:t>附件6 林业局关于</w:t>
      </w:r>
      <w:r>
        <w:rPr>
          <w:rFonts w:hint="eastAsia" w:ascii="Times New Roman" w:hAnsi="Times New Roman" w:eastAsia="宋体" w:cs="Times New Roman"/>
          <w:b/>
          <w:bCs/>
          <w:color w:val="auto"/>
          <w:sz w:val="28"/>
          <w:szCs w:val="28"/>
          <w:lang w:val="en-US" w:eastAsia="zh-CN"/>
        </w:rPr>
        <w:t>华容县团洲垸灾后重建安置房建设项目的</w:t>
      </w:r>
      <w:r>
        <w:rPr>
          <w:rFonts w:hint="eastAsia" w:cs="Times New Roman"/>
          <w:b/>
          <w:bCs/>
          <w:color w:val="auto"/>
          <w:sz w:val="28"/>
          <w:szCs w:val="28"/>
          <w:lang w:val="en-US" w:eastAsia="zh-CN"/>
        </w:rPr>
        <w:t>意见</w:t>
      </w:r>
      <w:bookmarkEnd w:id="110"/>
    </w:p>
    <w:p>
      <w:pPr>
        <w:rPr>
          <w:color w:val="auto"/>
        </w:rPr>
      </w:pPr>
      <w:r>
        <w:rPr>
          <w:color w:val="auto"/>
        </w:rPr>
        <w:drawing>
          <wp:inline distT="0" distB="0" distL="114300" distR="114300">
            <wp:extent cx="5274310" cy="7271385"/>
            <wp:effectExtent l="0" t="0" r="2540" b="5715"/>
            <wp:docPr id="6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6"/>
                    <pic:cNvPicPr>
                      <a:picLocks noChangeAspect="1"/>
                    </pic:cNvPicPr>
                  </pic:nvPicPr>
                  <pic:blipFill>
                    <a:blip r:embed="rId63"/>
                    <a:stretch>
                      <a:fillRect/>
                    </a:stretch>
                  </pic:blipFill>
                  <pic:spPr>
                    <a:xfrm>
                      <a:off x="0" y="0"/>
                      <a:ext cx="5274310" cy="7271385"/>
                    </a:xfrm>
                    <a:prstGeom prst="rect">
                      <a:avLst/>
                    </a:prstGeom>
                    <a:noFill/>
                    <a:ln>
                      <a:noFill/>
                    </a:ln>
                  </pic:spPr>
                </pic:pic>
              </a:graphicData>
            </a:graphic>
          </wp:inline>
        </w:drawing>
      </w:r>
    </w:p>
    <w:p>
      <w:pPr>
        <w:rPr>
          <w:color w:val="auto"/>
        </w:rPr>
      </w:pPr>
      <w:r>
        <w:rPr>
          <w:color w:val="auto"/>
        </w:rPr>
        <w:br w:type="page"/>
      </w:r>
    </w:p>
    <w:p>
      <w:pPr>
        <w:rPr>
          <w:color w:val="auto"/>
        </w:rPr>
      </w:pPr>
      <w:r>
        <w:rPr>
          <w:color w:val="auto"/>
        </w:rPr>
        <w:drawing>
          <wp:inline distT="0" distB="0" distL="114300" distR="114300">
            <wp:extent cx="5181600" cy="6829425"/>
            <wp:effectExtent l="0" t="0" r="0" b="9525"/>
            <wp:docPr id="6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7"/>
                    <pic:cNvPicPr>
                      <a:picLocks noChangeAspect="1"/>
                    </pic:cNvPicPr>
                  </pic:nvPicPr>
                  <pic:blipFill>
                    <a:blip r:embed="rId64"/>
                    <a:stretch>
                      <a:fillRect/>
                    </a:stretch>
                  </pic:blipFill>
                  <pic:spPr>
                    <a:xfrm>
                      <a:off x="0" y="0"/>
                      <a:ext cx="5181600" cy="6829425"/>
                    </a:xfrm>
                    <a:prstGeom prst="rect">
                      <a:avLst/>
                    </a:prstGeom>
                    <a:noFill/>
                    <a:ln>
                      <a:noFill/>
                    </a:ln>
                  </pic:spPr>
                </pic:pic>
              </a:graphicData>
            </a:graphic>
          </wp:inline>
        </w:drawing>
      </w:r>
    </w:p>
    <w:p>
      <w:pPr>
        <w:rPr>
          <w:color w:val="auto"/>
        </w:rPr>
      </w:pPr>
      <w:r>
        <w:rPr>
          <w:color w:val="auto"/>
        </w:rPr>
        <w:drawing>
          <wp:inline distT="0" distB="0" distL="114300" distR="114300">
            <wp:extent cx="5114925" cy="6877050"/>
            <wp:effectExtent l="0" t="0" r="9525" b="0"/>
            <wp:docPr id="6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8"/>
                    <pic:cNvPicPr>
                      <a:picLocks noChangeAspect="1"/>
                    </pic:cNvPicPr>
                  </pic:nvPicPr>
                  <pic:blipFill>
                    <a:blip r:embed="rId65"/>
                    <a:stretch>
                      <a:fillRect/>
                    </a:stretch>
                  </pic:blipFill>
                  <pic:spPr>
                    <a:xfrm>
                      <a:off x="0" y="0"/>
                      <a:ext cx="5114925" cy="6877050"/>
                    </a:xfrm>
                    <a:prstGeom prst="rect">
                      <a:avLst/>
                    </a:prstGeom>
                    <a:noFill/>
                    <a:ln>
                      <a:noFill/>
                    </a:ln>
                  </pic:spPr>
                </pic:pic>
              </a:graphicData>
            </a:graphic>
          </wp:inline>
        </w:drawing>
      </w:r>
    </w:p>
    <w:p>
      <w:pPr>
        <w:rPr>
          <w:rFonts w:hint="eastAsia" w:ascii="Times New Roman" w:hAnsi="Times New Roman" w:eastAsia="宋体" w:cs="Times New Roman"/>
          <w:b/>
          <w:bCs/>
          <w:color w:val="auto"/>
          <w:sz w:val="28"/>
          <w:szCs w:val="28"/>
        </w:rPr>
      </w:pPr>
      <w:r>
        <w:rPr>
          <w:color w:val="auto"/>
        </w:rPr>
        <w:drawing>
          <wp:inline distT="0" distB="0" distL="114300" distR="114300">
            <wp:extent cx="5172075" cy="5857875"/>
            <wp:effectExtent l="0" t="0" r="9525" b="9525"/>
            <wp:docPr id="6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9"/>
                    <pic:cNvPicPr>
                      <a:picLocks noChangeAspect="1"/>
                    </pic:cNvPicPr>
                  </pic:nvPicPr>
                  <pic:blipFill>
                    <a:blip r:embed="rId66"/>
                    <a:stretch>
                      <a:fillRect/>
                    </a:stretch>
                  </pic:blipFill>
                  <pic:spPr>
                    <a:xfrm>
                      <a:off x="0" y="0"/>
                      <a:ext cx="5172075" cy="5857875"/>
                    </a:xfrm>
                    <a:prstGeom prst="rect">
                      <a:avLst/>
                    </a:prstGeom>
                    <a:noFill/>
                    <a:ln>
                      <a:noFill/>
                    </a:ln>
                  </pic:spPr>
                </pic:pic>
              </a:graphicData>
            </a:graphic>
          </wp:inline>
        </w:drawing>
      </w:r>
      <w:r>
        <w:rPr>
          <w:rFonts w:hint="eastAsia" w:ascii="Times New Roman" w:hAnsi="Times New Roman" w:eastAsia="宋体" w:cs="Times New Roman"/>
          <w:b/>
          <w:bCs/>
          <w:color w:val="auto"/>
          <w:sz w:val="28"/>
          <w:szCs w:val="28"/>
        </w:rPr>
        <w:br w:type="page"/>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beforeLines="50" w:after="159" w:afterLines="50" w:afterAutospacing="0" w:line="360" w:lineRule="auto"/>
        <w:ind w:left="17" w:leftChars="0" w:firstLine="0" w:firstLineChars="0"/>
        <w:jc w:val="left"/>
        <w:textAlignment w:val="baseline"/>
        <w:outlineLvl w:val="1"/>
        <w:rPr>
          <w:rFonts w:hint="eastAsia" w:ascii="Times New Roman" w:hAnsi="Times New Roman" w:eastAsia="宋体" w:cs="Times New Roman"/>
          <w:b/>
          <w:bCs/>
          <w:color w:val="auto"/>
          <w:sz w:val="28"/>
          <w:szCs w:val="28"/>
          <w:lang w:val="en-US" w:eastAsia="zh-CN"/>
        </w:rPr>
      </w:pPr>
      <w:bookmarkStart w:id="111" w:name="_Toc11916"/>
      <w:r>
        <w:rPr>
          <w:rFonts w:hint="eastAsia" w:cs="Times New Roman"/>
          <w:b/>
          <w:bCs/>
          <w:color w:val="auto"/>
          <w:sz w:val="28"/>
          <w:szCs w:val="28"/>
          <w:lang w:val="en-US" w:eastAsia="zh-CN"/>
        </w:rPr>
        <w:t xml:space="preserve">附件7 </w:t>
      </w:r>
      <w:r>
        <w:rPr>
          <w:rFonts w:hint="eastAsia" w:ascii="Times New Roman" w:hAnsi="Times New Roman" w:eastAsia="宋体" w:cs="Times New Roman"/>
          <w:b/>
          <w:bCs/>
          <w:color w:val="auto"/>
          <w:sz w:val="28"/>
          <w:szCs w:val="28"/>
          <w:lang w:val="en-US" w:eastAsia="zh-CN"/>
        </w:rPr>
        <w:t>华容县人民政府县长办公会议纪要</w:t>
      </w:r>
      <w:bookmarkEnd w:id="111"/>
    </w:p>
    <w:p>
      <w:pPr>
        <w:pageBreakBefore w:val="0"/>
        <w:wordWrap/>
        <w:overflowPunct/>
        <w:topLinePunct w:val="0"/>
        <w:bidi w:val="0"/>
        <w:spacing w:before="157" w:beforeLines="50" w:beforeAutospacing="0" w:after="157" w:afterLines="50" w:afterAutospacing="0" w:line="360" w:lineRule="auto"/>
        <w:rPr>
          <w:color w:val="auto"/>
        </w:rPr>
      </w:pPr>
      <w:r>
        <w:rPr>
          <w:rFonts w:hint="eastAsia"/>
          <w:color w:val="auto"/>
          <w:lang w:val="en-US" w:eastAsia="zh-CN"/>
        </w:rPr>
        <w:drawing>
          <wp:inline distT="0" distB="0" distL="114300" distR="114300">
            <wp:extent cx="5577840" cy="7007225"/>
            <wp:effectExtent l="0" t="0" r="3810" b="3175"/>
            <wp:docPr id="40" name="图片 40" descr="扫描全能王 2024-09-23 09.02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扫描全能王 2024-09-23 09.02_00"/>
                    <pic:cNvPicPr>
                      <a:picLocks noChangeAspect="1"/>
                    </pic:cNvPicPr>
                  </pic:nvPicPr>
                  <pic:blipFill>
                    <a:blip r:embed="rId67"/>
                    <a:stretch>
                      <a:fillRect/>
                    </a:stretch>
                  </pic:blipFill>
                  <pic:spPr>
                    <a:xfrm>
                      <a:off x="0" y="0"/>
                      <a:ext cx="5577840" cy="7007225"/>
                    </a:xfrm>
                    <a:prstGeom prst="rect">
                      <a:avLst/>
                    </a:prstGeom>
                  </pic:spPr>
                </pic:pic>
              </a:graphicData>
            </a:graphic>
          </wp:inline>
        </w:drawing>
      </w:r>
      <w:r>
        <w:rPr>
          <w:rFonts w:hint="eastAsia"/>
          <w:color w:val="auto"/>
          <w:lang w:val="en-US" w:eastAsia="zh-CN"/>
        </w:rPr>
        <w:drawing>
          <wp:inline distT="0" distB="0" distL="114300" distR="114300">
            <wp:extent cx="5577840" cy="7892415"/>
            <wp:effectExtent l="0" t="0" r="3810" b="13335"/>
            <wp:docPr id="41" name="图片 41" descr="扫描全能王 2024-09-23 09.0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扫描全能王 2024-09-23 09.02_01"/>
                    <pic:cNvPicPr>
                      <a:picLocks noChangeAspect="1"/>
                    </pic:cNvPicPr>
                  </pic:nvPicPr>
                  <pic:blipFill>
                    <a:blip r:embed="rId68"/>
                    <a:stretch>
                      <a:fillRect/>
                    </a:stretch>
                  </pic:blipFill>
                  <pic:spPr>
                    <a:xfrm>
                      <a:off x="0" y="0"/>
                      <a:ext cx="5577840" cy="7892415"/>
                    </a:xfrm>
                    <a:prstGeom prst="rect">
                      <a:avLst/>
                    </a:prstGeom>
                  </pic:spPr>
                </pic:pic>
              </a:graphicData>
            </a:graphic>
          </wp:inline>
        </w:drawing>
      </w:r>
      <w:r>
        <w:rPr>
          <w:rFonts w:hint="eastAsia"/>
          <w:color w:val="auto"/>
          <w:lang w:val="en-US" w:eastAsia="zh-CN"/>
        </w:rPr>
        <w:drawing>
          <wp:inline distT="0" distB="0" distL="114300" distR="114300">
            <wp:extent cx="5577840" cy="7892415"/>
            <wp:effectExtent l="0" t="0" r="3810" b="13335"/>
            <wp:docPr id="42" name="图片 42" descr="扫描全能王 2024-09-23 09.02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扫描全能王 2024-09-23 09.02_02"/>
                    <pic:cNvPicPr>
                      <a:picLocks noChangeAspect="1"/>
                    </pic:cNvPicPr>
                  </pic:nvPicPr>
                  <pic:blipFill>
                    <a:blip r:embed="rId69"/>
                    <a:stretch>
                      <a:fillRect/>
                    </a:stretch>
                  </pic:blipFill>
                  <pic:spPr>
                    <a:xfrm>
                      <a:off x="0" y="0"/>
                      <a:ext cx="5577840" cy="7892415"/>
                    </a:xfrm>
                    <a:prstGeom prst="rect">
                      <a:avLst/>
                    </a:prstGeom>
                  </pic:spPr>
                </pic:pic>
              </a:graphicData>
            </a:graphic>
          </wp:inline>
        </w:drawing>
      </w:r>
      <w:r>
        <w:rPr>
          <w:rFonts w:hint="eastAsia"/>
          <w:color w:val="auto"/>
          <w:lang w:val="en-US" w:eastAsia="zh-CN"/>
        </w:rPr>
        <w:drawing>
          <wp:inline distT="0" distB="0" distL="114300" distR="114300">
            <wp:extent cx="5577840" cy="7892415"/>
            <wp:effectExtent l="0" t="0" r="3810" b="13335"/>
            <wp:docPr id="43" name="图片 43" descr="扫描全能王 2024-09-23 09.02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扫描全能王 2024-09-23 09.02_03"/>
                    <pic:cNvPicPr>
                      <a:picLocks noChangeAspect="1"/>
                    </pic:cNvPicPr>
                  </pic:nvPicPr>
                  <pic:blipFill>
                    <a:blip r:embed="rId70"/>
                    <a:stretch>
                      <a:fillRect/>
                    </a:stretch>
                  </pic:blipFill>
                  <pic:spPr>
                    <a:xfrm>
                      <a:off x="0" y="0"/>
                      <a:ext cx="5577840" cy="7892415"/>
                    </a:xfrm>
                    <a:prstGeom prst="rect">
                      <a:avLst/>
                    </a:prstGeom>
                  </pic:spPr>
                </pic:pic>
              </a:graphicData>
            </a:graphic>
          </wp:inline>
        </w:drawing>
      </w:r>
      <w:bookmarkEnd w:id="107"/>
      <w:bookmarkEnd w:id="108"/>
      <w:bookmarkEnd w:id="109"/>
      <w:bookmarkStart w:id="307" w:name="_GoBack"/>
      <w:bookmarkEnd w:id="307"/>
    </w:p>
    <w:p>
      <w:pPr>
        <w:pStyle w:val="11"/>
        <w:rPr>
          <w:color w:val="auto"/>
        </w:rPr>
      </w:pPr>
    </w:p>
    <w:p>
      <w:pPr>
        <w:pStyle w:val="11"/>
        <w:rPr>
          <w:color w:val="auto"/>
        </w:rPr>
      </w:pPr>
    </w:p>
    <w:p>
      <w:pPr>
        <w:rPr>
          <w:color w:val="auto"/>
        </w:rPr>
      </w:pPr>
      <w:r>
        <w:rPr>
          <w:color w:val="auto"/>
        </w:rPr>
        <w:br w:type="page"/>
      </w:r>
    </w:p>
    <w:p>
      <w:pPr>
        <w:spacing w:before="60" w:after="60"/>
        <w:ind w:firstLine="0" w:firstLineChars="0"/>
        <w:jc w:val="center"/>
        <w:rPr>
          <w:rFonts w:hint="eastAsia" w:ascii="Times New Roman" w:hAnsi="Times New Roman" w:eastAsia="宋体" w:cs="Times New Roman"/>
          <w:b/>
          <w:bCs/>
          <w:color w:val="auto"/>
          <w:sz w:val="44"/>
          <w:szCs w:val="44"/>
          <w:u w:val="none"/>
          <w:lang w:val="en-US" w:eastAsia="zh-CN"/>
        </w:rPr>
      </w:pPr>
    </w:p>
    <w:p>
      <w:pPr>
        <w:spacing w:before="60" w:after="60"/>
        <w:ind w:firstLine="0" w:firstLineChars="0"/>
        <w:jc w:val="center"/>
        <w:rPr>
          <w:rFonts w:hint="eastAsia" w:ascii="Times New Roman" w:hAnsi="Times New Roman" w:eastAsia="宋体" w:cs="Times New Roman"/>
          <w:b/>
          <w:bCs/>
          <w:color w:val="auto"/>
          <w:sz w:val="44"/>
          <w:szCs w:val="44"/>
          <w:u w:val="none"/>
          <w:lang w:val="en-US" w:eastAsia="zh-CN"/>
        </w:rPr>
      </w:pPr>
    </w:p>
    <w:p>
      <w:pPr>
        <w:spacing w:before="60" w:after="60"/>
        <w:ind w:firstLine="0" w:firstLineChars="0"/>
        <w:jc w:val="center"/>
        <w:rPr>
          <w:rFonts w:hint="eastAsia" w:ascii="Times New Roman" w:hAnsi="Times New Roman" w:eastAsia="宋体" w:cs="Times New Roman"/>
          <w:b/>
          <w:bCs/>
          <w:color w:val="auto"/>
          <w:sz w:val="44"/>
          <w:szCs w:val="44"/>
          <w:u w:val="none"/>
          <w:lang w:val="en-US" w:eastAsia="zh-CN"/>
        </w:rPr>
      </w:pPr>
    </w:p>
    <w:p>
      <w:pPr>
        <w:spacing w:before="60" w:after="60"/>
        <w:ind w:firstLine="0" w:firstLineChars="0"/>
        <w:jc w:val="center"/>
        <w:rPr>
          <w:rFonts w:hint="eastAsia" w:ascii="Times New Roman" w:hAnsi="Times New Roman" w:eastAsia="宋体" w:cs="Times New Roman"/>
          <w:b/>
          <w:bCs/>
          <w:color w:val="auto"/>
          <w:sz w:val="44"/>
          <w:szCs w:val="44"/>
          <w:u w:val="none"/>
          <w:lang w:val="en-US" w:eastAsia="zh-CN"/>
        </w:rPr>
      </w:pPr>
    </w:p>
    <w:p>
      <w:pPr>
        <w:spacing w:before="60" w:after="60"/>
        <w:ind w:firstLine="0" w:firstLineChars="0"/>
        <w:jc w:val="center"/>
        <w:rPr>
          <w:rFonts w:hint="eastAsia" w:ascii="Times New Roman" w:hAnsi="Times New Roman" w:eastAsia="宋体" w:cs="Times New Roman"/>
          <w:b/>
          <w:bCs/>
          <w:color w:val="auto"/>
          <w:sz w:val="44"/>
          <w:szCs w:val="44"/>
          <w:u w:val="none"/>
          <w:lang w:val="en-US" w:eastAsia="zh-CN"/>
        </w:rPr>
      </w:pPr>
    </w:p>
    <w:p>
      <w:pPr>
        <w:jc w:val="center"/>
        <w:outlineLvl w:val="0"/>
        <w:rPr>
          <w:rFonts w:hint="default" w:ascii="方正小标宋_GBK" w:hAnsi="黑体" w:eastAsia="方正小标宋_GBK" w:cs="Times New Roman"/>
          <w:snapToGrid w:val="0"/>
          <w:color w:val="auto"/>
          <w:kern w:val="0"/>
          <w:sz w:val="38"/>
          <w:szCs w:val="38"/>
          <w:lang w:eastAsia="zh-CN"/>
        </w:rPr>
      </w:pPr>
      <w:bookmarkStart w:id="112" w:name="_Toc13137"/>
      <w:r>
        <w:rPr>
          <w:rFonts w:hint="eastAsia" w:ascii="方正小标宋_GBK" w:hAnsi="黑体" w:eastAsia="方正小标宋_GBK" w:cs="Times New Roman"/>
          <w:snapToGrid w:val="0"/>
          <w:color w:val="auto"/>
          <w:kern w:val="0"/>
          <w:sz w:val="38"/>
          <w:szCs w:val="38"/>
          <w:lang w:val="en-US" w:eastAsia="zh-CN"/>
        </w:rPr>
        <w:t>华容县团洲垸灾后重建安置房建设项目</w:t>
      </w:r>
      <w:bookmarkEnd w:id="112"/>
    </w:p>
    <w:p>
      <w:pPr>
        <w:jc w:val="center"/>
        <w:outlineLvl w:val="0"/>
        <w:rPr>
          <w:rFonts w:hint="default" w:ascii="方正小标宋_GBK" w:hAnsi="黑体" w:eastAsia="方正小标宋_GBK" w:cs="Times New Roman"/>
          <w:snapToGrid w:val="0"/>
          <w:color w:val="auto"/>
          <w:kern w:val="0"/>
          <w:sz w:val="38"/>
          <w:szCs w:val="38"/>
        </w:rPr>
      </w:pPr>
      <w:bookmarkStart w:id="113" w:name="_Toc1088"/>
      <w:bookmarkStart w:id="114" w:name="_Toc21739"/>
      <w:r>
        <w:rPr>
          <w:rFonts w:hint="eastAsia" w:ascii="方正小标宋_GBK" w:hAnsi="黑体" w:eastAsia="方正小标宋_GBK" w:cs="Times New Roman"/>
          <w:snapToGrid w:val="0"/>
          <w:color w:val="auto"/>
          <w:kern w:val="0"/>
          <w:sz w:val="38"/>
          <w:szCs w:val="38"/>
          <w:lang w:eastAsia="zh-CN"/>
        </w:rPr>
        <w:t>生态</w:t>
      </w:r>
      <w:r>
        <w:rPr>
          <w:rFonts w:hint="default" w:ascii="方正小标宋_GBK" w:hAnsi="黑体" w:eastAsia="方正小标宋_GBK" w:cs="Times New Roman"/>
          <w:snapToGrid w:val="0"/>
          <w:color w:val="auto"/>
          <w:kern w:val="0"/>
          <w:sz w:val="38"/>
          <w:szCs w:val="38"/>
        </w:rPr>
        <w:t>环境影响专项报告</w:t>
      </w:r>
      <w:bookmarkEnd w:id="113"/>
      <w:bookmarkEnd w:id="114"/>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pStyle w:val="81"/>
        <w:rPr>
          <w:rFonts w:hint="default" w:ascii="Times New Roman" w:hAnsi="Times New Roman" w:cs="Times New Roman"/>
          <w:b/>
          <w:bCs/>
          <w:color w:val="auto"/>
          <w:spacing w:val="20"/>
          <w:sz w:val="32"/>
        </w:rPr>
      </w:pPr>
    </w:p>
    <w:p>
      <w:pPr>
        <w:pStyle w:val="81"/>
        <w:rPr>
          <w:rFonts w:hint="default" w:ascii="Times New Roman" w:hAnsi="Times New Roman" w:cs="Times New Roman"/>
          <w:b/>
          <w:bCs/>
          <w:color w:val="auto"/>
          <w:spacing w:val="20"/>
          <w:sz w:val="32"/>
        </w:rPr>
      </w:pPr>
    </w:p>
    <w:p>
      <w:pPr>
        <w:pStyle w:val="81"/>
        <w:rPr>
          <w:rFonts w:hint="default" w:ascii="Times New Roman" w:hAnsi="Times New Roman" w:cs="Times New Roman"/>
          <w:b/>
          <w:bCs/>
          <w:color w:val="auto"/>
          <w:spacing w:val="20"/>
          <w:sz w:val="32"/>
        </w:rPr>
      </w:pPr>
    </w:p>
    <w:p>
      <w:pPr>
        <w:pStyle w:val="81"/>
        <w:ind w:left="0" w:leftChars="0" w:firstLine="0" w:firstLineChars="0"/>
        <w:rPr>
          <w:rFonts w:hint="default" w:ascii="Times New Roman" w:hAnsi="Times New Roman" w:cs="Times New Roman"/>
          <w:b/>
          <w:bCs/>
          <w:color w:val="auto"/>
          <w:spacing w:val="20"/>
          <w:sz w:val="32"/>
        </w:rPr>
      </w:pPr>
    </w:p>
    <w:p>
      <w:pPr>
        <w:spacing w:before="0" w:beforeLines="0" w:after="0" w:afterLines="0"/>
        <w:ind w:firstLine="0" w:firstLineChars="0"/>
        <w:jc w:val="center"/>
        <w:rPr>
          <w:rFonts w:hint="default" w:ascii="Times New Roman" w:hAnsi="Times New Roman" w:cs="Times New Roman"/>
          <w:b/>
          <w:bCs/>
          <w:color w:val="auto"/>
          <w:spacing w:val="20"/>
          <w:sz w:val="32"/>
        </w:rPr>
      </w:pPr>
      <w:r>
        <w:rPr>
          <w:rFonts w:hint="default" w:ascii="Times New Roman" w:hAnsi="Times New Roman" w:cs="Times New Roman"/>
          <w:b/>
          <w:bCs/>
          <w:color w:val="auto"/>
          <w:spacing w:val="20"/>
          <w:sz w:val="32"/>
          <w:lang w:eastAsia="zh-CN"/>
        </w:rPr>
        <w:t>湖南润美环保科技有限公司</w:t>
      </w:r>
    </w:p>
    <w:p>
      <w:pPr>
        <w:spacing w:before="0" w:beforeLines="0" w:after="0" w:afterLines="0"/>
        <w:ind w:firstLine="0" w:firstLineChars="0"/>
        <w:jc w:val="center"/>
        <w:rPr>
          <w:rFonts w:hint="default" w:ascii="Times New Roman" w:hAnsi="Times New Roman" w:cs="Times New Roman"/>
          <w:b/>
          <w:bCs/>
          <w:color w:val="auto"/>
          <w:spacing w:val="20"/>
          <w:sz w:val="32"/>
        </w:rPr>
      </w:pPr>
    </w:p>
    <w:p>
      <w:pPr>
        <w:spacing w:before="0" w:beforeLines="0" w:after="0" w:afterLines="0"/>
        <w:ind w:firstLine="0" w:firstLineChars="0"/>
        <w:jc w:val="center"/>
        <w:rPr>
          <w:rFonts w:hint="default" w:ascii="Times New Roman" w:hAnsi="Times New Roman" w:eastAsia="宋体" w:cs="Times New Roman"/>
          <w:b/>
          <w:bCs/>
          <w:color w:val="auto"/>
          <w:spacing w:val="20"/>
          <w:sz w:val="32"/>
          <w:lang w:val="en-US" w:eastAsia="zh-CN"/>
        </w:rPr>
        <w:sectPr>
          <w:footerReference r:id="rId8" w:type="default"/>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cs="Times New Roman"/>
          <w:b/>
          <w:bCs/>
          <w:color w:val="auto"/>
          <w:spacing w:val="20"/>
          <w:sz w:val="32"/>
        </w:rPr>
        <w:t>二〇</w:t>
      </w:r>
      <w:r>
        <w:rPr>
          <w:rFonts w:hint="default" w:ascii="Times New Roman" w:hAnsi="Times New Roman" w:cs="Times New Roman"/>
          <w:b/>
          <w:bCs/>
          <w:color w:val="auto"/>
          <w:spacing w:val="20"/>
          <w:sz w:val="32"/>
          <w:lang w:eastAsia="zh-CN"/>
        </w:rPr>
        <w:t>二</w:t>
      </w:r>
      <w:r>
        <w:rPr>
          <w:rFonts w:hint="eastAsia" w:cs="Times New Roman"/>
          <w:b/>
          <w:bCs/>
          <w:color w:val="auto"/>
          <w:spacing w:val="20"/>
          <w:sz w:val="32"/>
          <w:lang w:val="en-US" w:eastAsia="zh-CN"/>
        </w:rPr>
        <w:t>五</w:t>
      </w:r>
      <w:r>
        <w:rPr>
          <w:rFonts w:hint="default" w:ascii="Times New Roman" w:hAnsi="Times New Roman" w:cs="Times New Roman"/>
          <w:b/>
          <w:bCs/>
          <w:color w:val="auto"/>
          <w:spacing w:val="20"/>
          <w:sz w:val="32"/>
        </w:rPr>
        <w:t>年</w:t>
      </w:r>
      <w:r>
        <w:rPr>
          <w:rFonts w:hint="eastAsia" w:cs="Times New Roman"/>
          <w:b/>
          <w:bCs/>
          <w:color w:val="auto"/>
          <w:spacing w:val="20"/>
          <w:sz w:val="32"/>
          <w:lang w:val="en-US" w:eastAsia="zh-CN"/>
        </w:rPr>
        <w:t>四月</w:t>
      </w:r>
    </w:p>
    <w:p>
      <w:pPr>
        <w:keepNext w:val="0"/>
        <w:keepLines w:val="0"/>
        <w:pageBreakBefore w:val="0"/>
        <w:widowControl w:val="0"/>
        <w:kinsoku/>
        <w:wordWrap/>
        <w:overflowPunct/>
        <w:topLinePunct w:val="0"/>
        <w:autoSpaceDE/>
        <w:autoSpaceDN/>
        <w:bidi w:val="0"/>
        <w:adjustRightInd w:val="0"/>
        <w:snapToGrid w:val="0"/>
        <w:spacing w:before="0" w:beforeLines="0" w:after="164" w:afterLines="50" w:line="240" w:lineRule="auto"/>
        <w:ind w:left="0" w:leftChars="0" w:right="0" w:rightChars="0" w:firstLine="0" w:firstLineChars="0"/>
        <w:jc w:val="center"/>
        <w:textAlignment w:val="auto"/>
        <w:rPr>
          <w:color w:val="auto"/>
        </w:rPr>
      </w:pPr>
      <w:r>
        <w:rPr>
          <w:rFonts w:ascii="宋体" w:hAnsi="宋体" w:eastAsia="宋体"/>
          <w:b/>
          <w:bCs/>
          <w:color w:val="auto"/>
          <w:sz w:val="28"/>
          <w:szCs w:val="28"/>
        </w:rPr>
        <w:t>目录</w:t>
      </w:r>
      <w:r>
        <w:rPr>
          <w:color w:val="auto"/>
        </w:rPr>
        <w:fldChar w:fldCharType="begin"/>
      </w:r>
      <w:r>
        <w:rPr>
          <w:color w:val="auto"/>
        </w:rPr>
        <w:instrText xml:space="preserve">TOC \o "1-2" \h \u </w:instrText>
      </w:r>
      <w:r>
        <w:rPr>
          <w:color w:val="auto"/>
        </w:rPr>
        <w:fldChar w:fldCharType="separate"/>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_Toc29359 </w:instrText>
      </w:r>
      <w:r>
        <w:rPr>
          <w:color w:val="auto"/>
        </w:rPr>
        <w:fldChar w:fldCharType="separate"/>
      </w:r>
      <w:r>
        <w:rPr>
          <w:rFonts w:ascii="Times New Roman" w:hAnsi="Times New Roman" w:eastAsia="宋体" w:cs="Times New Roman"/>
          <w:snapToGrid w:val="0"/>
          <w:color w:val="auto"/>
          <w:kern w:val="0"/>
          <w:szCs w:val="30"/>
          <w:lang w:val="en-US" w:eastAsia="zh-CN" w:bidi="ar-SA"/>
        </w:rPr>
        <w:t>1总则</w:t>
      </w:r>
      <w:r>
        <w:rPr>
          <w:color w:val="auto"/>
        </w:rPr>
        <w:tab/>
      </w:r>
      <w:r>
        <w:rPr>
          <w:color w:val="auto"/>
        </w:rPr>
        <w:fldChar w:fldCharType="begin"/>
      </w:r>
      <w:r>
        <w:rPr>
          <w:color w:val="auto"/>
        </w:rPr>
        <w:instrText xml:space="preserve"> PAGEREF _Toc29359 \h </w:instrText>
      </w:r>
      <w:r>
        <w:rPr>
          <w:color w:val="auto"/>
        </w:rPr>
        <w:fldChar w:fldCharType="separate"/>
      </w:r>
      <w:r>
        <w:rPr>
          <w:color w:val="auto"/>
        </w:rPr>
        <w:t>1</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_Toc9323 </w:instrText>
      </w:r>
      <w:r>
        <w:rPr>
          <w:color w:val="auto"/>
        </w:rPr>
        <w:fldChar w:fldCharType="separate"/>
      </w:r>
      <w:r>
        <w:rPr>
          <w:rFonts w:ascii="Times New Roman" w:hAnsi="Times New Roman" w:eastAsia="宋体" w:cs="Times New Roman"/>
          <w:bCs/>
          <w:color w:val="auto"/>
          <w:kern w:val="2"/>
          <w:szCs w:val="28"/>
          <w:lang w:val="en-US" w:eastAsia="zh-CN" w:bidi="ar-SA"/>
        </w:rPr>
        <w:t>1.1项目由来</w:t>
      </w:r>
      <w:r>
        <w:rPr>
          <w:color w:val="auto"/>
        </w:rPr>
        <w:tab/>
      </w:r>
      <w:r>
        <w:rPr>
          <w:color w:val="auto"/>
        </w:rPr>
        <w:fldChar w:fldCharType="begin"/>
      </w:r>
      <w:r>
        <w:rPr>
          <w:color w:val="auto"/>
        </w:rPr>
        <w:instrText xml:space="preserve"> PAGEREF _Toc9323 \h </w:instrText>
      </w:r>
      <w:r>
        <w:rPr>
          <w:color w:val="auto"/>
        </w:rPr>
        <w:fldChar w:fldCharType="separate"/>
      </w:r>
      <w:r>
        <w:rPr>
          <w:color w:val="auto"/>
        </w:rPr>
        <w:t>1</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_Toc22516 </w:instrText>
      </w:r>
      <w:r>
        <w:rPr>
          <w:color w:val="auto"/>
        </w:rPr>
        <w:fldChar w:fldCharType="separate"/>
      </w:r>
      <w:r>
        <w:rPr>
          <w:rFonts w:ascii="Times New Roman" w:hAnsi="Times New Roman" w:eastAsia="宋体" w:cs="Times New Roman"/>
          <w:bCs/>
          <w:color w:val="auto"/>
          <w:kern w:val="2"/>
          <w:szCs w:val="28"/>
          <w:lang w:val="en-US" w:eastAsia="zh-CN" w:bidi="ar-SA"/>
        </w:rPr>
        <w:t>1.2评价目的和评价原则</w:t>
      </w:r>
      <w:r>
        <w:rPr>
          <w:color w:val="auto"/>
        </w:rPr>
        <w:tab/>
      </w:r>
      <w:r>
        <w:rPr>
          <w:color w:val="auto"/>
        </w:rPr>
        <w:fldChar w:fldCharType="begin"/>
      </w:r>
      <w:r>
        <w:rPr>
          <w:color w:val="auto"/>
        </w:rPr>
        <w:instrText xml:space="preserve"> PAGEREF _Toc22516 \h </w:instrText>
      </w:r>
      <w:r>
        <w:rPr>
          <w:color w:val="auto"/>
        </w:rPr>
        <w:fldChar w:fldCharType="separate"/>
      </w:r>
      <w:r>
        <w:rPr>
          <w:color w:val="auto"/>
        </w:rPr>
        <w:t>1</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_Toc7949 </w:instrText>
      </w:r>
      <w:r>
        <w:rPr>
          <w:color w:val="auto"/>
        </w:rPr>
        <w:fldChar w:fldCharType="separate"/>
      </w:r>
      <w:r>
        <w:rPr>
          <w:rFonts w:ascii="Times New Roman" w:hAnsi="Times New Roman" w:eastAsia="宋体" w:cs="Times New Roman"/>
          <w:bCs/>
          <w:color w:val="auto"/>
          <w:kern w:val="2"/>
          <w:szCs w:val="28"/>
          <w:lang w:val="en-US" w:eastAsia="zh-CN" w:bidi="ar-SA"/>
        </w:rPr>
        <w:t>1.3工作原则</w:t>
      </w:r>
      <w:r>
        <w:rPr>
          <w:color w:val="auto"/>
        </w:rPr>
        <w:tab/>
      </w:r>
      <w:r>
        <w:rPr>
          <w:color w:val="auto"/>
        </w:rPr>
        <w:fldChar w:fldCharType="begin"/>
      </w:r>
      <w:r>
        <w:rPr>
          <w:color w:val="auto"/>
        </w:rPr>
        <w:instrText xml:space="preserve"> PAGEREF _Toc7949 \h </w:instrText>
      </w:r>
      <w:r>
        <w:rPr>
          <w:color w:val="auto"/>
        </w:rPr>
        <w:fldChar w:fldCharType="separate"/>
      </w:r>
      <w:r>
        <w:rPr>
          <w:color w:val="auto"/>
        </w:rPr>
        <w:t>2</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_Toc12498 </w:instrText>
      </w:r>
      <w:r>
        <w:rPr>
          <w:color w:val="auto"/>
        </w:rPr>
        <w:fldChar w:fldCharType="separate"/>
      </w:r>
      <w:r>
        <w:rPr>
          <w:rFonts w:ascii="Times New Roman" w:hAnsi="Times New Roman" w:eastAsia="宋体" w:cs="Times New Roman"/>
          <w:bCs/>
          <w:color w:val="auto"/>
          <w:kern w:val="2"/>
          <w:szCs w:val="28"/>
          <w:lang w:val="en-US" w:eastAsia="zh-CN" w:bidi="ar-SA"/>
        </w:rPr>
        <w:t>1.4评价依据</w:t>
      </w:r>
      <w:r>
        <w:rPr>
          <w:color w:val="auto"/>
        </w:rPr>
        <w:tab/>
      </w:r>
      <w:r>
        <w:rPr>
          <w:color w:val="auto"/>
        </w:rPr>
        <w:fldChar w:fldCharType="begin"/>
      </w:r>
      <w:r>
        <w:rPr>
          <w:color w:val="auto"/>
        </w:rPr>
        <w:instrText xml:space="preserve"> PAGEREF _Toc12498 \h </w:instrText>
      </w:r>
      <w:r>
        <w:rPr>
          <w:color w:val="auto"/>
        </w:rPr>
        <w:fldChar w:fldCharType="separate"/>
      </w:r>
      <w:r>
        <w:rPr>
          <w:color w:val="auto"/>
        </w:rPr>
        <w:t>2</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_Toc25026 </w:instrText>
      </w:r>
      <w:r>
        <w:rPr>
          <w:color w:val="auto"/>
        </w:rPr>
        <w:fldChar w:fldCharType="separate"/>
      </w:r>
      <w:r>
        <w:rPr>
          <w:rFonts w:ascii="Times New Roman" w:hAnsi="Times New Roman" w:eastAsia="宋体" w:cs="Times New Roman"/>
          <w:bCs/>
          <w:color w:val="auto"/>
          <w:kern w:val="2"/>
          <w:szCs w:val="28"/>
          <w:lang w:val="en-US" w:eastAsia="zh-CN" w:bidi="ar-SA"/>
        </w:rPr>
        <w:t>1.5生态环境评价工作等级及范围</w:t>
      </w:r>
      <w:r>
        <w:rPr>
          <w:color w:val="auto"/>
        </w:rPr>
        <w:tab/>
      </w:r>
      <w:r>
        <w:rPr>
          <w:color w:val="auto"/>
        </w:rPr>
        <w:fldChar w:fldCharType="begin"/>
      </w:r>
      <w:r>
        <w:rPr>
          <w:color w:val="auto"/>
        </w:rPr>
        <w:instrText xml:space="preserve"> PAGEREF _Toc25026 \h </w:instrText>
      </w:r>
      <w:r>
        <w:rPr>
          <w:color w:val="auto"/>
        </w:rPr>
        <w:fldChar w:fldCharType="separate"/>
      </w:r>
      <w:r>
        <w:rPr>
          <w:color w:val="auto"/>
        </w:rPr>
        <w:t>5</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_Toc2532 </w:instrText>
      </w:r>
      <w:r>
        <w:rPr>
          <w:color w:val="auto"/>
        </w:rPr>
        <w:fldChar w:fldCharType="separate"/>
      </w:r>
      <w:r>
        <w:rPr>
          <w:rFonts w:hint="eastAsia" w:ascii="Times New Roman" w:hAnsi="Times New Roman" w:eastAsia="宋体" w:cs="Times New Roman"/>
          <w:bCs/>
          <w:color w:val="auto"/>
          <w:kern w:val="2"/>
          <w:szCs w:val="28"/>
          <w:lang w:val="en-US" w:eastAsia="zh-CN" w:bidi="ar-SA"/>
        </w:rPr>
        <w:t>1.6评价因子筛选及评价重点</w:t>
      </w:r>
      <w:r>
        <w:rPr>
          <w:color w:val="auto"/>
        </w:rPr>
        <w:tab/>
      </w:r>
      <w:r>
        <w:rPr>
          <w:color w:val="auto"/>
        </w:rPr>
        <w:fldChar w:fldCharType="begin"/>
      </w:r>
      <w:r>
        <w:rPr>
          <w:color w:val="auto"/>
        </w:rPr>
        <w:instrText xml:space="preserve"> PAGEREF _Toc2532 \h </w:instrText>
      </w:r>
      <w:r>
        <w:rPr>
          <w:color w:val="auto"/>
        </w:rPr>
        <w:fldChar w:fldCharType="separate"/>
      </w:r>
      <w:r>
        <w:rPr>
          <w:color w:val="auto"/>
        </w:rPr>
        <w:t>6</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_Toc22427 </w:instrText>
      </w:r>
      <w:r>
        <w:rPr>
          <w:color w:val="auto"/>
        </w:rPr>
        <w:fldChar w:fldCharType="separate"/>
      </w:r>
      <w:r>
        <w:rPr>
          <w:rFonts w:ascii="Times New Roman" w:hAnsi="Times New Roman" w:eastAsia="宋体" w:cs="Times New Roman"/>
          <w:color w:val="auto"/>
          <w:kern w:val="2"/>
          <w:szCs w:val="28"/>
          <w:lang w:val="en-US" w:eastAsia="zh-CN" w:bidi="ar-SA"/>
        </w:rPr>
        <w:t>1.</w:t>
      </w:r>
      <w:r>
        <w:rPr>
          <w:rFonts w:hint="eastAsia" w:ascii="Times New Roman" w:hAnsi="Times New Roman" w:eastAsia="宋体" w:cs="Times New Roman"/>
          <w:color w:val="auto"/>
          <w:kern w:val="2"/>
          <w:szCs w:val="28"/>
          <w:lang w:val="en-US" w:eastAsia="zh-CN" w:bidi="ar-SA"/>
        </w:rPr>
        <w:t>7</w:t>
      </w:r>
      <w:r>
        <w:rPr>
          <w:rFonts w:ascii="Times New Roman" w:hAnsi="Times New Roman" w:eastAsia="宋体" w:cs="Times New Roman"/>
          <w:color w:val="auto"/>
          <w:kern w:val="2"/>
          <w:szCs w:val="28"/>
          <w:lang w:val="en-US" w:eastAsia="zh-CN" w:bidi="ar-SA"/>
        </w:rPr>
        <w:t>生态环境保护目标</w:t>
      </w:r>
      <w:r>
        <w:rPr>
          <w:color w:val="auto"/>
        </w:rPr>
        <w:tab/>
      </w:r>
      <w:r>
        <w:rPr>
          <w:color w:val="auto"/>
        </w:rPr>
        <w:fldChar w:fldCharType="begin"/>
      </w:r>
      <w:r>
        <w:rPr>
          <w:color w:val="auto"/>
        </w:rPr>
        <w:instrText xml:space="preserve"> PAGEREF _Toc22427 \h </w:instrText>
      </w:r>
      <w:r>
        <w:rPr>
          <w:color w:val="auto"/>
        </w:rPr>
        <w:fldChar w:fldCharType="separate"/>
      </w:r>
      <w:r>
        <w:rPr>
          <w:color w:val="auto"/>
        </w:rPr>
        <w:t>7</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_Toc30542 </w:instrText>
      </w:r>
      <w:r>
        <w:rPr>
          <w:color w:val="auto"/>
        </w:rPr>
        <w:fldChar w:fldCharType="separate"/>
      </w:r>
      <w:r>
        <w:rPr>
          <w:rFonts w:ascii="Times New Roman" w:hAnsi="Times New Roman" w:eastAsia="宋体" w:cs="Times New Roman"/>
          <w:snapToGrid w:val="0"/>
          <w:color w:val="auto"/>
          <w:kern w:val="0"/>
          <w:szCs w:val="30"/>
          <w:lang w:val="en-US" w:eastAsia="zh-CN" w:bidi="ar-SA"/>
        </w:rPr>
        <w:t>2项目工程分析</w:t>
      </w:r>
      <w:r>
        <w:rPr>
          <w:color w:val="auto"/>
        </w:rPr>
        <w:tab/>
      </w:r>
      <w:r>
        <w:rPr>
          <w:color w:val="auto"/>
        </w:rPr>
        <w:fldChar w:fldCharType="begin"/>
      </w:r>
      <w:r>
        <w:rPr>
          <w:color w:val="auto"/>
        </w:rPr>
        <w:instrText xml:space="preserve"> PAGEREF _Toc30542 \h </w:instrText>
      </w:r>
      <w:r>
        <w:rPr>
          <w:color w:val="auto"/>
        </w:rPr>
        <w:fldChar w:fldCharType="separate"/>
      </w:r>
      <w:r>
        <w:rPr>
          <w:color w:val="auto"/>
        </w:rPr>
        <w:t>8</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_Toc11291 </w:instrText>
      </w:r>
      <w:r>
        <w:rPr>
          <w:color w:val="auto"/>
        </w:rPr>
        <w:fldChar w:fldCharType="separate"/>
      </w:r>
      <w:r>
        <w:rPr>
          <w:rFonts w:ascii="Times New Roman" w:hAnsi="Times New Roman" w:eastAsia="宋体" w:cs="Times New Roman"/>
          <w:bCs/>
          <w:color w:val="auto"/>
          <w:kern w:val="2"/>
          <w:szCs w:val="28"/>
          <w:lang w:val="en-US" w:eastAsia="zh-CN" w:bidi="ar-SA"/>
        </w:rPr>
        <w:t>2.1</w:t>
      </w:r>
      <w:r>
        <w:rPr>
          <w:rFonts w:hint="eastAsia" w:ascii="Times New Roman" w:hAnsi="Times New Roman" w:eastAsia="宋体" w:cs="Times New Roman"/>
          <w:bCs/>
          <w:color w:val="auto"/>
          <w:kern w:val="2"/>
          <w:szCs w:val="28"/>
          <w:lang w:val="en-US" w:eastAsia="zh-CN" w:bidi="ar-SA"/>
        </w:rPr>
        <w:t>项目概况</w:t>
      </w:r>
      <w:r>
        <w:rPr>
          <w:color w:val="auto"/>
        </w:rPr>
        <w:tab/>
      </w:r>
      <w:r>
        <w:rPr>
          <w:color w:val="auto"/>
        </w:rPr>
        <w:fldChar w:fldCharType="begin"/>
      </w:r>
      <w:r>
        <w:rPr>
          <w:color w:val="auto"/>
        </w:rPr>
        <w:instrText xml:space="preserve"> PAGEREF _Toc11291 \h </w:instrText>
      </w:r>
      <w:r>
        <w:rPr>
          <w:color w:val="auto"/>
        </w:rPr>
        <w:fldChar w:fldCharType="separate"/>
      </w:r>
      <w:r>
        <w:rPr>
          <w:color w:val="auto"/>
        </w:rPr>
        <w:t>8</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_Toc1717 </w:instrText>
      </w:r>
      <w:r>
        <w:rPr>
          <w:color w:val="auto"/>
        </w:rPr>
        <w:fldChar w:fldCharType="separate"/>
      </w:r>
      <w:r>
        <w:rPr>
          <w:rFonts w:hint="eastAsia" w:ascii="Times New Roman" w:hAnsi="Times New Roman" w:eastAsia="宋体" w:cs="Times New Roman"/>
          <w:bCs/>
          <w:color w:val="auto"/>
          <w:kern w:val="2"/>
          <w:szCs w:val="28"/>
          <w:lang w:val="en-US" w:eastAsia="zh-CN" w:bidi="ar-SA"/>
        </w:rPr>
        <w:t>2.2</w:t>
      </w:r>
      <w:r>
        <w:rPr>
          <w:rFonts w:ascii="Times New Roman" w:hAnsi="Times New Roman" w:eastAsia="宋体" w:cs="Times New Roman"/>
          <w:bCs/>
          <w:color w:val="auto"/>
          <w:kern w:val="2"/>
          <w:szCs w:val="28"/>
          <w:lang w:val="en-US" w:eastAsia="zh-CN" w:bidi="ar-SA"/>
        </w:rPr>
        <w:t>工程建设内容</w:t>
      </w:r>
      <w:r>
        <w:rPr>
          <w:color w:val="auto"/>
        </w:rPr>
        <w:tab/>
      </w:r>
      <w:r>
        <w:rPr>
          <w:color w:val="auto"/>
        </w:rPr>
        <w:fldChar w:fldCharType="begin"/>
      </w:r>
      <w:r>
        <w:rPr>
          <w:color w:val="auto"/>
        </w:rPr>
        <w:instrText xml:space="preserve"> PAGEREF _Toc1717 \h </w:instrText>
      </w:r>
      <w:r>
        <w:rPr>
          <w:color w:val="auto"/>
        </w:rPr>
        <w:fldChar w:fldCharType="separate"/>
      </w:r>
      <w:r>
        <w:rPr>
          <w:color w:val="auto"/>
        </w:rPr>
        <w:t>8</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_Toc11734 </w:instrText>
      </w:r>
      <w:r>
        <w:rPr>
          <w:color w:val="auto"/>
        </w:rPr>
        <w:fldChar w:fldCharType="separate"/>
      </w:r>
      <w:r>
        <w:rPr>
          <w:rFonts w:ascii="Times New Roman" w:hAnsi="Times New Roman" w:eastAsia="宋体" w:cs="Times New Roman"/>
          <w:bCs w:val="0"/>
          <w:snapToGrid w:val="0"/>
          <w:color w:val="auto"/>
          <w:kern w:val="0"/>
          <w:szCs w:val="30"/>
          <w:lang w:val="en-US" w:eastAsia="zh-CN" w:bidi="ar-SA"/>
        </w:rPr>
        <w:t>3生态环境现状调查与评价</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9</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_Toc28113 </w:instrText>
      </w:r>
      <w:r>
        <w:rPr>
          <w:color w:val="auto"/>
        </w:rPr>
        <w:fldChar w:fldCharType="separate"/>
      </w:r>
      <w:r>
        <w:rPr>
          <w:rFonts w:ascii="Times New Roman" w:hAnsi="Times New Roman" w:eastAsia="宋体" w:cs="Times New Roman"/>
          <w:bCs/>
          <w:color w:val="auto"/>
          <w:kern w:val="2"/>
          <w:szCs w:val="28"/>
          <w:lang w:val="en-US" w:eastAsia="zh-CN" w:bidi="ar-SA"/>
        </w:rPr>
        <w:t>3.1</w:t>
      </w:r>
      <w:r>
        <w:rPr>
          <w:rFonts w:hint="eastAsia" w:ascii="Times New Roman" w:hAnsi="Times New Roman" w:eastAsia="宋体" w:cs="Times New Roman"/>
          <w:bCs/>
          <w:color w:val="auto"/>
          <w:kern w:val="2"/>
          <w:szCs w:val="28"/>
          <w:lang w:val="en-US" w:eastAsia="zh-CN" w:bidi="ar-SA"/>
        </w:rPr>
        <w:t>土地利用现状</w:t>
      </w:r>
      <w:r>
        <w:rPr>
          <w:color w:val="auto"/>
        </w:rPr>
        <w:tab/>
      </w:r>
      <w:r>
        <w:rPr>
          <w:color w:val="auto"/>
        </w:rPr>
        <w:fldChar w:fldCharType="begin"/>
      </w:r>
      <w:r>
        <w:rPr>
          <w:color w:val="auto"/>
        </w:rPr>
        <w:instrText xml:space="preserve"> PAGEREF _Toc28113 \h </w:instrText>
      </w:r>
      <w:r>
        <w:rPr>
          <w:color w:val="auto"/>
        </w:rPr>
        <w:fldChar w:fldCharType="separate"/>
      </w:r>
      <w:r>
        <w:rPr>
          <w:color w:val="auto"/>
        </w:rPr>
        <w:t>9</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_Toc16185 </w:instrText>
      </w:r>
      <w:r>
        <w:rPr>
          <w:color w:val="auto"/>
        </w:rPr>
        <w:fldChar w:fldCharType="separate"/>
      </w:r>
      <w:r>
        <w:rPr>
          <w:rFonts w:hint="eastAsia" w:ascii="Times New Roman" w:hAnsi="Times New Roman" w:eastAsia="宋体" w:cs="Times New Roman"/>
          <w:bCs/>
          <w:color w:val="auto"/>
          <w:kern w:val="2"/>
          <w:szCs w:val="28"/>
          <w:lang w:val="en-US" w:eastAsia="zh-CN" w:bidi="ar-SA"/>
        </w:rPr>
        <w:t>3</w:t>
      </w:r>
      <w:r>
        <w:rPr>
          <w:rFonts w:hint="default" w:ascii="Times New Roman" w:hAnsi="Times New Roman" w:eastAsia="宋体" w:cs="Times New Roman"/>
          <w:bCs/>
          <w:color w:val="auto"/>
          <w:kern w:val="2"/>
          <w:szCs w:val="28"/>
          <w:lang w:val="en-US" w:eastAsia="zh-CN" w:bidi="ar-SA"/>
        </w:rPr>
        <w:t>.2生态环境</w:t>
      </w:r>
      <w:r>
        <w:rPr>
          <w:rFonts w:hint="eastAsia" w:ascii="Times New Roman" w:hAnsi="Times New Roman" w:eastAsia="宋体" w:cs="Times New Roman"/>
          <w:bCs/>
          <w:color w:val="auto"/>
          <w:kern w:val="2"/>
          <w:szCs w:val="28"/>
          <w:lang w:val="en-US" w:eastAsia="zh-CN" w:bidi="ar-SA"/>
        </w:rPr>
        <w:t>调查与评价</w:t>
      </w:r>
      <w:r>
        <w:rPr>
          <w:color w:val="auto"/>
        </w:rPr>
        <w:tab/>
      </w:r>
      <w:r>
        <w:rPr>
          <w:color w:val="auto"/>
        </w:rPr>
        <w:fldChar w:fldCharType="begin"/>
      </w:r>
      <w:r>
        <w:rPr>
          <w:color w:val="auto"/>
        </w:rPr>
        <w:instrText xml:space="preserve"> PAGEREF _Toc16185 \h </w:instrText>
      </w:r>
      <w:r>
        <w:rPr>
          <w:color w:val="auto"/>
        </w:rPr>
        <w:fldChar w:fldCharType="separate"/>
      </w:r>
      <w:r>
        <w:rPr>
          <w:color w:val="auto"/>
        </w:rPr>
        <w:t>9</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_Toc17066 </w:instrText>
      </w:r>
      <w:r>
        <w:rPr>
          <w:color w:val="auto"/>
        </w:rPr>
        <w:fldChar w:fldCharType="separate"/>
      </w:r>
      <w:r>
        <w:rPr>
          <w:rFonts w:hint="eastAsia" w:ascii="Times New Roman" w:hAnsi="Times New Roman" w:eastAsia="宋体" w:cs="Times New Roman"/>
          <w:bCs/>
          <w:color w:val="auto"/>
          <w:kern w:val="2"/>
          <w:szCs w:val="28"/>
          <w:lang w:val="en-US" w:eastAsia="zh-CN" w:bidi="ar-SA"/>
        </w:rPr>
        <w:t>3</w:t>
      </w:r>
      <w:r>
        <w:rPr>
          <w:rFonts w:hint="default" w:ascii="Times New Roman" w:hAnsi="Times New Roman" w:eastAsia="宋体" w:cs="Times New Roman"/>
          <w:bCs/>
          <w:color w:val="auto"/>
          <w:kern w:val="2"/>
          <w:szCs w:val="28"/>
          <w:lang w:val="en-US" w:eastAsia="zh-CN" w:bidi="ar-SA"/>
        </w:rPr>
        <w:t>.3建设项目所在地生态环境现状</w:t>
      </w:r>
      <w:r>
        <w:rPr>
          <w:color w:val="auto"/>
        </w:rPr>
        <w:tab/>
      </w:r>
      <w:r>
        <w:rPr>
          <w:color w:val="auto"/>
        </w:rPr>
        <w:fldChar w:fldCharType="begin"/>
      </w:r>
      <w:r>
        <w:rPr>
          <w:color w:val="auto"/>
        </w:rPr>
        <w:instrText xml:space="preserve"> PAGEREF _Toc17066 \h </w:instrText>
      </w:r>
      <w:r>
        <w:rPr>
          <w:color w:val="auto"/>
        </w:rPr>
        <w:fldChar w:fldCharType="separate"/>
      </w:r>
      <w:r>
        <w:rPr>
          <w:color w:val="auto"/>
        </w:rPr>
        <w:t>12</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_Toc13004 </w:instrText>
      </w:r>
      <w:r>
        <w:rPr>
          <w:color w:val="auto"/>
        </w:rPr>
        <w:fldChar w:fldCharType="separate"/>
      </w:r>
      <w:r>
        <w:rPr>
          <w:rFonts w:hint="eastAsia" w:ascii="Times New Roman" w:hAnsi="Times New Roman" w:eastAsia="宋体" w:cs="Times New Roman"/>
          <w:bCs w:val="0"/>
          <w:snapToGrid w:val="0"/>
          <w:color w:val="auto"/>
          <w:kern w:val="0"/>
          <w:szCs w:val="30"/>
          <w:lang w:val="en-US" w:eastAsia="zh-CN" w:bidi="ar-SA"/>
        </w:rPr>
        <w:t>4</w:t>
      </w:r>
      <w:r>
        <w:rPr>
          <w:rFonts w:ascii="Times New Roman" w:hAnsi="Times New Roman" w:eastAsia="宋体" w:cs="Times New Roman"/>
          <w:bCs w:val="0"/>
          <w:snapToGrid w:val="0"/>
          <w:color w:val="auto"/>
          <w:kern w:val="0"/>
          <w:szCs w:val="30"/>
          <w:lang w:val="en-US" w:eastAsia="zh-CN" w:bidi="ar-SA"/>
        </w:rPr>
        <w:t>生态环境</w:t>
      </w:r>
      <w:r>
        <w:rPr>
          <w:rFonts w:hint="eastAsia" w:ascii="Times New Roman" w:hAnsi="Times New Roman" w:eastAsia="宋体" w:cs="Times New Roman"/>
          <w:bCs w:val="0"/>
          <w:snapToGrid w:val="0"/>
          <w:color w:val="auto"/>
          <w:kern w:val="0"/>
          <w:szCs w:val="30"/>
          <w:lang w:val="en-US" w:eastAsia="zh-CN" w:bidi="ar-SA"/>
        </w:rPr>
        <w:t>影响</w:t>
      </w:r>
      <w:r>
        <w:rPr>
          <w:rFonts w:ascii="Times New Roman" w:hAnsi="Times New Roman" w:eastAsia="宋体" w:cs="Times New Roman"/>
          <w:bCs w:val="0"/>
          <w:snapToGrid w:val="0"/>
          <w:color w:val="auto"/>
          <w:kern w:val="0"/>
          <w:szCs w:val="30"/>
          <w:lang w:val="en-US" w:eastAsia="zh-CN" w:bidi="ar-SA"/>
        </w:rPr>
        <w:t>评价</w:t>
      </w:r>
      <w:r>
        <w:rPr>
          <w:color w:val="auto"/>
        </w:rPr>
        <w:tab/>
      </w:r>
      <w:r>
        <w:rPr>
          <w:color w:val="auto"/>
        </w:rPr>
        <w:fldChar w:fldCharType="begin"/>
      </w:r>
      <w:r>
        <w:rPr>
          <w:color w:val="auto"/>
        </w:rPr>
        <w:instrText xml:space="preserve"> PAGEREF _Toc13004 \h </w:instrText>
      </w:r>
      <w:r>
        <w:rPr>
          <w:color w:val="auto"/>
        </w:rPr>
        <w:fldChar w:fldCharType="separate"/>
      </w:r>
      <w:r>
        <w:rPr>
          <w:color w:val="auto"/>
        </w:rPr>
        <w:t>28</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_Toc21397 </w:instrText>
      </w:r>
      <w:r>
        <w:rPr>
          <w:color w:val="auto"/>
        </w:rPr>
        <w:fldChar w:fldCharType="separate"/>
      </w:r>
      <w:r>
        <w:rPr>
          <w:rFonts w:ascii="Times New Roman" w:hAnsi="Times New Roman" w:eastAsia="宋体" w:cs="Times New Roman"/>
          <w:bCs/>
          <w:color w:val="auto"/>
          <w:kern w:val="2"/>
          <w:szCs w:val="28"/>
          <w:lang w:val="en-US" w:eastAsia="zh-CN" w:bidi="ar-SA"/>
        </w:rPr>
        <w:t xml:space="preserve">4.1 </w:t>
      </w:r>
      <w:r>
        <w:rPr>
          <w:rFonts w:hint="eastAsia" w:ascii="Times New Roman" w:hAnsi="Times New Roman" w:eastAsia="宋体" w:cs="Times New Roman"/>
          <w:bCs/>
          <w:color w:val="auto"/>
          <w:kern w:val="2"/>
          <w:szCs w:val="28"/>
          <w:lang w:val="en-US" w:eastAsia="zh-CN" w:bidi="ar-SA"/>
        </w:rPr>
        <w:t>施工期生态环境影响分析与评价</w:t>
      </w:r>
      <w:r>
        <w:rPr>
          <w:color w:val="auto"/>
        </w:rPr>
        <w:tab/>
      </w:r>
      <w:r>
        <w:rPr>
          <w:color w:val="auto"/>
        </w:rPr>
        <w:fldChar w:fldCharType="begin"/>
      </w:r>
      <w:r>
        <w:rPr>
          <w:color w:val="auto"/>
        </w:rPr>
        <w:instrText xml:space="preserve"> PAGEREF _Toc21397 \h </w:instrText>
      </w:r>
      <w:r>
        <w:rPr>
          <w:color w:val="auto"/>
        </w:rPr>
        <w:fldChar w:fldCharType="separate"/>
      </w:r>
      <w:r>
        <w:rPr>
          <w:color w:val="auto"/>
        </w:rPr>
        <w:t>34</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_Toc6378 </w:instrText>
      </w:r>
      <w:r>
        <w:rPr>
          <w:color w:val="auto"/>
        </w:rPr>
        <w:fldChar w:fldCharType="separate"/>
      </w:r>
      <w:r>
        <w:rPr>
          <w:rFonts w:ascii="Times New Roman" w:hAnsi="Times New Roman" w:eastAsia="宋体" w:cs="Times New Roman"/>
          <w:bCs/>
          <w:color w:val="auto"/>
          <w:kern w:val="2"/>
          <w:szCs w:val="28"/>
          <w:lang w:val="en-US" w:eastAsia="zh-CN" w:bidi="ar-SA"/>
        </w:rPr>
        <w:t>4.</w:t>
      </w:r>
      <w:r>
        <w:rPr>
          <w:rFonts w:hint="eastAsia" w:ascii="Times New Roman" w:hAnsi="Times New Roman" w:eastAsia="宋体" w:cs="Times New Roman"/>
          <w:bCs/>
          <w:color w:val="auto"/>
          <w:kern w:val="2"/>
          <w:szCs w:val="28"/>
          <w:lang w:val="en-US" w:eastAsia="zh-CN" w:bidi="ar-SA"/>
        </w:rPr>
        <w:t>2</w:t>
      </w:r>
      <w:r>
        <w:rPr>
          <w:rFonts w:ascii="Times New Roman" w:hAnsi="Times New Roman" w:eastAsia="宋体" w:cs="Times New Roman"/>
          <w:bCs/>
          <w:color w:val="auto"/>
          <w:kern w:val="2"/>
          <w:szCs w:val="28"/>
          <w:lang w:val="en-US" w:eastAsia="zh-CN" w:bidi="ar-SA"/>
        </w:rPr>
        <w:t xml:space="preserve"> </w:t>
      </w:r>
      <w:r>
        <w:rPr>
          <w:rFonts w:hint="eastAsia" w:ascii="Times New Roman" w:hAnsi="Times New Roman" w:eastAsia="宋体" w:cs="Times New Roman"/>
          <w:bCs/>
          <w:color w:val="auto"/>
          <w:kern w:val="2"/>
          <w:szCs w:val="28"/>
          <w:lang w:val="en-US" w:eastAsia="zh-CN" w:bidi="ar-SA"/>
        </w:rPr>
        <w:t>运营期生态环境影响分析与评价</w:t>
      </w:r>
      <w:r>
        <w:rPr>
          <w:color w:val="auto"/>
        </w:rPr>
        <w:tab/>
      </w:r>
      <w:r>
        <w:rPr>
          <w:color w:val="auto"/>
        </w:rPr>
        <w:fldChar w:fldCharType="begin"/>
      </w:r>
      <w:r>
        <w:rPr>
          <w:color w:val="auto"/>
        </w:rPr>
        <w:instrText xml:space="preserve"> PAGEREF _Toc6378 \h </w:instrText>
      </w:r>
      <w:r>
        <w:rPr>
          <w:color w:val="auto"/>
        </w:rPr>
        <w:fldChar w:fldCharType="separate"/>
      </w:r>
      <w:r>
        <w:rPr>
          <w:color w:val="auto"/>
        </w:rPr>
        <w:t>37</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_Toc6600 </w:instrText>
      </w:r>
      <w:r>
        <w:rPr>
          <w:color w:val="auto"/>
        </w:rPr>
        <w:fldChar w:fldCharType="separate"/>
      </w:r>
      <w:r>
        <w:rPr>
          <w:rFonts w:ascii="Times New Roman" w:hAnsi="Times New Roman" w:eastAsia="宋体" w:cs="Times New Roman"/>
          <w:bCs w:val="0"/>
          <w:snapToGrid w:val="0"/>
          <w:color w:val="auto"/>
          <w:kern w:val="0"/>
          <w:szCs w:val="30"/>
          <w:lang w:val="en-US" w:eastAsia="zh-CN" w:bidi="ar-SA"/>
        </w:rPr>
        <w:t>5生态保护对策措施</w:t>
      </w:r>
      <w:r>
        <w:rPr>
          <w:color w:val="auto"/>
        </w:rPr>
        <w:tab/>
      </w:r>
      <w:r>
        <w:rPr>
          <w:color w:val="auto"/>
        </w:rPr>
        <w:fldChar w:fldCharType="begin"/>
      </w:r>
      <w:r>
        <w:rPr>
          <w:color w:val="auto"/>
        </w:rPr>
        <w:instrText xml:space="preserve"> PAGEREF _Toc6600 \h </w:instrText>
      </w:r>
      <w:r>
        <w:rPr>
          <w:color w:val="auto"/>
        </w:rPr>
        <w:fldChar w:fldCharType="separate"/>
      </w:r>
      <w:r>
        <w:rPr>
          <w:color w:val="auto"/>
        </w:rPr>
        <w:t>39</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_Toc3275 </w:instrText>
      </w:r>
      <w:r>
        <w:rPr>
          <w:color w:val="auto"/>
        </w:rPr>
        <w:fldChar w:fldCharType="separate"/>
      </w:r>
      <w:r>
        <w:rPr>
          <w:rFonts w:ascii="Times New Roman" w:hAnsi="Times New Roman" w:eastAsia="宋体" w:cs="Times New Roman"/>
          <w:bCs/>
          <w:color w:val="auto"/>
          <w:kern w:val="2"/>
          <w:szCs w:val="28"/>
          <w:lang w:val="en-US" w:eastAsia="zh-CN" w:bidi="ar-SA"/>
        </w:rPr>
        <w:t>5.1施工期生态保护措施</w:t>
      </w:r>
      <w:r>
        <w:rPr>
          <w:color w:val="auto"/>
        </w:rPr>
        <w:tab/>
      </w:r>
      <w:r>
        <w:rPr>
          <w:color w:val="auto"/>
        </w:rPr>
        <w:fldChar w:fldCharType="begin"/>
      </w:r>
      <w:r>
        <w:rPr>
          <w:color w:val="auto"/>
        </w:rPr>
        <w:instrText xml:space="preserve"> PAGEREF _Toc3275 \h </w:instrText>
      </w:r>
      <w:r>
        <w:rPr>
          <w:color w:val="auto"/>
        </w:rPr>
        <w:fldChar w:fldCharType="separate"/>
      </w:r>
      <w:r>
        <w:rPr>
          <w:color w:val="auto"/>
        </w:rPr>
        <w:t>39</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_Toc23134 </w:instrText>
      </w:r>
      <w:r>
        <w:rPr>
          <w:color w:val="auto"/>
        </w:rPr>
        <w:fldChar w:fldCharType="separate"/>
      </w:r>
      <w:r>
        <w:rPr>
          <w:rFonts w:ascii="Times New Roman" w:hAnsi="Times New Roman" w:eastAsia="宋体" w:cs="Times New Roman"/>
          <w:bCs/>
          <w:color w:val="auto"/>
          <w:kern w:val="2"/>
          <w:szCs w:val="28"/>
          <w:lang w:val="en-US" w:eastAsia="zh-CN" w:bidi="ar-SA"/>
        </w:rPr>
        <w:t>5.2营运期生态保护措施</w:t>
      </w:r>
      <w:r>
        <w:rPr>
          <w:color w:val="auto"/>
        </w:rPr>
        <w:tab/>
      </w:r>
      <w:r>
        <w:rPr>
          <w:color w:val="auto"/>
        </w:rPr>
        <w:fldChar w:fldCharType="begin"/>
      </w:r>
      <w:r>
        <w:rPr>
          <w:color w:val="auto"/>
        </w:rPr>
        <w:instrText xml:space="preserve"> PAGEREF _Toc23134 \h </w:instrText>
      </w:r>
      <w:r>
        <w:rPr>
          <w:color w:val="auto"/>
        </w:rPr>
        <w:fldChar w:fldCharType="separate"/>
      </w:r>
      <w:r>
        <w:rPr>
          <w:color w:val="auto"/>
        </w:rPr>
        <w:t>41</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_Toc10105 </w:instrText>
      </w:r>
      <w:r>
        <w:rPr>
          <w:color w:val="auto"/>
        </w:rPr>
        <w:fldChar w:fldCharType="separate"/>
      </w:r>
      <w:r>
        <w:rPr>
          <w:rFonts w:ascii="Times New Roman" w:hAnsi="Times New Roman" w:eastAsia="宋体" w:cs="Times New Roman"/>
          <w:snapToGrid w:val="0"/>
          <w:color w:val="auto"/>
          <w:kern w:val="0"/>
          <w:szCs w:val="30"/>
          <w:lang w:val="en-US" w:eastAsia="zh-CN" w:bidi="ar-SA"/>
        </w:rPr>
        <w:t>6评价结论和建议</w:t>
      </w:r>
      <w:r>
        <w:rPr>
          <w:color w:val="auto"/>
        </w:rPr>
        <w:tab/>
      </w:r>
      <w:r>
        <w:rPr>
          <w:color w:val="auto"/>
        </w:rPr>
        <w:fldChar w:fldCharType="begin"/>
      </w:r>
      <w:r>
        <w:rPr>
          <w:color w:val="auto"/>
        </w:rPr>
        <w:instrText xml:space="preserve"> PAGEREF _Toc10105 \h </w:instrText>
      </w:r>
      <w:r>
        <w:rPr>
          <w:color w:val="auto"/>
        </w:rPr>
        <w:fldChar w:fldCharType="separate"/>
      </w:r>
      <w:r>
        <w:rPr>
          <w:color w:val="auto"/>
        </w:rPr>
        <w:t>42</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_Toc24989 </w:instrText>
      </w:r>
      <w:r>
        <w:rPr>
          <w:color w:val="auto"/>
        </w:rPr>
        <w:fldChar w:fldCharType="separate"/>
      </w:r>
      <w:r>
        <w:rPr>
          <w:rFonts w:ascii="Times New Roman" w:hAnsi="Times New Roman" w:eastAsia="宋体" w:cs="Times New Roman"/>
          <w:bCs/>
          <w:color w:val="auto"/>
          <w:kern w:val="2"/>
          <w:szCs w:val="28"/>
          <w:lang w:val="en-US" w:eastAsia="zh-CN" w:bidi="ar-SA"/>
        </w:rPr>
        <w:t>6.1评价结论</w:t>
      </w:r>
      <w:r>
        <w:rPr>
          <w:color w:val="auto"/>
        </w:rPr>
        <w:tab/>
      </w:r>
      <w:r>
        <w:rPr>
          <w:color w:val="auto"/>
        </w:rPr>
        <w:fldChar w:fldCharType="begin"/>
      </w:r>
      <w:r>
        <w:rPr>
          <w:color w:val="auto"/>
        </w:rPr>
        <w:instrText xml:space="preserve"> PAGEREF _Toc24989 \h </w:instrText>
      </w:r>
      <w:r>
        <w:rPr>
          <w:color w:val="auto"/>
        </w:rPr>
        <w:fldChar w:fldCharType="separate"/>
      </w:r>
      <w:r>
        <w:rPr>
          <w:color w:val="auto"/>
        </w:rPr>
        <w:t>42</w:t>
      </w:r>
      <w:r>
        <w:rPr>
          <w:color w:val="auto"/>
        </w:rPr>
        <w:fldChar w:fldCharType="end"/>
      </w:r>
      <w:r>
        <w:rPr>
          <w:color w:val="auto"/>
        </w:rPr>
        <w:fldChar w:fldCharType="end"/>
      </w:r>
    </w:p>
    <w:p>
      <w:pPr>
        <w:pStyle w:val="19"/>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_Toc17926 </w:instrText>
      </w:r>
      <w:r>
        <w:rPr>
          <w:color w:val="auto"/>
        </w:rPr>
        <w:fldChar w:fldCharType="separate"/>
      </w:r>
      <w:r>
        <w:rPr>
          <w:rFonts w:ascii="Times New Roman" w:hAnsi="Times New Roman" w:eastAsia="宋体" w:cs="Times New Roman"/>
          <w:bCs/>
          <w:color w:val="auto"/>
          <w:kern w:val="2"/>
          <w:szCs w:val="28"/>
          <w:lang w:val="en-US" w:eastAsia="zh-CN" w:bidi="ar-SA"/>
        </w:rPr>
        <w:t>6.2评价建议</w:t>
      </w:r>
      <w:r>
        <w:rPr>
          <w:color w:val="auto"/>
        </w:rPr>
        <w:tab/>
      </w:r>
      <w:r>
        <w:rPr>
          <w:color w:val="auto"/>
        </w:rPr>
        <w:fldChar w:fldCharType="begin"/>
      </w:r>
      <w:r>
        <w:rPr>
          <w:color w:val="auto"/>
        </w:rPr>
        <w:instrText xml:space="preserve"> PAGEREF _Toc17926 \h </w:instrText>
      </w:r>
      <w:r>
        <w:rPr>
          <w:color w:val="auto"/>
        </w:rPr>
        <w:fldChar w:fldCharType="separate"/>
      </w:r>
      <w:r>
        <w:rPr>
          <w:color w:val="auto"/>
        </w:rPr>
        <w:t>42</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_Toc15039 </w:instrText>
      </w:r>
      <w:r>
        <w:rPr>
          <w:color w:val="auto"/>
        </w:rPr>
        <w:fldChar w:fldCharType="separate"/>
      </w:r>
      <w:r>
        <w:rPr>
          <w:rFonts w:ascii="Times New Roman" w:hAnsi="Times New Roman" w:eastAsia="宋体" w:cs="Times New Roman"/>
          <w:snapToGrid w:val="0"/>
          <w:color w:val="auto"/>
          <w:kern w:val="0"/>
          <w:szCs w:val="30"/>
          <w:lang w:val="en-US" w:eastAsia="zh-CN" w:bidi="ar-SA"/>
        </w:rPr>
        <w:t>生态影响评价自查表</w:t>
      </w:r>
      <w:r>
        <w:rPr>
          <w:color w:val="auto"/>
        </w:rPr>
        <w:tab/>
      </w:r>
      <w:r>
        <w:rPr>
          <w:color w:val="auto"/>
        </w:rPr>
        <w:fldChar w:fldCharType="begin"/>
      </w:r>
      <w:r>
        <w:rPr>
          <w:color w:val="auto"/>
        </w:rPr>
        <w:instrText xml:space="preserve"> PAGEREF _Toc15039 \h </w:instrText>
      </w:r>
      <w:r>
        <w:rPr>
          <w:color w:val="auto"/>
        </w:rPr>
        <w:fldChar w:fldCharType="separate"/>
      </w:r>
      <w:r>
        <w:rPr>
          <w:color w:val="auto"/>
        </w:rPr>
        <w:t>43</w:t>
      </w:r>
      <w:r>
        <w:rPr>
          <w:color w:val="auto"/>
        </w:rPr>
        <w:fldChar w:fldCharType="end"/>
      </w:r>
      <w:r>
        <w:rPr>
          <w:color w:val="auto"/>
        </w:rPr>
        <w:fldChar w:fldCharType="end"/>
      </w:r>
    </w:p>
    <w:p>
      <w:pPr>
        <w:rPr>
          <w:b/>
          <w:color w:val="auto"/>
        </w:rPr>
      </w:pPr>
      <w:r>
        <w:rPr>
          <w:color w:val="auto"/>
        </w:rPr>
        <w:fldChar w:fldCharType="end"/>
      </w:r>
    </w:p>
    <w:p>
      <w:pPr>
        <w:rPr>
          <w:b/>
          <w:color w:val="auto"/>
        </w:rPr>
        <w:sectPr>
          <w:headerReference r:id="rId9" w:type="default"/>
          <w:footerReference r:id="rId11" w:type="default"/>
          <w:headerReference r:id="rId10" w:type="even"/>
          <w:pgSz w:w="11907" w:h="16839"/>
          <w:pgMar w:top="1440" w:right="1797" w:bottom="1440" w:left="1797" w:header="851" w:footer="851" w:gutter="0"/>
          <w:pgBorders>
            <w:top w:val="none" w:sz="0" w:space="0"/>
            <w:left w:val="none" w:sz="0" w:space="0"/>
            <w:bottom w:val="none" w:sz="0" w:space="0"/>
            <w:right w:val="none" w:sz="0" w:space="0"/>
          </w:pgBorders>
          <w:pgNumType w:fmt="decimal"/>
          <w:cols w:space="720" w:num="1"/>
          <w:docGrid w:linePitch="326" w:charSpace="0"/>
        </w:sectPr>
      </w:pPr>
    </w:p>
    <w:p>
      <w:pPr>
        <w:widowControl/>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lang w:val="en-US" w:eastAsia="zh-CN" w:bidi="ar-SA"/>
        </w:rPr>
      </w:pPr>
      <w:bookmarkStart w:id="115" w:name="_Toc1145"/>
      <w:bookmarkStart w:id="116" w:name="_Toc29359"/>
      <w:bookmarkStart w:id="117" w:name="_Toc27280"/>
      <w:bookmarkStart w:id="118" w:name="_Toc24516"/>
      <w:bookmarkStart w:id="119" w:name="_Toc20133"/>
      <w:bookmarkStart w:id="120" w:name="_Toc24724"/>
      <w:r>
        <w:rPr>
          <w:rFonts w:ascii="Times New Roman" w:hAnsi="Times New Roman" w:eastAsia="宋体" w:cs="Times New Roman"/>
          <w:b/>
          <w:snapToGrid w:val="0"/>
          <w:color w:val="auto"/>
          <w:kern w:val="0"/>
          <w:sz w:val="30"/>
          <w:szCs w:val="30"/>
          <w:lang w:val="en-US" w:eastAsia="zh-CN" w:bidi="ar-SA"/>
        </w:rPr>
        <w:t>1总则</w:t>
      </w:r>
      <w:bookmarkEnd w:id="115"/>
      <w:bookmarkEnd w:id="116"/>
      <w:bookmarkEnd w:id="117"/>
      <w:bookmarkEnd w:id="118"/>
      <w:bookmarkEnd w:id="119"/>
      <w:bookmarkEnd w:id="120"/>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121" w:name="_Toc11368"/>
      <w:bookmarkStart w:id="122" w:name="_Toc17584"/>
      <w:bookmarkStart w:id="123" w:name="_Toc9418"/>
      <w:bookmarkStart w:id="124" w:name="_Toc22364"/>
      <w:bookmarkStart w:id="125" w:name="_Toc25514"/>
      <w:bookmarkStart w:id="126" w:name="_Toc9323"/>
      <w:bookmarkStart w:id="127" w:name="_Toc22458"/>
      <w:bookmarkStart w:id="128" w:name="_Toc1053"/>
      <w:bookmarkStart w:id="129" w:name="_Toc18677"/>
      <w:r>
        <w:rPr>
          <w:rFonts w:ascii="Times New Roman" w:hAnsi="Times New Roman" w:eastAsia="宋体" w:cs="Times New Roman"/>
          <w:b/>
          <w:bCs/>
          <w:color w:val="auto"/>
          <w:kern w:val="2"/>
          <w:sz w:val="28"/>
          <w:szCs w:val="28"/>
          <w:lang w:val="en-US" w:eastAsia="zh-CN" w:bidi="ar-SA"/>
        </w:rPr>
        <w:t>1.1项目由来</w:t>
      </w:r>
      <w:bookmarkEnd w:id="121"/>
      <w:bookmarkEnd w:id="122"/>
      <w:bookmarkEnd w:id="123"/>
      <w:bookmarkEnd w:id="124"/>
      <w:bookmarkEnd w:id="125"/>
      <w:bookmarkEnd w:id="126"/>
      <w:bookmarkEnd w:id="127"/>
      <w:bookmarkEnd w:id="128"/>
      <w:bookmarkEnd w:id="129"/>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2024年7月5日下午，团洲乡团北村团洲垸洞庭湖一线堤防发生堤坝决口，团洲垸92.5%的面积被淹，平均水深约5m，遭受了严重的洪涝灾害，对农业生产造成了严重影响。此次灾害是由于持续强降雨和长江水位暴涨导致的，降雨量大幅超出往年同期，致使多个堤防和河道水位超过警戒线。团洲乡地处平原，地势低洼，水流排泄不畅，导致全乡多个村庄遭受了洪水袭击，形成大面积积水。</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团洲乡大面积农田被洪水浸泡，水稻、玉米、大豆等农作物几乎绝收，农业生产受到严重打击；部分村庄的房屋被洪水侵入，泥石流和积水导致墙体倒塌或基础损坏，部分居民不得不转移至安全地点；多条乡村道路因洪水被冲毁或严重积水，交通受阻，物资运输和救援工作难以展开；供水、电力等基础设施受到破坏，部分村庄出现停水停电的情况，生活生产受到极大影响，部分村民被迫撤离，安置点紧急搭建，提供基本生活保障；此次洪涝灾害给团洲乡带来了巨大的经济损失，农业生产和居民生活均受到严重冲击，后续需要大规模的灾后重建工作。</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在收到上级批复后，华容县迅速组织了前期研究、选址、规划等工作。项目的选址考虑了洪水灾害的影响因素，确保新建安置房地势较高，避开低洼易涝区域。同时，相关配套基础设施的规划设计也已经完成，包括供水、排水、电力、消防和道路系统，确保新建安置点具备良好的居住和生活条件。团洲垸此次洪涝灾害波及范围广、影响深远，造成了大面积农田绝收、基础设施损毁和居民房屋倒塌。受灾居民被迫转移，生活受到严重影响。为尽快恢复正常生产生活秩序，华容县政府决定启动团洲垸灾后重建安置房建设项目。</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即为团洲垸灾后重建安置房建设项目工程，因项目位于湖南东洞庭湖国家级自然保护区实验区范围内，根据《建设项目环境影响报告表编制技术指南（生态影响类）》表1专项评价设置原则表，本次评价设置生态专项评价。</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130" w:name="_Toc3286"/>
      <w:bookmarkStart w:id="131" w:name="_Toc23283"/>
      <w:bookmarkStart w:id="132" w:name="_Toc7748"/>
      <w:bookmarkStart w:id="133" w:name="_Toc3932"/>
      <w:bookmarkStart w:id="134" w:name="_Toc32473"/>
      <w:bookmarkStart w:id="135" w:name="_Toc22516"/>
      <w:bookmarkStart w:id="136" w:name="_Toc28784"/>
      <w:bookmarkStart w:id="137" w:name="_Toc25528"/>
      <w:bookmarkStart w:id="138" w:name="_Toc11539"/>
      <w:r>
        <w:rPr>
          <w:rFonts w:ascii="Times New Roman" w:hAnsi="Times New Roman" w:eastAsia="宋体" w:cs="Times New Roman"/>
          <w:b/>
          <w:bCs/>
          <w:color w:val="auto"/>
          <w:kern w:val="2"/>
          <w:sz w:val="28"/>
          <w:szCs w:val="28"/>
          <w:lang w:val="en-US" w:eastAsia="zh-CN" w:bidi="ar-SA"/>
        </w:rPr>
        <w:t>1.2评价目的和评价原则</w:t>
      </w:r>
      <w:bookmarkEnd w:id="130"/>
      <w:bookmarkEnd w:id="131"/>
      <w:bookmarkEnd w:id="132"/>
      <w:bookmarkEnd w:id="133"/>
      <w:bookmarkEnd w:id="134"/>
      <w:bookmarkEnd w:id="135"/>
      <w:bookmarkEnd w:id="136"/>
      <w:bookmarkEnd w:id="137"/>
      <w:bookmarkEnd w:id="138"/>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以保护优先、适度开发为基本原则，认真落实科学发展观，通过对评价区以及周围生态环境的调查，并对项目周围生态环境和对景区直接或间接影响进行分析和预测，论证生态措施可行性，并提出可操作的环境减缓生态保护对策，以达到经济开发与自然保护双赢的目标。</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139" w:name="_Toc19207"/>
      <w:bookmarkStart w:id="140" w:name="_Toc1454"/>
      <w:bookmarkStart w:id="141" w:name="_Toc30149"/>
      <w:bookmarkStart w:id="142" w:name="_Toc3301"/>
      <w:bookmarkStart w:id="143" w:name="_Toc3344"/>
      <w:bookmarkStart w:id="144" w:name="_Toc7949"/>
      <w:bookmarkStart w:id="145" w:name="_Toc661"/>
      <w:bookmarkStart w:id="146" w:name="_Toc15346"/>
      <w:bookmarkStart w:id="147" w:name="_Toc14659"/>
      <w:r>
        <w:rPr>
          <w:rFonts w:ascii="Times New Roman" w:hAnsi="Times New Roman" w:eastAsia="宋体" w:cs="Times New Roman"/>
          <w:b/>
          <w:bCs/>
          <w:color w:val="auto"/>
          <w:kern w:val="2"/>
          <w:sz w:val="28"/>
          <w:szCs w:val="28"/>
          <w:lang w:val="en-US" w:eastAsia="zh-CN" w:bidi="ar-SA"/>
        </w:rPr>
        <w:t>1.3工作原则</w:t>
      </w:r>
      <w:bookmarkEnd w:id="139"/>
      <w:bookmarkEnd w:id="140"/>
      <w:bookmarkEnd w:id="141"/>
      <w:bookmarkEnd w:id="142"/>
      <w:bookmarkEnd w:id="143"/>
      <w:bookmarkEnd w:id="144"/>
      <w:bookmarkEnd w:id="145"/>
      <w:bookmarkEnd w:id="146"/>
      <w:bookmarkEnd w:id="147"/>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1、在构建社会主义和谐社会的重大战略思想指导下，以保护优先、适度开发为原则，落实科学发展观；</w:t>
      </w:r>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2、紧密结合《全国生态保护纲要》、《环境影响评价技术导则 生态环境》（HJ19-2022）；</w:t>
      </w:r>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3、优先保护生物多样性，以实现保护生态环境、保护珍稀物种；</w:t>
      </w:r>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4、突出生态保护与补偿措施的科学性与可操作性；</w:t>
      </w:r>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5、尽量利用现有资料，全面评估本项目对周围生态环境的影响。</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148" w:name="_Toc11166"/>
      <w:bookmarkStart w:id="149" w:name="_Toc19468"/>
      <w:bookmarkStart w:id="150" w:name="_Toc28586"/>
      <w:bookmarkStart w:id="151" w:name="_Toc12498"/>
      <w:bookmarkStart w:id="152" w:name="_Toc18759"/>
      <w:bookmarkStart w:id="153" w:name="_Toc28367"/>
      <w:bookmarkStart w:id="154" w:name="_Toc31091"/>
      <w:bookmarkStart w:id="155" w:name="_Toc23370"/>
      <w:bookmarkStart w:id="156" w:name="_Toc30233"/>
      <w:r>
        <w:rPr>
          <w:rFonts w:ascii="Times New Roman" w:hAnsi="Times New Roman" w:eastAsia="宋体" w:cs="Times New Roman"/>
          <w:b/>
          <w:bCs/>
          <w:color w:val="auto"/>
          <w:kern w:val="2"/>
          <w:sz w:val="28"/>
          <w:szCs w:val="28"/>
          <w:lang w:val="en-US" w:eastAsia="zh-CN" w:bidi="ar-SA"/>
        </w:rPr>
        <w:t>1.4评价依据</w:t>
      </w:r>
      <w:bookmarkEnd w:id="148"/>
      <w:bookmarkEnd w:id="149"/>
      <w:bookmarkEnd w:id="150"/>
      <w:bookmarkEnd w:id="151"/>
      <w:bookmarkEnd w:id="152"/>
      <w:bookmarkEnd w:id="153"/>
      <w:bookmarkEnd w:id="154"/>
      <w:bookmarkEnd w:id="155"/>
      <w:bookmarkEnd w:id="156"/>
    </w:p>
    <w:p>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lang w:val="en-US" w:eastAsia="zh-CN" w:bidi="ar-SA"/>
        </w:rPr>
      </w:pPr>
      <w:bookmarkStart w:id="157" w:name="_Toc32608"/>
      <w:bookmarkStart w:id="158" w:name="_Toc17857"/>
      <w:bookmarkStart w:id="159" w:name="_Toc23780"/>
      <w:bookmarkStart w:id="160" w:name="_Toc27122"/>
      <w:bookmarkStart w:id="161" w:name="_Toc2649"/>
      <w:bookmarkStart w:id="162" w:name="_Toc12619"/>
      <w:r>
        <w:rPr>
          <w:rFonts w:ascii="Times New Roman" w:hAnsi="Times New Roman" w:eastAsia="宋体" w:cs="Times New Roman"/>
          <w:b/>
          <w:color w:val="auto"/>
          <w:kern w:val="2"/>
          <w:sz w:val="24"/>
          <w:szCs w:val="24"/>
          <w:lang w:val="en-US" w:eastAsia="zh-CN" w:bidi="ar-SA"/>
        </w:rPr>
        <w:t>1.4.1</w:t>
      </w:r>
      <w:bookmarkEnd w:id="157"/>
      <w:bookmarkEnd w:id="158"/>
      <w:bookmarkEnd w:id="159"/>
      <w:bookmarkEnd w:id="160"/>
      <w:bookmarkEnd w:id="161"/>
      <w:bookmarkEnd w:id="162"/>
      <w:r>
        <w:rPr>
          <w:rFonts w:hint="eastAsia" w:ascii="Times New Roman" w:hAnsi="Times New Roman" w:eastAsia="宋体" w:cs="Times New Roman"/>
          <w:b/>
          <w:color w:val="auto"/>
          <w:kern w:val="2"/>
          <w:sz w:val="24"/>
          <w:szCs w:val="24"/>
          <w:lang w:val="en-US" w:eastAsia="zh-CN" w:bidi="ar-SA"/>
        </w:rPr>
        <w:t>法律、法规文件</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（1）《中华人民共和国环境保护法》（2015年1月1日起施行）；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（2）《中华人民共和国环境影响评价法》（2018年12月29日修正）；</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（3）《中华人民共和国水污染防治法》（2018年1月1日起施行）；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（4）《中华人民共和国大气污染防治法》（2018年10月26日修正）；</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（5）《中华人民共和国环境噪声污染防治法》（2022年6月5日修改）；</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（6）</w:t>
      </w:r>
      <w:r>
        <w:rPr>
          <w:rFonts w:hint="default" w:ascii="Times New Roman" w:hAnsi="Times New Roman" w:eastAsia="宋体" w:cs="Times New Roman"/>
          <w:color w:val="auto"/>
          <w:spacing w:val="-6"/>
          <w:sz w:val="24"/>
          <w:szCs w:val="24"/>
        </w:rPr>
        <w:t>《中华人民共和国固体废物污染环境防治法》（2020年9月1日起施行）；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（7）《中华人民共和国野生动物保护法》（2018年10月26日修改）；</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（8）《中华人民共和国森林法》（2020年7月1日起施行）；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（9）《中华人民共和国土地管理法》（2020年1月1日起施行）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（10）《中华人民共和国水土保持法》（2010年12月25日修订）；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（11）《中华人民共和国野生植物保护条例》（2017年10月7日修改）；</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（12）《中华人民共和国陆生野生动物保护实施条例》（2016年2月6日</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（13）《中华人民共和国森林法实施条例》（2018年3月19日起实施）；</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（14）《建设项目环境保护管理条例》（2017年10月1日起施行）；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（15）《湖南省环境保护条例》（2019年9月28日修订）；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（16）《湖南省野生动植物资源保护条例》（2018年7月19日修正）；</w:t>
      </w:r>
    </w:p>
    <w:p>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lang w:val="en-US" w:eastAsia="zh-CN" w:bidi="ar-SA"/>
        </w:rPr>
      </w:pPr>
      <w:r>
        <w:rPr>
          <w:rFonts w:ascii="Times New Roman" w:hAnsi="Times New Roman" w:eastAsia="宋体" w:cs="Times New Roman"/>
          <w:b/>
          <w:color w:val="auto"/>
          <w:kern w:val="2"/>
          <w:sz w:val="24"/>
          <w:szCs w:val="24"/>
          <w:lang w:val="en-US" w:eastAsia="zh-CN" w:bidi="ar-SA"/>
        </w:rPr>
        <w:t>1.4.</w:t>
      </w:r>
      <w:r>
        <w:rPr>
          <w:rFonts w:hint="eastAsia" w:ascii="Times New Roman" w:hAnsi="Times New Roman" w:eastAsia="宋体" w:cs="Times New Roman"/>
          <w:b/>
          <w:color w:val="auto"/>
          <w:kern w:val="2"/>
          <w:sz w:val="24"/>
          <w:szCs w:val="24"/>
          <w:lang w:val="en-US" w:eastAsia="zh-CN" w:bidi="ar-SA"/>
        </w:rPr>
        <w:t>2规章、规范性文件</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（1）《建设项目使用林地审核审批管理办法》（国家林业局令35号，2015年5月1日实施）；</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）《关于进一步加强生态保护工作的意见》（环发〔2007〕37号）；</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pacing w:val="-6"/>
          <w:sz w:val="24"/>
          <w:szCs w:val="24"/>
        </w:rPr>
        <w:t>（关于进一步加强建设项目环境保护管理工作的通知）（环发[2001]19号）；</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）《湖南省生态保护红线划定工作方案》（湘环发〔2016〕9号）；</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）《湖南省建设项目环境保护管理办法》（2007年10月1日起施行）；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pacing w:val="-6"/>
          <w:sz w:val="24"/>
          <w:szCs w:val="24"/>
        </w:rPr>
        <w:t>《湖南省实施〈中华人民共和国水土保持法〉办法》（2018年7月修订）；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cs="Times New Roman"/>
          <w:color w:val="auto"/>
          <w:sz w:val="24"/>
          <w:szCs w:val="24"/>
          <w:lang w:eastAsia="zh-CN"/>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）《湖南省古树名木保护办法》（2022年3月12日施行）</w:t>
      </w:r>
      <w:r>
        <w:rPr>
          <w:rFonts w:hint="eastAsia" w:cs="Times New Roman"/>
          <w:color w:val="auto"/>
          <w:sz w:val="24"/>
          <w:szCs w:val="24"/>
          <w:lang w:eastAsia="zh-CN"/>
        </w:rPr>
        <w:t>；</w:t>
      </w:r>
    </w:p>
    <w:p>
      <w:pPr>
        <w:widowControl w:val="0"/>
        <w:adjustRightInd w:val="0"/>
        <w:snapToGrid w:val="0"/>
        <w:spacing w:line="360" w:lineRule="auto"/>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（8）</w:t>
      </w:r>
      <w:r>
        <w:rPr>
          <w:rFonts w:ascii="Times New Roman" w:hAnsi="Times New Roman" w:eastAsia="宋体" w:cs="Times New Roman"/>
          <w:color w:val="auto"/>
          <w:kern w:val="2"/>
          <w:sz w:val="24"/>
          <w:szCs w:val="24"/>
          <w:lang w:val="en-US" w:eastAsia="zh-CN" w:bidi="ar-SA"/>
        </w:rPr>
        <w:t>《国家重点保护野生动物名录》</w:t>
      </w:r>
      <w:r>
        <w:rPr>
          <w:rFonts w:hint="eastAsia" w:ascii="Times New Roman" w:hAnsi="Times New Roman" w:eastAsia="宋体" w:cs="Times New Roman"/>
          <w:color w:val="auto"/>
          <w:kern w:val="2"/>
          <w:sz w:val="24"/>
          <w:szCs w:val="24"/>
          <w:lang w:val="en-US" w:eastAsia="zh-CN" w:bidi="ar-SA"/>
        </w:rPr>
        <w:t>，</w:t>
      </w:r>
      <w:r>
        <w:rPr>
          <w:rFonts w:ascii="Times New Roman" w:hAnsi="Times New Roman" w:eastAsia="宋体" w:cs="Times New Roman"/>
          <w:color w:val="auto"/>
          <w:kern w:val="2"/>
          <w:sz w:val="24"/>
          <w:szCs w:val="24"/>
          <w:lang w:val="en-US" w:eastAsia="zh-CN" w:bidi="ar-SA"/>
        </w:rPr>
        <w:t>2021年2月11日施行</w:t>
      </w:r>
      <w:r>
        <w:rPr>
          <w:rFonts w:hint="eastAsia" w:ascii="Times New Roman" w:hAnsi="Times New Roman" w:eastAsia="宋体" w:cs="Times New Roman"/>
          <w:color w:val="auto"/>
          <w:kern w:val="2"/>
          <w:sz w:val="24"/>
          <w:szCs w:val="24"/>
          <w:lang w:val="en-US" w:eastAsia="zh-CN" w:bidi="ar-SA"/>
        </w:rPr>
        <w:t>；</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1.</w:t>
      </w:r>
      <w:r>
        <w:rPr>
          <w:rFonts w:hint="eastAsia" w:ascii="Times New Roman" w:hAnsi="Times New Roman" w:eastAsia="宋体" w:cs="Times New Roman"/>
          <w:b/>
          <w:color w:val="auto"/>
          <w:kern w:val="2"/>
          <w:sz w:val="24"/>
          <w:szCs w:val="24"/>
          <w:lang w:val="en-US" w:eastAsia="zh-CN" w:bidi="ar-SA"/>
        </w:rPr>
        <w:t>4</w:t>
      </w:r>
      <w:r>
        <w:rPr>
          <w:rFonts w:hint="default" w:ascii="Times New Roman" w:hAnsi="Times New Roman" w:eastAsia="宋体" w:cs="Times New Roman"/>
          <w:b/>
          <w:color w:val="auto"/>
          <w:kern w:val="2"/>
          <w:sz w:val="24"/>
          <w:szCs w:val="24"/>
          <w:lang w:val="en-US" w:eastAsia="zh-CN" w:bidi="ar-SA"/>
        </w:rPr>
        <w:t>.3区划、规划</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（1）《全国生态环境保护纲要》（国务院2000年11月26日）；</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（2）《全国生态功能区划》（修编）（2015年11月）；</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（3）《全国生态脆弱区保护规划纲要》（2008年9月）</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（4）《全国主体功能区规划》（国发〔2010〕46号）；</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（5）《中国生物多样性保护战略与行动计划》（2011~2030年）；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）《湖南省主体功能区规划》（2012年11月17日）；</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）《湖南省生态功能区划》（2005年11月）；</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1.</w:t>
      </w:r>
      <w:r>
        <w:rPr>
          <w:rFonts w:hint="eastAsia" w:ascii="Times New Roman" w:hAnsi="Times New Roman" w:eastAsia="宋体" w:cs="Times New Roman"/>
          <w:b/>
          <w:color w:val="auto"/>
          <w:kern w:val="2"/>
          <w:sz w:val="24"/>
          <w:szCs w:val="24"/>
          <w:lang w:val="en-US" w:eastAsia="zh-CN" w:bidi="ar-SA"/>
        </w:rPr>
        <w:t>4</w:t>
      </w:r>
      <w:r>
        <w:rPr>
          <w:rFonts w:hint="default" w:ascii="Times New Roman" w:hAnsi="Times New Roman" w:eastAsia="宋体" w:cs="Times New Roman"/>
          <w:b/>
          <w:color w:val="auto"/>
          <w:kern w:val="2"/>
          <w:sz w:val="24"/>
          <w:szCs w:val="24"/>
          <w:lang w:val="en-US" w:eastAsia="zh-CN" w:bidi="ar-SA"/>
        </w:rPr>
        <w:t>.</w:t>
      </w:r>
      <w:r>
        <w:rPr>
          <w:rFonts w:hint="eastAsia" w:ascii="Times New Roman" w:hAnsi="Times New Roman" w:eastAsia="宋体" w:cs="Times New Roman"/>
          <w:b/>
          <w:color w:val="auto"/>
          <w:kern w:val="2"/>
          <w:sz w:val="24"/>
          <w:szCs w:val="24"/>
          <w:lang w:val="en-US" w:eastAsia="zh-CN" w:bidi="ar-SA"/>
        </w:rPr>
        <w:t>4导则、标准、技术规范</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（1）《建设项目环境影响评价技术导则</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总纲》（HJ2.1-2016）；</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（2）《环境影响评价技术导则</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生态影响》（HJ19-2022）；</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eastAsia="宋体" w:cs="Times New Roman"/>
          <w:color w:val="auto"/>
          <w:sz w:val="24"/>
          <w:szCs w:val="24"/>
          <w:lang w:val="en-US" w:eastAsia="zh-CN"/>
        </w:rPr>
        <w:t>3</w:t>
      </w:r>
      <w:r>
        <w:rPr>
          <w:rFonts w:hint="default" w:ascii="Times New Roman" w:hAnsi="Times New Roman" w:eastAsia="宋体" w:cs="Times New Roman"/>
          <w:color w:val="auto"/>
          <w:sz w:val="24"/>
          <w:szCs w:val="24"/>
        </w:rPr>
        <w:t>）《土地利用现状分类》（GB/T21010-2017）；</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eastAsia="宋体" w:cs="Times New Roman"/>
          <w:color w:val="auto"/>
          <w:sz w:val="24"/>
          <w:szCs w:val="24"/>
          <w:lang w:val="en-US" w:eastAsia="zh-CN"/>
        </w:rPr>
        <w:t>4</w:t>
      </w:r>
      <w:r>
        <w:rPr>
          <w:rFonts w:hint="default" w:ascii="Times New Roman" w:hAnsi="Times New Roman" w:eastAsia="宋体" w:cs="Times New Roman"/>
          <w:color w:val="auto"/>
          <w:sz w:val="24"/>
          <w:szCs w:val="24"/>
        </w:rPr>
        <w:t>）《生态环境状况评价技术规范》（HJ192-2015）；</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eastAsia="宋体" w:cs="Times New Roman"/>
          <w:color w:val="auto"/>
          <w:sz w:val="24"/>
          <w:szCs w:val="24"/>
          <w:lang w:val="en-US" w:eastAsia="zh-CN"/>
        </w:rPr>
        <w:t>5</w:t>
      </w:r>
      <w:r>
        <w:rPr>
          <w:rFonts w:hint="default" w:ascii="Times New Roman" w:hAnsi="Times New Roman" w:eastAsia="宋体" w:cs="Times New Roman"/>
          <w:color w:val="auto"/>
          <w:sz w:val="24"/>
          <w:szCs w:val="24"/>
        </w:rPr>
        <w:t>）《全国植物物种资源调查技术规定（试行）》（公告2010年第27号）；</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eastAsia="宋体" w:cs="Times New Roman"/>
          <w:color w:val="auto"/>
          <w:sz w:val="24"/>
          <w:szCs w:val="24"/>
          <w:lang w:val="en-US" w:eastAsia="zh-CN"/>
        </w:rPr>
        <w:t>6</w:t>
      </w:r>
      <w:r>
        <w:rPr>
          <w:rFonts w:hint="default" w:ascii="Times New Roman" w:hAnsi="Times New Roman" w:eastAsia="宋体" w:cs="Times New Roman"/>
          <w:color w:val="auto"/>
          <w:sz w:val="24"/>
          <w:szCs w:val="24"/>
        </w:rPr>
        <w:t>）《全国动物物种资源调查技术规定（试行）》（公告2010年第27号）；</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1.4.5相关技术材料</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华容县团洲垸灾后重建安置房建设项目可行性研究报告</w:t>
      </w:r>
      <w:r>
        <w:rPr>
          <w:rFonts w:hint="default"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）华容县发展和改革局“关于同意变更华容县团洲垸灾后重建安置房建设项目可行性研究报告的批复”</w:t>
      </w:r>
      <w:r>
        <w:rPr>
          <w:rFonts w:hint="default"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项目建设单位提供的其他相关资料。</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1.</w:t>
      </w:r>
      <w:r>
        <w:rPr>
          <w:rFonts w:hint="eastAsia" w:ascii="Times New Roman" w:hAnsi="Times New Roman" w:eastAsia="宋体" w:cs="Times New Roman"/>
          <w:b/>
          <w:color w:val="auto"/>
          <w:kern w:val="2"/>
          <w:sz w:val="24"/>
          <w:szCs w:val="24"/>
          <w:lang w:val="en-US" w:eastAsia="zh-CN" w:bidi="ar-SA"/>
        </w:rPr>
        <w:t>4</w:t>
      </w:r>
      <w:r>
        <w:rPr>
          <w:rFonts w:hint="default" w:ascii="Times New Roman" w:hAnsi="Times New Roman" w:eastAsia="宋体" w:cs="Times New Roman"/>
          <w:b/>
          <w:color w:val="auto"/>
          <w:kern w:val="2"/>
          <w:sz w:val="24"/>
          <w:szCs w:val="24"/>
          <w:lang w:val="en-US" w:eastAsia="zh-CN" w:bidi="ar-SA"/>
        </w:rPr>
        <w:t>.6参考资料</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（1）《中国植被》（科学出版社，1980年）；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（2）《中国植物志》（科学出版社，1959-2004年）；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（3）《中国高等植物图鉴》（科学出版社，1972-1983年）；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（4）《中国动物地理区划》（科学出版社，2011年）；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（5）《中国动物志》（两栖纲、爬行纲、鸟纲、哺乳纲）（科学出版社，1978-2009年）；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（6）《中国两栖动物图鉴》（费梁，1999年）；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（7）《中国两栖纲和爬行纲动物校正名录》（赵尔宓，张学文等，2000年）；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（8）《中国爬行动物图鉴》（中国野生动物保护协会，2002年）；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（9）《中国鸟类图鉴》（中国野生动物保护协会，1995年）；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（10）《中国鸟类分类与分布名录（第二版）》（科学出版社，2011年）；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（11）《中国兽类野外手册》（湖南教育出版社，2009年）；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（12）《中国哺乳动物种和亚种分类名录与分布大全》（中国林业出版社，2003年）；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（13）《中国珍稀濒危保护植物名录（第一册）》（1987年2月）；</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（14）《中国濒危珍惜动物名录》（2010年10月15日）；</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（15）《国家重点保护野生植物名录》（2021年8月7日施行）；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（16）《国家重点保护野生动物名录》（2021年2月5日修订）。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（17）《湖南省地方重点保护野生动物名录》（2002年9月修订）；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（18）《湖南省地方重点保护野生植物名录》（2002年9月修订）；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（19）《湖南植被》（湖南科学技术出版社，1990年）；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（20）《湖南植物志》（湖南科学技术出版社，2000年）；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（21）《湖南树木志》（湖南科技出版社，2000年）；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（22）《湖南种子植物总览》（湖南科学技术出版，2002年）；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（23）《湖南动物志·两栖纲》（湖南科学技术出版社，2014年）；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（24）《湖南动物志·爬行纲》（湖南科学技术出版社，2014年）；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（25）《湖南动物志·鸟纲雀形目》（湖南科学技术出版社，2013年）；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（26）《湖南省野生动物资源概况》（张启湘，易伐桂，1996年）；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（27）《湖南省爬行动物区系与地理区划》（邓学建，叶贻云，1998年）；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（28）《湖南省生物多样性调查和评价研究报告》（长沙环境保护职业技术学院，2010年1月）；</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（29）《湖南省鸟类迁徙通道示意图》（邓学建）；</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（30）《我国森林植被的生物量和净生产量》（方精云，刘国华，徐蒿龄，1996年）。</w:t>
      </w:r>
    </w:p>
    <w:p>
      <w:pPr>
        <w:keepNext/>
        <w:widowControl w:val="0"/>
        <w:adjustRightInd w:val="0"/>
        <w:snapToGrid w:val="0"/>
        <w:spacing w:line="360" w:lineRule="auto"/>
        <w:ind w:firstLine="0" w:firstLineChars="0"/>
        <w:jc w:val="both"/>
        <w:outlineLvl w:val="1"/>
        <w:rPr>
          <w:rFonts w:ascii="Times New Roman" w:hAnsi="Times New Roman" w:eastAsia="宋体" w:cs="Times New Roman"/>
          <w:b/>
          <w:color w:val="auto"/>
          <w:kern w:val="2"/>
          <w:sz w:val="24"/>
          <w:szCs w:val="28"/>
          <w:lang w:val="en-US" w:eastAsia="zh-CN" w:bidi="ar-SA"/>
        </w:rPr>
      </w:pPr>
      <w:bookmarkStart w:id="163" w:name="_Toc28262"/>
      <w:bookmarkStart w:id="164" w:name="_Toc25138"/>
      <w:bookmarkStart w:id="165" w:name="_Toc1968"/>
      <w:bookmarkStart w:id="166" w:name="_Toc2781"/>
      <w:bookmarkStart w:id="167" w:name="_Toc21178"/>
      <w:bookmarkStart w:id="168" w:name="_Toc7522"/>
      <w:bookmarkStart w:id="169" w:name="_Toc25026"/>
      <w:bookmarkStart w:id="170" w:name="_Toc31579"/>
      <w:bookmarkStart w:id="171" w:name="_Toc18847"/>
      <w:bookmarkStart w:id="172" w:name="_Toc29023"/>
      <w:bookmarkStart w:id="173" w:name="_Toc5241"/>
      <w:r>
        <w:rPr>
          <w:rFonts w:ascii="Times New Roman" w:hAnsi="Times New Roman" w:eastAsia="宋体" w:cs="Times New Roman"/>
          <w:b/>
          <w:bCs/>
          <w:color w:val="auto"/>
          <w:kern w:val="2"/>
          <w:sz w:val="28"/>
          <w:szCs w:val="28"/>
          <w:lang w:val="en-US" w:eastAsia="zh-CN" w:bidi="ar-SA"/>
        </w:rPr>
        <w:t>1.5生态环境评价工作等级及范围</w:t>
      </w:r>
      <w:bookmarkEnd w:id="163"/>
      <w:bookmarkEnd w:id="164"/>
      <w:bookmarkEnd w:id="165"/>
      <w:bookmarkEnd w:id="166"/>
      <w:bookmarkEnd w:id="167"/>
      <w:bookmarkEnd w:id="168"/>
      <w:bookmarkEnd w:id="169"/>
      <w:bookmarkEnd w:id="170"/>
      <w:bookmarkEnd w:id="171"/>
      <w:bookmarkEnd w:id="172"/>
      <w:bookmarkEnd w:id="173"/>
    </w:p>
    <w:p>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lang w:val="en-US" w:eastAsia="zh-CN" w:bidi="ar-SA"/>
        </w:rPr>
      </w:pPr>
      <w:bookmarkStart w:id="174" w:name="_Toc22349"/>
      <w:bookmarkStart w:id="175" w:name="_Toc5193"/>
      <w:bookmarkStart w:id="176" w:name="_Toc19091"/>
      <w:bookmarkStart w:id="177" w:name="_Toc18529"/>
      <w:bookmarkStart w:id="178" w:name="_Toc27738"/>
      <w:bookmarkStart w:id="179" w:name="_Toc27312"/>
      <w:bookmarkStart w:id="180" w:name="_Toc6365"/>
      <w:bookmarkStart w:id="181" w:name="_Toc30661"/>
      <w:r>
        <w:rPr>
          <w:rFonts w:ascii="Times New Roman" w:hAnsi="Times New Roman" w:eastAsia="宋体" w:cs="Times New Roman"/>
          <w:b/>
          <w:color w:val="auto"/>
          <w:kern w:val="2"/>
          <w:sz w:val="24"/>
          <w:szCs w:val="24"/>
          <w:lang w:val="en-US" w:eastAsia="zh-CN" w:bidi="ar-SA"/>
        </w:rPr>
        <w:t>1.5.1评价工作等级</w:t>
      </w:r>
      <w:bookmarkEnd w:id="174"/>
      <w:bookmarkEnd w:id="175"/>
      <w:bookmarkEnd w:id="176"/>
      <w:bookmarkEnd w:id="177"/>
      <w:bookmarkEnd w:id="178"/>
      <w:bookmarkEnd w:id="179"/>
      <w:bookmarkEnd w:id="180"/>
      <w:bookmarkEnd w:id="181"/>
    </w:p>
    <w:p>
      <w:pPr>
        <w:widowControl/>
        <w:adjustRightInd/>
        <w:snapToGrid/>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根据《环境影响评价技术导则-生态影响》（HJ19-2022），依据建设项目影响区域的生态敏感性和影响程度判定生态影响评价等级。</w:t>
      </w:r>
    </w:p>
    <w:p>
      <w:pPr>
        <w:autoSpaceDE w:val="0"/>
        <w:autoSpaceDN w:val="0"/>
        <w:adjustRightInd/>
        <w:snapToGrid/>
        <w:spacing w:line="240" w:lineRule="auto"/>
        <w:ind w:firstLine="0" w:firstLineChars="0"/>
        <w:jc w:val="center"/>
        <w:rPr>
          <w:rFonts w:hint="default" w:ascii="Times New Roman" w:hAnsi="Times New Roman" w:eastAsia="宋体" w:cs="Times New Roman"/>
          <w:b/>
          <w:bCs/>
          <w:iCs/>
          <w:color w:val="auto"/>
          <w:sz w:val="21"/>
          <w:szCs w:val="16"/>
        </w:rPr>
      </w:pPr>
      <w:r>
        <w:rPr>
          <w:rFonts w:hint="default" w:ascii="Times New Roman" w:hAnsi="Times New Roman" w:eastAsia="宋体" w:cs="Times New Roman"/>
          <w:b/>
          <w:bCs/>
          <w:iCs/>
          <w:color w:val="auto"/>
          <w:sz w:val="21"/>
          <w:szCs w:val="16"/>
        </w:rPr>
        <w:t>表1.</w:t>
      </w:r>
      <w:r>
        <w:rPr>
          <w:rFonts w:hint="eastAsia" w:ascii="Times New Roman" w:hAnsi="Times New Roman" w:eastAsia="宋体" w:cs="Times New Roman"/>
          <w:b/>
          <w:bCs/>
          <w:iCs/>
          <w:color w:val="auto"/>
          <w:sz w:val="21"/>
          <w:szCs w:val="16"/>
          <w:lang w:val="en-US" w:eastAsia="zh-CN"/>
        </w:rPr>
        <w:t>5</w:t>
      </w:r>
      <w:r>
        <w:rPr>
          <w:rFonts w:hint="default" w:ascii="Times New Roman" w:hAnsi="Times New Roman" w:eastAsia="宋体" w:cs="Times New Roman"/>
          <w:b/>
          <w:bCs/>
          <w:iCs/>
          <w:color w:val="auto"/>
          <w:sz w:val="21"/>
          <w:szCs w:val="16"/>
        </w:rPr>
        <w:t>-1</w:t>
      </w:r>
      <w:r>
        <w:rPr>
          <w:rFonts w:hint="eastAsia" w:ascii="Times New Roman" w:hAnsi="Times New Roman" w:eastAsia="宋体" w:cs="Times New Roman"/>
          <w:b/>
          <w:bCs/>
          <w:iCs/>
          <w:color w:val="auto"/>
          <w:sz w:val="21"/>
          <w:szCs w:val="16"/>
          <w:lang w:val="en-US" w:eastAsia="zh-CN"/>
        </w:rPr>
        <w:t xml:space="preserve">  </w:t>
      </w:r>
      <w:r>
        <w:rPr>
          <w:rFonts w:hint="default" w:ascii="Times New Roman" w:hAnsi="Times New Roman" w:eastAsia="宋体" w:cs="Times New Roman"/>
          <w:b/>
          <w:bCs/>
          <w:iCs/>
          <w:color w:val="auto"/>
          <w:sz w:val="21"/>
          <w:szCs w:val="16"/>
        </w:rPr>
        <w:t>生态影响评价工作等级划分表</w:t>
      </w:r>
    </w:p>
    <w:tbl>
      <w:tblPr>
        <w:tblStyle w:val="23"/>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193"/>
        <w:gridCol w:w="6199"/>
        <w:gridCol w:w="112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color w:val="auto"/>
                <w:sz w:val="21"/>
                <w:szCs w:val="21"/>
                <w:u w:val="none"/>
                <w:lang w:val="en-US" w:eastAsia="zh-CN" w:bidi="ar"/>
              </w:rPr>
              <w:t>评价等级</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color w:val="auto"/>
                <w:sz w:val="21"/>
                <w:szCs w:val="21"/>
                <w:u w:val="none"/>
                <w:lang w:val="en-US" w:eastAsia="zh-CN" w:bidi="ar"/>
              </w:rPr>
              <w:t>判定内容</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color w:val="auto"/>
                <w:sz w:val="21"/>
                <w:szCs w:val="21"/>
                <w:u w:val="none"/>
                <w:lang w:val="en-US" w:eastAsia="zh-CN"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一级</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涉及国家公园、自然保护区、世界自然遗产、重要生境时</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涉及</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二级</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涉及自然公园</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color w:val="auto"/>
                <w:sz w:val="21"/>
                <w:szCs w:val="21"/>
                <w:u w:val="none"/>
                <w:lang w:val="en-US" w:eastAsia="zh-CN" w:bidi="ar"/>
              </w:rPr>
              <w:t>不涉及</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01"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不低于二级</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①涉及生态保护红线时；②根据HJ2.3判断属于水文要素影响型且地表水评价等级不低于二级的建设项目；③根据HJ610、HJ964判断地下水水位或土壤影响范围内分布有天然林、公益林、湿地等生态保护目标的建设项目；④当工程占地规模大于20km²时(包括永久和临时占用陆域和水域)。</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不涉及</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三级</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以上之外的</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eastAsia" w:ascii="Times New Roman" w:hAnsi="Times New Roman" w:eastAsia="宋体" w:cs="Times New Roman"/>
                <w:color w:val="auto"/>
                <w:lang w:val="en-US" w:eastAsia="zh-CN"/>
              </w:rPr>
              <w:t>涉及湖南东洞庭湖国家级自然保护区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说明</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①改扩建项目的占地范围以新增占地(包括陆域和水域)确定；②当评价等级判定同时符合上述多种情况时，应采用其中最高的评价等级；③建设项目涉及经论证对保护生物多样性具有重要意义的区域时，可适当上调评价等级。④建设项目同时涉及陆生、水生生态影响时，可针对陆生生态、水生生态分别判定评价等级。⑤在矿山开采可能导致矿区土地利用类型明显改变，或拦河闸坝建设可能明显改变水文情势等情况下，评价等级应上调一级。⑥线性工程可分段确定评价等级。线性工程地下穿越或地表跨越生态敏感区，在生态敏感区范围内无永久、临时占地时，评价等级可下调一级。⑦涉海工程评价等级判定参照GB/T19485。</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不涉及</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简单分析</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符合生态环境分区管控要求且位于原厂界(或永久用地)范围内的污染影响类改扩建项目，位于已批准规划环评的产业园区内且符合规划环评要求、不涉及生态敏感区的污染影响类建设项目，可不确定评价等级，直接进行生态影响简单分析。</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color w:val="auto"/>
                <w:sz w:val="21"/>
                <w:szCs w:val="21"/>
                <w:u w:val="none"/>
                <w:lang w:val="en-US" w:eastAsia="zh-CN" w:bidi="ar"/>
              </w:rPr>
              <w:t>不</w:t>
            </w:r>
            <w:r>
              <w:rPr>
                <w:rFonts w:hint="eastAsia" w:eastAsia="宋体" w:cs="Times New Roman"/>
                <w:color w:val="auto"/>
                <w:sz w:val="21"/>
                <w:szCs w:val="21"/>
                <w:u w:val="none"/>
                <w:lang w:val="en-US" w:eastAsia="zh-CN" w:bidi="ar"/>
              </w:rPr>
              <w:t>涉及</w:t>
            </w:r>
          </w:p>
        </w:tc>
      </w:tr>
    </w:tbl>
    <w:p>
      <w:pPr>
        <w:widowControl/>
        <w:adjustRightInd/>
        <w:snapToGrid/>
        <w:spacing w:line="360" w:lineRule="auto"/>
        <w:ind w:firstLine="480" w:firstLineChars="200"/>
        <w:rPr>
          <w:rFonts w:hint="eastAsia" w:ascii="Times New Roman" w:hAnsi="Times New Roman" w:eastAsia="宋体" w:cs="Times New Roman"/>
          <w:color w:val="auto"/>
          <w:sz w:val="24"/>
          <w:lang w:val="en-US" w:eastAsia="zh-CN"/>
        </w:rPr>
      </w:pPr>
      <w:bookmarkStart w:id="182" w:name="_Toc28868"/>
      <w:bookmarkStart w:id="183" w:name="_Toc18736"/>
      <w:bookmarkStart w:id="184" w:name="_Toc10823"/>
      <w:bookmarkStart w:id="185" w:name="_Toc17614"/>
      <w:bookmarkStart w:id="186" w:name="_Toc20371"/>
      <w:bookmarkStart w:id="187" w:name="_Toc30108"/>
      <w:bookmarkStart w:id="188" w:name="_Toc27736"/>
      <w:bookmarkStart w:id="189" w:name="_Toc11056"/>
      <w:r>
        <w:rPr>
          <w:rFonts w:hint="eastAsia" w:ascii="Times New Roman" w:hAnsi="Times New Roman" w:eastAsia="宋体" w:cs="Times New Roman"/>
          <w:color w:val="auto"/>
          <w:sz w:val="24"/>
          <w:lang w:val="en-US" w:eastAsia="zh-CN"/>
        </w:rPr>
        <w:t>根据HJ19-2022关于生态环境影响评价工作等级的划分，本项目生态环境影响评价等级应设定为一级。但参照《关于印发《涉及国家级自然保护区建设项目生态影响专题报告编制指南(试行)》的通知》(环办函[2014]1419号)“对于在国家级自然保护区范围内，生态影响较小，需要按照相关法规要求进行环境影响评价且编制环境影响报告表的建设项目，其《专题报告》应参照本指南并可适当简化。”由于本项目环评编制环境影响报告表，生态环境影响小，且本项目区域位于湖南东洞庭湖国家级自然保护区</w:t>
      </w:r>
      <w:r>
        <w:rPr>
          <w:rFonts w:hint="eastAsia" w:cs="Times New Roman"/>
          <w:color w:val="auto"/>
          <w:sz w:val="24"/>
          <w:lang w:val="en-US" w:eastAsia="zh-CN"/>
        </w:rPr>
        <w:t>整合优化后的边界范围外</w:t>
      </w:r>
      <w:r>
        <w:rPr>
          <w:rFonts w:hint="eastAsia" w:ascii="Times New Roman" w:hAnsi="Times New Roman" w:eastAsia="宋体" w:cs="Times New Roman"/>
          <w:color w:val="auto"/>
          <w:sz w:val="24"/>
          <w:lang w:val="en-US" w:eastAsia="zh-CN"/>
        </w:rPr>
        <w:t>，根据现场调查，项目周边均为农村生态系统，实际为</w:t>
      </w:r>
      <w:r>
        <w:rPr>
          <w:rFonts w:hint="eastAsia" w:cs="Times New Roman"/>
          <w:color w:val="auto"/>
          <w:sz w:val="24"/>
          <w:lang w:val="en-US" w:eastAsia="zh-CN"/>
        </w:rPr>
        <w:t>城镇</w:t>
      </w:r>
      <w:r>
        <w:rPr>
          <w:rFonts w:hint="eastAsia" w:ascii="Times New Roman" w:hAnsi="Times New Roman" w:eastAsia="宋体" w:cs="Times New Roman"/>
          <w:color w:val="auto"/>
          <w:sz w:val="24"/>
          <w:lang w:val="en-US" w:eastAsia="zh-CN"/>
        </w:rPr>
        <w:t>建成区域，生态环境实际并不敏感，所以</w:t>
      </w:r>
      <w:r>
        <w:rPr>
          <w:rFonts w:hint="eastAsia" w:cs="Times New Roman"/>
          <w:color w:val="auto"/>
          <w:sz w:val="24"/>
          <w:lang w:val="en-US" w:eastAsia="zh-CN"/>
        </w:rPr>
        <w:t>本次生态环境影响分析在参照</w:t>
      </w:r>
      <w:r>
        <w:rPr>
          <w:rFonts w:ascii="Times New Roman" w:hAnsi="Times New Roman" w:eastAsia="宋体" w:cs="Times New Roman"/>
          <w:color w:val="auto"/>
          <w:sz w:val="24"/>
        </w:rPr>
        <w:t>《环境影响评价技术导则-生态影响》（HJ19-2022）</w:t>
      </w:r>
      <w:r>
        <w:rPr>
          <w:rFonts w:hint="eastAsia" w:cs="Times New Roman"/>
          <w:color w:val="auto"/>
          <w:sz w:val="24"/>
          <w:lang w:val="en-US" w:eastAsia="zh-CN"/>
        </w:rPr>
        <w:t>的基础上适当简化</w:t>
      </w:r>
      <w:r>
        <w:rPr>
          <w:rFonts w:hint="eastAsia" w:ascii="Times New Roman" w:hAnsi="Times New Roman" w:eastAsia="宋体" w:cs="Times New Roman"/>
          <w:color w:val="auto"/>
          <w:sz w:val="24"/>
          <w:lang w:val="en-US" w:eastAsia="zh-CN"/>
        </w:rPr>
        <w:t>。</w:t>
      </w:r>
    </w:p>
    <w:p>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lang w:val="en-US" w:eastAsia="zh-CN" w:bidi="ar-SA"/>
        </w:rPr>
      </w:pPr>
      <w:r>
        <w:rPr>
          <w:rFonts w:ascii="Times New Roman" w:hAnsi="Times New Roman" w:eastAsia="宋体" w:cs="Times New Roman"/>
          <w:b/>
          <w:color w:val="auto"/>
          <w:kern w:val="2"/>
          <w:sz w:val="24"/>
          <w:szCs w:val="24"/>
          <w:lang w:val="en-US" w:eastAsia="zh-CN" w:bidi="ar-SA"/>
        </w:rPr>
        <w:t>1.5.2评价范围</w:t>
      </w:r>
      <w:bookmarkEnd w:id="182"/>
      <w:bookmarkEnd w:id="183"/>
      <w:bookmarkEnd w:id="184"/>
      <w:bookmarkEnd w:id="185"/>
      <w:bookmarkEnd w:id="186"/>
      <w:bookmarkEnd w:id="187"/>
      <w:bookmarkEnd w:id="188"/>
      <w:bookmarkEnd w:id="189"/>
      <w:r>
        <w:rPr>
          <w:rFonts w:hint="eastAsia" w:ascii="Times New Roman" w:hAnsi="Times New Roman" w:eastAsia="宋体" w:cs="Times New Roman"/>
          <w:b/>
          <w:color w:val="auto"/>
          <w:kern w:val="2"/>
          <w:sz w:val="24"/>
          <w:szCs w:val="24"/>
          <w:lang w:val="en-US" w:eastAsia="zh-CN" w:bidi="ar-SA"/>
        </w:rPr>
        <w:t>和时段</w:t>
      </w:r>
    </w:p>
    <w:p>
      <w:pPr>
        <w:widowControl/>
        <w:adjustRightInd/>
        <w:snapToGrid/>
        <w:spacing w:line="360" w:lineRule="auto"/>
        <w:ind w:firstLine="480" w:firstLineChars="200"/>
        <w:rPr>
          <w:rFonts w:hint="eastAsia" w:ascii="Times New Roman" w:hAnsi="Times New Roman" w:eastAsia="宋体" w:cs="Times New Roman"/>
          <w:color w:val="auto"/>
          <w:sz w:val="24"/>
          <w:u w:val="single"/>
        </w:rPr>
      </w:pPr>
      <w:r>
        <w:rPr>
          <w:rFonts w:ascii="Times New Roman" w:hAnsi="Times New Roman" w:eastAsia="宋体" w:cs="Times New Roman"/>
          <w:color w:val="auto"/>
          <w:sz w:val="24"/>
        </w:rPr>
        <w:t>根据《环境影响评价技术导则-生态影响》（HJ19-2022），生态影响评价范围应能够重复体现生态完整性，涵盖评价项目全部活动的直接影响区域和间接影响区域。本项目</w:t>
      </w:r>
      <w:r>
        <w:rPr>
          <w:rFonts w:hint="eastAsia" w:ascii="Times New Roman" w:hAnsi="Times New Roman" w:eastAsia="宋体" w:cs="Times New Roman"/>
          <w:color w:val="auto"/>
          <w:sz w:val="24"/>
          <w:lang w:eastAsia="zh-CN"/>
        </w:rPr>
        <w:t>为</w:t>
      </w:r>
      <w:r>
        <w:rPr>
          <w:rFonts w:hint="eastAsia" w:eastAsia="宋体" w:cs="Times New Roman"/>
          <w:color w:val="auto"/>
          <w:sz w:val="24"/>
          <w:lang w:val="en-US" w:eastAsia="zh-CN"/>
        </w:rPr>
        <w:t>房地产开发项目</w:t>
      </w:r>
      <w:r>
        <w:rPr>
          <w:rFonts w:hint="eastAsia" w:ascii="Times New Roman" w:hAnsi="Times New Roman" w:eastAsia="宋体" w:cs="Times New Roman"/>
          <w:color w:val="auto"/>
          <w:sz w:val="24"/>
          <w:lang w:eastAsia="zh-CN"/>
        </w:rPr>
        <w:t>，</w:t>
      </w:r>
      <w:r>
        <w:rPr>
          <w:rFonts w:hint="eastAsia" w:eastAsia="宋体" w:cs="Times New Roman"/>
          <w:color w:val="auto"/>
          <w:sz w:val="24"/>
          <w:lang w:val="en-US" w:eastAsia="zh-CN"/>
        </w:rPr>
        <w:t>占用地区涉及</w:t>
      </w:r>
      <w:r>
        <w:rPr>
          <w:rFonts w:hint="eastAsia" w:ascii="Times New Roman" w:hAnsi="Times New Roman" w:eastAsia="宋体" w:cs="Times New Roman"/>
          <w:color w:val="auto"/>
          <w:sz w:val="24"/>
          <w:lang w:eastAsia="zh-CN"/>
        </w:rPr>
        <w:t>生态敏感区，</w:t>
      </w:r>
      <w:r>
        <w:rPr>
          <w:rFonts w:hint="eastAsia" w:eastAsia="宋体" w:cs="Times New Roman"/>
          <w:color w:val="auto"/>
          <w:sz w:val="24"/>
          <w:lang w:val="en-US" w:eastAsia="zh-CN"/>
        </w:rPr>
        <w:t>因项目建设及运营过程中产生的污染较小，且结合项目周边生态敏感性</w:t>
      </w:r>
      <w:r>
        <w:rPr>
          <w:rFonts w:hint="eastAsia" w:ascii="Times New Roman" w:hAnsi="Times New Roman" w:eastAsia="宋体" w:cs="Times New Roman"/>
          <w:color w:val="auto"/>
          <w:sz w:val="24"/>
          <w:lang w:eastAsia="zh-CN"/>
        </w:rPr>
        <w:t>，项目评价范围确定为</w:t>
      </w:r>
      <w:r>
        <w:rPr>
          <w:rFonts w:hint="eastAsia" w:eastAsia="宋体" w:cs="Times New Roman"/>
          <w:color w:val="auto"/>
          <w:sz w:val="24"/>
          <w:lang w:val="en-US" w:eastAsia="zh-CN"/>
        </w:rPr>
        <w:t>项目占地边界外侧</w:t>
      </w:r>
      <w:r>
        <w:rPr>
          <w:rFonts w:hint="eastAsia" w:cs="Times New Roman"/>
          <w:color w:val="auto"/>
          <w:sz w:val="24"/>
          <w:lang w:val="en-US" w:eastAsia="zh-CN"/>
        </w:rPr>
        <w:t>10</w:t>
      </w:r>
      <w:r>
        <w:rPr>
          <w:rFonts w:hint="eastAsia" w:ascii="Times New Roman" w:hAnsi="Times New Roman" w:eastAsia="宋体" w:cs="Times New Roman"/>
          <w:color w:val="auto"/>
          <w:sz w:val="24"/>
          <w:lang w:eastAsia="zh-CN"/>
        </w:rPr>
        <w:t>00m以内的区域</w:t>
      </w:r>
      <w:r>
        <w:rPr>
          <w:rFonts w:hint="eastAsia" w:ascii="Times New Roman" w:hAnsi="Times New Roman" w:eastAsia="宋体" w:cs="Times New Roman"/>
          <w:color w:val="auto"/>
          <w:sz w:val="24"/>
          <w:u w:val="none"/>
        </w:rPr>
        <w:t>。</w:t>
      </w:r>
    </w:p>
    <w:p>
      <w:pPr>
        <w:widowControl/>
        <w:adjustRightInd/>
        <w:snapToGrid/>
        <w:spacing w:line="360" w:lineRule="auto"/>
        <w:ind w:firstLine="480" w:firstLineChars="200"/>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eastAsia="zh-CN"/>
        </w:rPr>
        <w:t>评价时段为施工期及运营期，</w:t>
      </w:r>
      <w:r>
        <w:rPr>
          <w:rFonts w:hint="eastAsia" w:ascii="Times New Roman" w:hAnsi="Times New Roman" w:eastAsia="宋体" w:cs="Times New Roman"/>
          <w:color w:val="auto"/>
          <w:sz w:val="24"/>
          <w:lang w:val="en-US" w:eastAsia="zh-CN"/>
        </w:rPr>
        <w:t>因项目已建成，对施工期</w:t>
      </w:r>
      <w:r>
        <w:rPr>
          <w:rFonts w:hint="eastAsia" w:cs="Times New Roman"/>
          <w:color w:val="auto"/>
          <w:sz w:val="24"/>
          <w:lang w:val="en-US" w:eastAsia="zh-CN"/>
        </w:rPr>
        <w:t>生态影响</w:t>
      </w:r>
      <w:r>
        <w:rPr>
          <w:rFonts w:hint="eastAsia" w:ascii="Times New Roman" w:hAnsi="Times New Roman" w:eastAsia="宋体" w:cs="Times New Roman"/>
          <w:color w:val="auto"/>
          <w:sz w:val="24"/>
          <w:lang w:val="en-US" w:eastAsia="zh-CN"/>
        </w:rPr>
        <w:t>主要进行回顾性评价</w:t>
      </w:r>
      <w:r>
        <w:rPr>
          <w:rFonts w:hint="eastAsia" w:ascii="Times New Roman" w:hAnsi="Times New Roman" w:eastAsia="宋体" w:cs="Times New Roman"/>
          <w:color w:val="auto"/>
          <w:sz w:val="24"/>
          <w:lang w:eastAsia="zh-CN"/>
        </w:rPr>
        <w:t>。</w:t>
      </w:r>
    </w:p>
    <w:p>
      <w:pPr>
        <w:keepNext/>
        <w:widowControl w:val="0"/>
        <w:adjustRightInd w:val="0"/>
        <w:snapToGrid w:val="0"/>
        <w:spacing w:line="360" w:lineRule="auto"/>
        <w:ind w:firstLine="0" w:firstLineChars="0"/>
        <w:jc w:val="both"/>
        <w:outlineLvl w:val="1"/>
        <w:rPr>
          <w:rFonts w:hint="eastAsia" w:ascii="Times New Roman" w:hAnsi="Times New Roman" w:eastAsia="宋体" w:cs="Times New Roman"/>
          <w:b/>
          <w:bCs/>
          <w:color w:val="auto"/>
          <w:kern w:val="2"/>
          <w:sz w:val="28"/>
          <w:szCs w:val="28"/>
          <w:lang w:val="en-US" w:eastAsia="zh-CN" w:bidi="ar-SA"/>
        </w:rPr>
      </w:pPr>
      <w:bookmarkStart w:id="190" w:name="_Toc2532"/>
      <w:bookmarkStart w:id="191" w:name="_Toc12559"/>
      <w:bookmarkStart w:id="192" w:name="_Toc7841"/>
      <w:bookmarkStart w:id="193" w:name="_Toc25749"/>
      <w:bookmarkStart w:id="194" w:name="_Toc14248"/>
      <w:bookmarkStart w:id="195" w:name="_Toc7826"/>
      <w:bookmarkStart w:id="196" w:name="_Toc15125"/>
      <w:bookmarkStart w:id="197" w:name="_Toc3333"/>
      <w:bookmarkStart w:id="198" w:name="_Toc28620"/>
      <w:r>
        <w:rPr>
          <w:rFonts w:hint="eastAsia" w:ascii="Times New Roman" w:hAnsi="Times New Roman" w:eastAsia="宋体" w:cs="Times New Roman"/>
          <w:b/>
          <w:bCs/>
          <w:color w:val="auto"/>
          <w:kern w:val="2"/>
          <w:sz w:val="28"/>
          <w:szCs w:val="28"/>
          <w:lang w:val="en-US" w:eastAsia="zh-CN" w:bidi="ar-SA"/>
        </w:rPr>
        <w:t>1.6评价因子筛选及评价重点</w:t>
      </w:r>
      <w:bookmarkEnd w:id="190"/>
      <w:bookmarkEnd w:id="191"/>
      <w:bookmarkEnd w:id="192"/>
    </w:p>
    <w:p>
      <w:pPr>
        <w:widowControl w:val="0"/>
        <w:spacing w:line="360" w:lineRule="auto"/>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根据对本项目的工程特点、周边生态环境特征、工程的环境影响要素分析和识别，筛选出主要的环境影响评价因子，详见下表。</w:t>
      </w:r>
    </w:p>
    <w:p>
      <w:pPr>
        <w:widowControl w:val="0"/>
        <w:spacing w:line="360" w:lineRule="auto"/>
        <w:ind w:firstLine="422" w:firstLineChars="200"/>
        <w:jc w:val="center"/>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表1.6-1  生态影响评价因子筛选表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1865"/>
        <w:gridCol w:w="3687"/>
        <w:gridCol w:w="866"/>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受影响对象</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评价因子</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工程内容及影响方式</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影响</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性质</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影响程度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物种</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分布范围、种群数量、迁徙通道和迁徙地</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施工活动和工程运行造成区域动物趋避、动植物数量减少，工程施工、运行导致个体直接死亡</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短期/可逆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生境</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生境面积、质量</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工程占地包括临时、永久占地导致动植物原有生境直接破坏或丧失；工程运行对周边生境质量造成影响</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长期/不可逆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生物群落</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物种组成、群落结构等</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施工活动引入外来植物、惊扰动物，造成区域生物群落的组成变化</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长期/可逆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生态系统</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植被覆盖度、生产力、生物量、生态系统功能、完整性</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工程占地、施工活动对农林业生产、土壤及地貌的影响，破坏了区域原有生境，造成植被损失，使生物量、生产力减少，影响生态系统功能、生态系统的完整性</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长期/不可逆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eastAsia="zh-CN"/>
              </w:rPr>
            </w:pPr>
            <w:r>
              <w:rPr>
                <w:rFonts w:hint="default" w:ascii="Times New Roman" w:hAnsi="Times New Roman" w:eastAsia="宋体" w:cs="Times New Roman"/>
                <w:i w:val="0"/>
                <w:iCs w:val="0"/>
                <w:color w:val="auto"/>
                <w:sz w:val="21"/>
                <w:szCs w:val="21"/>
                <w:u w:val="none"/>
                <w:lang w:eastAsia="zh-CN"/>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生物多样性</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物种丰富度、均匀度、优势度</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工程占地区开挖、建设等会扰动地表，破坏地表植物及植被，弃渣场</w:t>
            </w:r>
            <w:r>
              <w:rPr>
                <w:rFonts w:hint="eastAsia" w:eastAsia="宋体" w:cs="Times New Roman"/>
                <w:i w:val="0"/>
                <w:iCs w:val="0"/>
                <w:color w:val="auto"/>
                <w:sz w:val="21"/>
                <w:szCs w:val="21"/>
                <w:u w:val="none"/>
                <w:lang w:val="en-US" w:eastAsia="zh-CN"/>
              </w:rPr>
              <w:t>以及</w:t>
            </w:r>
            <w:r>
              <w:rPr>
                <w:rFonts w:hint="default" w:ascii="Times New Roman" w:hAnsi="Times New Roman" w:eastAsia="宋体" w:cs="Times New Roman"/>
                <w:i w:val="0"/>
                <w:iCs w:val="0"/>
                <w:color w:val="auto"/>
                <w:sz w:val="21"/>
                <w:szCs w:val="21"/>
                <w:u w:val="none"/>
              </w:rPr>
              <w:t>临时施工场地</w:t>
            </w:r>
            <w:r>
              <w:rPr>
                <w:rFonts w:hint="eastAsia" w:eastAsia="宋体" w:cs="Times New Roman"/>
                <w:i w:val="0"/>
                <w:iCs w:val="0"/>
                <w:color w:val="auto"/>
                <w:sz w:val="21"/>
                <w:szCs w:val="21"/>
                <w:u w:val="none"/>
                <w:lang w:eastAsia="zh-CN"/>
              </w:rPr>
              <w:t>（</w:t>
            </w:r>
            <w:r>
              <w:rPr>
                <w:rFonts w:hint="eastAsia" w:eastAsia="宋体" w:cs="Times New Roman"/>
                <w:i w:val="0"/>
                <w:iCs w:val="0"/>
                <w:color w:val="auto"/>
                <w:sz w:val="21"/>
                <w:szCs w:val="21"/>
                <w:u w:val="none"/>
                <w:lang w:val="en-US" w:eastAsia="zh-CN"/>
              </w:rPr>
              <w:t>本项目弃渣场以及临时</w:t>
            </w:r>
            <w:r>
              <w:rPr>
                <w:rFonts w:hint="eastAsia" w:cs="Times New Roman"/>
                <w:i w:val="0"/>
                <w:iCs w:val="0"/>
                <w:color w:val="auto"/>
                <w:sz w:val="21"/>
                <w:szCs w:val="21"/>
                <w:u w:val="none"/>
                <w:lang w:val="en-US" w:eastAsia="zh-CN"/>
              </w:rPr>
              <w:t>施工</w:t>
            </w:r>
            <w:r>
              <w:rPr>
                <w:rFonts w:hint="eastAsia" w:eastAsia="宋体" w:cs="Times New Roman"/>
                <w:i w:val="0"/>
                <w:iCs w:val="0"/>
                <w:color w:val="auto"/>
                <w:sz w:val="21"/>
                <w:szCs w:val="21"/>
                <w:u w:val="none"/>
                <w:lang w:val="en-US" w:eastAsia="zh-CN"/>
              </w:rPr>
              <w:t>场地均设置于项目用地红线范围内，目前已恢复为绿化用地</w:t>
            </w:r>
            <w:r>
              <w:rPr>
                <w:rFonts w:hint="eastAsia" w:eastAsia="宋体" w:cs="Times New Roman"/>
                <w:i w:val="0"/>
                <w:iCs w:val="0"/>
                <w:color w:val="auto"/>
                <w:sz w:val="21"/>
                <w:szCs w:val="21"/>
                <w:u w:val="none"/>
                <w:lang w:eastAsia="zh-CN"/>
              </w:rPr>
              <w:t>）</w:t>
            </w:r>
            <w:r>
              <w:rPr>
                <w:rFonts w:hint="default" w:ascii="Times New Roman" w:hAnsi="Times New Roman" w:eastAsia="宋体" w:cs="Times New Roman"/>
                <w:i w:val="0"/>
                <w:iCs w:val="0"/>
                <w:color w:val="auto"/>
                <w:sz w:val="21"/>
                <w:szCs w:val="21"/>
                <w:u w:val="none"/>
              </w:rPr>
              <w:t>平整、临时施工便道修筑等工程行为使土壤裸露、地表扰动对生物多样性的影响。跨河桥梁施工对水生生态环境的影响</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短期/可逆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生态敏感区</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主要保护对象、生态功能</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eastAsia="宋体" w:cs="Times New Roman"/>
                <w:i w:val="0"/>
                <w:iCs w:val="0"/>
                <w:color w:val="auto"/>
                <w:kern w:val="0"/>
                <w:sz w:val="21"/>
                <w:szCs w:val="21"/>
                <w:u w:val="none"/>
                <w:lang w:val="en-US" w:eastAsia="zh-CN" w:bidi="ar"/>
              </w:rPr>
              <w:t>本项目涉及</w:t>
            </w:r>
            <w:r>
              <w:rPr>
                <w:rFonts w:hint="eastAsia" w:ascii="Times New Roman" w:hAnsi="Times New Roman" w:eastAsia="宋体" w:cs="Times New Roman"/>
                <w:color w:val="auto"/>
                <w:lang w:val="en-US" w:eastAsia="zh-CN"/>
              </w:rPr>
              <w:t>湖南东洞庭湖国家级自然保护区实验区范围</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短期/可逆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自然景观</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景观质量</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工程占地和工程运行造成区域自然景观的质量下降</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长期/不可逆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土地利用</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地类面积</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工程占地改变了区域原有土地利用类型和分布</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长期/不可逆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弱</w:t>
            </w:r>
          </w:p>
        </w:tc>
      </w:tr>
    </w:tbl>
    <w:p>
      <w:pPr>
        <w:widowControl w:val="0"/>
        <w:spacing w:line="360" w:lineRule="auto"/>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主要现状评价因子：野生动植物、植被、耕地、水土流失等。</w:t>
      </w:r>
    </w:p>
    <w:p>
      <w:pPr>
        <w:widowControl w:val="0"/>
        <w:spacing w:line="360" w:lineRule="auto"/>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主要影响评价因子：施工期为野生动物、植被、耕地、水土流失、景观、林地、土壤的影响；运营期为植被、野生动物、土地复垦及防护工程、绿化工程。</w:t>
      </w:r>
    </w:p>
    <w:p>
      <w:pPr>
        <w:keepNext/>
        <w:widowControl w:val="0"/>
        <w:adjustRightInd w:val="0"/>
        <w:snapToGrid w:val="0"/>
        <w:spacing w:line="360" w:lineRule="auto"/>
        <w:ind w:firstLine="0" w:firstLineChars="0"/>
        <w:jc w:val="both"/>
        <w:outlineLvl w:val="1"/>
        <w:rPr>
          <w:rFonts w:ascii="Times New Roman" w:hAnsi="Times New Roman" w:eastAsia="宋体" w:cs="Times New Roman"/>
          <w:b/>
          <w:color w:val="auto"/>
          <w:kern w:val="2"/>
          <w:sz w:val="24"/>
          <w:szCs w:val="28"/>
          <w:lang w:val="en-US" w:eastAsia="zh-CN" w:bidi="ar-SA"/>
        </w:rPr>
      </w:pPr>
      <w:bookmarkStart w:id="199" w:name="_Toc22427"/>
      <w:bookmarkStart w:id="200" w:name="_Toc11317"/>
      <w:bookmarkStart w:id="201" w:name="_Toc2459"/>
      <w:r>
        <w:rPr>
          <w:rFonts w:ascii="Times New Roman" w:hAnsi="Times New Roman" w:eastAsia="宋体" w:cs="Times New Roman"/>
          <w:b/>
          <w:color w:val="auto"/>
          <w:kern w:val="2"/>
          <w:sz w:val="24"/>
          <w:szCs w:val="28"/>
          <w:lang w:val="en-US" w:eastAsia="zh-CN" w:bidi="ar-SA"/>
        </w:rPr>
        <w:t>1.</w:t>
      </w:r>
      <w:r>
        <w:rPr>
          <w:rFonts w:hint="eastAsia" w:ascii="Times New Roman" w:hAnsi="Times New Roman" w:eastAsia="宋体" w:cs="Times New Roman"/>
          <w:b/>
          <w:color w:val="auto"/>
          <w:kern w:val="2"/>
          <w:sz w:val="24"/>
          <w:szCs w:val="28"/>
          <w:lang w:val="en-US" w:eastAsia="zh-CN" w:bidi="ar-SA"/>
        </w:rPr>
        <w:t>7</w:t>
      </w:r>
      <w:r>
        <w:rPr>
          <w:rFonts w:ascii="Times New Roman" w:hAnsi="Times New Roman" w:eastAsia="宋体" w:cs="Times New Roman"/>
          <w:b/>
          <w:color w:val="auto"/>
          <w:kern w:val="2"/>
          <w:sz w:val="24"/>
          <w:szCs w:val="28"/>
          <w:lang w:val="en-US" w:eastAsia="zh-CN" w:bidi="ar-SA"/>
        </w:rPr>
        <w:t>生态环境保护目标</w:t>
      </w:r>
      <w:bookmarkEnd w:id="193"/>
      <w:bookmarkEnd w:id="194"/>
      <w:bookmarkEnd w:id="195"/>
      <w:bookmarkEnd w:id="196"/>
      <w:bookmarkEnd w:id="197"/>
      <w:bookmarkEnd w:id="198"/>
      <w:bookmarkEnd w:id="199"/>
      <w:bookmarkEnd w:id="200"/>
      <w:bookmarkEnd w:id="201"/>
    </w:p>
    <w:p>
      <w:pPr>
        <w:widowControl w:val="0"/>
        <w:adjustRightInd w:val="0"/>
        <w:snapToGrid w:val="0"/>
        <w:spacing w:before="0" w:after="0" w:line="360" w:lineRule="auto"/>
        <w:ind w:right="0" w:firstLine="480" w:firstLineChars="200"/>
        <w:jc w:val="both"/>
        <w:rPr>
          <w:rFonts w:hint="eastAsia" w:ascii="Times New Roman" w:hAnsi="Times New Roman" w:eastAsia="宋体" w:cs="Times New Roman"/>
          <w:b/>
          <w:bCs/>
          <w:color w:val="auto"/>
          <w:kern w:val="13"/>
          <w:sz w:val="21"/>
          <w:szCs w:val="21"/>
          <w:lang w:val="en-US" w:eastAsia="zh-CN" w:bidi="ar-SA"/>
        </w:rPr>
      </w:pPr>
      <w:r>
        <w:rPr>
          <w:rFonts w:hint="eastAsia" w:ascii="Times New Roman" w:hAnsi="Times New Roman" w:eastAsia="宋体" w:cs="Times New Roman"/>
          <w:color w:val="auto"/>
          <w:kern w:val="13"/>
          <w:sz w:val="24"/>
          <w:szCs w:val="24"/>
          <w:lang w:val="en-US" w:eastAsia="zh-CN" w:bidi="ar-SA"/>
        </w:rPr>
        <w:t>项目生态保护目标如下。</w:t>
      </w:r>
    </w:p>
    <w:p>
      <w:pPr>
        <w:widowControl w:val="0"/>
        <w:adjustRightInd w:val="0"/>
        <w:snapToGrid w:val="0"/>
        <w:spacing w:before="0" w:after="0" w:line="360" w:lineRule="auto"/>
        <w:ind w:right="0" w:firstLine="0" w:firstLineChars="0"/>
        <w:jc w:val="center"/>
        <w:rPr>
          <w:rFonts w:ascii="Times New Roman" w:hAnsi="Times New Roman" w:eastAsia="宋体" w:cs="Times New Roman"/>
          <w:b/>
          <w:bCs/>
          <w:color w:val="auto"/>
          <w:kern w:val="2"/>
          <w:sz w:val="21"/>
          <w:szCs w:val="21"/>
          <w:lang w:val="en-US" w:eastAsia="zh-CN" w:bidi="ar-SA"/>
        </w:rPr>
      </w:pPr>
      <w:r>
        <w:rPr>
          <w:rFonts w:ascii="Times New Roman" w:hAnsi="Times New Roman" w:eastAsia="宋体" w:cs="Times New Roman"/>
          <w:b/>
          <w:bCs/>
          <w:color w:val="auto"/>
          <w:kern w:val="2"/>
          <w:sz w:val="21"/>
          <w:szCs w:val="21"/>
          <w:lang w:val="en-US" w:eastAsia="zh-CN" w:bidi="ar-SA"/>
        </w:rPr>
        <w:t>表</w:t>
      </w:r>
      <w:r>
        <w:rPr>
          <w:rFonts w:hint="eastAsia" w:ascii="Times New Roman" w:hAnsi="Times New Roman" w:eastAsia="宋体" w:cs="Times New Roman"/>
          <w:b/>
          <w:bCs/>
          <w:color w:val="auto"/>
          <w:kern w:val="2"/>
          <w:sz w:val="21"/>
          <w:szCs w:val="21"/>
          <w:lang w:val="en-US" w:eastAsia="zh-CN" w:bidi="ar-SA"/>
        </w:rPr>
        <w:t xml:space="preserve">1.7-1  </w:t>
      </w:r>
      <w:r>
        <w:rPr>
          <w:rFonts w:ascii="Times New Roman" w:hAnsi="Times New Roman" w:eastAsia="宋体" w:cs="Times New Roman"/>
          <w:b/>
          <w:bCs/>
          <w:color w:val="auto"/>
          <w:kern w:val="2"/>
          <w:sz w:val="21"/>
          <w:szCs w:val="21"/>
          <w:lang w:val="en-US" w:eastAsia="zh-CN" w:bidi="ar-SA"/>
        </w:rPr>
        <w:t>主要生态环境保护目标</w:t>
      </w:r>
    </w:p>
    <w:tbl>
      <w:tblPr>
        <w:tblStyle w:val="23"/>
        <w:tblW w:w="50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3"/>
        <w:gridCol w:w="2626"/>
        <w:gridCol w:w="2201"/>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58" w:type="pct"/>
            <w:noWrap w:val="0"/>
            <w:tcMar>
              <w:left w:w="0" w:type="dxa"/>
              <w:right w:w="0" w:type="dxa"/>
            </w:tcMar>
            <w:vAlign w:val="center"/>
          </w:tcPr>
          <w:p>
            <w:pPr>
              <w:pStyle w:val="82"/>
              <w:snapToGrid w:val="0"/>
              <w:spacing w:after="0" w:afterLines="0" w:line="240" w:lineRule="auto"/>
              <w:ind w:firstLine="0" w:firstLineChars="0"/>
              <w:rPr>
                <w:rFonts w:hint="default" w:ascii="Times New Roman" w:hAnsi="Times New Roman" w:cs="Times New Roman"/>
                <w:b/>
                <w:color w:val="auto"/>
                <w:sz w:val="21"/>
                <w:szCs w:val="21"/>
              </w:rPr>
            </w:pPr>
            <w:bookmarkStart w:id="202" w:name="_Toc32159"/>
            <w:bookmarkStart w:id="203" w:name="_Toc2005"/>
            <w:bookmarkStart w:id="204" w:name="_Toc30725"/>
            <w:bookmarkStart w:id="205" w:name="_Toc30772"/>
            <w:bookmarkStart w:id="206" w:name="_Toc23919"/>
            <w:r>
              <w:rPr>
                <w:rFonts w:hint="default" w:ascii="Times New Roman" w:hAnsi="Times New Roman" w:cs="Times New Roman"/>
                <w:b/>
                <w:color w:val="auto"/>
                <w:sz w:val="21"/>
                <w:szCs w:val="21"/>
                <w:lang w:eastAsia="zh-CN"/>
              </w:rPr>
              <w:t>环保</w:t>
            </w:r>
            <w:r>
              <w:rPr>
                <w:rFonts w:hint="default" w:ascii="Times New Roman" w:hAnsi="Times New Roman" w:cs="Times New Roman"/>
                <w:b/>
                <w:color w:val="auto"/>
                <w:sz w:val="21"/>
                <w:szCs w:val="21"/>
              </w:rPr>
              <w:t>目标</w:t>
            </w:r>
          </w:p>
        </w:tc>
        <w:tc>
          <w:tcPr>
            <w:tcW w:w="1539" w:type="pct"/>
            <w:noWrap w:val="0"/>
            <w:tcMar>
              <w:left w:w="0" w:type="dxa"/>
              <w:right w:w="0" w:type="dxa"/>
            </w:tcMar>
            <w:vAlign w:val="center"/>
          </w:tcPr>
          <w:p>
            <w:pPr>
              <w:pStyle w:val="82"/>
              <w:snapToGrid w:val="0"/>
              <w:spacing w:after="0" w:afterLines="0" w:line="240" w:lineRule="auto"/>
              <w:ind w:firstLine="0" w:firstLineChars="0"/>
              <w:rPr>
                <w:rFonts w:hint="default" w:ascii="Times New Roman" w:hAnsi="Times New Roman" w:eastAsia="宋体" w:cs="Times New Roman"/>
                <w:b/>
                <w:color w:val="auto"/>
                <w:sz w:val="21"/>
                <w:szCs w:val="21"/>
                <w:lang w:eastAsia="zh-CN"/>
              </w:rPr>
            </w:pPr>
            <w:r>
              <w:rPr>
                <w:rFonts w:hint="default" w:ascii="Times New Roman" w:hAnsi="Times New Roman" w:cs="Times New Roman"/>
                <w:b/>
                <w:bCs/>
                <w:color w:val="auto"/>
                <w:sz w:val="21"/>
                <w:szCs w:val="21"/>
                <w:lang w:eastAsia="zh-CN"/>
              </w:rPr>
              <w:t>与工程相对位置关系</w:t>
            </w:r>
          </w:p>
        </w:tc>
        <w:tc>
          <w:tcPr>
            <w:tcW w:w="1290" w:type="pct"/>
            <w:noWrap w:val="0"/>
            <w:tcMar>
              <w:left w:w="0" w:type="dxa"/>
              <w:right w:w="0" w:type="dxa"/>
            </w:tcMar>
            <w:vAlign w:val="center"/>
          </w:tcPr>
          <w:p>
            <w:pPr>
              <w:pStyle w:val="82"/>
              <w:snapToGrid w:val="0"/>
              <w:spacing w:after="0" w:afterLines="0" w:line="240" w:lineRule="auto"/>
              <w:ind w:firstLine="0" w:firstLineChars="0"/>
              <w:rPr>
                <w:rFonts w:hint="default" w:ascii="Times New Roman" w:hAnsi="Times New Roman" w:eastAsia="宋体" w:cs="Times New Roman"/>
                <w:b/>
                <w:color w:val="auto"/>
                <w:sz w:val="21"/>
                <w:szCs w:val="21"/>
                <w:lang w:eastAsia="zh-CN"/>
              </w:rPr>
            </w:pPr>
            <w:r>
              <w:rPr>
                <w:rFonts w:hint="default" w:ascii="Times New Roman" w:hAnsi="Times New Roman" w:cs="Times New Roman"/>
                <w:b/>
                <w:color w:val="auto"/>
                <w:sz w:val="21"/>
                <w:szCs w:val="21"/>
                <w:lang w:eastAsia="zh-CN"/>
              </w:rPr>
              <w:t>影响因素</w:t>
            </w:r>
          </w:p>
        </w:tc>
        <w:tc>
          <w:tcPr>
            <w:tcW w:w="1512" w:type="pct"/>
            <w:noWrap w:val="0"/>
            <w:vAlign w:val="center"/>
          </w:tcPr>
          <w:p>
            <w:pPr>
              <w:pStyle w:val="82"/>
              <w:snapToGrid w:val="0"/>
              <w:spacing w:after="0" w:afterLines="0" w:line="240" w:lineRule="auto"/>
              <w:ind w:firstLine="0" w:firstLineChars="0"/>
              <w:rPr>
                <w:rFonts w:hint="default" w:ascii="Times New Roman" w:hAnsi="Times New Roman" w:eastAsia="宋体" w:cs="Times New Roman"/>
                <w:b/>
                <w:color w:val="auto"/>
                <w:sz w:val="21"/>
                <w:szCs w:val="21"/>
                <w:lang w:eastAsia="zh-CN"/>
              </w:rPr>
            </w:pPr>
            <w:r>
              <w:rPr>
                <w:rFonts w:hint="default" w:ascii="Times New Roman" w:hAnsi="Times New Roman" w:cs="Times New Roman"/>
                <w:b/>
                <w:bCs/>
                <w:color w:val="auto"/>
                <w:sz w:val="21"/>
                <w:szCs w:val="21"/>
                <w:lang w:eastAsia="zh-CN"/>
              </w:rPr>
              <w:t>保护要求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8" w:type="pct"/>
            <w:noWrap w:val="0"/>
            <w:tcMar>
              <w:left w:w="0" w:type="dxa"/>
              <w:right w:w="0" w:type="dxa"/>
            </w:tcMar>
            <w:vAlign w:val="center"/>
          </w:tcPr>
          <w:p>
            <w:pPr>
              <w:pStyle w:val="82"/>
              <w:overflowPunct/>
              <w:autoSpaceDE/>
              <w:autoSpaceDN/>
              <w:snapToGrid w:val="0"/>
              <w:spacing w:after="0" w:afterLines="0" w:line="240" w:lineRule="auto"/>
              <w:ind w:firstLine="0" w:firstLineChars="0"/>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cs="Times New Roman"/>
                <w:b w:val="0"/>
                <w:bCs w:val="0"/>
                <w:color w:val="auto"/>
                <w:sz w:val="21"/>
                <w:szCs w:val="21"/>
                <w:lang w:eastAsia="zh-CN"/>
              </w:rPr>
              <w:t>陆生</w:t>
            </w:r>
            <w:r>
              <w:rPr>
                <w:rFonts w:hint="default" w:ascii="Times New Roman" w:hAnsi="Times New Roman" w:cs="Times New Roman"/>
                <w:b w:val="0"/>
                <w:bCs w:val="0"/>
                <w:color w:val="auto"/>
                <w:sz w:val="21"/>
                <w:szCs w:val="21"/>
              </w:rPr>
              <w:t>植</w:t>
            </w:r>
            <w:r>
              <w:rPr>
                <w:rFonts w:hint="default" w:ascii="Times New Roman" w:hAnsi="Times New Roman" w:cs="Times New Roman"/>
                <w:b w:val="0"/>
                <w:bCs w:val="0"/>
                <w:color w:val="auto"/>
                <w:sz w:val="21"/>
                <w:szCs w:val="21"/>
                <w:lang w:eastAsia="zh-CN"/>
              </w:rPr>
              <w:t>物</w:t>
            </w:r>
          </w:p>
        </w:tc>
        <w:tc>
          <w:tcPr>
            <w:tcW w:w="1539" w:type="pct"/>
            <w:noWrap w:val="0"/>
            <w:tcMar>
              <w:left w:w="0" w:type="dxa"/>
              <w:right w:w="0" w:type="dxa"/>
            </w:tcMar>
            <w:vAlign w:val="center"/>
          </w:tcPr>
          <w:p>
            <w:pPr>
              <w:pStyle w:val="82"/>
              <w:snapToGrid w:val="0"/>
              <w:spacing w:after="0" w:afterLines="0" w:line="240" w:lineRule="auto"/>
              <w:ind w:firstLine="0" w:firstLineChars="0"/>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项目主体工程以及</w:t>
            </w:r>
            <w:r>
              <w:rPr>
                <w:rFonts w:hint="default" w:ascii="Times New Roman" w:hAnsi="Times New Roman" w:cs="Times New Roman"/>
                <w:b w:val="0"/>
                <w:bCs w:val="0"/>
                <w:color w:val="auto"/>
                <w:sz w:val="21"/>
                <w:szCs w:val="21"/>
                <w:lang w:eastAsia="zh-CN"/>
              </w:rPr>
              <w:t>施工场地、弃渣场</w:t>
            </w:r>
            <w:r>
              <w:rPr>
                <w:rFonts w:hint="default" w:ascii="Times New Roman" w:hAnsi="Times New Roman" w:cs="Times New Roman"/>
                <w:b w:val="0"/>
                <w:bCs w:val="0"/>
                <w:color w:val="auto"/>
                <w:sz w:val="21"/>
                <w:szCs w:val="21"/>
              </w:rPr>
              <w:t>周边</w:t>
            </w:r>
          </w:p>
        </w:tc>
        <w:tc>
          <w:tcPr>
            <w:tcW w:w="1290" w:type="pct"/>
            <w:noWrap w:val="0"/>
            <w:tcMar>
              <w:left w:w="0" w:type="dxa"/>
              <w:right w:w="0" w:type="dxa"/>
            </w:tcMar>
            <w:vAlign w:val="center"/>
          </w:tcPr>
          <w:p>
            <w:pPr>
              <w:pStyle w:val="82"/>
              <w:snapToGrid w:val="0"/>
              <w:spacing w:after="0" w:afterLines="0" w:line="240" w:lineRule="auto"/>
              <w:ind w:firstLine="0" w:firstLineChars="0"/>
              <w:rPr>
                <w:rFonts w:hint="default" w:ascii="Times New Roman" w:hAnsi="Times New Roman" w:eastAsia="宋体" w:cs="Times New Roman"/>
                <w:b w:val="0"/>
                <w:bCs w:val="0"/>
                <w:color w:val="auto"/>
                <w:sz w:val="21"/>
                <w:szCs w:val="21"/>
                <w:lang w:eastAsia="zh-CN"/>
              </w:rPr>
            </w:pPr>
            <w:r>
              <w:rPr>
                <w:rFonts w:hint="default" w:ascii="Times New Roman" w:hAnsi="Times New Roman" w:cs="Times New Roman"/>
                <w:b w:val="0"/>
                <w:bCs w:val="0"/>
                <w:color w:val="auto"/>
                <w:sz w:val="21"/>
                <w:szCs w:val="21"/>
              </w:rPr>
              <w:t>土地占用</w:t>
            </w:r>
            <w:r>
              <w:rPr>
                <w:rFonts w:hint="default" w:ascii="Times New Roman" w:hAnsi="Times New Roman" w:cs="Times New Roman"/>
                <w:b w:val="0"/>
                <w:bCs w:val="0"/>
                <w:color w:val="auto"/>
                <w:sz w:val="21"/>
                <w:szCs w:val="21"/>
                <w:lang w:eastAsia="zh-CN"/>
              </w:rPr>
              <w:t>、</w:t>
            </w:r>
            <w:r>
              <w:rPr>
                <w:rFonts w:hint="default" w:ascii="Times New Roman" w:hAnsi="Times New Roman" w:cs="Times New Roman"/>
                <w:b w:val="0"/>
                <w:bCs w:val="0"/>
                <w:color w:val="auto"/>
                <w:kern w:val="2"/>
                <w:sz w:val="21"/>
                <w:szCs w:val="21"/>
                <w:lang w:val="en-US" w:eastAsia="zh-CN"/>
              </w:rPr>
              <w:t>施工期挖填方及弃土</w:t>
            </w:r>
            <w:r>
              <w:rPr>
                <w:rFonts w:hint="default" w:ascii="Times New Roman" w:hAnsi="Times New Roman" w:cs="Times New Roman"/>
                <w:b w:val="0"/>
                <w:bCs w:val="0"/>
                <w:color w:val="auto"/>
                <w:sz w:val="21"/>
                <w:szCs w:val="21"/>
              </w:rPr>
              <w:t>将造成植被的</w:t>
            </w:r>
            <w:r>
              <w:rPr>
                <w:rFonts w:hint="default" w:ascii="Times New Roman" w:hAnsi="Times New Roman" w:cs="Times New Roman"/>
                <w:b w:val="0"/>
                <w:bCs w:val="0"/>
                <w:color w:val="auto"/>
                <w:sz w:val="21"/>
                <w:szCs w:val="21"/>
                <w:lang w:eastAsia="zh-CN"/>
              </w:rPr>
              <w:t>破坏及</w:t>
            </w:r>
            <w:r>
              <w:rPr>
                <w:rFonts w:hint="default" w:ascii="Times New Roman" w:hAnsi="Times New Roman" w:cs="Times New Roman"/>
                <w:b w:val="0"/>
                <w:bCs w:val="0"/>
                <w:color w:val="auto"/>
                <w:sz w:val="21"/>
                <w:szCs w:val="21"/>
              </w:rPr>
              <w:t>损失。影响时段为施工期</w:t>
            </w:r>
          </w:p>
        </w:tc>
        <w:tc>
          <w:tcPr>
            <w:tcW w:w="1512" w:type="pct"/>
            <w:noWrap w:val="0"/>
            <w:vAlign w:val="center"/>
          </w:tcPr>
          <w:p>
            <w:pPr>
              <w:pStyle w:val="82"/>
              <w:snapToGrid w:val="0"/>
              <w:spacing w:after="0" w:afterLines="0" w:line="240" w:lineRule="auto"/>
              <w:ind w:firstLine="0" w:firstLineChars="0"/>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lang w:eastAsia="zh-CN"/>
              </w:rPr>
              <w:t>加强施工环境管理和监理，优化施工方式，减少对植被破坏，</w:t>
            </w:r>
            <w:r>
              <w:rPr>
                <w:rFonts w:hint="default" w:ascii="Times New Roman" w:hAnsi="Times New Roman" w:cs="Times New Roman"/>
                <w:b w:val="0"/>
                <w:bCs w:val="0"/>
                <w:color w:val="auto"/>
                <w:kern w:val="2"/>
                <w:sz w:val="21"/>
                <w:szCs w:val="21"/>
                <w:lang w:eastAsia="zh-CN"/>
              </w:rPr>
              <w:t>施工完成后及时对临时施工场地等进行植被恢复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658" w:type="pct"/>
            <w:noWrap w:val="0"/>
            <w:tcMar>
              <w:left w:w="0" w:type="dxa"/>
              <w:right w:w="0" w:type="dxa"/>
            </w:tcMar>
            <w:vAlign w:val="center"/>
          </w:tcPr>
          <w:p>
            <w:pPr>
              <w:pStyle w:val="82"/>
              <w:snapToGrid w:val="0"/>
              <w:spacing w:after="0" w:afterLines="0" w:line="240" w:lineRule="auto"/>
              <w:ind w:firstLine="0" w:firstLineChars="0"/>
              <w:rPr>
                <w:rFonts w:hint="default" w:ascii="Times New Roman" w:hAnsi="Times New Roman" w:cs="Times New Roman"/>
                <w:b w:val="0"/>
                <w:bCs w:val="0"/>
                <w:color w:val="auto"/>
                <w:kern w:val="2"/>
                <w:sz w:val="21"/>
                <w:szCs w:val="21"/>
                <w:lang w:eastAsia="zh-CN"/>
              </w:rPr>
            </w:pPr>
            <w:r>
              <w:rPr>
                <w:rFonts w:hint="default" w:ascii="Times New Roman" w:hAnsi="Times New Roman" w:cs="Times New Roman"/>
                <w:b w:val="0"/>
                <w:bCs w:val="0"/>
                <w:color w:val="auto"/>
                <w:kern w:val="2"/>
                <w:sz w:val="21"/>
                <w:szCs w:val="21"/>
                <w:lang w:eastAsia="zh-CN"/>
              </w:rPr>
              <w:t>陆生动物</w:t>
            </w:r>
          </w:p>
        </w:tc>
        <w:tc>
          <w:tcPr>
            <w:tcW w:w="1539" w:type="pct"/>
            <w:noWrap w:val="0"/>
            <w:tcMar>
              <w:left w:w="0" w:type="dxa"/>
              <w:right w:w="0" w:type="dxa"/>
            </w:tcMar>
            <w:vAlign w:val="center"/>
          </w:tcPr>
          <w:p>
            <w:pPr>
              <w:pStyle w:val="82"/>
              <w:snapToGrid w:val="0"/>
              <w:spacing w:after="0" w:afterLines="0" w:line="240" w:lineRule="auto"/>
              <w:ind w:firstLine="0" w:firstLineChars="0"/>
              <w:rPr>
                <w:rFonts w:hint="default" w:ascii="Times New Roman" w:hAnsi="Times New Roman" w:cs="Times New Roman"/>
                <w:b w:val="0"/>
                <w:bCs w:val="0"/>
                <w:color w:val="auto"/>
                <w:kern w:val="2"/>
                <w:sz w:val="21"/>
                <w:szCs w:val="21"/>
                <w:lang w:eastAsia="zh-CN"/>
              </w:rPr>
            </w:pPr>
            <w:r>
              <w:rPr>
                <w:rFonts w:hint="default" w:ascii="Times New Roman" w:hAnsi="Times New Roman" w:cs="Times New Roman"/>
                <w:b w:val="0"/>
                <w:bCs w:val="0"/>
                <w:color w:val="auto"/>
                <w:sz w:val="21"/>
                <w:szCs w:val="21"/>
              </w:rPr>
              <w:t>项目主体工程以及</w:t>
            </w:r>
            <w:r>
              <w:rPr>
                <w:rFonts w:hint="default" w:ascii="Times New Roman" w:hAnsi="Times New Roman" w:cs="Times New Roman"/>
                <w:b w:val="0"/>
                <w:bCs w:val="0"/>
                <w:color w:val="auto"/>
                <w:sz w:val="21"/>
                <w:szCs w:val="21"/>
                <w:lang w:eastAsia="zh-CN"/>
              </w:rPr>
              <w:t>施工场地、弃渣场</w:t>
            </w:r>
            <w:r>
              <w:rPr>
                <w:rFonts w:hint="default" w:ascii="Times New Roman" w:hAnsi="Times New Roman" w:cs="Times New Roman"/>
                <w:b w:val="0"/>
                <w:bCs w:val="0"/>
                <w:color w:val="auto"/>
                <w:sz w:val="21"/>
                <w:szCs w:val="21"/>
              </w:rPr>
              <w:t>周边</w:t>
            </w:r>
          </w:p>
        </w:tc>
        <w:tc>
          <w:tcPr>
            <w:tcW w:w="1290" w:type="pct"/>
            <w:noWrap w:val="0"/>
            <w:tcMar>
              <w:left w:w="0" w:type="dxa"/>
              <w:right w:w="0" w:type="dxa"/>
            </w:tcMar>
            <w:vAlign w:val="center"/>
          </w:tcPr>
          <w:p>
            <w:pPr>
              <w:pStyle w:val="82"/>
              <w:snapToGrid w:val="0"/>
              <w:spacing w:after="0" w:afterLines="0" w:line="240" w:lineRule="auto"/>
              <w:ind w:firstLine="0" w:firstLineChars="0"/>
              <w:rPr>
                <w:rFonts w:hint="default" w:ascii="Times New Roman" w:hAnsi="Times New Roman" w:cs="Times New Roman"/>
                <w:b w:val="0"/>
                <w:bCs w:val="0"/>
                <w:color w:val="auto"/>
                <w:kern w:val="2"/>
                <w:sz w:val="21"/>
                <w:szCs w:val="21"/>
                <w:lang w:val="en-US" w:eastAsia="zh-CN"/>
              </w:rPr>
            </w:pPr>
            <w:r>
              <w:rPr>
                <w:rFonts w:hint="default" w:ascii="Times New Roman" w:hAnsi="Times New Roman" w:cs="Times New Roman"/>
                <w:b w:val="0"/>
                <w:bCs w:val="0"/>
                <w:color w:val="auto"/>
                <w:kern w:val="2"/>
                <w:sz w:val="21"/>
                <w:szCs w:val="21"/>
                <w:lang w:val="en-US" w:eastAsia="zh-CN"/>
              </w:rPr>
              <w:t>施工期对其生境的扰动</w:t>
            </w:r>
          </w:p>
        </w:tc>
        <w:tc>
          <w:tcPr>
            <w:tcW w:w="1512" w:type="pct"/>
            <w:noWrap w:val="0"/>
            <w:vAlign w:val="center"/>
          </w:tcPr>
          <w:p>
            <w:pPr>
              <w:pStyle w:val="82"/>
              <w:snapToGrid w:val="0"/>
              <w:spacing w:after="0" w:afterLines="0" w:line="240" w:lineRule="auto"/>
              <w:ind w:firstLine="0" w:firstLineChars="0"/>
              <w:rPr>
                <w:rFonts w:hint="default" w:ascii="Times New Roman" w:hAnsi="Times New Roman" w:cs="Times New Roman"/>
                <w:b w:val="0"/>
                <w:bCs w:val="0"/>
                <w:color w:val="auto"/>
                <w:kern w:val="2"/>
                <w:sz w:val="21"/>
                <w:szCs w:val="21"/>
                <w:lang w:eastAsia="zh-CN"/>
              </w:rPr>
            </w:pPr>
            <w:r>
              <w:rPr>
                <w:rFonts w:hint="default" w:ascii="Times New Roman" w:hAnsi="Times New Roman" w:cs="Times New Roman"/>
                <w:b w:val="0"/>
                <w:bCs w:val="0"/>
                <w:color w:val="auto"/>
                <w:kern w:val="2"/>
                <w:sz w:val="21"/>
                <w:szCs w:val="21"/>
                <w:lang w:eastAsia="zh-CN"/>
              </w:rPr>
              <w:t>加强施工管理，优化施工时间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658" w:type="pct"/>
            <w:noWrap w:val="0"/>
            <w:tcMar>
              <w:left w:w="0" w:type="dxa"/>
              <w:right w:w="0" w:type="dxa"/>
            </w:tcMar>
            <w:vAlign w:val="center"/>
          </w:tcPr>
          <w:p>
            <w:pPr>
              <w:pStyle w:val="82"/>
              <w:snapToGrid w:val="0"/>
              <w:spacing w:after="0" w:afterLines="0" w:line="240" w:lineRule="auto"/>
              <w:ind w:firstLine="0" w:firstLineChars="0"/>
              <w:rPr>
                <w:rFonts w:hint="default" w:ascii="Times New Roman" w:hAnsi="Times New Roman" w:cs="Times New Roman"/>
                <w:b w:val="0"/>
                <w:bCs w:val="0"/>
                <w:color w:val="auto"/>
                <w:kern w:val="2"/>
                <w:sz w:val="21"/>
                <w:szCs w:val="21"/>
              </w:rPr>
            </w:pPr>
            <w:r>
              <w:rPr>
                <w:rFonts w:hint="default" w:ascii="Times New Roman" w:hAnsi="Times New Roman" w:cs="Times New Roman"/>
                <w:b w:val="0"/>
                <w:bCs w:val="0"/>
                <w:color w:val="auto"/>
                <w:kern w:val="2"/>
                <w:sz w:val="21"/>
                <w:szCs w:val="21"/>
              </w:rPr>
              <w:t>水生生物</w:t>
            </w:r>
          </w:p>
        </w:tc>
        <w:tc>
          <w:tcPr>
            <w:tcW w:w="1539" w:type="pct"/>
            <w:noWrap w:val="0"/>
            <w:tcMar>
              <w:left w:w="0" w:type="dxa"/>
              <w:right w:w="0" w:type="dxa"/>
            </w:tcMar>
            <w:vAlign w:val="center"/>
          </w:tcPr>
          <w:p>
            <w:pPr>
              <w:pStyle w:val="82"/>
              <w:snapToGrid w:val="0"/>
              <w:spacing w:after="0" w:afterLines="0" w:line="240" w:lineRule="auto"/>
              <w:ind w:firstLine="0" w:firstLineChars="0"/>
              <w:rPr>
                <w:rFonts w:hint="default" w:ascii="Times New Roman" w:hAnsi="Times New Roman" w:eastAsia="宋体" w:cs="Times New Roman"/>
                <w:b w:val="0"/>
                <w:bCs w:val="0"/>
                <w:color w:val="auto"/>
                <w:kern w:val="2"/>
                <w:sz w:val="21"/>
                <w:szCs w:val="21"/>
                <w:lang w:val="en-US" w:eastAsia="zh-CN"/>
              </w:rPr>
            </w:pPr>
            <w:r>
              <w:rPr>
                <w:rFonts w:hint="eastAsia" w:eastAsia="宋体" w:cs="Times New Roman"/>
                <w:b w:val="0"/>
                <w:bCs w:val="0"/>
                <w:color w:val="auto"/>
                <w:kern w:val="2"/>
                <w:sz w:val="21"/>
                <w:szCs w:val="21"/>
                <w:lang w:val="en-US" w:eastAsia="zh-CN"/>
              </w:rPr>
              <w:t>本项目不涉及涉水施工</w:t>
            </w:r>
          </w:p>
        </w:tc>
        <w:tc>
          <w:tcPr>
            <w:tcW w:w="1290" w:type="pct"/>
            <w:noWrap w:val="0"/>
            <w:tcMar>
              <w:left w:w="0" w:type="dxa"/>
              <w:right w:w="0" w:type="dxa"/>
            </w:tcMar>
            <w:vAlign w:val="center"/>
          </w:tcPr>
          <w:p>
            <w:pPr>
              <w:pStyle w:val="82"/>
              <w:snapToGrid w:val="0"/>
              <w:spacing w:after="0" w:afterLines="0" w:line="240" w:lineRule="auto"/>
              <w:ind w:firstLine="0" w:firstLineChars="0"/>
              <w:rPr>
                <w:rFonts w:hint="default" w:ascii="Times New Roman" w:hAnsi="Times New Roman" w:cs="Times New Roman"/>
                <w:b w:val="0"/>
                <w:bCs w:val="0"/>
                <w:color w:val="auto"/>
                <w:kern w:val="2"/>
                <w:sz w:val="21"/>
                <w:szCs w:val="21"/>
                <w:lang w:val="en-US" w:eastAsia="zh-CN"/>
              </w:rPr>
            </w:pPr>
            <w:r>
              <w:rPr>
                <w:rFonts w:hint="eastAsia" w:cs="Times New Roman"/>
                <w:b w:val="0"/>
                <w:bCs w:val="0"/>
                <w:color w:val="auto"/>
                <w:kern w:val="2"/>
                <w:sz w:val="21"/>
                <w:szCs w:val="21"/>
                <w:lang w:val="en-US" w:eastAsia="zh-CN"/>
              </w:rPr>
              <w:t>/</w:t>
            </w:r>
          </w:p>
        </w:tc>
        <w:tc>
          <w:tcPr>
            <w:tcW w:w="1512" w:type="pct"/>
            <w:noWrap w:val="0"/>
            <w:vAlign w:val="center"/>
          </w:tcPr>
          <w:p>
            <w:pPr>
              <w:pStyle w:val="82"/>
              <w:snapToGrid w:val="0"/>
              <w:spacing w:after="0" w:afterLines="0" w:line="240" w:lineRule="auto"/>
              <w:ind w:firstLine="0" w:firstLineChars="0"/>
              <w:rPr>
                <w:rFonts w:hint="default" w:ascii="Times New Roman" w:hAnsi="Times New Roman" w:eastAsia="宋体" w:cs="Times New Roman"/>
                <w:b w:val="0"/>
                <w:bCs w:val="0"/>
                <w:color w:val="auto"/>
                <w:kern w:val="2"/>
                <w:sz w:val="21"/>
                <w:szCs w:val="21"/>
                <w:lang w:val="en-US" w:eastAsia="zh-CN"/>
              </w:rPr>
            </w:pPr>
            <w:r>
              <w:rPr>
                <w:rFonts w:hint="eastAsia" w:eastAsia="宋体" w:cs="Times New Roman"/>
                <w:b w:val="0"/>
                <w:bCs w:val="0"/>
                <w:color w:val="auto"/>
                <w:kern w:val="2"/>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23" w:type="dxa"/>
            <w:noWrap w:val="0"/>
            <w:tcMar>
              <w:left w:w="0" w:type="dxa"/>
              <w:right w:w="0" w:type="dxa"/>
            </w:tcMar>
            <w:vAlign w:val="center"/>
          </w:tcPr>
          <w:p>
            <w:pPr>
              <w:pStyle w:val="53"/>
              <w:spacing w:before="0" w:beforeLines="0" w:after="0" w:afterLines="0"/>
              <w:jc w:val="center"/>
              <w:rPr>
                <w:rFonts w:hint="default" w:ascii="Times New Roman" w:hAnsi="Times New Roman" w:eastAsia="宋体" w:cs="Times New Roman"/>
                <w:b w:val="0"/>
                <w:bCs w:val="0"/>
                <w:color w:val="auto"/>
                <w:kern w:val="2"/>
                <w:sz w:val="21"/>
                <w:szCs w:val="21"/>
                <w:u w:val="single"/>
                <w:lang w:val="en-US" w:eastAsia="zh-CN"/>
              </w:rPr>
            </w:pPr>
            <w:r>
              <w:rPr>
                <w:rFonts w:hint="eastAsia"/>
                <w:b w:val="0"/>
                <w:bCs/>
                <w:color w:val="auto"/>
                <w:sz w:val="21"/>
                <w:szCs w:val="21"/>
                <w:lang w:val="en-US" w:eastAsia="zh-CN"/>
              </w:rPr>
              <w:t>湖南东洞庭湖国家级自然保护区实验区</w:t>
            </w:r>
          </w:p>
        </w:tc>
        <w:tc>
          <w:tcPr>
            <w:tcW w:w="2626" w:type="dxa"/>
            <w:noWrap w:val="0"/>
            <w:tcMar>
              <w:left w:w="0" w:type="dxa"/>
              <w:right w:w="0" w:type="dxa"/>
            </w:tcMar>
            <w:vAlign w:val="center"/>
          </w:tcPr>
          <w:p>
            <w:pPr>
              <w:pStyle w:val="53"/>
              <w:spacing w:before="0" w:beforeLines="0" w:after="0" w:afterLines="0"/>
              <w:jc w:val="center"/>
              <w:rPr>
                <w:rFonts w:hint="default" w:ascii="Times New Roman" w:hAnsi="Times New Roman" w:eastAsia="宋体" w:cs="Times New Roman"/>
                <w:b w:val="0"/>
                <w:bCs w:val="0"/>
                <w:color w:val="auto"/>
                <w:kern w:val="2"/>
                <w:sz w:val="21"/>
                <w:szCs w:val="21"/>
                <w:u w:val="single"/>
                <w:lang w:val="en-US" w:eastAsia="zh-CN"/>
              </w:rPr>
            </w:pPr>
            <w:r>
              <w:rPr>
                <w:rFonts w:hint="eastAsia"/>
                <w:b w:val="0"/>
                <w:bCs/>
                <w:color w:val="auto"/>
                <w:sz w:val="21"/>
                <w:szCs w:val="21"/>
                <w:lang w:val="en-US" w:eastAsia="zh-CN"/>
              </w:rPr>
              <w:t>项目位于实验区范围内</w:t>
            </w:r>
          </w:p>
        </w:tc>
        <w:tc>
          <w:tcPr>
            <w:tcW w:w="2201" w:type="dxa"/>
            <w:noWrap w:val="0"/>
            <w:tcMar>
              <w:left w:w="0" w:type="dxa"/>
              <w:right w:w="0" w:type="dxa"/>
            </w:tcMar>
            <w:vAlign w:val="center"/>
          </w:tcPr>
          <w:p>
            <w:pPr>
              <w:pStyle w:val="53"/>
              <w:spacing w:before="0" w:beforeLines="0" w:after="0" w:afterLines="0"/>
              <w:rPr>
                <w:rFonts w:hint="default" w:ascii="Times New Roman" w:hAnsi="Times New Roman" w:eastAsia="宋体" w:cs="Times New Roman"/>
                <w:b w:val="0"/>
                <w:bCs w:val="0"/>
                <w:color w:val="auto"/>
                <w:kern w:val="2"/>
                <w:sz w:val="21"/>
                <w:szCs w:val="21"/>
                <w:u w:val="single"/>
                <w:lang w:val="en-US" w:eastAsia="zh-CN"/>
              </w:rPr>
            </w:pPr>
            <w:r>
              <w:rPr>
                <w:rFonts w:hint="default" w:ascii="Times New Roman" w:hAnsi="Times New Roman" w:cs="Times New Roman"/>
                <w:b w:val="0"/>
                <w:bCs w:val="0"/>
                <w:color w:val="auto"/>
                <w:kern w:val="2"/>
                <w:sz w:val="21"/>
                <w:szCs w:val="21"/>
                <w:lang w:val="en-US" w:eastAsia="zh-CN"/>
              </w:rPr>
              <w:t>施工期对其</w:t>
            </w:r>
            <w:r>
              <w:rPr>
                <w:rFonts w:hint="eastAsia" w:ascii="Times New Roman" w:hAnsi="Times New Roman" w:cs="Times New Roman"/>
                <w:b w:val="0"/>
                <w:bCs w:val="0"/>
                <w:color w:val="auto"/>
                <w:kern w:val="2"/>
                <w:sz w:val="21"/>
                <w:szCs w:val="21"/>
                <w:lang w:val="en-US" w:eastAsia="zh-CN"/>
              </w:rPr>
              <w:t>自然环境的破坏</w:t>
            </w:r>
          </w:p>
        </w:tc>
        <w:tc>
          <w:tcPr>
            <w:tcW w:w="2580" w:type="dxa"/>
            <w:noWrap w:val="0"/>
            <w:vAlign w:val="center"/>
          </w:tcPr>
          <w:p>
            <w:pPr>
              <w:pStyle w:val="53"/>
              <w:spacing w:before="0" w:beforeLines="0" w:after="0" w:afterLines="0"/>
              <w:rPr>
                <w:rFonts w:hint="default" w:ascii="Times New Roman" w:hAnsi="Times New Roman" w:cs="Times New Roman"/>
                <w:b w:val="0"/>
                <w:bCs w:val="0"/>
                <w:color w:val="auto"/>
                <w:kern w:val="2"/>
                <w:sz w:val="21"/>
                <w:szCs w:val="21"/>
                <w:u w:val="single"/>
                <w:lang w:val="en-US" w:eastAsia="zh-CN"/>
              </w:rPr>
            </w:pPr>
            <w:r>
              <w:rPr>
                <w:rFonts w:hint="default"/>
                <w:b w:val="0"/>
                <w:bCs/>
                <w:color w:val="auto"/>
                <w:sz w:val="21"/>
                <w:szCs w:val="21"/>
                <w:lang w:val="en-US" w:eastAsia="zh-CN"/>
              </w:rPr>
              <w:t>有效保护</w:t>
            </w:r>
            <w:r>
              <w:rPr>
                <w:rFonts w:hint="eastAsia"/>
                <w:b w:val="0"/>
                <w:bCs/>
                <w:color w:val="auto"/>
                <w:sz w:val="21"/>
                <w:szCs w:val="21"/>
                <w:lang w:val="en-US" w:eastAsia="zh-CN"/>
              </w:rPr>
              <w:t>周边</w:t>
            </w:r>
            <w:r>
              <w:rPr>
                <w:rFonts w:hint="default"/>
                <w:b w:val="0"/>
                <w:bCs/>
                <w:color w:val="auto"/>
                <w:sz w:val="21"/>
                <w:szCs w:val="21"/>
                <w:lang w:val="en-US" w:eastAsia="zh-CN"/>
              </w:rPr>
              <w:t>生态环境</w:t>
            </w:r>
            <w:r>
              <w:rPr>
                <w:rFonts w:hint="eastAsia"/>
                <w:b w:val="0"/>
                <w:bCs/>
                <w:color w:val="auto"/>
                <w:sz w:val="21"/>
                <w:szCs w:val="21"/>
                <w:lang w:val="en-US" w:eastAsia="zh-CN"/>
              </w:rPr>
              <w:t>不受本项目影响</w:t>
            </w:r>
          </w:p>
        </w:tc>
      </w:tr>
    </w:tbl>
    <w:p>
      <w:pPr>
        <w:widowControl/>
        <w:adjustRightInd w:val="0"/>
        <w:snapToGrid w:val="0"/>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lang w:val="en-US" w:eastAsia="zh-CN" w:bidi="ar-SA"/>
        </w:rPr>
        <w:sectPr>
          <w:footerReference r:id="rId12" w:type="default"/>
          <w:pgSz w:w="11906" w:h="16838"/>
          <w:pgMar w:top="1440" w:right="1800" w:bottom="1440" w:left="1800" w:header="851" w:footer="1077" w:gutter="0"/>
          <w:pgBorders>
            <w:top w:val="none" w:sz="0" w:space="0"/>
            <w:left w:val="none" w:sz="0" w:space="0"/>
            <w:bottom w:val="none" w:sz="0" w:space="0"/>
            <w:right w:val="none" w:sz="0" w:space="0"/>
          </w:pgBorders>
          <w:pgNumType w:fmt="decimal" w:start="1"/>
          <w:cols w:space="720" w:num="1"/>
          <w:docGrid w:linePitch="312" w:charSpace="0"/>
        </w:sectPr>
      </w:pPr>
    </w:p>
    <w:p>
      <w:pPr>
        <w:widowControl/>
        <w:adjustRightInd w:val="0"/>
        <w:snapToGrid w:val="0"/>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lang w:val="en-US" w:eastAsia="zh-CN" w:bidi="ar-SA"/>
        </w:rPr>
      </w:pPr>
      <w:bookmarkStart w:id="207" w:name="_Toc30542"/>
      <w:bookmarkStart w:id="208" w:name="_Toc12867"/>
      <w:bookmarkStart w:id="209" w:name="_Toc20766"/>
      <w:r>
        <w:rPr>
          <w:rFonts w:ascii="Times New Roman" w:hAnsi="Times New Roman" w:eastAsia="宋体" w:cs="Times New Roman"/>
          <w:b/>
          <w:snapToGrid w:val="0"/>
          <w:color w:val="auto"/>
          <w:kern w:val="0"/>
          <w:sz w:val="30"/>
          <w:szCs w:val="30"/>
          <w:lang w:val="en-US" w:eastAsia="zh-CN" w:bidi="ar-SA"/>
        </w:rPr>
        <w:t>2项目工程分析</w:t>
      </w:r>
      <w:bookmarkEnd w:id="202"/>
      <w:bookmarkEnd w:id="203"/>
      <w:bookmarkEnd w:id="204"/>
      <w:bookmarkEnd w:id="207"/>
      <w:bookmarkEnd w:id="208"/>
      <w:bookmarkEnd w:id="209"/>
    </w:p>
    <w:p>
      <w:pPr>
        <w:keepNext/>
        <w:widowControl w:val="0"/>
        <w:adjustRightInd w:val="0"/>
        <w:snapToGrid w:val="0"/>
        <w:spacing w:line="360" w:lineRule="auto"/>
        <w:ind w:firstLine="0" w:firstLineChars="0"/>
        <w:jc w:val="both"/>
        <w:outlineLvl w:val="1"/>
        <w:rPr>
          <w:rFonts w:hint="eastAsia" w:ascii="Times New Roman" w:hAnsi="Times New Roman" w:eastAsia="宋体" w:cs="Times New Roman"/>
          <w:b/>
          <w:bCs/>
          <w:color w:val="auto"/>
          <w:kern w:val="2"/>
          <w:sz w:val="28"/>
          <w:szCs w:val="28"/>
          <w:lang w:val="en-US" w:eastAsia="zh-CN" w:bidi="ar-SA"/>
        </w:rPr>
      </w:pPr>
      <w:bookmarkStart w:id="210" w:name="_Toc11291"/>
      <w:bookmarkStart w:id="211" w:name="_Toc19947"/>
      <w:bookmarkStart w:id="212" w:name="_Toc19403"/>
      <w:bookmarkStart w:id="213" w:name="_Toc20161"/>
      <w:bookmarkStart w:id="214" w:name="_Toc6415"/>
      <w:bookmarkStart w:id="215" w:name="_Toc15832"/>
      <w:bookmarkStart w:id="216" w:name="_Toc18260"/>
      <w:bookmarkStart w:id="217" w:name="_Toc1117"/>
      <w:r>
        <w:rPr>
          <w:rFonts w:ascii="Times New Roman" w:hAnsi="Times New Roman" w:eastAsia="宋体" w:cs="Times New Roman"/>
          <w:b/>
          <w:bCs/>
          <w:color w:val="auto"/>
          <w:kern w:val="2"/>
          <w:sz w:val="28"/>
          <w:szCs w:val="28"/>
          <w:lang w:val="en-US" w:eastAsia="zh-CN" w:bidi="ar-SA"/>
        </w:rPr>
        <w:t>2.1</w:t>
      </w:r>
      <w:r>
        <w:rPr>
          <w:rFonts w:hint="eastAsia" w:ascii="Times New Roman" w:hAnsi="Times New Roman" w:eastAsia="宋体" w:cs="Times New Roman"/>
          <w:b/>
          <w:bCs/>
          <w:color w:val="auto"/>
          <w:kern w:val="2"/>
          <w:sz w:val="28"/>
          <w:szCs w:val="28"/>
          <w:lang w:val="en-US" w:eastAsia="zh-CN" w:bidi="ar-SA"/>
        </w:rPr>
        <w:t>项目概况</w:t>
      </w:r>
      <w:bookmarkEnd w:id="210"/>
      <w:bookmarkEnd w:id="211"/>
      <w:bookmarkEnd w:id="212"/>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eastAsia" w:ascii="仿宋" w:hAnsi="仿宋" w:eastAsia="仿宋" w:cs="仿宋"/>
          <w:b w:val="0"/>
          <w:bCs w:val="0"/>
          <w:color w:val="auto"/>
          <w:spacing w:val="0"/>
          <w:kern w:val="0"/>
          <w:sz w:val="28"/>
          <w:szCs w:val="28"/>
          <w:lang w:val="en-US" w:eastAsia="zh-CN" w:bidi="ar"/>
        </w:rPr>
      </w:pPr>
      <w:r>
        <w:rPr>
          <w:rFonts w:hint="eastAsia" w:cs="宋体"/>
          <w:bCs/>
          <w:color w:val="auto"/>
          <w:sz w:val="24"/>
          <w:szCs w:val="21"/>
        </w:rPr>
        <w:t>项目名称：</w:t>
      </w:r>
      <w:r>
        <w:rPr>
          <w:rFonts w:hint="eastAsia" w:ascii="Times New Roman" w:hAnsi="Times New Roman" w:eastAsia="宋体" w:cs="宋体"/>
          <w:bCs/>
          <w:color w:val="auto"/>
          <w:sz w:val="24"/>
          <w:szCs w:val="21"/>
          <w:lang w:val="en-US" w:eastAsia="zh-CN"/>
        </w:rPr>
        <w:t>华容县团洲垸灾后重建安置房建设项目</w:t>
      </w:r>
      <w:r>
        <w:rPr>
          <w:rFonts w:hint="eastAsia" w:cs="宋体"/>
          <w:bCs/>
          <w:color w:val="auto"/>
          <w:sz w:val="24"/>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s="宋体"/>
          <w:bCs/>
          <w:color w:val="auto"/>
          <w:sz w:val="24"/>
          <w:szCs w:val="21"/>
          <w:lang w:eastAsia="zh-CN"/>
        </w:rPr>
      </w:pPr>
      <w:r>
        <w:rPr>
          <w:rFonts w:hint="eastAsia" w:cs="宋体"/>
          <w:bCs/>
          <w:color w:val="auto"/>
          <w:sz w:val="24"/>
          <w:szCs w:val="21"/>
        </w:rPr>
        <w:t>建设性质：新建</w:t>
      </w:r>
      <w:r>
        <w:rPr>
          <w:rFonts w:hint="eastAsia" w:cs="宋体"/>
          <w:bCs/>
          <w:color w:val="auto"/>
          <w:sz w:val="24"/>
          <w:szCs w:val="21"/>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eastAsia="宋体" w:cs="宋体"/>
          <w:bCs/>
          <w:color w:val="auto"/>
          <w:sz w:val="24"/>
          <w:szCs w:val="21"/>
          <w:lang w:val="en-US" w:eastAsia="zh-CN"/>
        </w:rPr>
      </w:pPr>
      <w:r>
        <w:rPr>
          <w:rFonts w:hint="eastAsia" w:cs="宋体"/>
          <w:bCs/>
          <w:color w:val="auto"/>
          <w:sz w:val="24"/>
          <w:szCs w:val="21"/>
        </w:rPr>
        <w:t>建设</w:t>
      </w:r>
      <w:r>
        <w:rPr>
          <w:rFonts w:hint="eastAsia" w:ascii="Times New Roman" w:hAnsi="Times New Roman" w:eastAsia="宋体" w:cs="宋体"/>
          <w:bCs/>
          <w:color w:val="auto"/>
          <w:sz w:val="24"/>
          <w:szCs w:val="21"/>
        </w:rPr>
        <w:t>单位：</w:t>
      </w:r>
      <w:r>
        <w:rPr>
          <w:rFonts w:hint="eastAsia" w:ascii="Times New Roman" w:hAnsi="Times New Roman" w:eastAsia="宋体" w:cs="宋体"/>
          <w:bCs/>
          <w:color w:val="auto"/>
          <w:sz w:val="24"/>
          <w:szCs w:val="21"/>
          <w:lang w:val="en-US" w:eastAsia="zh-CN"/>
        </w:rPr>
        <w:t>华容县住房和城乡建设局</w:t>
      </w:r>
      <w:r>
        <w:rPr>
          <w:rFonts w:hint="eastAsia" w:cs="宋体"/>
          <w:bCs/>
          <w:color w:val="auto"/>
          <w:sz w:val="24"/>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cs="宋体"/>
          <w:bCs/>
          <w:color w:val="auto"/>
          <w:sz w:val="24"/>
          <w:szCs w:val="21"/>
        </w:rPr>
        <w:t>建设地点：</w:t>
      </w:r>
      <w:r>
        <w:rPr>
          <w:rFonts w:hint="eastAsia" w:ascii="Times New Roman" w:hAnsi="Times New Roman" w:eastAsia="宋体" w:cs="宋体"/>
          <w:bCs/>
          <w:color w:val="auto"/>
          <w:sz w:val="24"/>
          <w:szCs w:val="21"/>
          <w:lang w:val="en-US" w:eastAsia="zh-CN"/>
        </w:rPr>
        <w:t>项目建设地点位于华容县团洲安全垸内团洲花园小区</w:t>
      </w:r>
      <w:r>
        <w:rPr>
          <w:rFonts w:hint="eastAsia" w:cs="宋体"/>
          <w:bCs/>
          <w:color w:val="auto"/>
          <w:sz w:val="24"/>
          <w:szCs w:val="21"/>
          <w:lang w:val="en-US" w:eastAsia="zh-CN"/>
        </w:rPr>
        <w:t>东侧，南电排渠西侧。</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s="宋体"/>
          <w:bCs/>
          <w:color w:val="auto"/>
          <w:sz w:val="24"/>
          <w:szCs w:val="21"/>
          <w:lang w:eastAsia="zh-CN"/>
        </w:rPr>
      </w:pPr>
      <w:r>
        <w:rPr>
          <w:rFonts w:hint="eastAsia" w:ascii="Times New Roman" w:hAnsi="Times New Roman" w:eastAsia="宋体" w:cs="宋体"/>
          <w:bCs/>
          <w:color w:val="auto"/>
          <w:sz w:val="24"/>
          <w:szCs w:val="21"/>
          <w:lang w:val="en-US" w:eastAsia="zh-CN"/>
        </w:rPr>
        <w:t>中心坐标：东经 112.79805</w:t>
      </w:r>
      <w:r>
        <w:rPr>
          <w:rFonts w:hint="eastAsia" w:cs="宋体"/>
          <w:bCs/>
          <w:color w:val="auto"/>
          <w:sz w:val="24"/>
          <w:szCs w:val="21"/>
          <w:lang w:val="en-US" w:eastAsia="zh-CN"/>
        </w:rPr>
        <w:t>5</w:t>
      </w:r>
      <w:r>
        <w:rPr>
          <w:rFonts w:hint="eastAsia" w:ascii="Times New Roman" w:hAnsi="Times New Roman" w:eastAsia="宋体" w:cs="宋体"/>
          <w:bCs/>
          <w:color w:val="auto"/>
          <w:sz w:val="24"/>
          <w:szCs w:val="21"/>
          <w:lang w:val="en-US" w:eastAsia="zh-CN"/>
        </w:rPr>
        <w:t>；</w:t>
      </w:r>
      <w:r>
        <w:rPr>
          <w:rFonts w:hint="eastAsia" w:cs="宋体"/>
          <w:bCs/>
          <w:color w:val="auto"/>
          <w:sz w:val="24"/>
          <w:szCs w:val="21"/>
        </w:rPr>
        <w:t>北纬</w:t>
      </w:r>
      <w:r>
        <w:rPr>
          <w:rFonts w:hint="eastAsia" w:ascii="Times New Roman" w:hAnsi="Times New Roman" w:eastAsia="宋体" w:cs="宋体"/>
          <w:bCs/>
          <w:color w:val="auto"/>
          <w:sz w:val="24"/>
          <w:szCs w:val="21"/>
          <w:lang w:val="en-US" w:eastAsia="zh-CN"/>
        </w:rPr>
        <w:t>29.33525</w:t>
      </w:r>
      <w:r>
        <w:rPr>
          <w:rFonts w:hint="eastAsia" w:cs="宋体"/>
          <w:bCs/>
          <w:color w:val="auto"/>
          <w:sz w:val="24"/>
          <w:szCs w:val="21"/>
          <w:lang w:val="en-US" w:eastAsia="zh-CN"/>
        </w:rPr>
        <w:t>8</w:t>
      </w:r>
      <w:r>
        <w:rPr>
          <w:rFonts w:hint="eastAsia" w:cs="宋体"/>
          <w:bCs/>
          <w:color w:val="auto"/>
          <w:sz w:val="24"/>
          <w:szCs w:val="21"/>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highlight w:val="none"/>
          <w:lang w:val="en-US" w:eastAsia="zh-CN"/>
        </w:rPr>
      </w:pPr>
      <w:r>
        <w:rPr>
          <w:rFonts w:hint="eastAsia" w:cs="宋体"/>
          <w:bCs/>
          <w:color w:val="auto"/>
          <w:sz w:val="24"/>
          <w:szCs w:val="21"/>
        </w:rPr>
        <w:t>项目投资：总投</w:t>
      </w:r>
      <w:r>
        <w:rPr>
          <w:rFonts w:hint="eastAsia" w:ascii="Times New Roman" w:hAnsi="Times New Roman" w:eastAsia="宋体" w:cs="宋体"/>
          <w:bCs/>
          <w:color w:val="auto"/>
          <w:sz w:val="24"/>
          <w:szCs w:val="21"/>
          <w:lang w:val="en-US" w:eastAsia="zh-CN"/>
        </w:rPr>
        <w:t>资</w:t>
      </w:r>
      <w:r>
        <w:rPr>
          <w:rFonts w:hint="eastAsia" w:cs="宋体"/>
          <w:bCs/>
          <w:color w:val="auto"/>
          <w:sz w:val="24"/>
          <w:szCs w:val="21"/>
          <w:lang w:val="en-US" w:eastAsia="zh-CN"/>
        </w:rPr>
        <w:t>89555</w:t>
      </w:r>
      <w:r>
        <w:rPr>
          <w:rFonts w:hint="eastAsia" w:ascii="Times New Roman" w:hAnsi="Times New Roman" w:eastAsia="宋体" w:cs="宋体"/>
          <w:bCs/>
          <w:color w:val="auto"/>
          <w:sz w:val="24"/>
          <w:szCs w:val="21"/>
          <w:lang w:val="en-US" w:eastAsia="zh-CN"/>
        </w:rPr>
        <w:t>万元，其中环保投资</w:t>
      </w:r>
      <w:r>
        <w:rPr>
          <w:rFonts w:hint="eastAsia" w:cs="宋体"/>
          <w:bCs/>
          <w:color w:val="auto"/>
          <w:sz w:val="24"/>
          <w:szCs w:val="21"/>
          <w:lang w:val="en-US" w:eastAsia="zh-CN"/>
        </w:rPr>
        <w:t>620</w:t>
      </w:r>
      <w:r>
        <w:rPr>
          <w:rFonts w:hint="eastAsia" w:ascii="Times New Roman" w:hAnsi="Times New Roman" w:eastAsia="宋体" w:cs="宋体"/>
          <w:bCs/>
          <w:color w:val="auto"/>
          <w:sz w:val="24"/>
          <w:szCs w:val="21"/>
          <w:highlight w:val="none"/>
          <w:lang w:val="en-US" w:eastAsia="zh-CN"/>
        </w:rPr>
        <w:t>万元，占总投资的</w:t>
      </w:r>
      <w:r>
        <w:rPr>
          <w:rFonts w:hint="eastAsia" w:cs="宋体"/>
          <w:bCs/>
          <w:color w:val="auto"/>
          <w:sz w:val="24"/>
          <w:szCs w:val="21"/>
          <w:highlight w:val="none"/>
          <w:lang w:val="en-US" w:eastAsia="zh-CN"/>
        </w:rPr>
        <w:t>0.69</w:t>
      </w:r>
      <w:r>
        <w:rPr>
          <w:rFonts w:hint="eastAsia" w:ascii="Times New Roman" w:hAnsi="Times New Roman" w:eastAsia="宋体" w:cs="宋体"/>
          <w:bCs/>
          <w:color w:val="auto"/>
          <w:sz w:val="24"/>
          <w:szCs w:val="21"/>
          <w:highlight w:val="none"/>
          <w:lang w:val="en-US" w:eastAsia="zh-CN"/>
        </w:rPr>
        <w:t>%，</w:t>
      </w:r>
      <w:r>
        <w:rPr>
          <w:rFonts w:hint="eastAsia" w:ascii="Times New Roman" w:hAnsi="Times New Roman" w:eastAsia="宋体" w:cs="宋体"/>
          <w:bCs/>
          <w:color w:val="auto"/>
          <w:sz w:val="24"/>
          <w:szCs w:val="21"/>
          <w:lang w:val="en-US" w:eastAsia="zh-CN"/>
        </w:rPr>
        <w:t>资金来源：县财政整</w:t>
      </w:r>
      <w:r>
        <w:rPr>
          <w:rFonts w:hint="eastAsia" w:ascii="Times New Roman" w:hAnsi="Times New Roman" w:eastAsia="宋体" w:cs="宋体"/>
          <w:bCs/>
          <w:color w:val="auto"/>
          <w:sz w:val="24"/>
          <w:szCs w:val="21"/>
          <w:highlight w:val="none"/>
          <w:lang w:val="en-US" w:eastAsia="zh-CN"/>
        </w:rPr>
        <w:t xml:space="preserve">合相关救灾补助资金、危房改造项目资金、社 </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cs="宋体"/>
          <w:bCs/>
          <w:color w:val="auto"/>
          <w:sz w:val="24"/>
          <w:szCs w:val="21"/>
          <w:highlight w:val="none"/>
        </w:rPr>
      </w:pPr>
      <w:r>
        <w:rPr>
          <w:rFonts w:hint="eastAsia" w:ascii="Times New Roman" w:hAnsi="Times New Roman" w:eastAsia="宋体" w:cs="宋体"/>
          <w:bCs/>
          <w:color w:val="auto"/>
          <w:sz w:val="24"/>
          <w:szCs w:val="21"/>
          <w:highlight w:val="none"/>
          <w:lang w:val="en-US" w:eastAsia="zh-CN"/>
        </w:rPr>
        <w:t>会捐赠资金和受灾群众部分自筹。</w:t>
      </w:r>
    </w:p>
    <w:p>
      <w:pPr>
        <w:widowControl w:val="0"/>
        <w:adjustRightInd w:val="0"/>
        <w:snapToGrid w:val="0"/>
        <w:spacing w:line="360" w:lineRule="auto"/>
        <w:ind w:firstLine="480" w:firstLineChars="200"/>
        <w:jc w:val="both"/>
        <w:rPr>
          <w:rFonts w:hint="eastAsia" w:cs="宋体"/>
          <w:bCs/>
          <w:color w:val="auto"/>
          <w:sz w:val="24"/>
          <w:szCs w:val="28"/>
          <w:vertAlign w:val="baseline"/>
          <w:lang w:eastAsia="zh-CN"/>
        </w:rPr>
      </w:pPr>
      <w:r>
        <w:rPr>
          <w:rFonts w:hint="eastAsia" w:cs="宋体"/>
          <w:bCs/>
          <w:color w:val="auto"/>
          <w:sz w:val="24"/>
          <w:szCs w:val="21"/>
        </w:rPr>
        <w:t>占地面积：约</w:t>
      </w:r>
      <w:r>
        <w:rPr>
          <w:rFonts w:hint="eastAsia" w:cs="宋体"/>
          <w:bCs/>
          <w:color w:val="auto"/>
          <w:sz w:val="24"/>
          <w:szCs w:val="21"/>
          <w:lang w:val="en-US" w:eastAsia="zh-CN"/>
        </w:rPr>
        <w:t>276905</w:t>
      </w:r>
      <w:r>
        <w:rPr>
          <w:rFonts w:hint="eastAsia" w:cs="宋体"/>
          <w:bCs/>
          <w:color w:val="auto"/>
          <w:sz w:val="24"/>
          <w:szCs w:val="21"/>
        </w:rPr>
        <w:t>m</w:t>
      </w:r>
      <w:r>
        <w:rPr>
          <w:rFonts w:hint="eastAsia" w:cs="宋体"/>
          <w:bCs/>
          <w:color w:val="auto"/>
          <w:sz w:val="24"/>
          <w:szCs w:val="28"/>
          <w:vertAlign w:val="superscript"/>
        </w:rPr>
        <w:t>2</w:t>
      </w:r>
      <w:r>
        <w:rPr>
          <w:rFonts w:hint="eastAsia" w:cs="宋体"/>
          <w:bCs/>
          <w:color w:val="auto"/>
          <w:sz w:val="24"/>
          <w:szCs w:val="28"/>
          <w:vertAlign w:val="baseline"/>
          <w:lang w:eastAsia="zh-CN"/>
        </w:rPr>
        <w:t>。</w:t>
      </w:r>
    </w:p>
    <w:p>
      <w:pPr>
        <w:widowControl w:val="0"/>
        <w:adjustRightInd w:val="0"/>
        <w:snapToGrid w:val="0"/>
        <w:spacing w:line="360" w:lineRule="auto"/>
        <w:ind w:firstLine="480" w:firstLineChars="200"/>
        <w:jc w:val="both"/>
        <w:rPr>
          <w:rFonts w:hint="eastAsia" w:ascii="Times New Roman" w:hAnsi="Times New Roman" w:eastAsia="宋体" w:cs="Times New Roman"/>
          <w:color w:val="auto"/>
          <w:kern w:val="2"/>
          <w:sz w:val="24"/>
          <w:szCs w:val="24"/>
          <w:u w:val="none"/>
          <w:lang w:val="en-US" w:eastAsia="zh-CN" w:bidi="ar-SA"/>
        </w:rPr>
      </w:pPr>
      <w:r>
        <w:rPr>
          <w:rFonts w:hint="default" w:ascii="Times New Roman" w:hAnsi="Times New Roman" w:eastAsia="宋体" w:cs="宋体"/>
          <w:bCs/>
          <w:color w:val="auto"/>
          <w:sz w:val="24"/>
          <w:szCs w:val="21"/>
          <w:lang w:val="en-US" w:eastAsia="zh-CN"/>
        </w:rPr>
        <w:t>建设进度：</w:t>
      </w:r>
      <w:r>
        <w:rPr>
          <w:rFonts w:hint="eastAsia" w:ascii="Times New Roman" w:hAnsi="Times New Roman" w:eastAsia="宋体" w:cs="宋体"/>
          <w:bCs/>
          <w:color w:val="auto"/>
          <w:sz w:val="24"/>
          <w:szCs w:val="21"/>
          <w:lang w:val="en-US" w:eastAsia="zh-CN"/>
        </w:rPr>
        <w:t>项目为灾后重建应急工程，为尽快使受灾人民恢复正常生产生活秩序，项目已提前施工，目前项目已建成，已有零星住户入住</w:t>
      </w:r>
      <w:r>
        <w:rPr>
          <w:rFonts w:hint="default" w:ascii="Times New Roman" w:hAnsi="Times New Roman" w:eastAsia="宋体" w:cs="Times New Roman"/>
          <w:color w:val="auto"/>
          <w:kern w:val="2"/>
          <w:sz w:val="24"/>
          <w:szCs w:val="24"/>
          <w:u w:val="none"/>
          <w:lang w:val="en-US" w:eastAsia="zh-CN" w:bidi="ar-SA"/>
        </w:rPr>
        <w:t>。</w:t>
      </w:r>
    </w:p>
    <w:p>
      <w:pPr>
        <w:keepNext/>
        <w:widowControl w:val="0"/>
        <w:adjustRightInd w:val="0"/>
        <w:snapToGrid w:val="0"/>
        <w:spacing w:line="360" w:lineRule="auto"/>
        <w:ind w:firstLine="0" w:firstLineChars="0"/>
        <w:jc w:val="both"/>
        <w:outlineLvl w:val="1"/>
        <w:rPr>
          <w:rFonts w:ascii="Times New Roman" w:hAnsi="Times New Roman" w:eastAsia="宋体" w:cs="Times New Roman"/>
          <w:b/>
          <w:bCs/>
          <w:color w:val="auto"/>
          <w:kern w:val="2"/>
          <w:sz w:val="28"/>
          <w:szCs w:val="28"/>
          <w:lang w:val="en-US" w:eastAsia="zh-CN" w:bidi="ar-SA"/>
        </w:rPr>
      </w:pPr>
      <w:bookmarkStart w:id="218" w:name="_Toc1418"/>
      <w:bookmarkStart w:id="219" w:name="_Toc1717"/>
      <w:bookmarkStart w:id="220" w:name="_Toc22388"/>
      <w:r>
        <w:rPr>
          <w:rFonts w:hint="eastAsia" w:ascii="Times New Roman" w:hAnsi="Times New Roman" w:eastAsia="宋体" w:cs="Times New Roman"/>
          <w:b/>
          <w:bCs/>
          <w:color w:val="auto"/>
          <w:kern w:val="2"/>
          <w:sz w:val="28"/>
          <w:szCs w:val="28"/>
          <w:lang w:val="en-US" w:eastAsia="zh-CN" w:bidi="ar-SA"/>
        </w:rPr>
        <w:t>2.2</w:t>
      </w:r>
      <w:r>
        <w:rPr>
          <w:rFonts w:ascii="Times New Roman" w:hAnsi="Times New Roman" w:eastAsia="宋体" w:cs="Times New Roman"/>
          <w:b/>
          <w:bCs/>
          <w:color w:val="auto"/>
          <w:kern w:val="2"/>
          <w:sz w:val="28"/>
          <w:szCs w:val="28"/>
          <w:lang w:val="en-US" w:eastAsia="zh-CN" w:bidi="ar-SA"/>
        </w:rPr>
        <w:t>工程建设内容</w:t>
      </w:r>
      <w:bookmarkEnd w:id="213"/>
      <w:bookmarkEnd w:id="214"/>
      <w:bookmarkEnd w:id="215"/>
      <w:bookmarkEnd w:id="216"/>
      <w:bookmarkEnd w:id="217"/>
      <w:bookmarkEnd w:id="218"/>
      <w:bookmarkEnd w:id="219"/>
      <w:bookmarkEnd w:id="220"/>
    </w:p>
    <w:p>
      <w:pPr>
        <w:adjustRightInd w:val="0"/>
        <w:snapToGrid w:val="0"/>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项目工程建设内容</w:t>
      </w:r>
      <w:r>
        <w:rPr>
          <w:rFonts w:ascii="Times New Roman" w:hAnsi="Times New Roman" w:eastAsia="宋体" w:cs="Times New Roman"/>
          <w:color w:val="auto"/>
          <w:sz w:val="24"/>
        </w:rPr>
        <w:t>详见</w:t>
      </w:r>
      <w:r>
        <w:rPr>
          <w:rFonts w:hint="eastAsia" w:ascii="Times New Roman" w:hAnsi="Times New Roman" w:eastAsia="宋体" w:cs="Times New Roman"/>
          <w:color w:val="auto"/>
          <w:sz w:val="24"/>
        </w:rPr>
        <w:t>本</w:t>
      </w:r>
      <w:r>
        <w:rPr>
          <w:rFonts w:ascii="Times New Roman" w:hAnsi="Times New Roman" w:eastAsia="宋体" w:cs="Times New Roman"/>
          <w:color w:val="auto"/>
          <w:sz w:val="24"/>
        </w:rPr>
        <w:t>报告表中第二章节。</w:t>
      </w:r>
    </w:p>
    <w:p>
      <w:pPr>
        <w:keepNext/>
        <w:widowControl w:val="0"/>
        <w:overflowPunct w:val="0"/>
        <w:adjustRightInd w:val="0"/>
        <w:snapToGrid w:val="0"/>
        <w:spacing w:before="0" w:after="0" w:line="360" w:lineRule="auto"/>
        <w:ind w:left="0" w:firstLine="0"/>
        <w:jc w:val="both"/>
        <w:outlineLvl w:val="0"/>
        <w:rPr>
          <w:rFonts w:ascii="Times New Roman" w:hAnsi="Times New Roman" w:eastAsia="黑体" w:cs="Times New Roman"/>
          <w:b/>
          <w:bCs/>
          <w:color w:val="auto"/>
          <w:kern w:val="44"/>
          <w:sz w:val="30"/>
          <w:szCs w:val="30"/>
          <w:u w:val="single"/>
          <w:lang w:val="en-US" w:eastAsia="zh-CN" w:bidi="ar-SA"/>
        </w:rPr>
      </w:pPr>
      <w:r>
        <w:rPr>
          <w:rFonts w:ascii="Times New Roman" w:hAnsi="Times New Roman" w:eastAsia="黑体" w:cs="Times New Roman"/>
          <w:b/>
          <w:bCs/>
          <w:color w:val="auto"/>
          <w:kern w:val="44"/>
          <w:sz w:val="30"/>
          <w:szCs w:val="30"/>
          <w:lang w:val="en-US" w:eastAsia="zh-CN" w:bidi="ar-SA"/>
        </w:rPr>
        <w:br w:type="page"/>
      </w:r>
      <w:bookmarkStart w:id="221" w:name="_Toc11734"/>
      <w:bookmarkStart w:id="222" w:name="_Toc3389"/>
      <w:bookmarkStart w:id="223" w:name="_Toc26877"/>
      <w:bookmarkStart w:id="224" w:name="_Toc17428"/>
      <w:bookmarkStart w:id="225" w:name="_Toc1655"/>
      <w:bookmarkStart w:id="226" w:name="_Toc2504"/>
      <w:r>
        <w:rPr>
          <w:rFonts w:ascii="Times New Roman" w:hAnsi="Times New Roman" w:eastAsia="宋体" w:cs="Times New Roman"/>
          <w:b/>
          <w:bCs w:val="0"/>
          <w:snapToGrid w:val="0"/>
          <w:color w:val="auto"/>
          <w:kern w:val="0"/>
          <w:sz w:val="30"/>
          <w:szCs w:val="30"/>
          <w:lang w:val="en-US" w:eastAsia="zh-CN" w:bidi="ar-SA"/>
        </w:rPr>
        <w:t>3生态环境现状调查与评价</w:t>
      </w:r>
      <w:bookmarkEnd w:id="205"/>
      <w:bookmarkEnd w:id="206"/>
      <w:bookmarkEnd w:id="221"/>
      <w:bookmarkEnd w:id="222"/>
      <w:bookmarkEnd w:id="223"/>
      <w:bookmarkEnd w:id="224"/>
      <w:bookmarkEnd w:id="225"/>
      <w:bookmarkEnd w:id="226"/>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bookmarkStart w:id="227" w:name="_Toc24962"/>
      <w:bookmarkStart w:id="228" w:name="_Toc28113"/>
      <w:bookmarkStart w:id="229" w:name="_Toc32502"/>
      <w:bookmarkStart w:id="230" w:name="_Toc19759"/>
      <w:bookmarkStart w:id="231" w:name="_Toc21211"/>
      <w:bookmarkStart w:id="232" w:name="_Toc2011"/>
      <w:bookmarkStart w:id="233" w:name="_Toc25187"/>
      <w:bookmarkStart w:id="234" w:name="_Toc1083"/>
      <w:bookmarkStart w:id="235" w:name="_Toc3320"/>
      <w:r>
        <w:rPr>
          <w:rFonts w:hint="eastAsia" w:ascii="Times New Roman" w:hAnsi="Times New Roman" w:eastAsia="宋体" w:cs="宋体"/>
          <w:bCs/>
          <w:color w:val="auto"/>
          <w:sz w:val="24"/>
          <w:szCs w:val="21"/>
          <w:lang w:val="en-US" w:eastAsia="zh-CN"/>
        </w:rPr>
        <w:t>本项目与2025年3月委托湖南</w:t>
      </w:r>
      <w:r>
        <w:rPr>
          <w:rFonts w:hint="default" w:ascii="Times New Roman" w:hAnsi="Times New Roman" w:eastAsia="宋体" w:cs="宋体"/>
          <w:bCs/>
          <w:color w:val="auto"/>
          <w:sz w:val="24"/>
          <w:szCs w:val="21"/>
          <w:lang w:val="en-US" w:eastAsia="zh-CN"/>
        </w:rPr>
        <w:t>绿湘生态科技有限公司</w:t>
      </w:r>
      <w:r>
        <w:rPr>
          <w:rFonts w:hint="eastAsia" w:ascii="Times New Roman" w:hAnsi="Times New Roman" w:eastAsia="宋体" w:cs="宋体"/>
          <w:bCs/>
          <w:color w:val="auto"/>
          <w:sz w:val="24"/>
          <w:szCs w:val="21"/>
          <w:lang w:val="en-US" w:eastAsia="zh-CN"/>
        </w:rPr>
        <w:t>进行了《</w:t>
      </w:r>
      <w:r>
        <w:rPr>
          <w:rFonts w:hint="default" w:ascii="Times New Roman" w:hAnsi="Times New Roman" w:eastAsia="宋体" w:cs="宋体"/>
          <w:bCs/>
          <w:color w:val="auto"/>
          <w:sz w:val="24"/>
          <w:szCs w:val="21"/>
          <w:lang w:val="en-US" w:eastAsia="zh-CN"/>
        </w:rPr>
        <w:t>华容县团洲垸决口灾后农村居民集中安置房项目</w:t>
      </w:r>
      <w:r>
        <w:rPr>
          <w:rFonts w:hint="eastAsia" w:ascii="Times New Roman" w:hAnsi="Times New Roman" w:eastAsia="宋体" w:cs="宋体"/>
          <w:bCs/>
          <w:color w:val="auto"/>
          <w:sz w:val="24"/>
          <w:szCs w:val="21"/>
          <w:lang w:val="en-US" w:eastAsia="zh-CN"/>
        </w:rPr>
        <w:t>对湖南东洞庭湖国家级自然保护区生物多样性影响评价报告》并已通过湖南省林业局审查（详见附件</w:t>
      </w:r>
      <w:r>
        <w:rPr>
          <w:rFonts w:hint="eastAsia" w:cs="宋体"/>
          <w:bCs/>
          <w:color w:val="auto"/>
          <w:sz w:val="24"/>
          <w:szCs w:val="21"/>
          <w:lang w:val="en-US" w:eastAsia="zh-CN"/>
        </w:rPr>
        <w:t>中</w:t>
      </w:r>
      <w:r>
        <w:rPr>
          <w:rFonts w:hint="eastAsia" w:ascii="Times New Roman" w:hAnsi="Times New Roman" w:eastAsia="宋体" w:cs="宋体"/>
          <w:bCs/>
          <w:color w:val="auto"/>
          <w:sz w:val="24"/>
          <w:szCs w:val="21"/>
          <w:lang w:val="en-US" w:eastAsia="zh-CN"/>
        </w:rPr>
        <w:t xml:space="preserve"> </w:t>
      </w:r>
      <w:r>
        <w:rPr>
          <w:rFonts w:hint="default" w:ascii="Times New Roman" w:hAnsi="Times New Roman" w:eastAsia="宋体" w:cs="宋体"/>
          <w:bCs/>
          <w:color w:val="auto"/>
          <w:sz w:val="24"/>
          <w:szCs w:val="21"/>
          <w:lang w:val="en-US" w:eastAsia="zh-CN"/>
        </w:rPr>
        <w:t>湘林保函〔2025〕13号</w:t>
      </w:r>
      <w:r>
        <w:rPr>
          <w:rFonts w:hint="eastAsia" w:cs="宋体"/>
          <w:bCs/>
          <w:color w:val="auto"/>
          <w:sz w:val="24"/>
          <w:szCs w:val="21"/>
          <w:lang w:val="en-US" w:eastAsia="zh-CN"/>
        </w:rPr>
        <w:t>文件</w:t>
      </w:r>
      <w:r>
        <w:rPr>
          <w:rFonts w:hint="eastAsia" w:ascii="Times New Roman" w:hAnsi="Times New Roman" w:eastAsia="宋体" w:cs="宋体"/>
          <w:bCs/>
          <w:color w:val="auto"/>
          <w:sz w:val="24"/>
          <w:szCs w:val="21"/>
          <w:lang w:val="en-US" w:eastAsia="zh-CN"/>
        </w:rPr>
        <w:t>），本次</w:t>
      </w:r>
      <w:r>
        <w:rPr>
          <w:rFonts w:hint="eastAsia" w:cs="宋体"/>
          <w:bCs/>
          <w:color w:val="auto"/>
          <w:sz w:val="24"/>
          <w:szCs w:val="21"/>
          <w:lang w:val="en-US" w:eastAsia="zh-CN"/>
        </w:rPr>
        <w:t>生态环境现状</w:t>
      </w:r>
      <w:r>
        <w:rPr>
          <w:rFonts w:hint="eastAsia" w:ascii="Times New Roman" w:hAnsi="Times New Roman" w:eastAsia="宋体" w:cs="宋体"/>
          <w:bCs/>
          <w:color w:val="auto"/>
          <w:sz w:val="24"/>
          <w:szCs w:val="21"/>
          <w:lang w:val="en-US" w:eastAsia="zh-CN"/>
        </w:rPr>
        <w:t>评价部分引用</w:t>
      </w:r>
      <w:r>
        <w:rPr>
          <w:rFonts w:hint="eastAsia" w:cs="宋体"/>
          <w:bCs/>
          <w:color w:val="auto"/>
          <w:sz w:val="24"/>
          <w:szCs w:val="21"/>
          <w:lang w:val="en-US" w:eastAsia="zh-CN"/>
        </w:rPr>
        <w:t>该</w:t>
      </w:r>
      <w:r>
        <w:rPr>
          <w:rFonts w:hint="eastAsia" w:ascii="Times New Roman" w:hAnsi="Times New Roman" w:eastAsia="宋体" w:cs="宋体"/>
          <w:bCs/>
          <w:color w:val="auto"/>
          <w:sz w:val="24"/>
          <w:szCs w:val="21"/>
          <w:lang w:val="en-US" w:eastAsia="zh-CN"/>
        </w:rPr>
        <w:t>评价报告中相关内容</w:t>
      </w:r>
      <w:r>
        <w:rPr>
          <w:rFonts w:hint="eastAsia" w:cs="宋体"/>
          <w:bCs/>
          <w:color w:val="auto"/>
          <w:sz w:val="24"/>
          <w:szCs w:val="21"/>
          <w:lang w:val="en-US" w:eastAsia="zh-CN"/>
        </w:rPr>
        <w:t>。</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236" w:name="_Toc15910"/>
      <w:r>
        <w:rPr>
          <w:rFonts w:ascii="Times New Roman" w:hAnsi="Times New Roman" w:eastAsia="宋体" w:cs="Times New Roman"/>
          <w:b/>
          <w:bCs/>
          <w:color w:val="auto"/>
          <w:kern w:val="2"/>
          <w:sz w:val="28"/>
          <w:szCs w:val="28"/>
          <w:lang w:val="en-US" w:eastAsia="zh-CN" w:bidi="ar-SA"/>
        </w:rPr>
        <w:t>3.1</w:t>
      </w:r>
      <w:r>
        <w:rPr>
          <w:rFonts w:hint="eastAsia" w:ascii="Times New Roman" w:hAnsi="Times New Roman" w:eastAsia="宋体" w:cs="Times New Roman"/>
          <w:b/>
          <w:bCs/>
          <w:color w:val="auto"/>
          <w:kern w:val="2"/>
          <w:sz w:val="28"/>
          <w:szCs w:val="28"/>
          <w:lang w:val="en-US" w:eastAsia="zh-CN" w:bidi="ar-SA"/>
        </w:rPr>
        <w:t>土地利用现状</w:t>
      </w:r>
      <w:bookmarkEnd w:id="227"/>
      <w:bookmarkEnd w:id="228"/>
      <w:bookmarkEnd w:id="236"/>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highlight w:val="none"/>
          <w:lang w:val="en-US" w:eastAsia="zh-CN"/>
        </w:rPr>
      </w:pPr>
      <w:r>
        <w:rPr>
          <w:rFonts w:hint="default" w:ascii="Times New Roman" w:hAnsi="Times New Roman" w:eastAsia="宋体" w:cs="宋体"/>
          <w:bCs/>
          <w:color w:val="auto"/>
          <w:sz w:val="24"/>
          <w:szCs w:val="21"/>
          <w:highlight w:val="none"/>
          <w:lang w:val="en-US" w:eastAsia="zh-CN"/>
        </w:rPr>
        <w:t>根据规划，本工程项目永久</w:t>
      </w:r>
      <w:r>
        <w:rPr>
          <w:rFonts w:hint="default" w:ascii="Times New Roman" w:hAnsi="Times New Roman" w:eastAsia="宋体" w:cs="宋体"/>
          <w:bCs/>
          <w:color w:val="auto"/>
          <w:sz w:val="24"/>
          <w:szCs w:val="21"/>
          <w:lang w:val="en-US" w:eastAsia="zh-CN"/>
        </w:rPr>
        <w:t>占地</w:t>
      </w:r>
      <w:r>
        <w:rPr>
          <w:rFonts w:hint="eastAsia" w:ascii="Times New Roman" w:hAnsi="Times New Roman" w:eastAsia="宋体" w:cs="宋体"/>
          <w:bCs/>
          <w:color w:val="auto"/>
          <w:sz w:val="24"/>
          <w:szCs w:val="21"/>
          <w:lang w:val="en-US" w:eastAsia="zh-CN"/>
        </w:rPr>
        <w:t>276905</w:t>
      </w:r>
      <w:r>
        <w:rPr>
          <w:rFonts w:hint="default" w:ascii="Times New Roman" w:hAnsi="Times New Roman" w:eastAsia="宋体" w:cs="宋体"/>
          <w:bCs/>
          <w:color w:val="auto"/>
          <w:sz w:val="24"/>
          <w:szCs w:val="21"/>
          <w:lang w:val="en-US" w:eastAsia="zh-CN"/>
        </w:rPr>
        <w:t>m</w:t>
      </w:r>
      <w:r>
        <w:rPr>
          <w:rFonts w:hint="default" w:ascii="Times New Roman" w:hAnsi="Times New Roman" w:eastAsia="宋体" w:cs="宋体"/>
          <w:bCs/>
          <w:color w:val="auto"/>
          <w:sz w:val="24"/>
          <w:szCs w:val="21"/>
          <w:vertAlign w:val="superscript"/>
          <w:lang w:val="en-US" w:eastAsia="zh-CN"/>
        </w:rPr>
        <w:t>2</w:t>
      </w:r>
      <w:r>
        <w:rPr>
          <w:rFonts w:hint="default" w:ascii="Times New Roman" w:hAnsi="Times New Roman" w:eastAsia="宋体" w:cs="宋体"/>
          <w:bCs/>
          <w:color w:val="auto"/>
          <w:sz w:val="24"/>
          <w:szCs w:val="21"/>
          <w:lang w:val="en-US" w:eastAsia="zh-CN"/>
        </w:rPr>
        <w:t>，占地类型主要为</w:t>
      </w:r>
      <w:r>
        <w:rPr>
          <w:rFonts w:hint="eastAsia" w:ascii="Times New Roman" w:hAnsi="Times New Roman" w:eastAsia="宋体" w:cs="宋体"/>
          <w:bCs/>
          <w:color w:val="auto"/>
          <w:sz w:val="24"/>
          <w:szCs w:val="21"/>
          <w:lang w:val="en-US" w:eastAsia="zh-CN"/>
        </w:rPr>
        <w:t>耕地</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该项目建设用地占用耕地面积</w:t>
      </w:r>
      <w:r>
        <w:rPr>
          <w:rFonts w:hint="default" w:ascii="Times New Roman" w:hAnsi="Times New Roman" w:eastAsia="宋体" w:cs="宋体"/>
          <w:bCs/>
          <w:color w:val="auto"/>
          <w:sz w:val="24"/>
          <w:szCs w:val="21"/>
          <w:lang w:val="en-US" w:eastAsia="zh-CN"/>
        </w:rPr>
        <w:t>24.1634 hm</w:t>
      </w:r>
      <w:r>
        <w:rPr>
          <w:rFonts w:hint="default" w:ascii="Times New Roman" w:hAnsi="Times New Roman" w:eastAsia="宋体" w:cs="宋体"/>
          <w:bCs/>
          <w:color w:val="auto"/>
          <w:sz w:val="24"/>
          <w:szCs w:val="21"/>
          <w:vertAlign w:val="superscript"/>
          <w:lang w:val="en-US" w:eastAsia="zh-CN"/>
        </w:rPr>
        <w:t>2</w:t>
      </w:r>
      <w:r>
        <w:rPr>
          <w:rFonts w:hint="eastAsia" w:ascii="Times New Roman" w:hAnsi="Times New Roman" w:eastAsia="宋体" w:cs="宋体"/>
          <w:bCs/>
          <w:color w:val="auto"/>
          <w:sz w:val="24"/>
          <w:szCs w:val="21"/>
          <w:lang w:val="en-US" w:eastAsia="zh-CN"/>
        </w:rPr>
        <w:t>、林地</w:t>
      </w:r>
      <w:r>
        <w:rPr>
          <w:rFonts w:hint="default" w:ascii="Times New Roman" w:hAnsi="Times New Roman" w:eastAsia="宋体" w:cs="宋体"/>
          <w:bCs/>
          <w:color w:val="auto"/>
          <w:sz w:val="24"/>
          <w:szCs w:val="21"/>
          <w:lang w:val="en-US" w:eastAsia="zh-CN"/>
        </w:rPr>
        <w:t>2.5014hm</w:t>
      </w:r>
      <w:r>
        <w:rPr>
          <w:rFonts w:hint="default" w:ascii="Times New Roman" w:hAnsi="Times New Roman" w:eastAsia="宋体" w:cs="宋体"/>
          <w:bCs/>
          <w:color w:val="auto"/>
          <w:sz w:val="24"/>
          <w:szCs w:val="21"/>
          <w:vertAlign w:val="superscript"/>
          <w:lang w:val="en-US" w:eastAsia="zh-CN"/>
        </w:rPr>
        <w:t>2</w:t>
      </w:r>
      <w:r>
        <w:rPr>
          <w:rFonts w:hint="eastAsia" w:ascii="Times New Roman" w:hAnsi="Times New Roman" w:eastAsia="宋体" w:cs="宋体"/>
          <w:bCs/>
          <w:color w:val="auto"/>
          <w:sz w:val="24"/>
          <w:szCs w:val="21"/>
          <w:lang w:val="en-US" w:eastAsia="zh-CN"/>
        </w:rPr>
        <w:t>、农业设施建设用地</w:t>
      </w:r>
      <w:r>
        <w:rPr>
          <w:rFonts w:hint="default" w:ascii="Times New Roman" w:hAnsi="Times New Roman" w:eastAsia="宋体" w:cs="宋体"/>
          <w:bCs/>
          <w:color w:val="auto"/>
          <w:sz w:val="24"/>
          <w:szCs w:val="21"/>
          <w:lang w:val="en-US" w:eastAsia="zh-CN"/>
        </w:rPr>
        <w:t>0.4273</w:t>
      </w:r>
      <w:r>
        <w:rPr>
          <w:rFonts w:hint="eastAsia" w:ascii="Times New Roman" w:hAnsi="Times New Roman" w:eastAsia="宋体" w:cs="宋体"/>
          <w:bCs/>
          <w:color w:val="auto"/>
          <w:sz w:val="24"/>
          <w:szCs w:val="21"/>
          <w:lang w:val="en-US" w:eastAsia="zh-CN"/>
        </w:rPr>
        <w:t xml:space="preserve"> </w:t>
      </w:r>
      <w:r>
        <w:rPr>
          <w:rFonts w:hint="default" w:ascii="Times New Roman" w:hAnsi="Times New Roman" w:eastAsia="宋体" w:cs="宋体"/>
          <w:bCs/>
          <w:color w:val="auto"/>
          <w:sz w:val="24"/>
          <w:szCs w:val="21"/>
          <w:lang w:val="en-US" w:eastAsia="zh-CN"/>
        </w:rPr>
        <w:t>hm</w:t>
      </w:r>
      <w:r>
        <w:rPr>
          <w:rFonts w:hint="default" w:ascii="Times New Roman" w:hAnsi="Times New Roman" w:eastAsia="宋体" w:cs="宋体"/>
          <w:bCs/>
          <w:color w:val="auto"/>
          <w:sz w:val="24"/>
          <w:szCs w:val="21"/>
          <w:vertAlign w:val="superscript"/>
          <w:lang w:val="en-US" w:eastAsia="zh-CN"/>
        </w:rPr>
        <w:t>2</w:t>
      </w:r>
      <w:r>
        <w:rPr>
          <w:rFonts w:hint="eastAsia" w:ascii="Times New Roman" w:hAnsi="Times New Roman" w:eastAsia="宋体" w:cs="宋体"/>
          <w:bCs/>
          <w:color w:val="auto"/>
          <w:sz w:val="24"/>
          <w:szCs w:val="21"/>
          <w:lang w:val="en-US" w:eastAsia="zh-CN"/>
        </w:rPr>
        <w:t>、陆地水域</w:t>
      </w:r>
      <w:r>
        <w:rPr>
          <w:rFonts w:hint="default" w:ascii="Times New Roman" w:hAnsi="Times New Roman" w:eastAsia="宋体" w:cs="宋体"/>
          <w:bCs/>
          <w:color w:val="auto"/>
          <w:sz w:val="24"/>
          <w:szCs w:val="21"/>
          <w:lang w:val="en-US" w:eastAsia="zh-CN"/>
        </w:rPr>
        <w:t>0.4350hm</w:t>
      </w:r>
      <w:r>
        <w:rPr>
          <w:rFonts w:hint="default" w:ascii="Times New Roman" w:hAnsi="Times New Roman" w:eastAsia="宋体" w:cs="宋体"/>
          <w:bCs/>
          <w:color w:val="auto"/>
          <w:sz w:val="24"/>
          <w:szCs w:val="21"/>
          <w:vertAlign w:val="superscript"/>
          <w:lang w:val="en-US" w:eastAsia="zh-CN"/>
        </w:rPr>
        <w:t>2</w:t>
      </w:r>
      <w:r>
        <w:rPr>
          <w:rFonts w:hint="eastAsia" w:ascii="Times New Roman" w:hAnsi="Times New Roman" w:eastAsia="宋体" w:cs="宋体"/>
          <w:bCs/>
          <w:color w:val="auto"/>
          <w:sz w:val="24"/>
          <w:szCs w:val="21"/>
          <w:lang w:val="en-US" w:eastAsia="zh-CN"/>
        </w:rPr>
        <w:t>、居住用地</w:t>
      </w:r>
      <w:r>
        <w:rPr>
          <w:rFonts w:hint="default" w:ascii="Times New Roman" w:hAnsi="Times New Roman" w:eastAsia="宋体" w:cs="宋体"/>
          <w:bCs/>
          <w:color w:val="auto"/>
          <w:sz w:val="24"/>
          <w:szCs w:val="21"/>
          <w:lang w:val="en-US" w:eastAsia="zh-CN"/>
        </w:rPr>
        <w:t>0.1595hm</w:t>
      </w:r>
      <w:r>
        <w:rPr>
          <w:rFonts w:hint="default" w:ascii="Times New Roman" w:hAnsi="Times New Roman" w:eastAsia="宋体" w:cs="宋体"/>
          <w:bCs/>
          <w:color w:val="auto"/>
          <w:sz w:val="24"/>
          <w:szCs w:val="21"/>
          <w:vertAlign w:val="superscript"/>
          <w:lang w:val="en-US" w:eastAsia="zh-CN"/>
        </w:rPr>
        <w:t>2</w:t>
      </w:r>
      <w:r>
        <w:rPr>
          <w:rFonts w:hint="eastAsia" w:ascii="Times New Roman" w:hAnsi="Times New Roman" w:eastAsia="宋体" w:cs="宋体"/>
          <w:bCs/>
          <w:color w:val="auto"/>
          <w:sz w:val="24"/>
          <w:szCs w:val="21"/>
          <w:lang w:val="en-US" w:eastAsia="zh-CN"/>
        </w:rPr>
        <w:t>、公共管理与公共服务用地</w:t>
      </w:r>
      <w:r>
        <w:rPr>
          <w:rFonts w:hint="default" w:ascii="Times New Roman" w:hAnsi="Times New Roman" w:eastAsia="宋体" w:cs="宋体"/>
          <w:bCs/>
          <w:color w:val="auto"/>
          <w:sz w:val="24"/>
          <w:szCs w:val="21"/>
          <w:lang w:val="en-US" w:eastAsia="zh-CN"/>
        </w:rPr>
        <w:t>0.0020 hm</w:t>
      </w:r>
      <w:r>
        <w:rPr>
          <w:rFonts w:hint="default" w:ascii="Times New Roman" w:hAnsi="Times New Roman" w:eastAsia="宋体" w:cs="宋体"/>
          <w:bCs/>
          <w:color w:val="auto"/>
          <w:sz w:val="24"/>
          <w:szCs w:val="21"/>
          <w:vertAlign w:val="superscript"/>
          <w:lang w:val="en-US" w:eastAsia="zh-CN"/>
        </w:rPr>
        <w:t>2</w:t>
      </w:r>
      <w:r>
        <w:rPr>
          <w:rFonts w:hint="eastAsia" w:ascii="Times New Roman" w:hAnsi="Times New Roman" w:eastAsia="宋体" w:cs="宋体"/>
          <w:bCs/>
          <w:color w:val="auto"/>
          <w:sz w:val="24"/>
          <w:szCs w:val="21"/>
          <w:lang w:val="en-US" w:eastAsia="zh-CN"/>
        </w:rPr>
        <w:t>、绿地与开敞空间用地</w:t>
      </w:r>
      <w:r>
        <w:rPr>
          <w:rFonts w:hint="default" w:ascii="Times New Roman" w:hAnsi="Times New Roman" w:eastAsia="宋体" w:cs="宋体"/>
          <w:bCs/>
          <w:color w:val="auto"/>
          <w:sz w:val="24"/>
          <w:szCs w:val="21"/>
          <w:lang w:val="en-US" w:eastAsia="zh-CN"/>
        </w:rPr>
        <w:t>0.0012hm</w:t>
      </w:r>
      <w:r>
        <w:rPr>
          <w:rFonts w:hint="default" w:ascii="Times New Roman" w:hAnsi="Times New Roman" w:eastAsia="宋体" w:cs="宋体"/>
          <w:bCs/>
          <w:color w:val="auto"/>
          <w:sz w:val="24"/>
          <w:szCs w:val="21"/>
          <w:vertAlign w:val="superscript"/>
          <w:lang w:val="en-US" w:eastAsia="zh-CN"/>
        </w:rPr>
        <w:t>2</w:t>
      </w:r>
      <w:r>
        <w:rPr>
          <w:rFonts w:hint="eastAsia" w:ascii="Times New Roman" w:hAnsi="Times New Roman" w:eastAsia="宋体" w:cs="宋体"/>
          <w:bCs/>
          <w:color w:val="auto"/>
          <w:sz w:val="24"/>
          <w:szCs w:val="21"/>
          <w:lang w:val="en-US" w:eastAsia="zh-CN"/>
        </w:rPr>
        <w:t>、交通运输用地</w:t>
      </w:r>
      <w:r>
        <w:rPr>
          <w:rFonts w:hint="default" w:ascii="Times New Roman" w:hAnsi="Times New Roman" w:eastAsia="宋体" w:cs="宋体"/>
          <w:bCs/>
          <w:color w:val="auto"/>
          <w:sz w:val="24"/>
          <w:szCs w:val="21"/>
          <w:lang w:val="en-US" w:eastAsia="zh-CN"/>
        </w:rPr>
        <w:t>0.0007m</w:t>
      </w:r>
      <w:r>
        <w:rPr>
          <w:rFonts w:hint="default" w:ascii="Times New Roman" w:hAnsi="Times New Roman" w:eastAsia="宋体" w:cs="宋体"/>
          <w:bCs/>
          <w:color w:val="auto"/>
          <w:sz w:val="24"/>
          <w:szCs w:val="21"/>
          <w:vertAlign w:val="superscript"/>
          <w:lang w:val="en-US" w:eastAsia="zh-CN"/>
        </w:rPr>
        <w:t>2</w:t>
      </w:r>
      <w:r>
        <w:rPr>
          <w:rFonts w:hint="eastAsia" w:cs="宋体"/>
          <w:bCs/>
          <w:color w:val="auto"/>
          <w:sz w:val="24"/>
          <w:szCs w:val="21"/>
          <w:highlight w:val="none"/>
          <w:vertAlign w:val="baseline"/>
          <w:lang w:val="en-US" w:eastAsia="zh-CN"/>
        </w:rPr>
        <w:t>。</w:t>
      </w:r>
      <w:r>
        <w:rPr>
          <w:rFonts w:hint="default" w:ascii="Times New Roman" w:hAnsi="Times New Roman" w:eastAsia="宋体" w:cs="宋体"/>
          <w:bCs/>
          <w:color w:val="auto"/>
          <w:sz w:val="24"/>
          <w:szCs w:val="21"/>
          <w:highlight w:val="none"/>
          <w:lang w:val="en-US" w:eastAsia="zh-CN"/>
        </w:rPr>
        <w:t>项目施工场地、施工便道及弃渣场等临时工程</w:t>
      </w:r>
      <w:r>
        <w:rPr>
          <w:rFonts w:hint="eastAsia" w:ascii="Times New Roman" w:hAnsi="Times New Roman" w:eastAsia="宋体" w:cs="宋体"/>
          <w:bCs/>
          <w:color w:val="auto"/>
          <w:sz w:val="24"/>
          <w:szCs w:val="21"/>
          <w:highlight w:val="none"/>
          <w:lang w:val="en-US" w:eastAsia="zh-CN"/>
        </w:rPr>
        <w:t>均设置本项目用地红线范围内（现已恢复为安置区内绿化用地）</w:t>
      </w:r>
      <w:r>
        <w:rPr>
          <w:rFonts w:hint="default" w:ascii="Times New Roman" w:hAnsi="Times New Roman" w:eastAsia="宋体" w:cs="宋体"/>
          <w:bCs/>
          <w:color w:val="auto"/>
          <w:sz w:val="24"/>
          <w:szCs w:val="21"/>
          <w:highlight w:val="none"/>
          <w:lang w:val="en-US" w:eastAsia="zh-CN"/>
        </w:rPr>
        <w:t>，</w:t>
      </w:r>
      <w:r>
        <w:rPr>
          <w:rFonts w:hint="eastAsia" w:ascii="Times New Roman" w:hAnsi="Times New Roman" w:eastAsia="宋体" w:cs="宋体"/>
          <w:bCs/>
          <w:color w:val="auto"/>
          <w:sz w:val="24"/>
          <w:szCs w:val="21"/>
          <w:highlight w:val="none"/>
          <w:lang w:val="en-US" w:eastAsia="zh-CN"/>
        </w:rPr>
        <w:t>未额外占用土地等</w:t>
      </w:r>
      <w:r>
        <w:rPr>
          <w:rFonts w:hint="default" w:ascii="Times New Roman" w:hAnsi="Times New Roman" w:eastAsia="宋体" w:cs="宋体"/>
          <w:bCs/>
          <w:color w:val="auto"/>
          <w:sz w:val="24"/>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cs="宋体"/>
          <w:bCs/>
          <w:color w:val="auto"/>
          <w:sz w:val="24"/>
          <w:szCs w:val="21"/>
          <w:lang w:val="en-US" w:eastAsia="zh-CN"/>
        </w:rPr>
        <w:t>项目</w:t>
      </w:r>
      <w:r>
        <w:rPr>
          <w:rFonts w:hint="default" w:ascii="Times New Roman" w:hAnsi="Times New Roman" w:eastAsia="宋体" w:cs="宋体"/>
          <w:bCs/>
          <w:color w:val="auto"/>
          <w:sz w:val="24"/>
          <w:szCs w:val="21"/>
          <w:lang w:val="en-US" w:eastAsia="zh-CN"/>
        </w:rPr>
        <w:t>不涉及国家公园、风景名胜区、饮用水水源保护区、</w:t>
      </w:r>
      <w:r>
        <w:rPr>
          <w:rFonts w:hint="eastAsia" w:ascii="Times New Roman" w:hAnsi="Times New Roman" w:eastAsia="宋体" w:cs="宋体"/>
          <w:bCs/>
          <w:color w:val="auto"/>
          <w:sz w:val="24"/>
          <w:szCs w:val="21"/>
          <w:lang w:val="en-US" w:eastAsia="zh-CN"/>
        </w:rPr>
        <w:t>永久</w:t>
      </w:r>
      <w:r>
        <w:rPr>
          <w:rFonts w:hint="default" w:ascii="Times New Roman" w:hAnsi="Times New Roman" w:eastAsia="宋体" w:cs="宋体"/>
          <w:bCs/>
          <w:color w:val="auto"/>
          <w:sz w:val="24"/>
          <w:szCs w:val="21"/>
          <w:lang w:val="en-US" w:eastAsia="zh-CN"/>
        </w:rPr>
        <w:t>基本农田</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基本草原、自然公园（森林公园、地质公园</w:t>
      </w:r>
      <w:r>
        <w:rPr>
          <w:rFonts w:hint="eastAsia" w:cs="宋体"/>
          <w:bCs/>
          <w:color w:val="auto"/>
          <w:sz w:val="24"/>
          <w:szCs w:val="21"/>
          <w:lang w:val="en-US" w:eastAsia="zh-CN"/>
        </w:rPr>
        <w:t>、海洋公园等</w:t>
      </w:r>
      <w:r>
        <w:rPr>
          <w:rFonts w:hint="default" w:ascii="Times New Roman" w:hAnsi="Times New Roman" w:eastAsia="宋体" w:cs="宋体"/>
          <w:bCs/>
          <w:color w:val="auto"/>
          <w:sz w:val="24"/>
          <w:szCs w:val="21"/>
          <w:lang w:val="en-US" w:eastAsia="zh-CN"/>
        </w:rPr>
        <w:t>）、重要湿地、天然林、重点保护野生动物栖息地、重点保护野生植物生长繁殖地等，</w:t>
      </w:r>
      <w:r>
        <w:rPr>
          <w:rFonts w:hint="eastAsia" w:ascii="Times New Roman" w:hAnsi="Times New Roman" w:eastAsia="宋体" w:cs="宋体"/>
          <w:bCs/>
          <w:color w:val="auto"/>
          <w:sz w:val="24"/>
          <w:szCs w:val="21"/>
          <w:lang w:val="en-US" w:eastAsia="zh-CN"/>
        </w:rPr>
        <w:t>不占用国家一级生态公益林。主要涉及生态敏感目标为湖南东洞庭湖国家级自然保护区实验区。</w:t>
      </w:r>
    </w:p>
    <w:p>
      <w:pPr>
        <w:keepNext/>
        <w:keepLines/>
        <w:widowControl w:val="0"/>
        <w:adjustRightInd w:val="0"/>
        <w:snapToGrid w:val="0"/>
        <w:spacing w:before="0" w:after="0" w:line="360" w:lineRule="auto"/>
        <w:jc w:val="both"/>
        <w:outlineLvl w:val="1"/>
        <w:rPr>
          <w:rFonts w:hint="default" w:ascii="Times New Roman" w:hAnsi="Times New Roman" w:eastAsia="宋体" w:cs="Times New Roman"/>
          <w:b/>
          <w:bCs/>
          <w:color w:val="auto"/>
          <w:kern w:val="2"/>
          <w:sz w:val="28"/>
          <w:szCs w:val="28"/>
          <w:lang w:val="en-US" w:eastAsia="zh-CN" w:bidi="ar-SA"/>
        </w:rPr>
      </w:pPr>
      <w:bookmarkStart w:id="237" w:name="_Toc16185"/>
      <w:bookmarkStart w:id="238" w:name="_Toc20615"/>
      <w:bookmarkStart w:id="239" w:name="_Toc6221"/>
      <w:r>
        <w:rPr>
          <w:rFonts w:hint="eastAsia" w:ascii="Times New Roman" w:hAnsi="Times New Roman" w:eastAsia="宋体" w:cs="Times New Roman"/>
          <w:b/>
          <w:bCs/>
          <w:color w:val="auto"/>
          <w:kern w:val="2"/>
          <w:sz w:val="28"/>
          <w:szCs w:val="28"/>
          <w:lang w:val="en-US" w:eastAsia="zh-CN" w:bidi="ar-SA"/>
        </w:rPr>
        <w:t>3</w:t>
      </w:r>
      <w:r>
        <w:rPr>
          <w:rFonts w:hint="default" w:ascii="Times New Roman" w:hAnsi="Times New Roman" w:eastAsia="宋体" w:cs="Times New Roman"/>
          <w:b/>
          <w:bCs/>
          <w:color w:val="auto"/>
          <w:kern w:val="2"/>
          <w:sz w:val="28"/>
          <w:szCs w:val="28"/>
          <w:lang w:val="en-US" w:eastAsia="zh-CN" w:bidi="ar-SA"/>
        </w:rPr>
        <w:t>.2生态环境</w:t>
      </w:r>
      <w:r>
        <w:rPr>
          <w:rFonts w:hint="eastAsia" w:ascii="Times New Roman" w:hAnsi="Times New Roman" w:eastAsia="宋体" w:cs="Times New Roman"/>
          <w:b/>
          <w:bCs/>
          <w:color w:val="auto"/>
          <w:kern w:val="2"/>
          <w:sz w:val="28"/>
          <w:szCs w:val="28"/>
          <w:lang w:val="en-US" w:eastAsia="zh-CN" w:bidi="ar-SA"/>
        </w:rPr>
        <w:t>调查与评价</w:t>
      </w:r>
      <w:bookmarkEnd w:id="237"/>
      <w:bookmarkEnd w:id="238"/>
      <w:bookmarkEnd w:id="239"/>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本项目位于</w:t>
      </w:r>
      <w:r>
        <w:rPr>
          <w:rFonts w:hint="eastAsia" w:ascii="Times New Roman" w:hAnsi="Times New Roman" w:eastAsia="宋体" w:cs="宋体"/>
          <w:bCs/>
          <w:color w:val="auto"/>
          <w:sz w:val="24"/>
          <w:szCs w:val="21"/>
          <w:lang w:val="en-US" w:eastAsia="zh-CN"/>
        </w:rPr>
        <w:t>华容县团洲乡</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用地范围</w:t>
      </w:r>
      <w:r>
        <w:rPr>
          <w:rFonts w:hint="default" w:ascii="Times New Roman" w:hAnsi="Times New Roman" w:eastAsia="宋体" w:cs="宋体"/>
          <w:bCs/>
          <w:color w:val="auto"/>
          <w:sz w:val="24"/>
          <w:szCs w:val="21"/>
          <w:lang w:val="en-US" w:eastAsia="zh-CN"/>
        </w:rPr>
        <w:t>位于低山地带，项目区域所在区域以农村生态系统为主，受人类活动影响相对较大，评价范围内主要为农作物和村落</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区域无珍稀野生动植物分布。整体上，项目区域生态环境现状呈现农业生态特征，</w:t>
      </w:r>
      <w:r>
        <w:rPr>
          <w:rFonts w:hint="eastAsia" w:cs="宋体"/>
          <w:bCs/>
          <w:color w:val="auto"/>
          <w:sz w:val="24"/>
          <w:szCs w:val="21"/>
          <w:lang w:val="en-US" w:eastAsia="zh-CN"/>
        </w:rPr>
        <w:t>实际</w:t>
      </w:r>
      <w:r>
        <w:rPr>
          <w:rFonts w:hint="default" w:ascii="Times New Roman" w:hAnsi="Times New Roman" w:eastAsia="宋体" w:cs="宋体"/>
          <w:bCs/>
          <w:color w:val="auto"/>
          <w:sz w:val="24"/>
          <w:szCs w:val="21"/>
          <w:lang w:val="en-US" w:eastAsia="zh-CN"/>
        </w:rPr>
        <w:t>生态环境敏感度一般。</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3.2.1生态现状评价方法</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总体评价采用实地野外考察与室内资料分析相结合、全线普查与重点取样相结合，并走访</w:t>
      </w:r>
      <w:r>
        <w:rPr>
          <w:rFonts w:hint="eastAsia" w:ascii="Times New Roman" w:hAnsi="Times New Roman" w:eastAsia="宋体" w:cs="宋体"/>
          <w:bCs/>
          <w:color w:val="auto"/>
          <w:sz w:val="24"/>
          <w:szCs w:val="21"/>
          <w:lang w:val="en-US" w:eastAsia="zh-CN"/>
        </w:rPr>
        <w:t>周边</w:t>
      </w:r>
      <w:r>
        <w:rPr>
          <w:rFonts w:hint="default" w:ascii="Times New Roman" w:hAnsi="Times New Roman" w:eastAsia="宋体" w:cs="宋体"/>
          <w:bCs/>
          <w:color w:val="auto"/>
          <w:sz w:val="24"/>
          <w:szCs w:val="21"/>
          <w:lang w:val="en-US" w:eastAsia="zh-CN"/>
        </w:rPr>
        <w:t>村民和</w:t>
      </w:r>
      <w:r>
        <w:rPr>
          <w:rFonts w:hint="eastAsia" w:ascii="Times New Roman" w:hAnsi="Times New Roman" w:eastAsia="宋体" w:cs="宋体"/>
          <w:bCs/>
          <w:color w:val="auto"/>
          <w:sz w:val="24"/>
          <w:szCs w:val="21"/>
          <w:lang w:val="en-US" w:eastAsia="zh-CN"/>
        </w:rPr>
        <w:t>政府单位</w:t>
      </w:r>
      <w:r>
        <w:rPr>
          <w:rFonts w:hint="default" w:ascii="Times New Roman" w:hAnsi="Times New Roman" w:eastAsia="宋体" w:cs="宋体"/>
          <w:bCs/>
          <w:color w:val="auto"/>
          <w:sz w:val="24"/>
          <w:szCs w:val="21"/>
          <w:lang w:val="en-US" w:eastAsia="zh-CN"/>
        </w:rPr>
        <w:t>工作者，利用已有的各类资料和野外考察的资料分区分段对评价区生态环境现状和工程建设施工及运营过程中将对</w:t>
      </w:r>
      <w:r>
        <w:rPr>
          <w:rFonts w:hint="eastAsia" w:ascii="Times New Roman" w:hAnsi="Times New Roman" w:eastAsia="宋体" w:cs="宋体"/>
          <w:bCs/>
          <w:color w:val="auto"/>
          <w:sz w:val="24"/>
          <w:szCs w:val="21"/>
          <w:lang w:val="en-US" w:eastAsia="zh-CN"/>
        </w:rPr>
        <w:t>周边</w:t>
      </w:r>
      <w:r>
        <w:rPr>
          <w:rFonts w:hint="default" w:ascii="Times New Roman" w:hAnsi="Times New Roman" w:eastAsia="宋体" w:cs="宋体"/>
          <w:bCs/>
          <w:color w:val="auto"/>
          <w:sz w:val="24"/>
          <w:szCs w:val="21"/>
          <w:lang w:val="en-US" w:eastAsia="zh-CN"/>
        </w:rPr>
        <w:t>植被、植物资源、珍稀植物资源、动物资源、珍稀保护动物资源等生态环境因素的影响进行评价。</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eastAsia="宋体" w:cs="宋体"/>
          <w:b/>
          <w:bCs w:val="0"/>
          <w:color w:val="auto"/>
          <w:sz w:val="24"/>
          <w:szCs w:val="21"/>
          <w:lang w:val="en-US" w:eastAsia="zh-CN"/>
        </w:rPr>
      </w:pPr>
      <w:r>
        <w:rPr>
          <w:rFonts w:hint="eastAsia" w:ascii="Times New Roman" w:hAnsi="Times New Roman" w:eastAsia="宋体" w:cs="宋体"/>
          <w:b/>
          <w:bCs w:val="0"/>
          <w:color w:val="auto"/>
          <w:sz w:val="24"/>
          <w:szCs w:val="21"/>
          <w:lang w:val="en-US" w:eastAsia="zh-CN"/>
        </w:rPr>
        <w:t>1、资料收集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收集整理评价区及邻近地区的现有生物多样性资料，在综合分析现有资料的基础上，确定实地考察的重点区域及考察路线。</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eastAsia="宋体" w:cs="宋体"/>
          <w:b/>
          <w:bCs w:val="0"/>
          <w:color w:val="auto"/>
          <w:sz w:val="24"/>
          <w:szCs w:val="21"/>
          <w:lang w:val="en-US" w:eastAsia="zh-CN"/>
        </w:rPr>
      </w:pPr>
      <w:r>
        <w:rPr>
          <w:rFonts w:hint="eastAsia" w:ascii="Times New Roman" w:hAnsi="Times New Roman" w:eastAsia="宋体" w:cs="宋体"/>
          <w:b/>
          <w:bCs w:val="0"/>
          <w:color w:val="auto"/>
          <w:sz w:val="24"/>
          <w:szCs w:val="21"/>
          <w:lang w:val="en-US" w:eastAsia="zh-CN"/>
        </w:rPr>
        <w:t>2、</w:t>
      </w:r>
      <w:r>
        <w:rPr>
          <w:rFonts w:hint="default" w:ascii="Times New Roman" w:hAnsi="Times New Roman" w:eastAsia="宋体" w:cs="宋体"/>
          <w:b/>
          <w:bCs w:val="0"/>
          <w:color w:val="auto"/>
          <w:sz w:val="24"/>
          <w:szCs w:val="21"/>
          <w:lang w:val="en-US" w:eastAsia="zh-CN"/>
        </w:rPr>
        <w:t>现场调查</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cs="宋体"/>
          <w:bCs/>
          <w:color w:val="auto"/>
          <w:sz w:val="24"/>
          <w:szCs w:val="21"/>
          <w:lang w:val="en-US" w:eastAsia="zh-CN"/>
        </w:rPr>
        <w:t>现场调查方法及相关内容主要引用于</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华容县团洲垸决口灾后农村居民集中安置房项目</w:t>
      </w:r>
      <w:r>
        <w:rPr>
          <w:rFonts w:hint="eastAsia" w:ascii="Times New Roman" w:hAnsi="Times New Roman" w:eastAsia="宋体" w:cs="宋体"/>
          <w:bCs/>
          <w:color w:val="auto"/>
          <w:sz w:val="24"/>
          <w:szCs w:val="21"/>
          <w:lang w:val="en-US" w:eastAsia="zh-CN"/>
        </w:rPr>
        <w:t>对湖南东洞庭湖国家级自然保护区生物多样性影响评价报告》</w:t>
      </w:r>
      <w:r>
        <w:rPr>
          <w:rFonts w:hint="eastAsia" w:cs="宋体"/>
          <w:bCs/>
          <w:color w:val="auto"/>
          <w:sz w:val="24"/>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（1）植物群落调查</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由于</w:t>
      </w:r>
      <w:r>
        <w:rPr>
          <w:rFonts w:hint="eastAsia" w:cs="宋体"/>
          <w:bCs/>
          <w:color w:val="auto"/>
          <w:sz w:val="24"/>
          <w:szCs w:val="21"/>
          <w:lang w:val="en-US" w:eastAsia="zh-CN"/>
        </w:rPr>
        <w:t>项目占用区</w:t>
      </w:r>
      <w:r>
        <w:rPr>
          <w:rFonts w:hint="default" w:ascii="Times New Roman" w:hAnsi="Times New Roman" w:eastAsia="宋体" w:cs="宋体"/>
          <w:bCs/>
          <w:color w:val="auto"/>
          <w:sz w:val="24"/>
          <w:szCs w:val="21"/>
          <w:lang w:val="en-US" w:eastAsia="zh-CN"/>
        </w:rPr>
        <w:t>植被多为次生植被，主要为农作物和村落</w:t>
      </w:r>
      <w:r>
        <w:rPr>
          <w:rFonts w:hint="eastAsia" w:ascii="Times New Roman" w:hAnsi="Times New Roman" w:eastAsia="宋体" w:cs="宋体"/>
          <w:bCs/>
          <w:color w:val="auto"/>
          <w:sz w:val="24"/>
          <w:szCs w:val="21"/>
          <w:lang w:val="en-US" w:eastAsia="zh-CN"/>
        </w:rPr>
        <w:t>，均为常见人工植物群落，无自然植物群落存在，本次未</w:t>
      </w:r>
      <w:r>
        <w:rPr>
          <w:rFonts w:hint="eastAsia" w:cs="宋体"/>
          <w:bCs/>
          <w:color w:val="auto"/>
          <w:sz w:val="24"/>
          <w:szCs w:val="21"/>
          <w:lang w:val="en-US" w:eastAsia="zh-CN"/>
        </w:rPr>
        <w:t>对项目占用区内</w:t>
      </w:r>
      <w:r>
        <w:rPr>
          <w:rFonts w:hint="eastAsia" w:ascii="Times New Roman" w:hAnsi="Times New Roman" w:eastAsia="宋体" w:cs="宋体"/>
          <w:bCs/>
          <w:color w:val="auto"/>
          <w:sz w:val="24"/>
          <w:szCs w:val="21"/>
          <w:lang w:val="en-US" w:eastAsia="zh-CN"/>
        </w:rPr>
        <w:t>进行群落调查</w:t>
      </w:r>
      <w:r>
        <w:rPr>
          <w:rFonts w:hint="default" w:ascii="Times New Roman" w:hAnsi="Times New Roman" w:eastAsia="宋体" w:cs="宋体"/>
          <w:bCs/>
          <w:color w:val="auto"/>
          <w:sz w:val="24"/>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cs="宋体"/>
          <w:bCs/>
          <w:color w:val="auto"/>
          <w:sz w:val="24"/>
          <w:szCs w:val="21"/>
          <w:lang w:val="en-US" w:eastAsia="zh-CN"/>
        </w:rPr>
        <w:t>项目占用区外评价范围内</w:t>
      </w:r>
      <w:r>
        <w:rPr>
          <w:rFonts w:hint="eastAsia" w:ascii="Times New Roman" w:hAnsi="Times New Roman" w:eastAsia="宋体" w:cs="宋体"/>
          <w:bCs/>
          <w:color w:val="auto"/>
          <w:sz w:val="24"/>
          <w:szCs w:val="21"/>
          <w:lang w:val="en-US" w:eastAsia="zh-CN"/>
        </w:rPr>
        <w:t xml:space="preserve">植被调查采用样方和样线相结合的调查方法。首先在评价区 </w:t>
      </w:r>
      <w:r>
        <w:rPr>
          <w:rFonts w:hint="default" w:ascii="Times New Roman" w:hAnsi="Times New Roman" w:eastAsia="宋体" w:cs="宋体"/>
          <w:bCs/>
          <w:color w:val="auto"/>
          <w:sz w:val="24"/>
          <w:szCs w:val="21"/>
          <w:lang w:val="en-US" w:eastAsia="zh-CN"/>
        </w:rPr>
        <w:t xml:space="preserve">1:1 </w:t>
      </w:r>
      <w:r>
        <w:rPr>
          <w:rFonts w:hint="eastAsia" w:ascii="Times New Roman" w:hAnsi="Times New Roman" w:eastAsia="宋体" w:cs="宋体"/>
          <w:bCs/>
          <w:color w:val="auto"/>
          <w:sz w:val="24"/>
          <w:szCs w:val="21"/>
          <w:lang w:val="en-US" w:eastAsia="zh-CN"/>
        </w:rPr>
        <w:t>万的地形图结合无人机航片初步确定野外调查样线及样方，然后实地调查。每种植被类型均采用法瑞学派样方调查法，乔木取</w:t>
      </w:r>
      <w:r>
        <w:rPr>
          <w:rFonts w:hint="default" w:ascii="Times New Roman" w:hAnsi="Times New Roman" w:eastAsia="宋体" w:cs="宋体"/>
          <w:bCs/>
          <w:color w:val="auto"/>
          <w:sz w:val="24"/>
          <w:szCs w:val="21"/>
          <w:lang w:val="en-US" w:eastAsia="zh-CN"/>
        </w:rPr>
        <w:t>200</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40 m</w:t>
      </w:r>
      <w:r>
        <w:rPr>
          <w:rFonts w:hint="default" w:ascii="Times New Roman" w:hAnsi="Times New Roman" w:eastAsia="宋体" w:cs="宋体"/>
          <w:bCs/>
          <w:color w:val="auto"/>
          <w:sz w:val="24"/>
          <w:szCs w:val="21"/>
          <w:vertAlign w:val="superscript"/>
          <w:lang w:val="en-US" w:eastAsia="zh-CN"/>
        </w:rPr>
        <w:t>2</w:t>
      </w:r>
      <w:r>
        <w:rPr>
          <w:rFonts w:hint="eastAsia" w:ascii="Times New Roman" w:hAnsi="Times New Roman" w:eastAsia="宋体" w:cs="宋体"/>
          <w:bCs/>
          <w:color w:val="auto"/>
          <w:sz w:val="24"/>
          <w:szCs w:val="21"/>
          <w:lang w:val="en-US" w:eastAsia="zh-CN"/>
        </w:rPr>
        <w:t>的样方调查，灌丛取</w:t>
      </w:r>
      <w:r>
        <w:rPr>
          <w:rFonts w:hint="default" w:ascii="Times New Roman" w:hAnsi="Times New Roman" w:eastAsia="宋体" w:cs="宋体"/>
          <w:bCs/>
          <w:color w:val="auto"/>
          <w:sz w:val="24"/>
          <w:szCs w:val="21"/>
          <w:lang w:val="en-US" w:eastAsia="zh-CN"/>
        </w:rPr>
        <w:t>25</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100 m</w:t>
      </w:r>
      <w:r>
        <w:rPr>
          <w:rFonts w:hint="default" w:ascii="Times New Roman" w:hAnsi="Times New Roman" w:eastAsia="宋体" w:cs="宋体"/>
          <w:bCs/>
          <w:color w:val="auto"/>
          <w:sz w:val="24"/>
          <w:szCs w:val="21"/>
          <w:vertAlign w:val="superscript"/>
          <w:lang w:val="en-US" w:eastAsia="zh-CN"/>
        </w:rPr>
        <w:t>2</w:t>
      </w:r>
      <w:r>
        <w:rPr>
          <w:rFonts w:hint="eastAsia" w:ascii="Times New Roman" w:hAnsi="Times New Roman" w:eastAsia="宋体" w:cs="宋体"/>
          <w:bCs/>
          <w:color w:val="auto"/>
          <w:sz w:val="24"/>
          <w:szCs w:val="21"/>
          <w:lang w:val="en-US" w:eastAsia="zh-CN"/>
        </w:rPr>
        <w:t>的样方调查，草丛取</w:t>
      </w:r>
      <w:r>
        <w:rPr>
          <w:rFonts w:hint="default" w:ascii="Times New Roman" w:hAnsi="Times New Roman" w:eastAsia="宋体" w:cs="宋体"/>
          <w:bCs/>
          <w:color w:val="auto"/>
          <w:sz w:val="24"/>
          <w:szCs w:val="21"/>
          <w:lang w:val="en-US" w:eastAsia="zh-CN"/>
        </w:rPr>
        <w:t>1</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4 m</w:t>
      </w:r>
      <w:r>
        <w:rPr>
          <w:rFonts w:hint="eastAsia" w:ascii="Times New Roman" w:hAnsi="Times New Roman" w:eastAsia="宋体" w:cs="宋体"/>
          <w:bCs/>
          <w:color w:val="auto"/>
          <w:sz w:val="24"/>
          <w:szCs w:val="21"/>
          <w:lang w:val="en-US" w:eastAsia="zh-CN"/>
        </w:rPr>
        <w:t xml:space="preserve">的样方调查，记录样方内的所有植物种类、物种优势度、群落平均高度、群落郁闭度或盖度 等，并用 </w:t>
      </w:r>
      <w:r>
        <w:rPr>
          <w:rFonts w:hint="default" w:ascii="Times New Roman" w:hAnsi="Times New Roman" w:eastAsia="宋体" w:cs="宋体"/>
          <w:bCs/>
          <w:color w:val="auto"/>
          <w:sz w:val="24"/>
          <w:szCs w:val="21"/>
          <w:lang w:val="en-US" w:eastAsia="zh-CN"/>
        </w:rPr>
        <w:t>GPS</w:t>
      </w:r>
      <w:r>
        <w:rPr>
          <w:rFonts w:hint="eastAsia" w:ascii="Times New Roman" w:hAnsi="Times New Roman" w:eastAsia="宋体" w:cs="宋体"/>
          <w:bCs/>
          <w:color w:val="auto"/>
          <w:sz w:val="24"/>
          <w:szCs w:val="21"/>
          <w:lang w:val="en-US" w:eastAsia="zh-CN"/>
        </w:rPr>
        <w:t xml:space="preserve">确定样方地理坐标。通过分析统计样方调查数据，划分评价区内的植被类型，找出评价区内分布最典型的植被类型，并对其植物群落结构组成进行描述分析。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2</w:t>
      </w:r>
      <w:r>
        <w:rPr>
          <w:rFonts w:hint="eastAsia" w:ascii="Times New Roman" w:hAnsi="Times New Roman" w:eastAsia="宋体" w:cs="宋体"/>
          <w:bCs/>
          <w:color w:val="auto"/>
          <w:sz w:val="24"/>
          <w:szCs w:val="21"/>
          <w:lang w:val="en-US" w:eastAsia="zh-CN"/>
        </w:rPr>
        <w:t xml:space="preserve">）植物多样性调查方法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植物多样性调查采用基础资料收集与野外调查相结合的调查方法，野外实地调查时采用样线法和样方法，记录植物的种类、多度、生境特点等信息。重点调查划定工程区的植物多样性，一般调查划定工程区之外的评价区的植物多样性。主要调查内容包括维管植物、珍稀保护植物和古树名木等。发现国家和省级重点保护野生植物、</w:t>
      </w:r>
      <w:r>
        <w:rPr>
          <w:rFonts w:hint="default" w:ascii="Times New Roman" w:hAnsi="Times New Roman" w:eastAsia="宋体" w:cs="宋体"/>
          <w:bCs/>
          <w:color w:val="auto"/>
          <w:sz w:val="24"/>
          <w:szCs w:val="21"/>
          <w:lang w:val="en-US" w:eastAsia="zh-CN"/>
        </w:rPr>
        <w:t xml:space="preserve">IUCN </w:t>
      </w:r>
      <w:r>
        <w:rPr>
          <w:rFonts w:hint="eastAsia" w:ascii="Times New Roman" w:hAnsi="Times New Roman" w:eastAsia="宋体" w:cs="宋体"/>
          <w:bCs/>
          <w:color w:val="auto"/>
          <w:sz w:val="24"/>
          <w:szCs w:val="21"/>
          <w:lang w:val="en-US" w:eastAsia="zh-CN"/>
        </w:rPr>
        <w:t>红皮书附录植物以及省级特有植物，准确记录地理坐标，并对其进行数量统计和生境描述。</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（3）陆生</w:t>
      </w:r>
      <w:r>
        <w:rPr>
          <w:rFonts w:hint="eastAsia" w:ascii="Times New Roman" w:hAnsi="Times New Roman" w:eastAsia="宋体" w:cs="宋体"/>
          <w:bCs/>
          <w:color w:val="auto"/>
          <w:sz w:val="24"/>
          <w:szCs w:val="21"/>
          <w:lang w:val="en-US" w:eastAsia="zh-CN"/>
        </w:rPr>
        <w:t>野生</w:t>
      </w:r>
      <w:r>
        <w:rPr>
          <w:rFonts w:hint="default" w:ascii="Times New Roman" w:hAnsi="Times New Roman" w:eastAsia="宋体" w:cs="宋体"/>
          <w:bCs/>
          <w:color w:val="auto"/>
          <w:sz w:val="24"/>
          <w:szCs w:val="21"/>
          <w:lang w:val="en-US" w:eastAsia="zh-CN"/>
        </w:rPr>
        <w:t>动物调查</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1</w:t>
      </w:r>
      <w:r>
        <w:rPr>
          <w:rFonts w:hint="eastAsia" w:ascii="Times New Roman" w:hAnsi="Times New Roman" w:eastAsia="宋体" w:cs="宋体"/>
          <w:bCs/>
          <w:color w:val="auto"/>
          <w:sz w:val="24"/>
          <w:szCs w:val="21"/>
          <w:lang w:val="en-US" w:eastAsia="zh-CN"/>
        </w:rPr>
        <w:t xml:space="preserve">）文献资料查阅法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查阅当地的有关科学研究和野外调查资料。比照相应的地理纬度和海拔高度，对照相关的研究资料，核查和收集当地及相邻地区的相关资料。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并且结合国家林业和草原局中南调查规划设计院编写的《湖南东洞庭湖国 家级自然保护区总体规划（</w:t>
      </w:r>
      <w:r>
        <w:rPr>
          <w:rFonts w:hint="default" w:ascii="Times New Roman" w:hAnsi="Times New Roman" w:eastAsia="宋体" w:cs="宋体"/>
          <w:bCs/>
          <w:color w:val="auto"/>
          <w:sz w:val="24"/>
          <w:szCs w:val="21"/>
          <w:lang w:val="en-US" w:eastAsia="zh-CN"/>
        </w:rPr>
        <w:t>2016</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2025</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参考《湖南省两栖动物区系与地理区划》、《湖南省爬行动物区系与地理区划》、《湖南鸟类名录》、《湖南省重点保护兽类种类及分布》等系列论文及当地的区、县市志和林业志等书籍，再结合本次进行的野外考察以及对当地村民和林业工作者的访问，确认评价范围内的野生动物种类及资源现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拟定评价区野生动物名录。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2</w:t>
      </w:r>
      <w:r>
        <w:rPr>
          <w:rFonts w:hint="eastAsia" w:ascii="Times New Roman" w:hAnsi="Times New Roman" w:eastAsia="宋体" w:cs="宋体"/>
          <w:bCs/>
          <w:color w:val="auto"/>
          <w:sz w:val="24"/>
          <w:szCs w:val="21"/>
          <w:lang w:val="en-US" w:eastAsia="zh-CN"/>
        </w:rPr>
        <w:t xml:space="preserve">）访问调查法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访问调查对象主要是对脊椎动物识别有一定经验当地居民和保护区工作人员，通过询问他们近 </w:t>
      </w:r>
      <w:r>
        <w:rPr>
          <w:rFonts w:hint="default" w:ascii="Times New Roman" w:hAnsi="Times New Roman" w:eastAsia="宋体" w:cs="宋体"/>
          <w:bCs/>
          <w:color w:val="auto"/>
          <w:sz w:val="24"/>
          <w:szCs w:val="21"/>
          <w:lang w:val="en-US" w:eastAsia="zh-CN"/>
        </w:rPr>
        <w:t xml:space="preserve">5 </w:t>
      </w:r>
      <w:r>
        <w:rPr>
          <w:rFonts w:hint="eastAsia" w:ascii="Times New Roman" w:hAnsi="Times New Roman" w:eastAsia="宋体" w:cs="宋体"/>
          <w:bCs/>
          <w:color w:val="auto"/>
          <w:sz w:val="24"/>
          <w:szCs w:val="21"/>
          <w:lang w:val="en-US" w:eastAsia="zh-CN"/>
        </w:rPr>
        <w:t xml:space="preserve">年在项目评价区观察到的动物实体和活动痕迹，采用对照野生动物图谱、生物学特征等相关识别手段进行判定。调查农贸市场、餐馆、了解物种种类后，再根据特征进行物种判定或查阅资料确定访问到的物种。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3</w:t>
      </w:r>
      <w:r>
        <w:rPr>
          <w:rFonts w:hint="eastAsia" w:ascii="Times New Roman" w:hAnsi="Times New Roman" w:eastAsia="宋体" w:cs="宋体"/>
          <w:bCs/>
          <w:color w:val="auto"/>
          <w:sz w:val="24"/>
          <w:szCs w:val="21"/>
          <w:lang w:val="en-US" w:eastAsia="zh-CN"/>
        </w:rPr>
        <w:t xml:space="preserve">）样带调查法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①两栖爬行动物调查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两栖、爬行动物调查主要采用常规路线调查，同时辅以样带法、访问法等。在不同生境设置长度不等的样带，晚上用手电、头灯等照明工具沿固定样线进行调查。记录发现点生境特征及样带长度，并用专业数码相机对物种及生境进行拍照，供物种鉴定和内业整理时参考。根据《中国两栖动物及其分布彩色图鉴》</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费梁，</w:t>
      </w:r>
      <w:r>
        <w:rPr>
          <w:rFonts w:hint="default" w:ascii="Times New Roman" w:hAnsi="Times New Roman" w:eastAsia="宋体" w:cs="宋体"/>
          <w:bCs/>
          <w:color w:val="auto"/>
          <w:sz w:val="24"/>
          <w:szCs w:val="21"/>
          <w:lang w:val="en-US" w:eastAsia="zh-CN"/>
        </w:rPr>
        <w:t>2012)</w:t>
      </w:r>
      <w:r>
        <w:rPr>
          <w:rFonts w:hint="eastAsia" w:ascii="Times New Roman" w:hAnsi="Times New Roman" w:eastAsia="宋体" w:cs="宋体"/>
          <w:bCs/>
          <w:color w:val="auto"/>
          <w:sz w:val="24"/>
          <w:szCs w:val="21"/>
          <w:lang w:val="en-US" w:eastAsia="zh-CN"/>
        </w:rPr>
        <w:t>，湖南动物志</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两栖纲</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沈猷慧等</w:t>
      </w:r>
      <w:r>
        <w:rPr>
          <w:rFonts w:hint="default" w:ascii="Times New Roman" w:hAnsi="Times New Roman" w:eastAsia="宋体" w:cs="宋体"/>
          <w:bCs/>
          <w:color w:val="auto"/>
          <w:sz w:val="24"/>
          <w:szCs w:val="21"/>
          <w:lang w:val="en-US" w:eastAsia="zh-CN"/>
        </w:rPr>
        <w:t>, 2014)</w:t>
      </w:r>
      <w:r>
        <w:rPr>
          <w:rFonts w:hint="eastAsia" w:ascii="Times New Roman" w:hAnsi="Times New Roman" w:eastAsia="宋体" w:cs="宋体"/>
          <w:bCs/>
          <w:color w:val="auto"/>
          <w:sz w:val="24"/>
          <w:szCs w:val="21"/>
          <w:lang w:val="en-US" w:eastAsia="zh-CN"/>
        </w:rPr>
        <w:t>，《中国蛇类》</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上、下册</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、湖南动物志</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爬行纲</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、《中国爬行动物图鉴》，《湖南省两栖、爬行动物物种多样性及其受危等级评估》（高志10伟，</w:t>
      </w:r>
      <w:r>
        <w:rPr>
          <w:rFonts w:hint="default" w:ascii="Times New Roman" w:hAnsi="Times New Roman" w:eastAsia="宋体" w:cs="宋体"/>
          <w:bCs/>
          <w:color w:val="auto"/>
          <w:sz w:val="24"/>
          <w:szCs w:val="21"/>
          <w:lang w:val="en-US" w:eastAsia="zh-CN"/>
        </w:rPr>
        <w:t>2022</w:t>
      </w:r>
      <w:r>
        <w:rPr>
          <w:rFonts w:hint="eastAsia" w:ascii="Times New Roman" w:hAnsi="Times New Roman" w:eastAsia="宋体" w:cs="宋体"/>
          <w:bCs/>
          <w:color w:val="auto"/>
          <w:sz w:val="24"/>
          <w:szCs w:val="21"/>
          <w:lang w:val="en-US" w:eastAsia="zh-CN"/>
        </w:rPr>
        <w:t>）等参考书对物种进行鉴定分类，地理区划参考《湖南省两栖动物调查及区系分析》</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沈猷慧，</w:t>
      </w:r>
      <w:r>
        <w:rPr>
          <w:rFonts w:hint="default" w:ascii="Times New Roman" w:hAnsi="Times New Roman" w:eastAsia="宋体" w:cs="宋体"/>
          <w:bCs/>
          <w:color w:val="auto"/>
          <w:sz w:val="24"/>
          <w:szCs w:val="21"/>
          <w:lang w:val="en-US" w:eastAsia="zh-CN"/>
        </w:rPr>
        <w:t>1983)</w:t>
      </w:r>
      <w:r>
        <w:rPr>
          <w:rFonts w:hint="eastAsia" w:ascii="Times New Roman" w:hAnsi="Times New Roman" w:eastAsia="宋体" w:cs="宋体"/>
          <w:bCs/>
          <w:color w:val="auto"/>
          <w:sz w:val="24"/>
          <w:szCs w:val="21"/>
          <w:lang w:val="en-US" w:eastAsia="zh-CN"/>
        </w:rPr>
        <w:t>和《中国动物地理》</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张荣祖，</w:t>
      </w:r>
      <w:r>
        <w:rPr>
          <w:rFonts w:hint="default" w:ascii="Times New Roman" w:hAnsi="Times New Roman" w:eastAsia="宋体" w:cs="宋体"/>
          <w:bCs/>
          <w:color w:val="auto"/>
          <w:sz w:val="24"/>
          <w:szCs w:val="21"/>
          <w:lang w:val="en-US" w:eastAsia="zh-CN"/>
        </w:rPr>
        <w:t>2011)</w:t>
      </w:r>
      <w:r>
        <w:rPr>
          <w:rFonts w:hint="eastAsia" w:ascii="Times New Roman" w:hAnsi="Times New Roman" w:eastAsia="宋体" w:cs="宋体"/>
          <w:bCs/>
          <w:color w:val="auto"/>
          <w:sz w:val="24"/>
          <w:szCs w:val="21"/>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②鸟类调查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鸟类调查主要采用样带法，结合样点法和访问调查法。样线法主要采用可变距离样带法，根据调查区域的地形地貌和鸟类栖息地类型，设置不同长度的样带沿布设的固定样线徒步行走，对观察到的鸟类使用专业数码相机对其生境及物种进行拍照，并用平板电脑中的奥维软件记录样线起点、终点坐标和样线长度等信息。同时访问当地有经验的老猎人和村民，详细了解该地区鸟类资源状况。根据《中国鸟类图鉴》、《湖南省动物志</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鸟纲雀形目》、《中国鸟类分类与分布名录》</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第四版</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 xml:space="preserve">等参考书对物种进行鉴定。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③兽类调查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兽类调查主要采用样带法、访问调查法和文献查阅法。依据不同的海拔、不同生境选取观察路线，统计路线两边兽类的足迹、粪便、叫声、活动迹象以及活体的活动情况等。同时走访当地有经验的居民和保护区工作人员，根据访问调查结果再结合相关文献来确定兽类物种名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④鱼类调查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首先查阅相关文献，了解项目评价区内的水文等自然条件，同时走访当地村民和农贸市场，确定鱼类名录。</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（4）景观调查</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利用地形图、近期卫星影像图、无人机航片与</w:t>
      </w:r>
      <w:r>
        <w:rPr>
          <w:rFonts w:hint="default" w:ascii="Times New Roman" w:hAnsi="Times New Roman" w:eastAsia="宋体" w:cs="宋体"/>
          <w:bCs/>
          <w:color w:val="auto"/>
          <w:sz w:val="24"/>
          <w:szCs w:val="21"/>
          <w:lang w:val="en-US" w:eastAsia="zh-CN"/>
        </w:rPr>
        <w:t>2022</w:t>
      </w:r>
      <w:r>
        <w:rPr>
          <w:rFonts w:hint="eastAsia" w:ascii="Times New Roman" w:hAnsi="Times New Roman" w:eastAsia="宋体" w:cs="宋体"/>
          <w:bCs/>
          <w:color w:val="auto"/>
          <w:sz w:val="24"/>
          <w:szCs w:val="21"/>
          <w:lang w:val="en-US" w:eastAsia="zh-CN"/>
        </w:rPr>
        <w:t>年林草湿“一张图”，对项目区与影响评价区的景观类型进行区划，并记录。</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bookmarkStart w:id="240" w:name="_Toc30250"/>
      <w:bookmarkStart w:id="241" w:name="_Toc17066"/>
      <w:r>
        <w:rPr>
          <w:rFonts w:hint="eastAsia" w:ascii="Times New Roman" w:hAnsi="Times New Roman" w:eastAsia="宋体" w:cs="Times New Roman"/>
          <w:b/>
          <w:color w:val="auto"/>
          <w:kern w:val="2"/>
          <w:sz w:val="24"/>
          <w:szCs w:val="24"/>
          <w:lang w:val="en-US" w:eastAsia="zh-CN" w:bidi="ar-SA"/>
        </w:rPr>
        <w:t>3.2.2 项目区域生态环境现状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（1）</w:t>
      </w:r>
      <w:r>
        <w:rPr>
          <w:rFonts w:hint="default" w:ascii="Times New Roman" w:hAnsi="Times New Roman" w:eastAsia="宋体" w:cs="宋体"/>
          <w:bCs/>
          <w:color w:val="auto"/>
          <w:sz w:val="24"/>
          <w:szCs w:val="21"/>
          <w:lang w:val="en-US" w:eastAsia="zh-CN"/>
        </w:rPr>
        <w:t>主体功能区</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根据《湖南省主体功能区规划》，本工程位于国家级重点开发区，项目占地涉及建设项目环境影响评价分类管理名录（2021 年版）中提及的生态环境敏感区</w:t>
      </w:r>
      <w:r>
        <w:rPr>
          <w:rFonts w:hint="eastAsia" w:ascii="Times New Roman" w:hAnsi="Times New Roman" w:eastAsia="宋体" w:cs="宋体"/>
          <w:bCs/>
          <w:color w:val="auto"/>
          <w:sz w:val="24"/>
          <w:szCs w:val="21"/>
          <w:lang w:val="en-US" w:eastAsia="zh-CN"/>
        </w:rPr>
        <w:t>：第三条（一）中的全部区域：湖南东洞庭湖国家级自然保护区。</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（2）生态功能区</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根据《全国生态功能区划》（修编版），全国生态功能区划体系分为3个大类、9个小类、242个生态功能区，项目所在区域位于II-01-22湖南中部丘陵农产品提供功能区，属于产品提供大类，农产品提供小类。</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（3）地形</w:t>
      </w:r>
      <w:r>
        <w:rPr>
          <w:rFonts w:hint="eastAsia" w:ascii="Times New Roman" w:hAnsi="Times New Roman" w:eastAsia="宋体" w:cs="宋体"/>
          <w:bCs/>
          <w:color w:val="auto"/>
          <w:sz w:val="24"/>
          <w:szCs w:val="21"/>
          <w:lang w:val="en-US" w:eastAsia="zh-CN"/>
        </w:rPr>
        <w:t>地质</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岳阳市华容县团洲乡位于中国湖南省的东部，是一个典型的南方丘陵地区。团洲乡位于长江中游的洞庭湖区南缘，属于扬子地台的南缘部分。该地区地质构造复杂，多种地质构造单元交错分布。该地区经历了多次构造运动，主要受印支运动和燕山运动的影响，形成了多样的地层和地质构造。前寒武纪地层主要由变质岩组成，如片麻岩、片岩和石英岩等。这些地层具有较高的强度和稳定性。古生代地层包括奥陶纪、志留纪和泥盆纪的沉积岩，如灰岩、页岩和砂岩等。这些地层在地质构造活动中形成了复杂的褶皱和断裂。中生代地层主要是三叠纪和侏罗纪的沉积岩，如红色砂岩、泥岩等。这些地层多为河湖相沉积，厚度变化较大。新生代地层包括第三纪和第四纪的沉积物，如粘土、砂砾石和黄土等。这些地层主要分布在低洼地区和河谷地带，厚度较小但广泛分布。褶皱构造团洲乡的地层受多次构造运动影响，形成了明显的褶皱构造。主要表现为轴向东西走向的紧闭褶皱，这些褶皱在地表常形成丘陵和山脉。该地区存在多条断裂带，主要为北东向和北西向断裂。断裂活动频繁，导致地层错动和破碎，对地质稳定性产生一定影响。团洲乡的地质构造还包括多个沉积盆地和河流沉积体系，这些构造在地表形成了平原和洼地，为农业和城市建设提供了良好的地质条件。因为地形多丘陵和山区，降雨量丰富，加上地质构造复杂，容易发生滑坡和崩塌等地质灾害。</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（4）动物分布</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陆生脊椎动物以禽类和鼠类为主；华容县</w:t>
      </w:r>
      <w:r>
        <w:rPr>
          <w:rFonts w:hint="eastAsia" w:ascii="Times New Roman" w:hAnsi="Times New Roman" w:eastAsia="宋体" w:cs="宋体"/>
          <w:bCs/>
          <w:color w:val="auto"/>
          <w:sz w:val="24"/>
          <w:szCs w:val="21"/>
          <w:lang w:val="en-US" w:eastAsia="zh-CN"/>
        </w:rPr>
        <w:t>团洲乡</w:t>
      </w:r>
      <w:r>
        <w:rPr>
          <w:rFonts w:hint="default" w:ascii="Times New Roman" w:hAnsi="Times New Roman" w:eastAsia="宋体" w:cs="宋体"/>
          <w:bCs/>
          <w:color w:val="auto"/>
          <w:sz w:val="24"/>
          <w:szCs w:val="21"/>
          <w:lang w:val="en-US" w:eastAsia="zh-CN"/>
        </w:rPr>
        <w:t>内有众多数量的沟、港、湖泊，浮游生物丰富，为鱼类的栖居、索饵、产卵和洄游提供了良好场所，淡水鱼产地。目前现有鱼类11目22科114种。未发现珍稀、濒危物种和国家、地方保护物种。</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（5）植被分布</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华容县</w:t>
      </w:r>
      <w:r>
        <w:rPr>
          <w:rFonts w:hint="eastAsia" w:ascii="Times New Roman" w:hAnsi="Times New Roman" w:eastAsia="宋体" w:cs="宋体"/>
          <w:bCs/>
          <w:color w:val="auto"/>
          <w:sz w:val="24"/>
          <w:szCs w:val="21"/>
          <w:lang w:val="en-US" w:eastAsia="zh-CN"/>
        </w:rPr>
        <w:t>团洲乡</w:t>
      </w:r>
      <w:r>
        <w:rPr>
          <w:rFonts w:hint="default" w:ascii="Times New Roman" w:hAnsi="Times New Roman" w:eastAsia="宋体" w:cs="宋体"/>
          <w:bCs/>
          <w:color w:val="auto"/>
          <w:sz w:val="24"/>
          <w:szCs w:val="21"/>
          <w:lang w:val="en-US" w:eastAsia="zh-CN"/>
        </w:rPr>
        <w:t>为主要农业产区，水田多种水稻，旱地多种油菜、棉花，其他有各类零星瓜果蔬菜等</w:t>
      </w:r>
      <w:r>
        <w:rPr>
          <w:rFonts w:hint="eastAsia" w:ascii="Times New Roman" w:hAnsi="Times New Roman" w:eastAsia="宋体" w:cs="宋体"/>
          <w:bCs/>
          <w:color w:val="auto"/>
          <w:sz w:val="24"/>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项目区域及周边</w:t>
      </w:r>
      <w:r>
        <w:rPr>
          <w:rFonts w:hint="default" w:ascii="Times New Roman" w:hAnsi="Times New Roman" w:eastAsia="宋体" w:cs="宋体"/>
          <w:bCs/>
          <w:color w:val="auto"/>
          <w:sz w:val="24"/>
          <w:szCs w:val="21"/>
          <w:lang w:val="en-US" w:eastAsia="zh-CN"/>
        </w:rPr>
        <w:t>未见古树名木及其他珍稀、濒危物种和国家、地方保护物种。</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（6）水土流失现状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rPr>
      </w:pPr>
      <w:r>
        <w:rPr>
          <w:rFonts w:hint="default" w:ascii="Times New Roman" w:hAnsi="Times New Roman" w:eastAsia="宋体" w:cs="宋体"/>
          <w:bCs/>
          <w:color w:val="auto"/>
          <w:sz w:val="24"/>
          <w:szCs w:val="21"/>
          <w:lang w:val="en-US" w:eastAsia="zh-CN"/>
        </w:rPr>
        <w:t>根据《土壤侵蚀分类分级标准》（SL190-2007），在全国土壤侵蚀类型区划中，项目区属于以水力侵蚀为主的类型区中的南方红壤丘陵区，其土壤容许流失量为500t/k㎡.a；项目区水土流失侵蚀形态以轻度水力侵蚀为主，水蚀又以面蚀为主，沟蚀次之。</w:t>
      </w:r>
    </w:p>
    <w:p>
      <w:pPr>
        <w:pStyle w:val="68"/>
        <w:ind w:firstLine="480"/>
        <w:rPr>
          <w:rFonts w:hint="default" w:ascii="Times New Roman" w:hAnsi="Times New Roman" w:cs="Times New Roman"/>
          <w:color w:val="auto"/>
        </w:rPr>
      </w:pPr>
      <w:r>
        <w:rPr>
          <w:rFonts w:hint="default" w:ascii="Times New Roman" w:hAnsi="Times New Roman" w:cs="Times New Roman"/>
          <w:color w:val="auto"/>
        </w:rPr>
        <w:t>1）华容县水土流失现状</w:t>
      </w:r>
    </w:p>
    <w:p>
      <w:pPr>
        <w:pStyle w:val="68"/>
        <w:ind w:firstLine="480"/>
        <w:rPr>
          <w:rFonts w:hint="default" w:ascii="Times New Roman" w:hAnsi="Times New Roman" w:cs="Times New Roman"/>
          <w:color w:val="auto"/>
        </w:rPr>
      </w:pPr>
      <w:r>
        <w:rPr>
          <w:rFonts w:hint="default" w:ascii="Times New Roman" w:hAnsi="Times New Roman" w:cs="Times New Roman"/>
          <w:color w:val="auto"/>
        </w:rPr>
        <w:t>根据2022年湖南省水土保持公报中（2022年湖南省水土保持率及水土流失面积表）华容县数据，水土保持率为99.26%，项目区所在的华容县水土流失面积为11.72km²，按水土流失强度分级为：轻度侵蚀面积10.34km²，占水土流失总面积的88.23%；中度侵蚀面积1.36km²，占水土流失总面积的11.60%；强烈侵蚀面积0.01km2，占水土流失总面积的0.09%；极强烈侵蚀面积0.01km²，占水土流失总面积的0.09%；剧烈侵蚀面积0.00km²，占水土流失总面积的0.00%；华容县水土流失面积见下表。</w:t>
      </w:r>
    </w:p>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rPr>
      </w:pPr>
      <w:r>
        <w:rPr>
          <w:rFonts w:hint="default" w:ascii="Times New Roman" w:hAnsi="Times New Roman" w:cs="Times New Roman"/>
          <w:color w:val="auto"/>
        </w:rPr>
        <w:t>表3-</w:t>
      </w:r>
      <w:r>
        <w:rPr>
          <w:rFonts w:hint="eastAsia" w:ascii="Times New Roman" w:hAnsi="Times New Roman" w:cs="Times New Roman"/>
          <w:color w:val="auto"/>
          <w:lang w:val="en-US" w:eastAsia="zh-CN"/>
        </w:rPr>
        <w:t>1</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华容县水土流失现状</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920"/>
        <w:gridCol w:w="1404"/>
        <w:gridCol w:w="3957"/>
        <w:gridCol w:w="20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3767" w:type="pct"/>
            <w:gridSpan w:val="3"/>
            <w:tcBorders>
              <w:tl2br w:val="nil"/>
              <w:tr2bl w:val="nil"/>
            </w:tcBorders>
            <w:shd w:val="clear" w:color="auto" w:fill="auto"/>
            <w:noWrap w:val="0"/>
            <w:vAlign w:val="center"/>
          </w:tcPr>
          <w:p>
            <w:pPr>
              <w:pStyle w:val="70"/>
              <w:jc w:val="center"/>
              <w:rPr>
                <w:rFonts w:hint="default" w:ascii="Times New Roman" w:hAnsi="Times New Roman" w:cs="Times New Roman"/>
                <w:b/>
                <w:bCs/>
                <w:color w:val="auto"/>
              </w:rPr>
            </w:pPr>
            <w:r>
              <w:rPr>
                <w:rFonts w:hint="default" w:ascii="Times New Roman" w:hAnsi="Times New Roman" w:cs="Times New Roman"/>
                <w:b/>
                <w:bCs/>
                <w:color w:val="auto"/>
              </w:rPr>
              <w:t>水土流失面积（km</w:t>
            </w:r>
            <w:r>
              <w:rPr>
                <w:rFonts w:hint="default" w:ascii="Times New Roman" w:hAnsi="Times New Roman" w:cs="Times New Roman"/>
                <w:b/>
                <w:bCs/>
                <w:color w:val="auto"/>
                <w:vertAlign w:val="superscript"/>
              </w:rPr>
              <w:t>2</w:t>
            </w:r>
            <w:r>
              <w:rPr>
                <w:rFonts w:hint="default" w:ascii="Times New Roman" w:hAnsi="Times New Roman" w:cs="Times New Roman"/>
                <w:b/>
                <w:bCs/>
                <w:color w:val="auto"/>
              </w:rPr>
              <w:t>）</w:t>
            </w:r>
          </w:p>
        </w:tc>
        <w:tc>
          <w:tcPr>
            <w:tcW w:w="1233" w:type="pct"/>
            <w:tcBorders>
              <w:tl2br w:val="nil"/>
              <w:tr2bl w:val="nil"/>
            </w:tcBorders>
            <w:shd w:val="clear" w:color="auto" w:fill="auto"/>
            <w:noWrap w:val="0"/>
            <w:vAlign w:val="center"/>
          </w:tcPr>
          <w:p>
            <w:pPr>
              <w:pStyle w:val="70"/>
              <w:jc w:val="center"/>
              <w:rPr>
                <w:rFonts w:hint="default" w:ascii="Times New Roman" w:hAnsi="Times New Roman" w:cs="Times New Roman"/>
                <w:b/>
                <w:bCs/>
                <w:color w:val="auto"/>
              </w:rPr>
            </w:pPr>
            <w:r>
              <w:rPr>
                <w:rFonts w:hint="default" w:ascii="Times New Roman" w:hAnsi="Times New Roman" w:cs="Times New Roman"/>
                <w:b/>
                <w:bCs/>
                <w:color w:val="auto"/>
              </w:rPr>
              <w:t>11.72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restar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水土流失强度</w:t>
            </w:r>
          </w:p>
        </w:tc>
        <w:tc>
          <w:tcPr>
            <w:tcW w:w="3214" w:type="pct"/>
            <w:gridSpan w:val="2"/>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微度侵蚀面积（km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p>
        </w:tc>
        <w:tc>
          <w:tcPr>
            <w:tcW w:w="842" w:type="pct"/>
            <w:vMerge w:val="restar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轻度</w:t>
            </w:r>
          </w:p>
        </w:tc>
        <w:tc>
          <w:tcPr>
            <w:tcW w:w="2372"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10.34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p>
        </w:tc>
        <w:tc>
          <w:tcPr>
            <w:tcW w:w="842" w:type="pct"/>
            <w:vMerge w:val="continue"/>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p>
        </w:tc>
        <w:tc>
          <w:tcPr>
            <w:tcW w:w="2372"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占水土流失面积比重</w:t>
            </w:r>
          </w:p>
        </w:tc>
        <w:tc>
          <w:tcPr>
            <w:tcW w:w="1233"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88.23%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p>
        </w:tc>
        <w:tc>
          <w:tcPr>
            <w:tcW w:w="842" w:type="pct"/>
            <w:vMerge w:val="restar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中度</w:t>
            </w:r>
          </w:p>
        </w:tc>
        <w:tc>
          <w:tcPr>
            <w:tcW w:w="2372"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1.36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p>
        </w:tc>
        <w:tc>
          <w:tcPr>
            <w:tcW w:w="842" w:type="pct"/>
            <w:vMerge w:val="continue"/>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p>
        </w:tc>
        <w:tc>
          <w:tcPr>
            <w:tcW w:w="2372"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占水土流失面积比重</w:t>
            </w:r>
          </w:p>
        </w:tc>
        <w:tc>
          <w:tcPr>
            <w:tcW w:w="1233"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11.60%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p>
        </w:tc>
        <w:tc>
          <w:tcPr>
            <w:tcW w:w="842" w:type="pct"/>
            <w:vMerge w:val="restar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强烈</w:t>
            </w:r>
          </w:p>
        </w:tc>
        <w:tc>
          <w:tcPr>
            <w:tcW w:w="2372"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0.01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p>
        </w:tc>
        <w:tc>
          <w:tcPr>
            <w:tcW w:w="842" w:type="pct"/>
            <w:vMerge w:val="continue"/>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p>
        </w:tc>
        <w:tc>
          <w:tcPr>
            <w:tcW w:w="2372"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占水土流失面积比重</w:t>
            </w:r>
          </w:p>
        </w:tc>
        <w:tc>
          <w:tcPr>
            <w:tcW w:w="1233"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0.09%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p>
        </w:tc>
        <w:tc>
          <w:tcPr>
            <w:tcW w:w="842" w:type="pct"/>
            <w:vMerge w:val="restar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极强烈</w:t>
            </w:r>
          </w:p>
        </w:tc>
        <w:tc>
          <w:tcPr>
            <w:tcW w:w="2372"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0.01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p>
        </w:tc>
        <w:tc>
          <w:tcPr>
            <w:tcW w:w="842" w:type="pct"/>
            <w:vMerge w:val="continue"/>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p>
        </w:tc>
        <w:tc>
          <w:tcPr>
            <w:tcW w:w="2372"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占水土流失面积比重</w:t>
            </w:r>
          </w:p>
        </w:tc>
        <w:tc>
          <w:tcPr>
            <w:tcW w:w="1233"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0.09%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p>
        </w:tc>
        <w:tc>
          <w:tcPr>
            <w:tcW w:w="842"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剧烈</w:t>
            </w:r>
          </w:p>
        </w:tc>
        <w:tc>
          <w:tcPr>
            <w:tcW w:w="2372"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70"/>
              <w:jc w:val="center"/>
              <w:rPr>
                <w:rFonts w:hint="default" w:ascii="Times New Roman" w:hAnsi="Times New Roman" w:cs="Times New Roman"/>
                <w:color w:val="auto"/>
              </w:rPr>
            </w:pPr>
            <w:r>
              <w:rPr>
                <w:rFonts w:hint="default" w:ascii="Times New Roman" w:hAnsi="Times New Roman" w:cs="Times New Roman"/>
                <w:color w:val="auto"/>
              </w:rPr>
              <w:t>0</w:t>
            </w:r>
          </w:p>
        </w:tc>
      </w:tr>
    </w:tbl>
    <w:p>
      <w:pPr>
        <w:pStyle w:val="68"/>
        <w:ind w:firstLine="480"/>
        <w:rPr>
          <w:rFonts w:hint="default" w:ascii="Times New Roman" w:hAnsi="Times New Roman" w:cs="Times New Roman"/>
          <w:color w:val="auto"/>
        </w:rPr>
      </w:pPr>
      <w:r>
        <w:rPr>
          <w:rFonts w:hint="default" w:ascii="Times New Roman" w:hAnsi="Times New Roman" w:cs="Times New Roman"/>
          <w:color w:val="auto"/>
        </w:rPr>
        <w:t>2）项目区水土流失现状</w:t>
      </w:r>
    </w:p>
    <w:p>
      <w:pPr>
        <w:pStyle w:val="68"/>
        <w:ind w:firstLine="480"/>
        <w:rPr>
          <w:rFonts w:hint="default" w:ascii="Times New Roman" w:hAnsi="Times New Roman" w:eastAsia="宋体" w:cs="Times New Roman"/>
          <w:color w:val="auto"/>
        </w:rPr>
      </w:pPr>
      <w:r>
        <w:rPr>
          <w:rFonts w:hint="default" w:ascii="Times New Roman" w:hAnsi="Times New Roman" w:cs="Times New Roman"/>
          <w:color w:val="auto"/>
        </w:rPr>
        <w:t>项目区侵蚀强度背景值：根据现场调查，植被主要作为水域及水利设施用地草地和其他草地，原生土壤侵蚀模数取500t/（km²·a）以下，属轻度流失。已造成水土流失的危害性调查：项目</w:t>
      </w:r>
      <w:r>
        <w:rPr>
          <w:rFonts w:hint="eastAsia" w:ascii="Times New Roman" w:hAnsi="Times New Roman" w:cs="Times New Roman"/>
          <w:color w:val="auto"/>
          <w:lang w:val="en-US" w:eastAsia="zh-CN"/>
        </w:rPr>
        <w:t>已完成工程建设</w:t>
      </w:r>
      <w:r>
        <w:rPr>
          <w:rFonts w:hint="default" w:ascii="Times New Roman" w:hAnsi="Times New Roman" w:cs="Times New Roman"/>
          <w:color w:val="auto"/>
        </w:rPr>
        <w:t>，未发生重大水土流失危害事件。依</w:t>
      </w:r>
      <w:r>
        <w:rPr>
          <w:rFonts w:hint="default" w:ascii="Times New Roman" w:hAnsi="Times New Roman" w:eastAsia="宋体" w:cs="Times New Roman"/>
          <w:color w:val="auto"/>
        </w:rPr>
        <w:t>据《土壤侵蚀分类分级标准》（SL190-2007），项目区属于以水力侵蚀为主的南方红壤平原区，容许土壤侵蚀模数为500t/（km²·a）。</w:t>
      </w:r>
    </w:p>
    <w:p>
      <w:pPr>
        <w:pStyle w:val="68"/>
        <w:ind w:firstLine="4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湖南东洞庭湖国家级自然保护区</w:t>
      </w:r>
    </w:p>
    <w:p>
      <w:pPr>
        <w:pStyle w:val="68"/>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东洞庭湖国家级自然保护区位于长江中下游荆江江段南侧，地处湖南省东北部岳阳市境内，地理坐标为29°0′0″～29°37′45.7″N，112°43′59.5″～113°13′13.4″E之间。自然保护区北起长江湘鄂两省主航道分界线，南至磊石山，东至京广铁路，西至与南县交界。管理范围包括整个东洞庭湖水域及其近周平原岗地。</w:t>
      </w:r>
    </w:p>
    <w:p>
      <w:pPr>
        <w:pStyle w:val="68"/>
        <w:ind w:firstLine="480"/>
        <w:rPr>
          <w:rFonts w:hint="eastAsia" w:ascii="Times New Roman" w:hAnsi="Times New Roman" w:cs="Times New Roman"/>
          <w:color w:val="auto"/>
          <w:lang w:eastAsia="zh-CN"/>
        </w:rPr>
      </w:pPr>
      <w:r>
        <w:rPr>
          <w:rFonts w:hint="default" w:ascii="Times New Roman" w:hAnsi="Times New Roman" w:eastAsia="宋体" w:cs="Times New Roman"/>
          <w:color w:val="auto"/>
        </w:rPr>
        <w:t>东洞庭湖国家级自然保护区成立于1982年，1992年成为我国首批加入《国际湿地公约》的六块国际重要湿地之一，1994年经国务院批准升格为国家级自然保护区，2018年经国务院（国办函[2018]19号）批准，调整了保护区范围与功能区划。保护区划分为核心区、缓冲区和实验区，保护区面积157627公顷，其中核心区面积33286公顷，缓冲区面积32369公顷，实验区面积91972公顷。东洞庭湖是世界自然基金会（WWF）确定的全球200个生物多样性热点地区之一，湿地生物资源丰富，是东北亚迁徙候鸟重要的越冬地和栖息地。保护区有鸟类356种，其中国家一级保护的有东方白</w:t>
      </w:r>
      <w:r>
        <w:rPr>
          <w:rFonts w:hint="default" w:ascii="Times New Roman" w:hAnsi="Times New Roman" w:cs="Times New Roman"/>
          <w:color w:val="auto"/>
        </w:rPr>
        <w:t>鹳、黑鹳、白鹤等18种，二级保护的64种；有维管束植物486种；鱼类117种，其中国家一级保护的有白鲟、中华鲟2种；两栖类12种，爬行类11种，哺乳类31种，其中国家一级保护2种，即江豚和目前中国最大的自然野化种群麋鹿。2021年，洞庭湖越冬水鸟创历史新高达到28.8万只，麋鹿达到200余头，已成为最大的自然野化种群和稳定的东洞庭湖亚群。长江江豚持续增加，达到120多头。候鸟的欢歌、麋鹿的倩影、江豚的微笑已成为湖南生态文明建设的新名片</w:t>
      </w:r>
      <w:r>
        <w:rPr>
          <w:rFonts w:hint="eastAsia" w:ascii="Times New Roman" w:hAnsi="Times New Roman" w:cs="Times New Roman"/>
          <w:color w:val="auto"/>
          <w:lang w:eastAsia="zh-CN"/>
        </w:rPr>
        <w:t>。</w:t>
      </w:r>
    </w:p>
    <w:p>
      <w:pPr>
        <w:pStyle w:val="68"/>
        <w:ind w:firstLine="480"/>
        <w:rPr>
          <w:rFonts w:hint="default" w:ascii="Times New Roman" w:hAnsi="Times New Roman" w:cs="Times New Roman"/>
          <w:color w:val="auto"/>
          <w:lang w:val="en-US" w:eastAsia="zh-CN"/>
        </w:rPr>
      </w:pPr>
      <w:r>
        <w:rPr>
          <w:rFonts w:hint="eastAsia" w:cs="Times New Roman"/>
          <w:color w:val="auto"/>
          <w:lang w:val="en-US" w:eastAsia="zh-CN"/>
        </w:rPr>
        <w:t>1）植被：</w:t>
      </w:r>
    </w:p>
    <w:p>
      <w:pPr>
        <w:pStyle w:val="68"/>
        <w:ind w:firstLine="480"/>
        <w:rPr>
          <w:rFonts w:hint="default" w:ascii="Times New Roman" w:hAnsi="Times New Roman" w:cs="Times New Roman"/>
          <w:color w:val="auto"/>
        </w:rPr>
      </w:pPr>
      <w:r>
        <w:rPr>
          <w:rFonts w:hint="default" w:ascii="Times New Roman" w:hAnsi="Times New Roman" w:cs="Times New Roman"/>
          <w:color w:val="auto"/>
        </w:rPr>
        <w:t>植被以湿地植物为主，自然保护区范围因有丘陵岗地，也包括部分丘陵岗地的森林、灌丛类型，划分为7个植被型组（针叶林、针阔混交林、阔叶林、灌草丛、草甸型、沼泽型、水生植物型），63个群系（包括季节性群系）。保护区有维管束植物169科、541属、865种。其中蕨类植物24科、40属、63种，裸子植物7科、17属、22种，被子植物138科、484属、780种。自然保护区865种植物中，分布于湿地区域即水体、洲滩、湖堤等冲积土上的湿地植物共451种。典型的水生植物55种，其中挺水植物28种，浮叶植物7种，漂浮植物6种，沉水植物14种。</w:t>
      </w:r>
    </w:p>
    <w:p>
      <w:pPr>
        <w:pStyle w:val="68"/>
        <w:ind w:firstLine="480"/>
        <w:rPr>
          <w:rFonts w:hint="default" w:ascii="Times New Roman" w:hAnsi="Times New Roman" w:eastAsia="宋体" w:cs="Times New Roman"/>
          <w:color w:val="auto"/>
          <w:lang w:val="en-US" w:eastAsia="zh-CN"/>
        </w:rPr>
      </w:pPr>
      <w:r>
        <w:rPr>
          <w:rFonts w:hint="eastAsia" w:cs="Times New Roman"/>
          <w:color w:val="auto"/>
          <w:lang w:val="en-US" w:eastAsia="zh-CN"/>
        </w:rPr>
        <w:t>2）动物</w:t>
      </w:r>
    </w:p>
    <w:p>
      <w:pPr>
        <w:pStyle w:val="68"/>
        <w:ind w:firstLine="480"/>
        <w:rPr>
          <w:rFonts w:hint="default" w:ascii="Times New Roman" w:hAnsi="Times New Roman" w:cs="Times New Roman"/>
          <w:color w:val="auto"/>
        </w:rPr>
      </w:pPr>
      <w:r>
        <w:rPr>
          <w:rFonts w:hint="default" w:ascii="Times New Roman" w:hAnsi="Times New Roman" w:cs="Times New Roman"/>
          <w:color w:val="auto"/>
        </w:rPr>
        <w:t>自然保护区有野生脊椎动物共有5纲37目110科534种。其中，鱼类7目19科117种；两栖类2目5科11种；爬行类3目8科25种；鸟类17/18目55/64科348种；哺乳类7目14科33种。保护区独特的水域湿地环境，决定了该区动物类群具有喜湿或半喜湿性特征。构成该区生物地理动物群的主体为水禽和鱼类，而绝大多数为迁徙性鸟类和洄游性鱼类，形成了复杂的区系特征，同时集中了许多珍稀濒危物种，且濒危物种还具有相当的数量，对于保持湿地生物多样性具有重要意义</w:t>
      </w:r>
    </w:p>
    <w:p>
      <w:pPr>
        <w:pStyle w:val="68"/>
        <w:ind w:firstLine="480"/>
        <w:rPr>
          <w:rFonts w:hint="default" w:ascii="Times New Roman" w:hAnsi="Times New Roman" w:cs="Times New Roman"/>
          <w:color w:val="auto"/>
        </w:rPr>
      </w:pPr>
      <w:r>
        <w:rPr>
          <w:rFonts w:hint="eastAsia" w:cs="Times New Roman"/>
          <w:color w:val="auto"/>
          <w:lang w:val="en-US" w:eastAsia="zh-CN"/>
        </w:rPr>
        <w:t>3）</w:t>
      </w:r>
      <w:r>
        <w:rPr>
          <w:rFonts w:hint="eastAsia" w:ascii="Times New Roman" w:hAnsi="Times New Roman" w:cs="Times New Roman"/>
          <w:color w:val="auto"/>
        </w:rPr>
        <w:t>景观资源</w:t>
      </w:r>
    </w:p>
    <w:p>
      <w:pPr>
        <w:pStyle w:val="68"/>
        <w:ind w:firstLine="480"/>
        <w:rPr>
          <w:rFonts w:hint="eastAsia" w:ascii="Times New Roman" w:hAnsi="Times New Roman" w:cs="Times New Roman"/>
          <w:color w:val="auto"/>
        </w:rPr>
      </w:pPr>
      <w:r>
        <w:rPr>
          <w:rFonts w:hint="eastAsia" w:ascii="Times New Roman" w:hAnsi="Times New Roman" w:cs="Times New Roman"/>
          <w:color w:val="auto"/>
        </w:rPr>
        <w:t>壮丽的湿地景观：洞庭湖纳湘江、资江、澧水、沅江四水，吞吐长江，浩浩荡荡，横无际涯，天水一色，云蒸霞蔚，气象万千，波澜壮阔的八百里洞庭胜景依稀呈现；秋冬时节，水退滩现，形成独特的湖中湖，各显峥嵘，条条水道将星罗棋布、大小不等、形状各异的湖泊连贯成串，形似一条壮观的超级项链；在一望无垠的水际洲滩上，自由翱翔的鸟群追风逐月，绵延不绝，潇湘八景之一的“平沙落雁”竞现眼前，令人心旷神怡，流连忘返。</w:t>
      </w:r>
    </w:p>
    <w:p>
      <w:pPr>
        <w:pStyle w:val="68"/>
        <w:ind w:firstLine="480"/>
        <w:rPr>
          <w:rFonts w:hint="eastAsia" w:ascii="Times New Roman" w:hAnsi="Times New Roman" w:eastAsia="宋体" w:cs="Times New Roman"/>
          <w:color w:val="auto"/>
          <w:szCs w:val="22"/>
          <w:lang w:val="en-US" w:eastAsia="zh-CN"/>
        </w:rPr>
      </w:pPr>
      <w:r>
        <w:rPr>
          <w:rFonts w:hint="default" w:ascii="Times New Roman" w:hAnsi="Times New Roman" w:cs="Times New Roman"/>
          <w:color w:val="auto"/>
        </w:rPr>
        <w:t>丰富的生物景观：洞庭湖宽广的湖面，在地壳不断沉降与隆起的造地运动作用下，逐渐形成了不同的地形地貌和多样的湿地生态环境，从而孕育了丰富的植被群落和水生生物资源，为食性不同的百余种水禽提供了取之不尽的食物，成为冬侯鸟栖息的乐园。每到秋风劲吹的季节，成千上万的游禽和涉禽，飞越万水千山，从遥远的西北利亚、东北、西北等繁殖地成群结队来到洞庭湖湖区越冬。其</w:t>
      </w:r>
      <w:r>
        <w:rPr>
          <w:rFonts w:hint="default" w:ascii="Times New Roman" w:hAnsi="Times New Roman" w:eastAsia="宋体" w:cs="Times New Roman"/>
          <w:color w:val="auto"/>
          <w:szCs w:val="22"/>
        </w:rPr>
        <w:t>数量之多，场面之壮观，品种之珍稀实属国内少有，为世人所瞩目。</w:t>
      </w:r>
    </w:p>
    <w:p>
      <w:pPr>
        <w:pStyle w:val="68"/>
        <w:ind w:firstLine="480"/>
        <w:rPr>
          <w:rFonts w:hint="default" w:ascii="Times New Roman" w:hAnsi="Times New Roman" w:eastAsia="宋体" w:cs="Times New Roman"/>
          <w:color w:val="auto"/>
          <w:szCs w:val="22"/>
        </w:rPr>
      </w:pPr>
      <w:r>
        <w:rPr>
          <w:rFonts w:hint="eastAsia" w:ascii="Times New Roman" w:hAnsi="Times New Roman" w:eastAsia="宋体" w:cs="Times New Roman"/>
          <w:color w:val="auto"/>
          <w:szCs w:val="22"/>
          <w:lang w:eastAsia="zh-CN"/>
        </w:rPr>
        <w:t>（</w:t>
      </w:r>
      <w:r>
        <w:rPr>
          <w:rFonts w:hint="eastAsia" w:ascii="Times New Roman" w:hAnsi="Times New Roman" w:eastAsia="宋体" w:cs="Times New Roman"/>
          <w:color w:val="auto"/>
          <w:szCs w:val="22"/>
          <w:lang w:val="en-US" w:eastAsia="zh-CN"/>
        </w:rPr>
        <w:t>7</w:t>
      </w:r>
      <w:r>
        <w:rPr>
          <w:rFonts w:hint="eastAsia" w:ascii="Times New Roman" w:hAnsi="Times New Roman" w:eastAsia="宋体" w:cs="Times New Roman"/>
          <w:color w:val="auto"/>
          <w:szCs w:val="22"/>
          <w:lang w:eastAsia="zh-CN"/>
        </w:rPr>
        <w:t>）</w:t>
      </w:r>
      <w:r>
        <w:rPr>
          <w:rFonts w:hint="default" w:ascii="Times New Roman" w:hAnsi="Times New Roman" w:eastAsia="宋体" w:cs="Times New Roman"/>
          <w:color w:val="auto"/>
          <w:szCs w:val="22"/>
          <w:lang w:val="en-US" w:eastAsia="zh-CN"/>
        </w:rPr>
        <w:t>区域生态环境</w:t>
      </w:r>
      <w:r>
        <w:rPr>
          <w:rFonts w:hint="default" w:ascii="Times New Roman" w:hAnsi="Times New Roman" w:eastAsia="宋体" w:cs="Times New Roman"/>
          <w:color w:val="auto"/>
          <w:szCs w:val="22"/>
        </w:rPr>
        <w:t>现状</w:t>
      </w:r>
    </w:p>
    <w:p>
      <w:pPr>
        <w:pStyle w:val="68"/>
        <w:ind w:firstLine="480"/>
        <w:rPr>
          <w:rFonts w:hint="default" w:ascii="Times New Roman" w:hAnsi="Times New Roman" w:eastAsia="宋体" w:cs="Times New Roman"/>
          <w:color w:val="auto"/>
          <w:szCs w:val="22"/>
          <w:lang w:eastAsia="zh-CN"/>
        </w:rPr>
      </w:pPr>
      <w:r>
        <w:rPr>
          <w:rFonts w:hint="default" w:ascii="Times New Roman" w:hAnsi="Times New Roman" w:eastAsia="宋体" w:cs="Times New Roman"/>
          <w:color w:val="auto"/>
          <w:szCs w:val="22"/>
        </w:rPr>
        <w:t>项目影响区域</w:t>
      </w:r>
      <w:r>
        <w:rPr>
          <w:rFonts w:hint="default" w:ascii="Times New Roman" w:hAnsi="Times New Roman" w:eastAsia="宋体" w:cs="Times New Roman"/>
          <w:color w:val="auto"/>
          <w:szCs w:val="22"/>
          <w:lang w:val="en-US" w:eastAsia="zh-CN"/>
        </w:rPr>
        <w:t>内生态系统为</w:t>
      </w:r>
      <w:r>
        <w:rPr>
          <w:rFonts w:hint="default" w:ascii="Times New Roman" w:hAnsi="Times New Roman" w:eastAsia="宋体" w:cs="Times New Roman"/>
          <w:color w:val="auto"/>
          <w:szCs w:val="22"/>
        </w:rPr>
        <w:t>以人工植被为主的农业生态系统</w:t>
      </w:r>
      <w:r>
        <w:rPr>
          <w:rFonts w:hint="default" w:ascii="Times New Roman" w:hAnsi="Times New Roman" w:eastAsia="宋体" w:cs="Times New Roman"/>
          <w:color w:val="auto"/>
          <w:szCs w:val="22"/>
          <w:lang w:val="en-US" w:eastAsia="zh-CN"/>
        </w:rPr>
        <w:t>以及</w:t>
      </w:r>
      <w:r>
        <w:rPr>
          <w:rFonts w:hint="default" w:ascii="Times New Roman" w:hAnsi="Times New Roman" w:eastAsia="宋体" w:cs="Times New Roman"/>
          <w:color w:val="auto"/>
          <w:szCs w:val="22"/>
        </w:rPr>
        <w:t>镇区等人工生态系统，主要种植农作物和经济作物。</w:t>
      </w:r>
      <w:r>
        <w:rPr>
          <w:rFonts w:hint="default" w:ascii="Times New Roman" w:hAnsi="Times New Roman" w:eastAsia="宋体" w:cs="Times New Roman"/>
          <w:color w:val="auto"/>
          <w:szCs w:val="22"/>
          <w:lang w:val="en-US" w:eastAsia="zh-CN"/>
        </w:rPr>
        <w:t>区域内用地主要为</w:t>
      </w:r>
      <w:r>
        <w:rPr>
          <w:rFonts w:hint="default" w:ascii="Times New Roman" w:hAnsi="Times New Roman" w:eastAsia="宋体" w:cs="Times New Roman"/>
          <w:color w:val="auto"/>
          <w:szCs w:val="22"/>
        </w:rPr>
        <w:t>荒地和农田，农田种植一季或两季成熟的农作物，</w:t>
      </w:r>
      <w:r>
        <w:rPr>
          <w:rFonts w:hint="default" w:ascii="Times New Roman" w:hAnsi="Times New Roman" w:eastAsia="宋体" w:cs="Times New Roman"/>
          <w:color w:val="auto"/>
          <w:szCs w:val="22"/>
          <w:lang w:val="en-US" w:eastAsia="zh-CN"/>
        </w:rPr>
        <w:t>主要为水稻、油菜</w:t>
      </w:r>
      <w:r>
        <w:rPr>
          <w:rFonts w:hint="eastAsia" w:ascii="Times New Roman" w:hAnsi="Times New Roman" w:cs="Times New Roman"/>
          <w:color w:val="auto"/>
          <w:szCs w:val="22"/>
          <w:lang w:val="en-US" w:eastAsia="zh-CN"/>
        </w:rPr>
        <w:t>、玉米</w:t>
      </w:r>
      <w:r>
        <w:rPr>
          <w:rFonts w:hint="default" w:ascii="Times New Roman" w:hAnsi="Times New Roman" w:eastAsia="宋体" w:cs="Times New Roman"/>
          <w:color w:val="auto"/>
          <w:szCs w:val="22"/>
          <w:lang w:val="en-US" w:eastAsia="zh-CN"/>
        </w:rPr>
        <w:t>等，</w:t>
      </w:r>
      <w:r>
        <w:rPr>
          <w:rFonts w:hint="default" w:ascii="Times New Roman" w:hAnsi="Times New Roman" w:eastAsia="宋体" w:cs="Times New Roman"/>
          <w:color w:val="auto"/>
          <w:szCs w:val="22"/>
        </w:rPr>
        <w:t>受人为干扰作用很大。调查范围内植被类型和植被群落结构都比较单一，以</w:t>
      </w:r>
      <w:r>
        <w:rPr>
          <w:rFonts w:hint="default" w:ascii="Times New Roman" w:hAnsi="Times New Roman" w:eastAsia="宋体" w:cs="Times New Roman"/>
          <w:color w:val="auto"/>
          <w:szCs w:val="22"/>
          <w:lang w:val="en-US" w:eastAsia="zh-CN"/>
        </w:rPr>
        <w:t>农业系统</w:t>
      </w:r>
      <w:r>
        <w:rPr>
          <w:rFonts w:hint="default" w:ascii="Times New Roman" w:hAnsi="Times New Roman" w:eastAsia="宋体" w:cs="Times New Roman"/>
          <w:color w:val="auto"/>
          <w:szCs w:val="22"/>
        </w:rPr>
        <w:t>为主，</w:t>
      </w:r>
      <w:r>
        <w:rPr>
          <w:rFonts w:hint="default" w:ascii="Times New Roman" w:hAnsi="Times New Roman" w:eastAsia="宋体" w:cs="Times New Roman"/>
          <w:color w:val="auto"/>
          <w:szCs w:val="22"/>
          <w:lang w:val="en-US" w:eastAsia="zh-CN"/>
        </w:rPr>
        <w:t>周边</w:t>
      </w:r>
      <w:r>
        <w:rPr>
          <w:rFonts w:hint="default" w:ascii="Times New Roman" w:hAnsi="Times New Roman" w:eastAsia="宋体" w:cs="Times New Roman"/>
          <w:color w:val="auto"/>
          <w:szCs w:val="22"/>
        </w:rPr>
        <w:t>林地也受到一定的人为干扰</w:t>
      </w:r>
      <w:r>
        <w:rPr>
          <w:rFonts w:hint="default" w:ascii="Times New Roman" w:hAnsi="Times New Roman" w:cs="Times New Roman"/>
          <w:color w:val="auto"/>
          <w:szCs w:val="22"/>
        </w:rPr>
        <w:t>。</w:t>
      </w:r>
      <w:r>
        <w:rPr>
          <w:rFonts w:hint="default" w:ascii="Times New Roman" w:hAnsi="Times New Roman" w:eastAsia="宋体" w:cs="Times New Roman"/>
          <w:color w:val="auto"/>
          <w:szCs w:val="22"/>
        </w:rPr>
        <w:t>动物均为常见的鸟类、昆虫、啮齿类以及爬行类动物。区域内无特殊生态保护系统和珍稀濒危保护动植物分布</w:t>
      </w:r>
      <w:r>
        <w:rPr>
          <w:rFonts w:hint="default" w:ascii="Times New Roman" w:hAnsi="Times New Roman" w:eastAsia="宋体" w:cs="Times New Roman"/>
          <w:color w:val="auto"/>
          <w:szCs w:val="22"/>
          <w:lang w:eastAsia="zh-CN"/>
        </w:rPr>
        <w:t>。</w:t>
      </w:r>
    </w:p>
    <w:p>
      <w:pPr>
        <w:pStyle w:val="68"/>
        <w:ind w:firstLine="480"/>
        <w:rPr>
          <w:rFonts w:hint="eastAsia" w:cs="Times New Roman"/>
          <w:color w:val="auto"/>
          <w:szCs w:val="22"/>
          <w:lang w:eastAsia="zh-CN"/>
        </w:rPr>
      </w:pPr>
      <w:r>
        <w:rPr>
          <w:rFonts w:hint="default" w:ascii="Times New Roman" w:hAnsi="Times New Roman" w:eastAsia="宋体" w:cs="Times New Roman"/>
          <w:color w:val="auto"/>
          <w:szCs w:val="22"/>
          <w:lang w:eastAsia="zh-CN"/>
        </w:rPr>
        <w:t>本项目位于涉及湖南东洞庭湖国家级自然保护区实验区，属于生态敏感区。评价区属于</w:t>
      </w:r>
      <w:r>
        <w:rPr>
          <w:rFonts w:hint="eastAsia" w:cs="Times New Roman"/>
          <w:color w:val="auto"/>
          <w:szCs w:val="22"/>
          <w:lang w:val="en-US" w:eastAsia="zh-CN"/>
        </w:rPr>
        <w:t>城镇</w:t>
      </w:r>
      <w:r>
        <w:rPr>
          <w:rFonts w:hint="default" w:ascii="Times New Roman" w:hAnsi="Times New Roman" w:eastAsia="宋体" w:cs="Times New Roman"/>
          <w:color w:val="auto"/>
          <w:szCs w:val="22"/>
          <w:lang w:eastAsia="zh-CN"/>
        </w:rPr>
        <w:t>生态系统</w:t>
      </w:r>
      <w:r>
        <w:rPr>
          <w:rFonts w:hint="eastAsia" w:cs="Times New Roman"/>
          <w:color w:val="auto"/>
          <w:szCs w:val="22"/>
          <w:lang w:eastAsia="zh-CN"/>
        </w:rPr>
        <w:t>；</w:t>
      </w:r>
      <w:r>
        <w:rPr>
          <w:rFonts w:hint="default" w:ascii="Times New Roman" w:hAnsi="Times New Roman" w:eastAsia="宋体" w:cs="Times New Roman"/>
          <w:color w:val="auto"/>
          <w:szCs w:val="22"/>
          <w:lang w:eastAsia="zh-CN"/>
        </w:rPr>
        <w:t>评价区为亚热带常绿阔叶林区，陆生自然植被以樟科、壳斗科、山茶科、山矾科、冬青科和禾本科刚竹属植物为主，湖盆植被以禾本科、菊科、莎草科、蓼科、睡莲科、香蒲科、杨柳科植物为主</w:t>
      </w:r>
      <w:r>
        <w:rPr>
          <w:rFonts w:hint="eastAsia" w:cs="Times New Roman"/>
          <w:color w:val="auto"/>
          <w:szCs w:val="22"/>
          <w:lang w:eastAsia="zh-CN"/>
        </w:rPr>
        <w:t>；</w:t>
      </w:r>
      <w:r>
        <w:rPr>
          <w:rFonts w:hint="default" w:ascii="Times New Roman" w:hAnsi="Times New Roman" w:eastAsia="宋体" w:cs="Times New Roman"/>
          <w:color w:val="auto"/>
          <w:szCs w:val="22"/>
          <w:lang w:eastAsia="zh-CN"/>
        </w:rPr>
        <w:t>评价区周边</w:t>
      </w:r>
      <w:r>
        <w:rPr>
          <w:rFonts w:hint="eastAsia" w:cs="Times New Roman"/>
          <w:color w:val="auto"/>
          <w:szCs w:val="22"/>
          <w:lang w:val="en-US" w:eastAsia="zh-CN"/>
        </w:rPr>
        <w:t>主要为城镇建设</w:t>
      </w:r>
      <w:r>
        <w:rPr>
          <w:rFonts w:hint="default" w:ascii="Times New Roman" w:hAnsi="Times New Roman" w:eastAsia="宋体" w:cs="Times New Roman"/>
          <w:color w:val="auto"/>
          <w:szCs w:val="22"/>
          <w:lang w:eastAsia="zh-CN"/>
        </w:rPr>
        <w:t>用地，受人类活动的影响，大型陆生野生动物少;评价区范围内无需要保护的自然遗迹分布</w:t>
      </w:r>
      <w:r>
        <w:rPr>
          <w:rFonts w:hint="eastAsia" w:cs="Times New Roman"/>
          <w:color w:val="auto"/>
          <w:szCs w:val="22"/>
          <w:lang w:eastAsia="zh-CN"/>
        </w:rPr>
        <w:t>。</w:t>
      </w:r>
    </w:p>
    <w:p>
      <w:pPr>
        <w:pStyle w:val="68"/>
        <w:ind w:left="0" w:leftChars="0" w:firstLine="0" w:firstLineChars="0"/>
        <w:jc w:val="center"/>
        <w:rPr>
          <w:rFonts w:hint="default" w:ascii="Times New Roman" w:hAnsi="Times New Roman" w:cs="Times New Roman"/>
          <w:color w:val="auto"/>
        </w:rPr>
      </w:pPr>
      <w:r>
        <w:rPr>
          <w:color w:val="auto"/>
        </w:rPr>
        <w:drawing>
          <wp:inline distT="0" distB="0" distL="114300" distR="114300">
            <wp:extent cx="5057775" cy="1720850"/>
            <wp:effectExtent l="0" t="0" r="9525" b="12700"/>
            <wp:docPr id="5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2"/>
                    <pic:cNvPicPr>
                      <a:picLocks noChangeAspect="1"/>
                    </pic:cNvPicPr>
                  </pic:nvPicPr>
                  <pic:blipFill>
                    <a:blip r:embed="rId71"/>
                    <a:stretch>
                      <a:fillRect/>
                    </a:stretch>
                  </pic:blipFill>
                  <pic:spPr>
                    <a:xfrm>
                      <a:off x="0" y="0"/>
                      <a:ext cx="5057775" cy="1720850"/>
                    </a:xfrm>
                    <a:prstGeom prst="rect">
                      <a:avLst/>
                    </a:prstGeom>
                    <a:noFill/>
                    <a:ln>
                      <a:noFill/>
                    </a:ln>
                  </pic:spPr>
                </pic:pic>
              </a:graphicData>
            </a:graphic>
          </wp:inline>
        </w:drawing>
      </w:r>
    </w:p>
    <w:p>
      <w:pPr>
        <w:pStyle w:val="68"/>
        <w:ind w:left="0" w:leftChars="0" w:firstLine="0" w:firstLineChars="0"/>
        <w:jc w:val="center"/>
        <w:rPr>
          <w:rFonts w:hint="eastAsia" w:ascii="Times New Roman" w:hAnsi="Times New Roman" w:eastAsia="宋体" w:cs="Times New Roman"/>
          <w:color w:val="auto"/>
          <w:lang w:eastAsia="zh-CN"/>
        </w:rPr>
      </w:pPr>
      <w:r>
        <w:rPr>
          <w:color w:val="auto"/>
        </w:rPr>
        <w:drawing>
          <wp:inline distT="0" distB="0" distL="114300" distR="114300">
            <wp:extent cx="5059045" cy="1849120"/>
            <wp:effectExtent l="0" t="0" r="8255" b="17780"/>
            <wp:docPr id="4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3"/>
                    <pic:cNvPicPr>
                      <a:picLocks noChangeAspect="1"/>
                    </pic:cNvPicPr>
                  </pic:nvPicPr>
                  <pic:blipFill>
                    <a:blip r:embed="rId72"/>
                    <a:stretch>
                      <a:fillRect/>
                    </a:stretch>
                  </pic:blipFill>
                  <pic:spPr>
                    <a:xfrm>
                      <a:off x="0" y="0"/>
                      <a:ext cx="5059045" cy="1849120"/>
                    </a:xfrm>
                    <a:prstGeom prst="rect">
                      <a:avLst/>
                    </a:prstGeom>
                    <a:noFill/>
                    <a:ln>
                      <a:noFill/>
                    </a:ln>
                  </pic:spPr>
                </pic:pic>
              </a:graphicData>
            </a:graphic>
          </wp:inline>
        </w:drawing>
      </w:r>
    </w:p>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图3.1   区域内</w:t>
      </w:r>
      <w:r>
        <w:rPr>
          <w:rFonts w:hint="eastAsia" w:ascii="Times New Roman" w:hAnsi="Times New Roman" w:cs="Times New Roman"/>
          <w:color w:val="auto"/>
          <w:highlight w:val="none"/>
          <w:lang w:val="en-US" w:eastAsia="zh-CN"/>
        </w:rPr>
        <w:t>原有</w:t>
      </w:r>
      <w:r>
        <w:rPr>
          <w:rFonts w:hint="default" w:ascii="Times New Roman" w:hAnsi="Times New Roman" w:cs="Times New Roman"/>
          <w:color w:val="auto"/>
          <w:highlight w:val="none"/>
          <w:lang w:val="en-US" w:eastAsia="zh-CN"/>
        </w:rPr>
        <w:t>生态环境</w:t>
      </w:r>
      <w:r>
        <w:rPr>
          <w:rFonts w:hint="eastAsia" w:ascii="Times New Roman" w:hAnsi="Times New Roman" w:cs="Times New Roman"/>
          <w:color w:val="auto"/>
          <w:highlight w:val="none"/>
          <w:lang w:val="en-US" w:eastAsia="zh-CN"/>
        </w:rPr>
        <w:t>图</w:t>
      </w:r>
    </w:p>
    <w:p>
      <w:pPr>
        <w:pStyle w:val="64"/>
        <w:ind w:left="0" w:leftChars="0" w:firstLine="0" w:firstLineChars="0"/>
        <w:jc w:val="both"/>
        <w:rPr>
          <w:rFonts w:hint="default" w:ascii="Times New Roman" w:hAnsi="Times New Roman" w:eastAsia="宋体" w:cs="Times New Roman"/>
          <w:color w:val="auto"/>
          <w:lang w:val="en-US" w:eastAsia="zh-CN"/>
        </w:rPr>
      </w:pPr>
      <w:r>
        <w:rPr>
          <w:color w:val="auto"/>
        </w:rPr>
        <w:drawing>
          <wp:inline distT="0" distB="0" distL="114300" distR="114300">
            <wp:extent cx="2458720" cy="1705610"/>
            <wp:effectExtent l="0" t="0" r="17780" b="8890"/>
            <wp:docPr id="49" name="图片 14" descr="65d6d2da8c8a9b031c34257be87f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4" descr="65d6d2da8c8a9b031c34257be87f041"/>
                    <pic:cNvPicPr>
                      <a:picLocks noChangeAspect="1"/>
                    </pic:cNvPicPr>
                  </pic:nvPicPr>
                  <pic:blipFill>
                    <a:blip r:embed="rId73"/>
                    <a:stretch>
                      <a:fillRect/>
                    </a:stretch>
                  </pic:blipFill>
                  <pic:spPr>
                    <a:xfrm>
                      <a:off x="0" y="0"/>
                      <a:ext cx="2458720" cy="1705610"/>
                    </a:xfrm>
                    <a:prstGeom prst="rect">
                      <a:avLst/>
                    </a:prstGeom>
                    <a:noFill/>
                    <a:ln>
                      <a:noFill/>
                    </a:ln>
                  </pic:spPr>
                </pic:pic>
              </a:graphicData>
            </a:graphic>
          </wp:inline>
        </w:drawing>
      </w:r>
      <w:r>
        <w:rPr>
          <w:rFonts w:hint="eastAsia"/>
          <w:color w:val="auto"/>
          <w:lang w:val="en-US" w:eastAsia="zh-CN"/>
        </w:rPr>
        <w:t xml:space="preserve"> </w:t>
      </w:r>
      <w:r>
        <w:rPr>
          <w:color w:val="auto"/>
        </w:rPr>
        <w:drawing>
          <wp:inline distT="0" distB="0" distL="114300" distR="114300">
            <wp:extent cx="2454275" cy="1713230"/>
            <wp:effectExtent l="0" t="0" r="3175" b="1270"/>
            <wp:docPr id="50" name="图片 15" descr="929044881f9e24796d39cc920fb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5" descr="929044881f9e24796d39cc920fb1697"/>
                    <pic:cNvPicPr>
                      <a:picLocks noChangeAspect="1"/>
                    </pic:cNvPicPr>
                  </pic:nvPicPr>
                  <pic:blipFill>
                    <a:blip r:embed="rId74"/>
                    <a:stretch>
                      <a:fillRect/>
                    </a:stretch>
                  </pic:blipFill>
                  <pic:spPr>
                    <a:xfrm>
                      <a:off x="0" y="0"/>
                      <a:ext cx="2454275" cy="1713230"/>
                    </a:xfrm>
                    <a:prstGeom prst="rect">
                      <a:avLst/>
                    </a:prstGeom>
                    <a:noFill/>
                    <a:ln>
                      <a:noFill/>
                    </a:ln>
                  </pic:spPr>
                </pic:pic>
              </a:graphicData>
            </a:graphic>
          </wp:inline>
        </w:drawing>
      </w:r>
    </w:p>
    <w:p>
      <w:pPr>
        <w:adjustRightInd w:val="0"/>
        <w:snapToGrid w:val="0"/>
        <w:spacing w:line="360" w:lineRule="auto"/>
        <w:jc w:val="center"/>
        <w:rPr>
          <w:rFonts w:hint="default" w:ascii="Times New Roman" w:hAnsi="Times New Roman" w:eastAsia="宋体" w:cs="Times New Roman"/>
          <w:b/>
          <w:bCs w:val="0"/>
          <w:color w:val="auto"/>
          <w:sz w:val="24"/>
          <w:szCs w:val="21"/>
          <w:highlight w:val="none"/>
          <w:u w:val="none"/>
        </w:rPr>
      </w:pPr>
      <w:r>
        <w:rPr>
          <w:rFonts w:hint="default" w:ascii="Times New Roman" w:hAnsi="Times New Roman" w:eastAsia="宋体" w:cs="Times New Roman"/>
          <w:b/>
          <w:bCs w:val="0"/>
          <w:color w:val="auto"/>
          <w:sz w:val="24"/>
          <w:szCs w:val="21"/>
          <w:highlight w:val="none"/>
          <w:u w:val="none"/>
          <w:lang w:val="en-US" w:eastAsia="zh-CN"/>
        </w:rPr>
        <w:t>图3.</w:t>
      </w:r>
      <w:r>
        <w:rPr>
          <w:rFonts w:hint="eastAsia" w:ascii="Times New Roman" w:hAnsi="Times New Roman" w:eastAsia="宋体" w:cs="Times New Roman"/>
          <w:b/>
          <w:bCs w:val="0"/>
          <w:color w:val="auto"/>
          <w:sz w:val="24"/>
          <w:szCs w:val="21"/>
          <w:highlight w:val="none"/>
          <w:u w:val="none"/>
          <w:lang w:val="en-US" w:eastAsia="zh-CN"/>
        </w:rPr>
        <w:t>2</w:t>
      </w:r>
      <w:r>
        <w:rPr>
          <w:rFonts w:hint="default" w:ascii="Times New Roman" w:hAnsi="Times New Roman" w:eastAsia="宋体" w:cs="Times New Roman"/>
          <w:b/>
          <w:bCs w:val="0"/>
          <w:color w:val="auto"/>
          <w:sz w:val="24"/>
          <w:szCs w:val="21"/>
          <w:highlight w:val="none"/>
          <w:u w:val="none"/>
          <w:lang w:val="en-US" w:eastAsia="zh-CN"/>
        </w:rPr>
        <w:t xml:space="preserve">   区域内生态环境</w:t>
      </w:r>
      <w:r>
        <w:rPr>
          <w:rFonts w:hint="eastAsia" w:ascii="Times New Roman" w:hAnsi="Times New Roman" w:eastAsia="宋体" w:cs="Times New Roman"/>
          <w:b/>
          <w:bCs w:val="0"/>
          <w:color w:val="auto"/>
          <w:sz w:val="24"/>
          <w:szCs w:val="21"/>
          <w:highlight w:val="none"/>
          <w:u w:val="none"/>
          <w:lang w:val="en-US" w:eastAsia="zh-CN"/>
        </w:rPr>
        <w:t>现状图</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1）区域生态系统现状调查</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本项目生态评价区范围内分布的生态系统类型主要为农村生态系统。</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农村生态系统是城市居民与其环境相互作用而形成的统一整体，也是人类对自然环境的适应、加工、改造而建设起来的特殊的人工生态系统。农村生态系统不仅有生物组成要素(植物、动物和细菌、真菌、病毒)和非生物组成要素(光、热、水、大气等)，还包括人类和社会经济要素，是一种非常脆弱的生态系统，对其他生态系统有很大的依赖性。</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2）植物及植物多样性调查</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评价区植物分布现状：根据《中国植被》类型和区划解读《中华人民共和国植被图(1:1000000)》(中国科学院中国植被图编辑委员会，地址出版社，2007年):评价区范围属于亚热带常绿阔叶林区，陆生自然植被以樟科、壳斗科、山茶科、山矾科、冬青科和禾本科刚竹属植物为主，湖盆植被以禾本科、菊科、莎草科、蓼科、睡莲科、香蒲科、杨柳科植物为主。</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由于项目所在区域土地开发利用程度较高，区内基本不存在原生植被，地表覆盖物以景观植被为主，兼有草丛和少量林木。项目评价区属于城市生态系统，受人为因素影响非常大。</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评价区内植物多样性调查：东洞庭湖国家级自然保护区自然植被主要由湿生植物组成，植被类型依立地水分梯度变化呈圈带状成层分布格局。从陆地至水底依次出现的植被类型是:常绿阔叶林、落叶阔叶林、柳芦荻沼泽植被、苔草草甸、挺水植物、浮叶植物、沉水植物。同层植被组分比较一致，层间植物组分有较大差异。</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本项目</w:t>
      </w:r>
      <w:r>
        <w:rPr>
          <w:rFonts w:hint="eastAsia" w:cs="Times New Roman"/>
          <w:bCs/>
          <w:color w:val="auto"/>
          <w:sz w:val="24"/>
          <w:szCs w:val="21"/>
          <w:highlight w:val="none"/>
          <w:u w:val="none"/>
          <w:lang w:val="en-US" w:eastAsia="zh-CN"/>
        </w:rPr>
        <w:t>目前</w:t>
      </w:r>
      <w:r>
        <w:rPr>
          <w:rFonts w:hint="eastAsia" w:ascii="Times New Roman" w:hAnsi="Times New Roman" w:eastAsia="宋体" w:cs="Times New Roman"/>
          <w:bCs/>
          <w:color w:val="auto"/>
          <w:sz w:val="24"/>
          <w:szCs w:val="21"/>
          <w:highlight w:val="none"/>
          <w:u w:val="none"/>
          <w:lang w:val="en-US" w:eastAsia="zh-CN"/>
        </w:rPr>
        <w:t>位于湖南东洞庭湖国家级自然保护区</w:t>
      </w:r>
      <w:r>
        <w:rPr>
          <w:rFonts w:hint="eastAsia" w:cs="Times New Roman"/>
          <w:bCs/>
          <w:color w:val="auto"/>
          <w:sz w:val="24"/>
          <w:szCs w:val="21"/>
          <w:highlight w:val="none"/>
          <w:u w:val="none"/>
          <w:lang w:val="en-US" w:eastAsia="zh-CN"/>
        </w:rPr>
        <w:t>实验区范围内</w:t>
      </w:r>
      <w:r>
        <w:rPr>
          <w:rFonts w:hint="eastAsia" w:ascii="Times New Roman" w:hAnsi="Times New Roman" w:eastAsia="宋体" w:cs="Times New Roman"/>
          <w:bCs/>
          <w:color w:val="auto"/>
          <w:sz w:val="24"/>
          <w:szCs w:val="21"/>
          <w:highlight w:val="none"/>
          <w:u w:val="none"/>
          <w:lang w:val="en-US" w:eastAsia="zh-CN"/>
        </w:rPr>
        <w:t>，生态评价范围内涉及该自然保护区。洞庭湖湿地植物随湖水深度变化形成不同的植物群落，从空间格局上呈现明显的带状分布特点,由水及陆的总趋势为:沉水植物群落→荫草群落→辣蓼+苔草群落→苔草群落→荻或芦苇群落→美洲黑杨或柳群落。</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评价区为岳阳市华容县较为典型的农村生态系统。植物现状以人工栽植的树木为主，主要乔木种类有:香樟Cinnamomum spp、广玉兰Magnolia grandiflora Linn、桂花Osmanthus fragrans(Thunb.) Lour、枫香iquidambarformosanaHance、水杉</w:t>
      </w:r>
      <w:r>
        <w:rPr>
          <w:rFonts w:hint="default" w:ascii="Times New Roman" w:hAnsi="Times New Roman" w:eastAsia="宋体" w:cs="Times New Roman"/>
          <w:bCs/>
          <w:color w:val="auto"/>
          <w:sz w:val="24"/>
          <w:szCs w:val="21"/>
          <w:highlight w:val="none"/>
          <w:u w:val="none"/>
          <w:lang w:val="en-US" w:eastAsia="zh-CN"/>
        </w:rPr>
        <w:t>Metasequoia glyptostroboides Hu &amp; W. C. Cheng</w:t>
      </w:r>
      <w:r>
        <w:rPr>
          <w:rFonts w:hint="eastAsia" w:ascii="Times New Roman" w:hAnsi="Times New Roman" w:eastAsia="宋体" w:cs="Times New Roman"/>
          <w:bCs/>
          <w:color w:val="auto"/>
          <w:sz w:val="24"/>
          <w:szCs w:val="21"/>
          <w:highlight w:val="none"/>
          <w:u w:val="none"/>
          <w:lang w:val="en-US" w:eastAsia="zh-CN"/>
        </w:rPr>
        <w:t>、加杨</w:t>
      </w:r>
      <w:r>
        <w:rPr>
          <w:rFonts w:hint="default" w:ascii="Times New Roman" w:hAnsi="Times New Roman" w:eastAsia="宋体" w:cs="Times New Roman"/>
          <w:bCs/>
          <w:color w:val="auto"/>
          <w:sz w:val="24"/>
          <w:szCs w:val="21"/>
          <w:highlight w:val="none"/>
          <w:u w:val="none"/>
          <w:lang w:val="en-US" w:eastAsia="zh-CN"/>
        </w:rPr>
        <w:t xml:space="preserve">Populus X canadensis Moench </w:t>
      </w:r>
      <w:r>
        <w:rPr>
          <w:rFonts w:hint="eastAsia" w:ascii="Times New Roman" w:hAnsi="Times New Roman" w:eastAsia="宋体" w:cs="Times New Roman"/>
          <w:bCs/>
          <w:color w:val="auto"/>
          <w:sz w:val="24"/>
          <w:szCs w:val="21"/>
          <w:highlight w:val="none"/>
          <w:u w:val="none"/>
          <w:lang w:val="en-US" w:eastAsia="zh-CN"/>
        </w:rPr>
        <w:t>、栾树Koelreuteria paniculata Laxm。</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主要灌木种类有:小叶女贞Ligustrumquihoui Carr、山茶Camellia japonica L、红继木 Loropetalum chinensis、栀子花Gardenia Ellis、杜鹃Rhododendron simsii Planch。</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根据《湖南植被》的分类原则和分类单位，采用“群落学—生态学”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原则，依据对评价区内植被的群落种类组成、外貌结构、生活型、建群种类、生态地理特征和动态特征调查统计分析，评价区主要植被分为天然植物群落和栽培植物群落两大类，其中自然植被可划分为 </w:t>
      </w:r>
      <w:r>
        <w:rPr>
          <w:rFonts w:hint="default" w:ascii="Times New Roman" w:hAnsi="Times New Roman" w:eastAsia="宋体" w:cs="Times New Roman"/>
          <w:bCs/>
          <w:color w:val="auto"/>
          <w:sz w:val="24"/>
          <w:szCs w:val="21"/>
          <w:highlight w:val="none"/>
          <w:u w:val="none"/>
          <w:lang w:val="en-US" w:eastAsia="zh-CN"/>
        </w:rPr>
        <w:t xml:space="preserve">2 </w:t>
      </w:r>
      <w:r>
        <w:rPr>
          <w:rFonts w:hint="eastAsia" w:ascii="Times New Roman" w:hAnsi="Times New Roman" w:eastAsia="宋体" w:cs="Times New Roman"/>
          <w:bCs/>
          <w:color w:val="auto"/>
          <w:sz w:val="24"/>
          <w:szCs w:val="21"/>
          <w:highlight w:val="none"/>
          <w:u w:val="none"/>
          <w:lang w:val="en-US" w:eastAsia="zh-CN"/>
        </w:rPr>
        <w:t>个植被型组、</w:t>
      </w:r>
      <w:r>
        <w:rPr>
          <w:rFonts w:hint="default" w:ascii="Times New Roman" w:hAnsi="Times New Roman" w:eastAsia="宋体"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个植被型、</w:t>
      </w:r>
      <w:r>
        <w:rPr>
          <w:rFonts w:hint="default" w:ascii="Times New Roman" w:hAnsi="Times New Roman" w:eastAsia="宋体" w:cs="Times New Roman"/>
          <w:bCs/>
          <w:color w:val="auto"/>
          <w:sz w:val="24"/>
          <w:szCs w:val="21"/>
          <w:highlight w:val="none"/>
          <w:u w:val="none"/>
          <w:lang w:val="en-US" w:eastAsia="zh-CN"/>
        </w:rPr>
        <w:t xml:space="preserve">13 </w:t>
      </w:r>
      <w:r>
        <w:rPr>
          <w:rFonts w:hint="eastAsia" w:ascii="Times New Roman" w:hAnsi="Times New Roman" w:eastAsia="宋体" w:cs="Times New Roman"/>
          <w:bCs/>
          <w:color w:val="auto"/>
          <w:sz w:val="24"/>
          <w:szCs w:val="21"/>
          <w:highlight w:val="none"/>
          <w:u w:val="none"/>
          <w:lang w:val="en-US" w:eastAsia="zh-CN"/>
        </w:rPr>
        <w:t xml:space="preserve">个群系；栽培植被可划分为 </w:t>
      </w:r>
      <w:r>
        <w:rPr>
          <w:rFonts w:hint="default" w:ascii="Times New Roman" w:hAnsi="Times New Roman" w:eastAsia="宋体" w:cs="Times New Roman"/>
          <w:bCs/>
          <w:color w:val="auto"/>
          <w:sz w:val="24"/>
          <w:szCs w:val="21"/>
          <w:highlight w:val="none"/>
          <w:u w:val="none"/>
          <w:lang w:val="en-US" w:eastAsia="zh-CN"/>
        </w:rPr>
        <w:t xml:space="preserve">1 </w:t>
      </w:r>
      <w:r>
        <w:rPr>
          <w:rFonts w:hint="eastAsia" w:ascii="Times New Roman" w:hAnsi="Times New Roman" w:eastAsia="宋体" w:cs="Times New Roman"/>
          <w:bCs/>
          <w:color w:val="auto"/>
          <w:sz w:val="24"/>
          <w:szCs w:val="21"/>
          <w:highlight w:val="none"/>
          <w:u w:val="none"/>
          <w:lang w:val="en-US" w:eastAsia="zh-CN"/>
        </w:rPr>
        <w:t>类、</w:t>
      </w:r>
      <w:r>
        <w:rPr>
          <w:rFonts w:hint="default" w:ascii="Times New Roman" w:hAnsi="Times New Roman" w:eastAsia="宋体" w:cs="Times New Roman"/>
          <w:bCs/>
          <w:color w:val="auto"/>
          <w:sz w:val="24"/>
          <w:szCs w:val="21"/>
          <w:highlight w:val="none"/>
          <w:u w:val="none"/>
          <w:lang w:val="en-US" w:eastAsia="zh-CN"/>
        </w:rPr>
        <w:t xml:space="preserve">1 </w:t>
      </w:r>
      <w:r>
        <w:rPr>
          <w:rFonts w:hint="eastAsia" w:ascii="Times New Roman" w:hAnsi="Times New Roman" w:eastAsia="宋体" w:cs="Times New Roman"/>
          <w:bCs/>
          <w:color w:val="auto"/>
          <w:sz w:val="24"/>
          <w:szCs w:val="21"/>
          <w:highlight w:val="none"/>
          <w:u w:val="none"/>
          <w:lang w:val="en-US" w:eastAsia="zh-CN"/>
        </w:rPr>
        <w:t>型、</w:t>
      </w:r>
      <w:r>
        <w:rPr>
          <w:rFonts w:hint="default" w:ascii="Times New Roman" w:hAnsi="Times New Roman" w:eastAsia="宋体" w:cs="Times New Roman"/>
          <w:bCs/>
          <w:color w:val="auto"/>
          <w:sz w:val="24"/>
          <w:szCs w:val="21"/>
          <w:highlight w:val="none"/>
          <w:u w:val="none"/>
          <w:lang w:val="en-US" w:eastAsia="zh-CN"/>
        </w:rPr>
        <w:t xml:space="preserve">2 </w:t>
      </w:r>
      <w:r>
        <w:rPr>
          <w:rFonts w:hint="eastAsia" w:ascii="Times New Roman" w:hAnsi="Times New Roman" w:eastAsia="宋体" w:cs="Times New Roman"/>
          <w:bCs/>
          <w:color w:val="auto"/>
          <w:sz w:val="24"/>
          <w:szCs w:val="21"/>
          <w:highlight w:val="none"/>
          <w:u w:val="none"/>
          <w:lang w:val="en-US" w:eastAsia="zh-CN"/>
        </w:rPr>
        <w:t xml:space="preserve">林（园）。自然植被较为简单以草甸和沼泽植被为主，有白茅草甸、狗牙根草甸、芦苇群落等；栽培植被仅有用材林型 </w:t>
      </w:r>
      <w:r>
        <w:rPr>
          <w:rFonts w:hint="default" w:ascii="Times New Roman" w:hAnsi="Times New Roman" w:eastAsia="宋体" w:cs="Times New Roman"/>
          <w:bCs/>
          <w:color w:val="auto"/>
          <w:sz w:val="24"/>
          <w:szCs w:val="21"/>
          <w:highlight w:val="none"/>
          <w:u w:val="none"/>
          <w:lang w:val="en-US" w:eastAsia="zh-CN"/>
        </w:rPr>
        <w:t xml:space="preserve">1 </w:t>
      </w:r>
      <w:r>
        <w:rPr>
          <w:rFonts w:hint="eastAsia" w:ascii="Times New Roman" w:hAnsi="Times New Roman" w:eastAsia="宋体" w:cs="Times New Roman"/>
          <w:bCs/>
          <w:color w:val="auto"/>
          <w:sz w:val="24"/>
          <w:szCs w:val="21"/>
          <w:highlight w:val="none"/>
          <w:u w:val="none"/>
          <w:lang w:val="en-US" w:eastAsia="zh-CN"/>
        </w:rPr>
        <w:t>种，包括水杉林和加杨林两种。具体植被类型分类见下表。</w:t>
      </w:r>
    </w:p>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rPr>
      </w:pPr>
      <w:r>
        <w:rPr>
          <w:rFonts w:hint="eastAsia" w:cs="Times New Roman"/>
          <w:color w:val="auto"/>
          <w:lang w:val="en-US" w:eastAsia="zh-CN"/>
        </w:rPr>
        <w:t xml:space="preserve">表3-2  </w:t>
      </w:r>
      <w:r>
        <w:rPr>
          <w:rFonts w:hint="eastAsia" w:ascii="Times New Roman" w:hAnsi="Times New Roman" w:cs="Times New Roman"/>
          <w:color w:val="auto"/>
        </w:rPr>
        <w:t>评价区主要植被类型表</w:t>
      </w:r>
    </w:p>
    <w:p>
      <w:pPr>
        <w:wordWrap w:val="0"/>
        <w:spacing w:before="0" w:after="0" w:line="97" w:lineRule="auto"/>
        <w:ind w:firstLine="0"/>
        <w:jc w:val="both"/>
        <w:rPr>
          <w:rFonts w:hint="eastAsia" w:ascii="宋体" w:hAnsi="宋体" w:eastAsia="宋体"/>
          <w:color w:val="auto"/>
          <w:sz w:val="12"/>
        </w:rPr>
      </w:pPr>
    </w:p>
    <w:tbl>
      <w:tblPr>
        <w:tblStyle w:val="23"/>
        <w:tblW w:w="0" w:type="auto"/>
        <w:tblInd w:w="8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1" w:type="dxa"/>
          <w:bottom w:w="0" w:type="dxa"/>
          <w:right w:w="11" w:type="dxa"/>
        </w:tblCellMar>
      </w:tblPr>
      <w:tblGrid>
        <w:gridCol w:w="496"/>
        <w:gridCol w:w="1062"/>
        <w:gridCol w:w="968"/>
        <w:gridCol w:w="1413"/>
        <w:gridCol w:w="769"/>
        <w:gridCol w:w="456"/>
        <w:gridCol w:w="668"/>
        <w:gridCol w:w="809"/>
        <w:gridCol w:w="1048"/>
        <w:gridCol w:w="55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708" w:type="dxa"/>
            <w:gridSpan w:val="5"/>
            <w:tcBorders>
              <w:tl2br w:val="nil"/>
              <w:tr2bl w:val="nil"/>
            </w:tcBorders>
            <w:vAlign w:val="center"/>
          </w:tcPr>
          <w:p>
            <w:pPr>
              <w:pStyle w:val="70"/>
              <w:jc w:val="center"/>
              <w:rPr>
                <w:rFonts w:hint="eastAsia" w:ascii="Times New Roman" w:hAnsi="Times New Roman" w:cs="Times New Roman"/>
                <w:b/>
                <w:bCs/>
                <w:color w:val="auto"/>
              </w:rPr>
            </w:pPr>
            <w:r>
              <w:rPr>
                <w:rFonts w:hint="eastAsia" w:ascii="Times New Roman" w:hAnsi="Times New Roman" w:cs="Times New Roman"/>
                <w:b/>
                <w:bCs/>
                <w:color w:val="auto"/>
              </w:rPr>
              <w:t>自然植被</w:t>
            </w:r>
          </w:p>
        </w:tc>
        <w:tc>
          <w:tcPr>
            <w:tcW w:w="3538" w:type="dxa"/>
            <w:gridSpan w:val="5"/>
            <w:tcBorders>
              <w:tl2br w:val="nil"/>
              <w:tr2bl w:val="nil"/>
            </w:tcBorders>
            <w:vAlign w:val="center"/>
          </w:tcPr>
          <w:p>
            <w:pPr>
              <w:pStyle w:val="70"/>
              <w:jc w:val="center"/>
              <w:rPr>
                <w:rFonts w:hint="eastAsia" w:ascii="Times New Roman" w:hAnsi="Times New Roman" w:cs="Times New Roman"/>
                <w:b/>
                <w:bCs/>
                <w:color w:val="auto"/>
              </w:rPr>
            </w:pPr>
            <w:r>
              <w:rPr>
                <w:rFonts w:hint="eastAsia" w:ascii="Times New Roman" w:hAnsi="Times New Roman" w:cs="Times New Roman"/>
                <w:b/>
                <w:bCs/>
                <w:color w:val="auto"/>
              </w:rPr>
              <w:t>栽培植被</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70"/>
              <w:jc w:val="center"/>
              <w:rPr>
                <w:rFonts w:hint="default" w:ascii="Times New Roman" w:hAnsi="Times New Roman" w:cs="Times New Roman"/>
                <w:b/>
                <w:bCs/>
                <w:color w:val="auto"/>
              </w:rPr>
            </w:pPr>
            <w:r>
              <w:rPr>
                <w:rFonts w:hint="eastAsia" w:ascii="Times New Roman" w:hAnsi="Times New Roman" w:cs="Times New Roman"/>
                <w:b/>
                <w:bCs/>
                <w:color w:val="auto"/>
              </w:rPr>
              <w:t>序号</w:t>
            </w:r>
          </w:p>
        </w:tc>
        <w:tc>
          <w:tcPr>
            <w:tcW w:w="1062" w:type="dxa"/>
            <w:tcBorders>
              <w:tl2br w:val="nil"/>
              <w:tr2bl w:val="nil"/>
            </w:tcBorders>
            <w:vAlign w:val="center"/>
          </w:tcPr>
          <w:p>
            <w:pPr>
              <w:pStyle w:val="70"/>
              <w:jc w:val="center"/>
              <w:rPr>
                <w:rFonts w:hint="default" w:ascii="Times New Roman" w:hAnsi="Times New Roman" w:cs="Times New Roman"/>
                <w:b/>
                <w:bCs/>
                <w:color w:val="auto"/>
              </w:rPr>
            </w:pPr>
            <w:r>
              <w:rPr>
                <w:rFonts w:hint="eastAsia" w:ascii="Times New Roman" w:hAnsi="Times New Roman" w:cs="Times New Roman"/>
                <w:b/>
                <w:bCs/>
                <w:color w:val="auto"/>
              </w:rPr>
              <w:t>植被型组</w:t>
            </w:r>
          </w:p>
        </w:tc>
        <w:tc>
          <w:tcPr>
            <w:tcW w:w="968" w:type="dxa"/>
            <w:tcBorders>
              <w:tl2br w:val="nil"/>
              <w:tr2bl w:val="nil"/>
            </w:tcBorders>
            <w:vAlign w:val="center"/>
          </w:tcPr>
          <w:p>
            <w:pPr>
              <w:pStyle w:val="70"/>
              <w:jc w:val="center"/>
              <w:rPr>
                <w:rFonts w:hint="default" w:ascii="Times New Roman" w:hAnsi="Times New Roman" w:cs="Times New Roman"/>
                <w:b/>
                <w:bCs/>
                <w:color w:val="auto"/>
              </w:rPr>
            </w:pPr>
            <w:r>
              <w:rPr>
                <w:rFonts w:hint="eastAsia" w:ascii="Times New Roman" w:hAnsi="Times New Roman" w:cs="Times New Roman"/>
                <w:b/>
                <w:bCs/>
                <w:color w:val="auto"/>
              </w:rPr>
              <w:t>植被型</w:t>
            </w:r>
          </w:p>
        </w:tc>
        <w:tc>
          <w:tcPr>
            <w:tcW w:w="1413" w:type="dxa"/>
            <w:tcBorders>
              <w:tl2br w:val="nil"/>
              <w:tr2bl w:val="nil"/>
            </w:tcBorders>
            <w:vAlign w:val="center"/>
          </w:tcPr>
          <w:p>
            <w:pPr>
              <w:pStyle w:val="70"/>
              <w:jc w:val="center"/>
              <w:rPr>
                <w:rFonts w:hint="default" w:ascii="Times New Roman" w:hAnsi="Times New Roman" w:cs="Times New Roman"/>
                <w:b/>
                <w:bCs/>
                <w:color w:val="auto"/>
              </w:rPr>
            </w:pPr>
            <w:r>
              <w:rPr>
                <w:rFonts w:hint="eastAsia" w:ascii="Times New Roman" w:hAnsi="Times New Roman" w:cs="Times New Roman"/>
                <w:b/>
                <w:bCs/>
                <w:color w:val="auto"/>
              </w:rPr>
              <w:t>群系</w:t>
            </w:r>
          </w:p>
        </w:tc>
        <w:tc>
          <w:tcPr>
            <w:tcW w:w="769" w:type="dxa"/>
            <w:tcBorders>
              <w:tl2br w:val="nil"/>
              <w:tr2bl w:val="nil"/>
            </w:tcBorders>
            <w:vAlign w:val="center"/>
          </w:tcPr>
          <w:p>
            <w:pPr>
              <w:pStyle w:val="70"/>
              <w:jc w:val="center"/>
              <w:rPr>
                <w:rFonts w:hint="default" w:ascii="Times New Roman" w:hAnsi="Times New Roman" w:cs="Times New Roman"/>
                <w:b/>
                <w:bCs/>
                <w:color w:val="auto"/>
              </w:rPr>
            </w:pPr>
            <w:r>
              <w:rPr>
                <w:rFonts w:hint="eastAsia" w:ascii="Times New Roman" w:hAnsi="Times New Roman" w:cs="Times New Roman"/>
                <w:b/>
                <w:bCs/>
                <w:color w:val="auto"/>
              </w:rPr>
              <w:t>起源</w:t>
            </w:r>
          </w:p>
        </w:tc>
        <w:tc>
          <w:tcPr>
            <w:tcW w:w="456" w:type="dxa"/>
            <w:tcBorders>
              <w:tl2br w:val="nil"/>
              <w:tr2bl w:val="nil"/>
            </w:tcBorders>
            <w:vAlign w:val="center"/>
          </w:tcPr>
          <w:p>
            <w:pPr>
              <w:pStyle w:val="70"/>
              <w:jc w:val="center"/>
              <w:rPr>
                <w:rFonts w:hint="default" w:ascii="Times New Roman" w:hAnsi="Times New Roman" w:cs="Times New Roman"/>
                <w:b/>
                <w:bCs/>
                <w:color w:val="auto"/>
              </w:rPr>
            </w:pPr>
            <w:r>
              <w:rPr>
                <w:rFonts w:hint="eastAsia" w:ascii="Times New Roman" w:hAnsi="Times New Roman" w:cs="Times New Roman"/>
                <w:b/>
                <w:bCs/>
                <w:color w:val="auto"/>
              </w:rPr>
              <w:t>序号</w:t>
            </w:r>
          </w:p>
        </w:tc>
        <w:tc>
          <w:tcPr>
            <w:tcW w:w="668" w:type="dxa"/>
            <w:tcBorders>
              <w:tl2br w:val="nil"/>
              <w:tr2bl w:val="nil"/>
            </w:tcBorders>
            <w:vAlign w:val="center"/>
          </w:tcPr>
          <w:p>
            <w:pPr>
              <w:pStyle w:val="70"/>
              <w:jc w:val="center"/>
              <w:rPr>
                <w:rFonts w:hint="default" w:ascii="Times New Roman" w:hAnsi="Times New Roman" w:cs="Times New Roman"/>
                <w:b/>
                <w:bCs/>
                <w:color w:val="auto"/>
              </w:rPr>
            </w:pPr>
            <w:r>
              <w:rPr>
                <w:rFonts w:hint="eastAsia" w:ascii="Times New Roman" w:hAnsi="Times New Roman" w:cs="Times New Roman"/>
                <w:b/>
                <w:bCs/>
                <w:color w:val="auto"/>
              </w:rPr>
              <w:t>类</w:t>
            </w:r>
          </w:p>
        </w:tc>
        <w:tc>
          <w:tcPr>
            <w:tcW w:w="809" w:type="dxa"/>
            <w:tcBorders>
              <w:tl2br w:val="nil"/>
              <w:tr2bl w:val="nil"/>
            </w:tcBorders>
            <w:vAlign w:val="center"/>
          </w:tcPr>
          <w:p>
            <w:pPr>
              <w:pStyle w:val="70"/>
              <w:jc w:val="center"/>
              <w:rPr>
                <w:rFonts w:hint="default" w:ascii="Times New Roman" w:hAnsi="Times New Roman" w:cs="Times New Roman"/>
                <w:b/>
                <w:bCs/>
                <w:color w:val="auto"/>
              </w:rPr>
            </w:pPr>
            <w:r>
              <w:rPr>
                <w:rFonts w:hint="eastAsia" w:ascii="Times New Roman" w:hAnsi="Times New Roman" w:cs="Times New Roman"/>
                <w:b/>
                <w:bCs/>
                <w:color w:val="auto"/>
              </w:rPr>
              <w:t>型</w:t>
            </w:r>
          </w:p>
        </w:tc>
        <w:tc>
          <w:tcPr>
            <w:tcW w:w="1048" w:type="dxa"/>
            <w:tcBorders>
              <w:tl2br w:val="nil"/>
              <w:tr2bl w:val="nil"/>
            </w:tcBorders>
            <w:vAlign w:val="center"/>
          </w:tcPr>
          <w:p>
            <w:pPr>
              <w:pStyle w:val="70"/>
              <w:jc w:val="center"/>
              <w:rPr>
                <w:rFonts w:hint="default" w:ascii="Times New Roman" w:hAnsi="Times New Roman" w:cs="Times New Roman"/>
                <w:b/>
                <w:bCs/>
                <w:color w:val="auto"/>
              </w:rPr>
            </w:pPr>
            <w:r>
              <w:rPr>
                <w:rFonts w:hint="eastAsia" w:ascii="Times New Roman" w:hAnsi="Times New Roman" w:cs="Times New Roman"/>
                <w:b/>
                <w:bCs/>
                <w:color w:val="auto"/>
              </w:rPr>
              <w:t>林</w:t>
            </w:r>
          </w:p>
          <w:p>
            <w:pPr>
              <w:pStyle w:val="70"/>
              <w:jc w:val="center"/>
              <w:rPr>
                <w:rFonts w:hint="default" w:ascii="Times New Roman" w:hAnsi="Times New Roman" w:cs="Times New Roman"/>
                <w:b/>
                <w:bCs/>
                <w:color w:val="auto"/>
              </w:rPr>
            </w:pPr>
            <w:r>
              <w:rPr>
                <w:rFonts w:hint="eastAsia" w:ascii="Times New Roman" w:hAnsi="Times New Roman" w:cs="Times New Roman"/>
                <w:b/>
                <w:bCs/>
                <w:color w:val="auto"/>
              </w:rPr>
              <w:t>（园）</w:t>
            </w:r>
          </w:p>
        </w:tc>
        <w:tc>
          <w:tcPr>
            <w:tcW w:w="557" w:type="dxa"/>
            <w:tcBorders>
              <w:tl2br w:val="nil"/>
              <w:tr2bl w:val="nil"/>
            </w:tcBorders>
            <w:vAlign w:val="center"/>
          </w:tcPr>
          <w:p>
            <w:pPr>
              <w:pStyle w:val="70"/>
              <w:jc w:val="center"/>
              <w:rPr>
                <w:rFonts w:hint="default" w:ascii="Times New Roman" w:hAnsi="Times New Roman" w:cs="Times New Roman"/>
                <w:b/>
                <w:bCs/>
                <w:color w:val="auto"/>
              </w:rPr>
            </w:pPr>
            <w:r>
              <w:rPr>
                <w:rFonts w:hint="eastAsia" w:ascii="Times New Roman" w:hAnsi="Times New Roman" w:cs="Times New Roman"/>
                <w:b/>
                <w:bCs/>
                <w:color w:val="auto"/>
              </w:rPr>
              <w:t>起源</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1</w:t>
            </w:r>
          </w:p>
        </w:tc>
        <w:tc>
          <w:tcPr>
            <w:tcW w:w="1062" w:type="dxa"/>
            <w:vMerge w:val="restart"/>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草甸</w:t>
            </w:r>
          </w:p>
        </w:tc>
        <w:tc>
          <w:tcPr>
            <w:tcW w:w="968" w:type="dxa"/>
            <w:vMerge w:val="restart"/>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草甸</w:t>
            </w:r>
          </w:p>
        </w:tc>
        <w:tc>
          <w:tcPr>
            <w:tcW w:w="1413"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白茅草甸</w:t>
            </w:r>
          </w:p>
        </w:tc>
        <w:tc>
          <w:tcPr>
            <w:tcW w:w="769"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1</w:t>
            </w:r>
          </w:p>
        </w:tc>
        <w:tc>
          <w:tcPr>
            <w:tcW w:w="668" w:type="dxa"/>
            <w:vMerge w:val="restart"/>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木本</w:t>
            </w:r>
          </w:p>
          <w:p>
            <w:pPr>
              <w:pStyle w:val="70"/>
              <w:jc w:val="center"/>
              <w:rPr>
                <w:rFonts w:hint="default" w:ascii="Times New Roman" w:hAnsi="Times New Roman" w:cs="Times New Roman"/>
                <w:color w:val="auto"/>
              </w:rPr>
            </w:pPr>
            <w:r>
              <w:rPr>
                <w:rFonts w:hint="eastAsia" w:ascii="Times New Roman" w:hAnsi="Times New Roman" w:cs="Times New Roman"/>
                <w:color w:val="auto"/>
              </w:rPr>
              <w:t>类</w:t>
            </w:r>
          </w:p>
        </w:tc>
        <w:tc>
          <w:tcPr>
            <w:tcW w:w="809" w:type="dxa"/>
            <w:vMerge w:val="restart"/>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用材林</w:t>
            </w:r>
          </w:p>
          <w:p>
            <w:pPr>
              <w:pStyle w:val="70"/>
              <w:jc w:val="center"/>
              <w:rPr>
                <w:rFonts w:hint="default" w:ascii="Times New Roman" w:hAnsi="Times New Roman" w:cs="Times New Roman"/>
                <w:color w:val="auto"/>
              </w:rPr>
            </w:pPr>
            <w:r>
              <w:rPr>
                <w:rFonts w:hint="eastAsia" w:ascii="Times New Roman" w:hAnsi="Times New Roman" w:cs="Times New Roman"/>
                <w:color w:val="auto"/>
              </w:rPr>
              <w:t>型</w:t>
            </w:r>
          </w:p>
        </w:tc>
        <w:tc>
          <w:tcPr>
            <w:tcW w:w="1048"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水杉林</w:t>
            </w:r>
          </w:p>
        </w:tc>
        <w:tc>
          <w:tcPr>
            <w:tcW w:w="557"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人工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2</w:t>
            </w:r>
          </w:p>
        </w:tc>
        <w:tc>
          <w:tcPr>
            <w:tcW w:w="1062"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1413"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芒草甸</w:t>
            </w:r>
          </w:p>
        </w:tc>
        <w:tc>
          <w:tcPr>
            <w:tcW w:w="769"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2</w:t>
            </w:r>
          </w:p>
        </w:tc>
        <w:tc>
          <w:tcPr>
            <w:tcW w:w="668"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809"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1048"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加杨林</w:t>
            </w:r>
          </w:p>
        </w:tc>
        <w:tc>
          <w:tcPr>
            <w:tcW w:w="557"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人工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3</w:t>
            </w:r>
          </w:p>
        </w:tc>
        <w:tc>
          <w:tcPr>
            <w:tcW w:w="1062"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1413"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狗牙根草甸</w:t>
            </w:r>
          </w:p>
        </w:tc>
        <w:tc>
          <w:tcPr>
            <w:tcW w:w="769"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70"/>
              <w:jc w:val="center"/>
              <w:rPr>
                <w:rFonts w:hint="eastAsia" w:ascii="Times New Roman" w:hAnsi="Times New Roman" w:cs="Times New Roman"/>
                <w:color w:val="auto"/>
              </w:rPr>
            </w:pPr>
          </w:p>
        </w:tc>
        <w:tc>
          <w:tcPr>
            <w:tcW w:w="668" w:type="dxa"/>
            <w:tcBorders>
              <w:tl2br w:val="nil"/>
              <w:tr2bl w:val="nil"/>
            </w:tcBorders>
            <w:vAlign w:val="center"/>
          </w:tcPr>
          <w:p>
            <w:pPr>
              <w:pStyle w:val="70"/>
              <w:jc w:val="center"/>
              <w:rPr>
                <w:rFonts w:hint="eastAsia" w:ascii="Times New Roman" w:hAnsi="Times New Roman" w:cs="Times New Roman"/>
                <w:color w:val="auto"/>
              </w:rPr>
            </w:pPr>
          </w:p>
        </w:tc>
        <w:tc>
          <w:tcPr>
            <w:tcW w:w="809" w:type="dxa"/>
            <w:tcBorders>
              <w:tl2br w:val="nil"/>
              <w:tr2bl w:val="nil"/>
            </w:tcBorders>
            <w:vAlign w:val="center"/>
          </w:tcPr>
          <w:p>
            <w:pPr>
              <w:pStyle w:val="70"/>
              <w:jc w:val="center"/>
              <w:rPr>
                <w:rFonts w:hint="eastAsia" w:ascii="Times New Roman" w:hAnsi="Times New Roman" w:cs="Times New Roman"/>
                <w:color w:val="auto"/>
              </w:rPr>
            </w:pPr>
          </w:p>
        </w:tc>
        <w:tc>
          <w:tcPr>
            <w:tcW w:w="1048" w:type="dxa"/>
            <w:tcBorders>
              <w:tl2br w:val="nil"/>
              <w:tr2bl w:val="nil"/>
            </w:tcBorders>
            <w:vAlign w:val="center"/>
          </w:tcPr>
          <w:p>
            <w:pPr>
              <w:pStyle w:val="70"/>
              <w:jc w:val="center"/>
              <w:rPr>
                <w:rFonts w:hint="eastAsia" w:ascii="Times New Roman" w:hAnsi="Times New Roman" w:cs="Times New Roman"/>
                <w:color w:val="auto"/>
              </w:rPr>
            </w:pPr>
          </w:p>
        </w:tc>
        <w:tc>
          <w:tcPr>
            <w:tcW w:w="557" w:type="dxa"/>
            <w:tcBorders>
              <w:tl2br w:val="nil"/>
              <w:tr2bl w:val="nil"/>
            </w:tcBorders>
            <w:vAlign w:val="center"/>
          </w:tcPr>
          <w:p>
            <w:pPr>
              <w:pStyle w:val="70"/>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4</w:t>
            </w:r>
          </w:p>
        </w:tc>
        <w:tc>
          <w:tcPr>
            <w:tcW w:w="1062"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1413"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灰化薹草草甸</w:t>
            </w:r>
          </w:p>
        </w:tc>
        <w:tc>
          <w:tcPr>
            <w:tcW w:w="769"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70"/>
              <w:jc w:val="center"/>
              <w:rPr>
                <w:rFonts w:hint="eastAsia" w:ascii="Times New Roman" w:hAnsi="Times New Roman" w:cs="Times New Roman"/>
                <w:color w:val="auto"/>
              </w:rPr>
            </w:pPr>
          </w:p>
        </w:tc>
        <w:tc>
          <w:tcPr>
            <w:tcW w:w="668" w:type="dxa"/>
            <w:tcBorders>
              <w:tl2br w:val="nil"/>
              <w:tr2bl w:val="nil"/>
            </w:tcBorders>
            <w:vAlign w:val="center"/>
          </w:tcPr>
          <w:p>
            <w:pPr>
              <w:pStyle w:val="70"/>
              <w:jc w:val="center"/>
              <w:rPr>
                <w:rFonts w:hint="eastAsia" w:ascii="Times New Roman" w:hAnsi="Times New Roman" w:cs="Times New Roman"/>
                <w:color w:val="auto"/>
              </w:rPr>
            </w:pPr>
          </w:p>
        </w:tc>
        <w:tc>
          <w:tcPr>
            <w:tcW w:w="809" w:type="dxa"/>
            <w:tcBorders>
              <w:tl2br w:val="nil"/>
              <w:tr2bl w:val="nil"/>
            </w:tcBorders>
            <w:vAlign w:val="center"/>
          </w:tcPr>
          <w:p>
            <w:pPr>
              <w:pStyle w:val="70"/>
              <w:jc w:val="center"/>
              <w:rPr>
                <w:rFonts w:hint="eastAsia" w:ascii="Times New Roman" w:hAnsi="Times New Roman" w:cs="Times New Roman"/>
                <w:color w:val="auto"/>
              </w:rPr>
            </w:pPr>
          </w:p>
        </w:tc>
        <w:tc>
          <w:tcPr>
            <w:tcW w:w="1048" w:type="dxa"/>
            <w:tcBorders>
              <w:tl2br w:val="nil"/>
              <w:tr2bl w:val="nil"/>
            </w:tcBorders>
            <w:vAlign w:val="center"/>
          </w:tcPr>
          <w:p>
            <w:pPr>
              <w:pStyle w:val="70"/>
              <w:jc w:val="center"/>
              <w:rPr>
                <w:rFonts w:hint="eastAsia" w:ascii="Times New Roman" w:hAnsi="Times New Roman" w:cs="Times New Roman"/>
                <w:color w:val="auto"/>
              </w:rPr>
            </w:pPr>
          </w:p>
        </w:tc>
        <w:tc>
          <w:tcPr>
            <w:tcW w:w="557" w:type="dxa"/>
            <w:tcBorders>
              <w:tl2br w:val="nil"/>
              <w:tr2bl w:val="nil"/>
            </w:tcBorders>
            <w:vAlign w:val="center"/>
          </w:tcPr>
          <w:p>
            <w:pPr>
              <w:pStyle w:val="70"/>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5</w:t>
            </w:r>
          </w:p>
        </w:tc>
        <w:tc>
          <w:tcPr>
            <w:tcW w:w="1062"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1413"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牛毛毡草甸</w:t>
            </w:r>
          </w:p>
        </w:tc>
        <w:tc>
          <w:tcPr>
            <w:tcW w:w="769"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70"/>
              <w:jc w:val="center"/>
              <w:rPr>
                <w:rFonts w:hint="eastAsia" w:ascii="Times New Roman" w:hAnsi="Times New Roman" w:cs="Times New Roman"/>
                <w:color w:val="auto"/>
              </w:rPr>
            </w:pPr>
          </w:p>
        </w:tc>
        <w:tc>
          <w:tcPr>
            <w:tcW w:w="668" w:type="dxa"/>
            <w:tcBorders>
              <w:tl2br w:val="nil"/>
              <w:tr2bl w:val="nil"/>
            </w:tcBorders>
            <w:vAlign w:val="center"/>
          </w:tcPr>
          <w:p>
            <w:pPr>
              <w:pStyle w:val="70"/>
              <w:jc w:val="center"/>
              <w:rPr>
                <w:rFonts w:hint="eastAsia" w:ascii="Times New Roman" w:hAnsi="Times New Roman" w:cs="Times New Roman"/>
                <w:color w:val="auto"/>
              </w:rPr>
            </w:pPr>
          </w:p>
        </w:tc>
        <w:tc>
          <w:tcPr>
            <w:tcW w:w="809" w:type="dxa"/>
            <w:tcBorders>
              <w:tl2br w:val="nil"/>
              <w:tr2bl w:val="nil"/>
            </w:tcBorders>
            <w:vAlign w:val="center"/>
          </w:tcPr>
          <w:p>
            <w:pPr>
              <w:pStyle w:val="70"/>
              <w:jc w:val="center"/>
              <w:rPr>
                <w:rFonts w:hint="eastAsia" w:ascii="Times New Roman" w:hAnsi="Times New Roman" w:cs="Times New Roman"/>
                <w:color w:val="auto"/>
              </w:rPr>
            </w:pPr>
          </w:p>
        </w:tc>
        <w:tc>
          <w:tcPr>
            <w:tcW w:w="1048" w:type="dxa"/>
            <w:tcBorders>
              <w:tl2br w:val="nil"/>
              <w:tr2bl w:val="nil"/>
            </w:tcBorders>
            <w:vAlign w:val="center"/>
          </w:tcPr>
          <w:p>
            <w:pPr>
              <w:pStyle w:val="70"/>
              <w:jc w:val="center"/>
              <w:rPr>
                <w:rFonts w:hint="eastAsia" w:ascii="Times New Roman" w:hAnsi="Times New Roman" w:cs="Times New Roman"/>
                <w:color w:val="auto"/>
              </w:rPr>
            </w:pPr>
          </w:p>
        </w:tc>
        <w:tc>
          <w:tcPr>
            <w:tcW w:w="557" w:type="dxa"/>
            <w:tcBorders>
              <w:tl2br w:val="nil"/>
              <w:tr2bl w:val="nil"/>
            </w:tcBorders>
            <w:vAlign w:val="center"/>
          </w:tcPr>
          <w:p>
            <w:pPr>
              <w:pStyle w:val="70"/>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6</w:t>
            </w:r>
          </w:p>
        </w:tc>
        <w:tc>
          <w:tcPr>
            <w:tcW w:w="1062"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1413"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紫云英草甸</w:t>
            </w:r>
          </w:p>
        </w:tc>
        <w:tc>
          <w:tcPr>
            <w:tcW w:w="769"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70"/>
              <w:jc w:val="center"/>
              <w:rPr>
                <w:rFonts w:hint="eastAsia" w:ascii="Times New Roman" w:hAnsi="Times New Roman" w:cs="Times New Roman"/>
                <w:color w:val="auto"/>
              </w:rPr>
            </w:pPr>
          </w:p>
        </w:tc>
        <w:tc>
          <w:tcPr>
            <w:tcW w:w="668" w:type="dxa"/>
            <w:tcBorders>
              <w:tl2br w:val="nil"/>
              <w:tr2bl w:val="nil"/>
            </w:tcBorders>
            <w:vAlign w:val="center"/>
          </w:tcPr>
          <w:p>
            <w:pPr>
              <w:pStyle w:val="70"/>
              <w:jc w:val="center"/>
              <w:rPr>
                <w:rFonts w:hint="eastAsia" w:ascii="Times New Roman" w:hAnsi="Times New Roman" w:cs="Times New Roman"/>
                <w:color w:val="auto"/>
              </w:rPr>
            </w:pPr>
          </w:p>
        </w:tc>
        <w:tc>
          <w:tcPr>
            <w:tcW w:w="809" w:type="dxa"/>
            <w:tcBorders>
              <w:tl2br w:val="nil"/>
              <w:tr2bl w:val="nil"/>
            </w:tcBorders>
            <w:vAlign w:val="center"/>
          </w:tcPr>
          <w:p>
            <w:pPr>
              <w:pStyle w:val="70"/>
              <w:jc w:val="center"/>
              <w:rPr>
                <w:rFonts w:hint="eastAsia" w:ascii="Times New Roman" w:hAnsi="Times New Roman" w:cs="Times New Roman"/>
                <w:color w:val="auto"/>
              </w:rPr>
            </w:pPr>
          </w:p>
        </w:tc>
        <w:tc>
          <w:tcPr>
            <w:tcW w:w="1048" w:type="dxa"/>
            <w:tcBorders>
              <w:tl2br w:val="nil"/>
              <w:tr2bl w:val="nil"/>
            </w:tcBorders>
            <w:vAlign w:val="center"/>
          </w:tcPr>
          <w:p>
            <w:pPr>
              <w:pStyle w:val="70"/>
              <w:jc w:val="center"/>
              <w:rPr>
                <w:rFonts w:hint="eastAsia" w:ascii="Times New Roman" w:hAnsi="Times New Roman" w:cs="Times New Roman"/>
                <w:color w:val="auto"/>
              </w:rPr>
            </w:pPr>
          </w:p>
        </w:tc>
        <w:tc>
          <w:tcPr>
            <w:tcW w:w="557" w:type="dxa"/>
            <w:tcBorders>
              <w:tl2br w:val="nil"/>
              <w:tr2bl w:val="nil"/>
            </w:tcBorders>
            <w:vAlign w:val="center"/>
          </w:tcPr>
          <w:p>
            <w:pPr>
              <w:pStyle w:val="70"/>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7</w:t>
            </w:r>
          </w:p>
        </w:tc>
        <w:tc>
          <w:tcPr>
            <w:tcW w:w="1062"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1413"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北美苍耳草甸</w:t>
            </w:r>
          </w:p>
        </w:tc>
        <w:tc>
          <w:tcPr>
            <w:tcW w:w="769"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外来</w:t>
            </w:r>
          </w:p>
          <w:p>
            <w:pPr>
              <w:pStyle w:val="70"/>
              <w:jc w:val="center"/>
              <w:rPr>
                <w:rFonts w:hint="default" w:ascii="Times New Roman" w:hAnsi="Times New Roman" w:cs="Times New Roman"/>
                <w:color w:val="auto"/>
              </w:rPr>
            </w:pPr>
            <w:r>
              <w:rPr>
                <w:rFonts w:hint="eastAsia" w:ascii="Times New Roman" w:hAnsi="Times New Roman" w:cs="Times New Roman"/>
                <w:color w:val="auto"/>
              </w:rPr>
              <w:t>逸生</w:t>
            </w:r>
          </w:p>
        </w:tc>
        <w:tc>
          <w:tcPr>
            <w:tcW w:w="456" w:type="dxa"/>
            <w:tcBorders>
              <w:tl2br w:val="nil"/>
              <w:tr2bl w:val="nil"/>
            </w:tcBorders>
            <w:vAlign w:val="center"/>
          </w:tcPr>
          <w:p>
            <w:pPr>
              <w:pStyle w:val="70"/>
              <w:jc w:val="center"/>
              <w:rPr>
                <w:rFonts w:hint="eastAsia" w:ascii="Times New Roman" w:hAnsi="Times New Roman" w:cs="Times New Roman"/>
                <w:color w:val="auto"/>
              </w:rPr>
            </w:pPr>
          </w:p>
        </w:tc>
        <w:tc>
          <w:tcPr>
            <w:tcW w:w="668" w:type="dxa"/>
            <w:tcBorders>
              <w:tl2br w:val="nil"/>
              <w:tr2bl w:val="nil"/>
            </w:tcBorders>
            <w:vAlign w:val="center"/>
          </w:tcPr>
          <w:p>
            <w:pPr>
              <w:pStyle w:val="70"/>
              <w:jc w:val="center"/>
              <w:rPr>
                <w:rFonts w:hint="eastAsia" w:ascii="Times New Roman" w:hAnsi="Times New Roman" w:cs="Times New Roman"/>
                <w:color w:val="auto"/>
              </w:rPr>
            </w:pPr>
          </w:p>
        </w:tc>
        <w:tc>
          <w:tcPr>
            <w:tcW w:w="809" w:type="dxa"/>
            <w:tcBorders>
              <w:tl2br w:val="nil"/>
              <w:tr2bl w:val="nil"/>
            </w:tcBorders>
            <w:vAlign w:val="center"/>
          </w:tcPr>
          <w:p>
            <w:pPr>
              <w:pStyle w:val="70"/>
              <w:jc w:val="center"/>
              <w:rPr>
                <w:rFonts w:hint="eastAsia" w:ascii="Times New Roman" w:hAnsi="Times New Roman" w:cs="Times New Roman"/>
                <w:color w:val="auto"/>
              </w:rPr>
            </w:pPr>
          </w:p>
        </w:tc>
        <w:tc>
          <w:tcPr>
            <w:tcW w:w="1048" w:type="dxa"/>
            <w:tcBorders>
              <w:tl2br w:val="nil"/>
              <w:tr2bl w:val="nil"/>
            </w:tcBorders>
            <w:vAlign w:val="center"/>
          </w:tcPr>
          <w:p>
            <w:pPr>
              <w:pStyle w:val="70"/>
              <w:jc w:val="center"/>
              <w:rPr>
                <w:rFonts w:hint="eastAsia" w:ascii="Times New Roman" w:hAnsi="Times New Roman" w:cs="Times New Roman"/>
                <w:color w:val="auto"/>
              </w:rPr>
            </w:pPr>
          </w:p>
        </w:tc>
        <w:tc>
          <w:tcPr>
            <w:tcW w:w="557" w:type="dxa"/>
            <w:tcBorders>
              <w:tl2br w:val="nil"/>
              <w:tr2bl w:val="nil"/>
            </w:tcBorders>
            <w:vAlign w:val="center"/>
          </w:tcPr>
          <w:p>
            <w:pPr>
              <w:pStyle w:val="70"/>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8</w:t>
            </w:r>
          </w:p>
        </w:tc>
        <w:tc>
          <w:tcPr>
            <w:tcW w:w="1062" w:type="dxa"/>
            <w:vMerge w:val="restart"/>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沼泽和水生植被</w:t>
            </w:r>
          </w:p>
        </w:tc>
        <w:tc>
          <w:tcPr>
            <w:tcW w:w="968" w:type="dxa"/>
            <w:vMerge w:val="restart"/>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沼泽</w:t>
            </w:r>
          </w:p>
        </w:tc>
        <w:tc>
          <w:tcPr>
            <w:tcW w:w="1413"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旱柳群落</w:t>
            </w:r>
          </w:p>
        </w:tc>
        <w:tc>
          <w:tcPr>
            <w:tcW w:w="769"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70"/>
              <w:jc w:val="center"/>
              <w:rPr>
                <w:rFonts w:hint="eastAsia" w:ascii="Times New Roman" w:hAnsi="Times New Roman" w:cs="Times New Roman"/>
                <w:color w:val="auto"/>
              </w:rPr>
            </w:pPr>
          </w:p>
        </w:tc>
        <w:tc>
          <w:tcPr>
            <w:tcW w:w="668" w:type="dxa"/>
            <w:tcBorders>
              <w:tl2br w:val="nil"/>
              <w:tr2bl w:val="nil"/>
            </w:tcBorders>
            <w:vAlign w:val="center"/>
          </w:tcPr>
          <w:p>
            <w:pPr>
              <w:pStyle w:val="70"/>
              <w:jc w:val="center"/>
              <w:rPr>
                <w:rFonts w:hint="eastAsia" w:ascii="Times New Roman" w:hAnsi="Times New Roman" w:cs="Times New Roman"/>
                <w:color w:val="auto"/>
              </w:rPr>
            </w:pPr>
          </w:p>
        </w:tc>
        <w:tc>
          <w:tcPr>
            <w:tcW w:w="809" w:type="dxa"/>
            <w:tcBorders>
              <w:tl2br w:val="nil"/>
              <w:tr2bl w:val="nil"/>
            </w:tcBorders>
            <w:vAlign w:val="center"/>
          </w:tcPr>
          <w:p>
            <w:pPr>
              <w:pStyle w:val="70"/>
              <w:jc w:val="center"/>
              <w:rPr>
                <w:rFonts w:hint="eastAsia" w:ascii="Times New Roman" w:hAnsi="Times New Roman" w:cs="Times New Roman"/>
                <w:color w:val="auto"/>
              </w:rPr>
            </w:pPr>
          </w:p>
        </w:tc>
        <w:tc>
          <w:tcPr>
            <w:tcW w:w="1048" w:type="dxa"/>
            <w:tcBorders>
              <w:tl2br w:val="nil"/>
              <w:tr2bl w:val="nil"/>
            </w:tcBorders>
            <w:vAlign w:val="center"/>
          </w:tcPr>
          <w:p>
            <w:pPr>
              <w:pStyle w:val="70"/>
              <w:jc w:val="center"/>
              <w:rPr>
                <w:rFonts w:hint="eastAsia" w:ascii="Times New Roman" w:hAnsi="Times New Roman" w:cs="Times New Roman"/>
                <w:color w:val="auto"/>
              </w:rPr>
            </w:pPr>
          </w:p>
        </w:tc>
        <w:tc>
          <w:tcPr>
            <w:tcW w:w="557" w:type="dxa"/>
            <w:tcBorders>
              <w:tl2br w:val="nil"/>
              <w:tr2bl w:val="nil"/>
            </w:tcBorders>
            <w:vAlign w:val="center"/>
          </w:tcPr>
          <w:p>
            <w:pPr>
              <w:pStyle w:val="70"/>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9</w:t>
            </w:r>
          </w:p>
        </w:tc>
        <w:tc>
          <w:tcPr>
            <w:tcW w:w="1062"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1413"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芦苇群落</w:t>
            </w:r>
          </w:p>
        </w:tc>
        <w:tc>
          <w:tcPr>
            <w:tcW w:w="769"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70"/>
              <w:jc w:val="center"/>
              <w:rPr>
                <w:rFonts w:hint="eastAsia" w:ascii="Times New Roman" w:hAnsi="Times New Roman" w:cs="Times New Roman"/>
                <w:color w:val="auto"/>
              </w:rPr>
            </w:pPr>
          </w:p>
        </w:tc>
        <w:tc>
          <w:tcPr>
            <w:tcW w:w="668" w:type="dxa"/>
            <w:tcBorders>
              <w:tl2br w:val="nil"/>
              <w:tr2bl w:val="nil"/>
            </w:tcBorders>
            <w:vAlign w:val="center"/>
          </w:tcPr>
          <w:p>
            <w:pPr>
              <w:pStyle w:val="70"/>
              <w:jc w:val="center"/>
              <w:rPr>
                <w:rFonts w:hint="eastAsia" w:ascii="Times New Roman" w:hAnsi="Times New Roman" w:cs="Times New Roman"/>
                <w:color w:val="auto"/>
              </w:rPr>
            </w:pPr>
          </w:p>
        </w:tc>
        <w:tc>
          <w:tcPr>
            <w:tcW w:w="809" w:type="dxa"/>
            <w:tcBorders>
              <w:tl2br w:val="nil"/>
              <w:tr2bl w:val="nil"/>
            </w:tcBorders>
            <w:vAlign w:val="center"/>
          </w:tcPr>
          <w:p>
            <w:pPr>
              <w:pStyle w:val="70"/>
              <w:jc w:val="center"/>
              <w:rPr>
                <w:rFonts w:hint="eastAsia" w:ascii="Times New Roman" w:hAnsi="Times New Roman" w:cs="Times New Roman"/>
                <w:color w:val="auto"/>
              </w:rPr>
            </w:pPr>
          </w:p>
        </w:tc>
        <w:tc>
          <w:tcPr>
            <w:tcW w:w="1048" w:type="dxa"/>
            <w:tcBorders>
              <w:tl2br w:val="nil"/>
              <w:tr2bl w:val="nil"/>
            </w:tcBorders>
            <w:vAlign w:val="center"/>
          </w:tcPr>
          <w:p>
            <w:pPr>
              <w:pStyle w:val="70"/>
              <w:jc w:val="center"/>
              <w:rPr>
                <w:rFonts w:hint="eastAsia" w:ascii="Times New Roman" w:hAnsi="Times New Roman" w:cs="Times New Roman"/>
                <w:color w:val="auto"/>
              </w:rPr>
            </w:pPr>
          </w:p>
        </w:tc>
        <w:tc>
          <w:tcPr>
            <w:tcW w:w="557" w:type="dxa"/>
            <w:tcBorders>
              <w:tl2br w:val="nil"/>
              <w:tr2bl w:val="nil"/>
            </w:tcBorders>
            <w:vAlign w:val="center"/>
          </w:tcPr>
          <w:p>
            <w:pPr>
              <w:pStyle w:val="70"/>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10</w:t>
            </w:r>
          </w:p>
        </w:tc>
        <w:tc>
          <w:tcPr>
            <w:tcW w:w="1062"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1413"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南荻群落</w:t>
            </w:r>
          </w:p>
        </w:tc>
        <w:tc>
          <w:tcPr>
            <w:tcW w:w="769"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70"/>
              <w:jc w:val="center"/>
              <w:rPr>
                <w:rFonts w:hint="eastAsia" w:ascii="Times New Roman" w:hAnsi="Times New Roman" w:cs="Times New Roman"/>
                <w:color w:val="auto"/>
              </w:rPr>
            </w:pPr>
          </w:p>
        </w:tc>
        <w:tc>
          <w:tcPr>
            <w:tcW w:w="668" w:type="dxa"/>
            <w:tcBorders>
              <w:tl2br w:val="nil"/>
              <w:tr2bl w:val="nil"/>
            </w:tcBorders>
            <w:vAlign w:val="center"/>
          </w:tcPr>
          <w:p>
            <w:pPr>
              <w:pStyle w:val="70"/>
              <w:jc w:val="center"/>
              <w:rPr>
                <w:rFonts w:hint="eastAsia" w:ascii="Times New Roman" w:hAnsi="Times New Roman" w:cs="Times New Roman"/>
                <w:color w:val="auto"/>
              </w:rPr>
            </w:pPr>
          </w:p>
        </w:tc>
        <w:tc>
          <w:tcPr>
            <w:tcW w:w="809" w:type="dxa"/>
            <w:tcBorders>
              <w:tl2br w:val="nil"/>
              <w:tr2bl w:val="nil"/>
            </w:tcBorders>
            <w:vAlign w:val="center"/>
          </w:tcPr>
          <w:p>
            <w:pPr>
              <w:pStyle w:val="70"/>
              <w:jc w:val="center"/>
              <w:rPr>
                <w:rFonts w:hint="eastAsia" w:ascii="Times New Roman" w:hAnsi="Times New Roman" w:cs="Times New Roman"/>
                <w:color w:val="auto"/>
              </w:rPr>
            </w:pPr>
          </w:p>
        </w:tc>
        <w:tc>
          <w:tcPr>
            <w:tcW w:w="1048" w:type="dxa"/>
            <w:tcBorders>
              <w:tl2br w:val="nil"/>
              <w:tr2bl w:val="nil"/>
            </w:tcBorders>
            <w:vAlign w:val="center"/>
          </w:tcPr>
          <w:p>
            <w:pPr>
              <w:pStyle w:val="70"/>
              <w:jc w:val="center"/>
              <w:rPr>
                <w:rFonts w:hint="eastAsia" w:ascii="Times New Roman" w:hAnsi="Times New Roman" w:cs="Times New Roman"/>
                <w:color w:val="auto"/>
              </w:rPr>
            </w:pPr>
          </w:p>
        </w:tc>
        <w:tc>
          <w:tcPr>
            <w:tcW w:w="557" w:type="dxa"/>
            <w:tcBorders>
              <w:tl2br w:val="nil"/>
              <w:tr2bl w:val="nil"/>
            </w:tcBorders>
            <w:vAlign w:val="center"/>
          </w:tcPr>
          <w:p>
            <w:pPr>
              <w:pStyle w:val="70"/>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11</w:t>
            </w:r>
          </w:p>
        </w:tc>
        <w:tc>
          <w:tcPr>
            <w:tcW w:w="1062"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968" w:type="dxa"/>
            <w:vMerge w:val="restart"/>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水生植</w:t>
            </w:r>
          </w:p>
          <w:p>
            <w:pPr>
              <w:pStyle w:val="70"/>
              <w:jc w:val="center"/>
              <w:rPr>
                <w:rFonts w:hint="default" w:ascii="Times New Roman" w:hAnsi="Times New Roman" w:cs="Times New Roman"/>
                <w:color w:val="auto"/>
              </w:rPr>
            </w:pPr>
            <w:r>
              <w:rPr>
                <w:rFonts w:hint="eastAsia" w:ascii="Times New Roman" w:hAnsi="Times New Roman" w:cs="Times New Roman"/>
                <w:color w:val="auto"/>
              </w:rPr>
              <w:t>被</w:t>
            </w:r>
          </w:p>
        </w:tc>
        <w:tc>
          <w:tcPr>
            <w:tcW w:w="1413"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黑藻群落</w:t>
            </w:r>
          </w:p>
        </w:tc>
        <w:tc>
          <w:tcPr>
            <w:tcW w:w="769"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70"/>
              <w:jc w:val="center"/>
              <w:rPr>
                <w:rFonts w:hint="eastAsia" w:ascii="Times New Roman" w:hAnsi="Times New Roman" w:cs="Times New Roman"/>
                <w:color w:val="auto"/>
              </w:rPr>
            </w:pPr>
          </w:p>
        </w:tc>
        <w:tc>
          <w:tcPr>
            <w:tcW w:w="668" w:type="dxa"/>
            <w:tcBorders>
              <w:tl2br w:val="nil"/>
              <w:tr2bl w:val="nil"/>
            </w:tcBorders>
            <w:vAlign w:val="center"/>
          </w:tcPr>
          <w:p>
            <w:pPr>
              <w:pStyle w:val="70"/>
              <w:jc w:val="center"/>
              <w:rPr>
                <w:rFonts w:hint="eastAsia" w:ascii="Times New Roman" w:hAnsi="Times New Roman" w:cs="Times New Roman"/>
                <w:color w:val="auto"/>
              </w:rPr>
            </w:pPr>
          </w:p>
        </w:tc>
        <w:tc>
          <w:tcPr>
            <w:tcW w:w="809" w:type="dxa"/>
            <w:tcBorders>
              <w:tl2br w:val="nil"/>
              <w:tr2bl w:val="nil"/>
            </w:tcBorders>
            <w:vAlign w:val="center"/>
          </w:tcPr>
          <w:p>
            <w:pPr>
              <w:pStyle w:val="70"/>
              <w:jc w:val="center"/>
              <w:rPr>
                <w:rFonts w:hint="eastAsia" w:ascii="Times New Roman" w:hAnsi="Times New Roman" w:cs="Times New Roman"/>
                <w:color w:val="auto"/>
              </w:rPr>
            </w:pPr>
          </w:p>
        </w:tc>
        <w:tc>
          <w:tcPr>
            <w:tcW w:w="1048" w:type="dxa"/>
            <w:tcBorders>
              <w:tl2br w:val="nil"/>
              <w:tr2bl w:val="nil"/>
            </w:tcBorders>
            <w:vAlign w:val="center"/>
          </w:tcPr>
          <w:p>
            <w:pPr>
              <w:pStyle w:val="70"/>
              <w:jc w:val="center"/>
              <w:rPr>
                <w:rFonts w:hint="eastAsia" w:ascii="Times New Roman" w:hAnsi="Times New Roman" w:cs="Times New Roman"/>
                <w:color w:val="auto"/>
              </w:rPr>
            </w:pPr>
          </w:p>
        </w:tc>
        <w:tc>
          <w:tcPr>
            <w:tcW w:w="557" w:type="dxa"/>
            <w:tcBorders>
              <w:tl2br w:val="nil"/>
              <w:tr2bl w:val="nil"/>
            </w:tcBorders>
            <w:vAlign w:val="center"/>
          </w:tcPr>
          <w:p>
            <w:pPr>
              <w:pStyle w:val="70"/>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12</w:t>
            </w:r>
          </w:p>
        </w:tc>
        <w:tc>
          <w:tcPr>
            <w:tcW w:w="1062"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1413"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菹草群落</w:t>
            </w:r>
          </w:p>
        </w:tc>
        <w:tc>
          <w:tcPr>
            <w:tcW w:w="769"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70"/>
              <w:jc w:val="center"/>
              <w:rPr>
                <w:rFonts w:hint="eastAsia" w:ascii="Times New Roman" w:hAnsi="Times New Roman" w:cs="Times New Roman"/>
                <w:color w:val="auto"/>
              </w:rPr>
            </w:pPr>
          </w:p>
        </w:tc>
        <w:tc>
          <w:tcPr>
            <w:tcW w:w="668" w:type="dxa"/>
            <w:tcBorders>
              <w:tl2br w:val="nil"/>
              <w:tr2bl w:val="nil"/>
            </w:tcBorders>
            <w:vAlign w:val="center"/>
          </w:tcPr>
          <w:p>
            <w:pPr>
              <w:pStyle w:val="70"/>
              <w:jc w:val="center"/>
              <w:rPr>
                <w:rFonts w:hint="eastAsia" w:ascii="Times New Roman" w:hAnsi="Times New Roman" w:cs="Times New Roman"/>
                <w:color w:val="auto"/>
              </w:rPr>
            </w:pPr>
          </w:p>
        </w:tc>
        <w:tc>
          <w:tcPr>
            <w:tcW w:w="809" w:type="dxa"/>
            <w:tcBorders>
              <w:tl2br w:val="nil"/>
              <w:tr2bl w:val="nil"/>
            </w:tcBorders>
            <w:vAlign w:val="center"/>
          </w:tcPr>
          <w:p>
            <w:pPr>
              <w:pStyle w:val="70"/>
              <w:jc w:val="center"/>
              <w:rPr>
                <w:rFonts w:hint="eastAsia" w:ascii="Times New Roman" w:hAnsi="Times New Roman" w:cs="Times New Roman"/>
                <w:color w:val="auto"/>
              </w:rPr>
            </w:pPr>
          </w:p>
        </w:tc>
        <w:tc>
          <w:tcPr>
            <w:tcW w:w="1048" w:type="dxa"/>
            <w:tcBorders>
              <w:tl2br w:val="nil"/>
              <w:tr2bl w:val="nil"/>
            </w:tcBorders>
            <w:vAlign w:val="center"/>
          </w:tcPr>
          <w:p>
            <w:pPr>
              <w:pStyle w:val="70"/>
              <w:jc w:val="center"/>
              <w:rPr>
                <w:rFonts w:hint="eastAsia" w:ascii="Times New Roman" w:hAnsi="Times New Roman" w:cs="Times New Roman"/>
                <w:color w:val="auto"/>
              </w:rPr>
            </w:pPr>
          </w:p>
        </w:tc>
        <w:tc>
          <w:tcPr>
            <w:tcW w:w="557" w:type="dxa"/>
            <w:tcBorders>
              <w:tl2br w:val="nil"/>
              <w:tr2bl w:val="nil"/>
            </w:tcBorders>
            <w:vAlign w:val="center"/>
          </w:tcPr>
          <w:p>
            <w:pPr>
              <w:pStyle w:val="70"/>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784" w:hRule="atLeast"/>
        </w:trPr>
        <w:tc>
          <w:tcPr>
            <w:tcW w:w="496"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13</w:t>
            </w:r>
          </w:p>
        </w:tc>
        <w:tc>
          <w:tcPr>
            <w:tcW w:w="1062" w:type="dxa"/>
            <w:vMerge w:val="continue"/>
            <w:tcBorders>
              <w:tl2br w:val="nil"/>
              <w:tr2bl w:val="nil"/>
            </w:tcBorders>
            <w:vAlign w:val="center"/>
          </w:tcPr>
          <w:p>
            <w:pPr>
              <w:pStyle w:val="70"/>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70"/>
              <w:jc w:val="center"/>
              <w:rPr>
                <w:rFonts w:hint="eastAsia" w:ascii="Times New Roman" w:hAnsi="Times New Roman" w:cs="Times New Roman"/>
                <w:color w:val="auto"/>
              </w:rPr>
            </w:pPr>
          </w:p>
        </w:tc>
        <w:tc>
          <w:tcPr>
            <w:tcW w:w="1413" w:type="dxa"/>
            <w:tcBorders>
              <w:tl2br w:val="nil"/>
              <w:tr2bl w:val="nil"/>
            </w:tcBorders>
            <w:vAlign w:val="center"/>
          </w:tcPr>
          <w:p>
            <w:pPr>
              <w:pStyle w:val="70"/>
              <w:jc w:val="center"/>
              <w:rPr>
                <w:rFonts w:hint="eastAsia" w:ascii="Times New Roman" w:hAnsi="Times New Roman" w:cs="Times New Roman"/>
                <w:color w:val="auto"/>
              </w:rPr>
            </w:pPr>
            <w:r>
              <w:rPr>
                <w:rFonts w:hint="eastAsia" w:ascii="Times New Roman" w:hAnsi="Times New Roman" w:cs="Times New Roman"/>
                <w:color w:val="auto"/>
              </w:rPr>
              <w:t>空心莲子草群</w:t>
            </w:r>
          </w:p>
          <w:p>
            <w:pPr>
              <w:pStyle w:val="70"/>
              <w:jc w:val="center"/>
              <w:rPr>
                <w:rFonts w:hint="default" w:ascii="Times New Roman" w:hAnsi="Times New Roman" w:cs="Times New Roman"/>
                <w:color w:val="auto"/>
              </w:rPr>
            </w:pPr>
            <w:r>
              <w:rPr>
                <w:rFonts w:hint="eastAsia" w:ascii="Times New Roman" w:hAnsi="Times New Roman" w:cs="Times New Roman"/>
                <w:color w:val="auto"/>
              </w:rPr>
              <w:t>落</w:t>
            </w:r>
          </w:p>
        </w:tc>
        <w:tc>
          <w:tcPr>
            <w:tcW w:w="769" w:type="dxa"/>
            <w:tcBorders>
              <w:tl2br w:val="nil"/>
              <w:tr2bl w:val="nil"/>
            </w:tcBorders>
            <w:vAlign w:val="center"/>
          </w:tcPr>
          <w:p>
            <w:pPr>
              <w:pStyle w:val="70"/>
              <w:jc w:val="center"/>
              <w:rPr>
                <w:rFonts w:hint="default" w:ascii="Times New Roman" w:hAnsi="Times New Roman" w:cs="Times New Roman"/>
                <w:color w:val="auto"/>
              </w:rPr>
            </w:pPr>
            <w:r>
              <w:rPr>
                <w:rFonts w:hint="eastAsia" w:ascii="Times New Roman" w:hAnsi="Times New Roman" w:cs="Times New Roman"/>
                <w:color w:val="auto"/>
              </w:rPr>
              <w:t>外来</w:t>
            </w:r>
          </w:p>
          <w:p>
            <w:pPr>
              <w:pStyle w:val="70"/>
              <w:jc w:val="center"/>
              <w:rPr>
                <w:rFonts w:hint="default" w:ascii="Times New Roman" w:hAnsi="Times New Roman" w:cs="Times New Roman"/>
                <w:color w:val="auto"/>
              </w:rPr>
            </w:pPr>
            <w:r>
              <w:rPr>
                <w:rFonts w:hint="eastAsia" w:ascii="Times New Roman" w:hAnsi="Times New Roman" w:cs="Times New Roman"/>
                <w:color w:val="auto"/>
              </w:rPr>
              <w:t>逸生</w:t>
            </w:r>
          </w:p>
        </w:tc>
        <w:tc>
          <w:tcPr>
            <w:tcW w:w="456" w:type="dxa"/>
            <w:tcBorders>
              <w:tl2br w:val="nil"/>
              <w:tr2bl w:val="nil"/>
            </w:tcBorders>
            <w:vAlign w:val="center"/>
          </w:tcPr>
          <w:p>
            <w:pPr>
              <w:pStyle w:val="70"/>
              <w:jc w:val="center"/>
              <w:rPr>
                <w:rFonts w:hint="eastAsia" w:ascii="Times New Roman" w:hAnsi="Times New Roman" w:cs="Times New Roman"/>
                <w:color w:val="auto"/>
              </w:rPr>
            </w:pPr>
          </w:p>
        </w:tc>
        <w:tc>
          <w:tcPr>
            <w:tcW w:w="668" w:type="dxa"/>
            <w:tcBorders>
              <w:tl2br w:val="nil"/>
              <w:tr2bl w:val="nil"/>
            </w:tcBorders>
            <w:vAlign w:val="center"/>
          </w:tcPr>
          <w:p>
            <w:pPr>
              <w:pStyle w:val="70"/>
              <w:jc w:val="center"/>
              <w:rPr>
                <w:rFonts w:hint="eastAsia" w:ascii="Times New Roman" w:hAnsi="Times New Roman" w:cs="Times New Roman"/>
                <w:color w:val="auto"/>
              </w:rPr>
            </w:pPr>
          </w:p>
        </w:tc>
        <w:tc>
          <w:tcPr>
            <w:tcW w:w="809" w:type="dxa"/>
            <w:tcBorders>
              <w:tl2br w:val="nil"/>
              <w:tr2bl w:val="nil"/>
            </w:tcBorders>
            <w:vAlign w:val="center"/>
          </w:tcPr>
          <w:p>
            <w:pPr>
              <w:pStyle w:val="70"/>
              <w:jc w:val="center"/>
              <w:rPr>
                <w:rFonts w:hint="eastAsia" w:ascii="Times New Roman" w:hAnsi="Times New Roman" w:cs="Times New Roman"/>
                <w:color w:val="auto"/>
              </w:rPr>
            </w:pPr>
          </w:p>
        </w:tc>
        <w:tc>
          <w:tcPr>
            <w:tcW w:w="1048" w:type="dxa"/>
            <w:tcBorders>
              <w:tl2br w:val="nil"/>
              <w:tr2bl w:val="nil"/>
            </w:tcBorders>
            <w:vAlign w:val="center"/>
          </w:tcPr>
          <w:p>
            <w:pPr>
              <w:pStyle w:val="70"/>
              <w:jc w:val="center"/>
              <w:rPr>
                <w:rFonts w:hint="eastAsia" w:ascii="Times New Roman" w:hAnsi="Times New Roman" w:cs="Times New Roman"/>
                <w:color w:val="auto"/>
              </w:rPr>
            </w:pPr>
          </w:p>
        </w:tc>
        <w:tc>
          <w:tcPr>
            <w:tcW w:w="557" w:type="dxa"/>
            <w:tcBorders>
              <w:tl2br w:val="nil"/>
              <w:tr2bl w:val="nil"/>
            </w:tcBorders>
            <w:vAlign w:val="center"/>
          </w:tcPr>
          <w:p>
            <w:pPr>
              <w:pStyle w:val="70"/>
              <w:jc w:val="center"/>
              <w:rPr>
                <w:rFonts w:hint="eastAsia" w:ascii="Times New Roman" w:hAnsi="Times New Roman" w:cs="Times New Roman"/>
                <w:color w:val="auto"/>
              </w:rPr>
            </w:pPr>
          </w:p>
        </w:tc>
      </w:tr>
    </w:tbl>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 xml:space="preserve"> </w:t>
      </w:r>
      <w:r>
        <w:rPr>
          <w:rFonts w:hint="eastAsia" w:ascii="Times New Roman" w:hAnsi="Times New Roman" w:eastAsia="宋体" w:cs="Times New Roman"/>
          <w:bCs/>
          <w:color w:val="auto"/>
          <w:sz w:val="24"/>
          <w:szCs w:val="21"/>
          <w:highlight w:val="none"/>
          <w:u w:val="none"/>
          <w:lang w:val="en-US" w:eastAsia="zh-CN"/>
        </w:rPr>
        <w:t>植物群落特征分析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 xml:space="preserve">）草甸型组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①白茅草甸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白茅广泛分布于低山带平原河岸草地、沙质草甸、荒漠与海滨；中国各地均有分布。白茅是湖区内的常见草本，常分布在地势较高、排水较好的洲滩高地和边缘，面积可达几公顷。常与南荻群落和芒群落镶嵌分布</w:t>
      </w:r>
      <w:r>
        <w:rPr>
          <w:rFonts w:hint="eastAsia" w:cs="Times New Roman"/>
          <w:bCs/>
          <w:color w:val="auto"/>
          <w:sz w:val="24"/>
          <w:szCs w:val="21"/>
          <w:highlight w:val="none"/>
          <w:u w:val="none"/>
          <w:lang w:val="en-US" w:eastAsia="zh-CN"/>
        </w:rPr>
        <w:t>，</w:t>
      </w:r>
      <w:r>
        <w:rPr>
          <w:rFonts w:hint="eastAsia" w:ascii="Times New Roman" w:hAnsi="Times New Roman" w:eastAsia="宋体" w:cs="Times New Roman"/>
          <w:bCs/>
          <w:color w:val="auto"/>
          <w:sz w:val="24"/>
          <w:szCs w:val="21"/>
          <w:highlight w:val="none"/>
          <w:u w:val="none"/>
          <w:lang w:val="en-US" w:eastAsia="zh-CN"/>
        </w:rPr>
        <w:t xml:space="preserve">或成片分布在疏林下。群落外貌淡绿色，秋冬季地上部常为枯黄色，生长紧密，高可达 </w:t>
      </w:r>
      <w:r>
        <w:rPr>
          <w:rFonts w:hint="default" w:ascii="Times New Roman" w:hAnsi="Times New Roman" w:eastAsia="宋体" w:cs="Times New Roman"/>
          <w:bCs/>
          <w:color w:val="auto"/>
          <w:sz w:val="24"/>
          <w:szCs w:val="21"/>
          <w:highlight w:val="none"/>
          <w:u w:val="none"/>
          <w:lang w:val="en-US" w:eastAsia="zh-CN"/>
        </w:rPr>
        <w:t>1 m</w:t>
      </w:r>
      <w:r>
        <w:rPr>
          <w:rFonts w:hint="eastAsia" w:ascii="Times New Roman" w:hAnsi="Times New Roman" w:eastAsia="宋体" w:cs="Times New Roman"/>
          <w:bCs/>
          <w:color w:val="auto"/>
          <w:sz w:val="24"/>
          <w:szCs w:val="21"/>
          <w:highlight w:val="none"/>
          <w:u w:val="none"/>
          <w:lang w:val="en-US" w:eastAsia="zh-CN"/>
        </w:rPr>
        <w:t>。</w:t>
      </w:r>
    </w:p>
    <w:p>
      <w:pPr>
        <w:keepNext w:val="0"/>
        <w:keepLines w:val="0"/>
        <w:widowControl/>
        <w:suppressLineNumbers w:val="0"/>
        <w:jc w:val="left"/>
        <w:rPr>
          <w:color w:val="auto"/>
        </w:rPr>
      </w:pPr>
    </w:p>
    <w:p>
      <w:pPr>
        <w:adjustRightInd w:val="0"/>
        <w:snapToGrid w:val="0"/>
        <w:spacing w:line="360" w:lineRule="auto"/>
        <w:jc w:val="left"/>
        <w:rPr>
          <w:rFonts w:hint="eastAsia"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74310" cy="1742440"/>
            <wp:effectExtent l="0" t="0" r="2540" b="1016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5"/>
                    <a:stretch>
                      <a:fillRect/>
                    </a:stretch>
                  </pic:blipFill>
                  <pic:spPr>
                    <a:xfrm>
                      <a:off x="0" y="0"/>
                      <a:ext cx="5274310" cy="174244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fldChar w:fldCharType="begin"/>
      </w:r>
      <w:r>
        <w:rPr>
          <w:rFonts w:hint="eastAsia" w:ascii="Times New Roman" w:hAnsi="Times New Roman" w:eastAsia="宋体" w:cs="Times New Roman"/>
          <w:bCs/>
          <w:color w:val="auto"/>
          <w:sz w:val="24"/>
          <w:szCs w:val="21"/>
          <w:highlight w:val="none"/>
          <w:u w:val="none"/>
          <w:lang w:val="en-US" w:eastAsia="zh-CN"/>
        </w:rPr>
        <w:instrText xml:space="preserve"> = 2 \* GB3 \* MERGEFORMAT </w:instrText>
      </w:r>
      <w:r>
        <w:rPr>
          <w:rFonts w:hint="eastAsia" w:ascii="Times New Roman" w:hAnsi="Times New Roman" w:eastAsia="宋体" w:cs="Times New Roman"/>
          <w:bCs/>
          <w:color w:val="auto"/>
          <w:sz w:val="24"/>
          <w:szCs w:val="21"/>
          <w:highlight w:val="none"/>
          <w:u w:val="none"/>
          <w:lang w:val="en-US" w:eastAsia="zh-CN"/>
        </w:rPr>
        <w:fldChar w:fldCharType="separate"/>
      </w:r>
      <w:r>
        <w:rPr>
          <w:rFonts w:hint="eastAsia" w:ascii="Times New Roman" w:hAnsi="Times New Roman" w:eastAsia="宋体" w:cs="Times New Roman"/>
          <w:bCs/>
          <w:color w:val="auto"/>
          <w:sz w:val="24"/>
          <w:szCs w:val="21"/>
          <w:highlight w:val="none"/>
          <w:u w:val="none"/>
          <w:lang w:val="en-US" w:eastAsia="zh-CN"/>
        </w:rPr>
        <w:t>②</w:t>
      </w:r>
      <w:r>
        <w:rPr>
          <w:rFonts w:hint="eastAsia" w:ascii="Times New Roman" w:hAnsi="Times New Roman" w:eastAsia="宋体" w:cs="Times New Roman"/>
          <w:bCs/>
          <w:color w:val="auto"/>
          <w:sz w:val="24"/>
          <w:szCs w:val="21"/>
          <w:highlight w:val="none"/>
          <w:u w:val="none"/>
          <w:lang w:val="en-US" w:eastAsia="zh-CN"/>
        </w:rPr>
        <w:fldChar w:fldCharType="end"/>
      </w:r>
      <w:r>
        <w:rPr>
          <w:rFonts w:hint="eastAsia" w:ascii="Times New Roman" w:hAnsi="Times New Roman" w:eastAsia="宋体" w:cs="Times New Roman"/>
          <w:bCs/>
          <w:color w:val="auto"/>
          <w:sz w:val="24"/>
          <w:szCs w:val="21"/>
          <w:highlight w:val="none"/>
          <w:u w:val="none"/>
          <w:lang w:val="en-US" w:eastAsia="zh-CN"/>
        </w:rPr>
        <w:t xml:space="preserve">芒草甸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芒是禾本科芒属多年生苇状草本。叶片线形，下面疏生柔毛及被白粉，边缘粗糙，圆锥花序直立，小穗披针形，黄色有光泽，遍布于海拔</w:t>
      </w:r>
      <w:r>
        <w:rPr>
          <w:rFonts w:hint="default" w:ascii="Times New Roman" w:hAnsi="Times New Roman" w:eastAsia="宋体" w:cs="Times New Roman"/>
          <w:bCs/>
          <w:color w:val="auto"/>
          <w:sz w:val="24"/>
          <w:szCs w:val="21"/>
          <w:highlight w:val="none"/>
          <w:u w:val="none"/>
          <w:lang w:val="en-US" w:eastAsia="zh-CN"/>
        </w:rPr>
        <w:t>1800</w:t>
      </w:r>
      <w:r>
        <w:rPr>
          <w:rFonts w:hint="eastAsia" w:ascii="Times New Roman" w:hAnsi="Times New Roman" w:eastAsia="宋体" w:cs="Times New Roman"/>
          <w:bCs/>
          <w:color w:val="auto"/>
          <w:sz w:val="24"/>
          <w:szCs w:val="21"/>
          <w:highlight w:val="none"/>
          <w:u w:val="none"/>
          <w:lang w:val="en-US" w:eastAsia="zh-CN"/>
        </w:rPr>
        <w:t>米以下的山地、丘陵和荒坡原野，常组成优势群落。广泛分布于评价区堤坝两侧。芒草对重金属污染土壤有修复作用；芒草对土地沙化环境具有改善作用。</w:t>
      </w:r>
    </w:p>
    <w:p>
      <w:pPr>
        <w:keepNext w:val="0"/>
        <w:keepLines w:val="0"/>
        <w:widowControl/>
        <w:suppressLineNumbers w:val="0"/>
        <w:jc w:val="left"/>
        <w:rPr>
          <w:rFonts w:ascii="仿宋" w:hAnsi="仿宋" w:eastAsia="仿宋" w:cs="仿宋"/>
          <w:color w:val="auto"/>
          <w:kern w:val="0"/>
          <w:sz w:val="27"/>
          <w:szCs w:val="27"/>
          <w:lang w:val="en-US" w:eastAsia="zh-CN" w:bidi="ar"/>
        </w:rPr>
      </w:pPr>
      <w:r>
        <w:rPr>
          <w:color w:val="auto"/>
        </w:rPr>
        <w:drawing>
          <wp:inline distT="0" distB="0" distL="114300" distR="114300">
            <wp:extent cx="5271770" cy="1861820"/>
            <wp:effectExtent l="0" t="0" r="5080" b="508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76"/>
                    <a:stretch>
                      <a:fillRect/>
                    </a:stretch>
                  </pic:blipFill>
                  <pic:spPr>
                    <a:xfrm>
                      <a:off x="0" y="0"/>
                      <a:ext cx="5271770" cy="186182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③狗牙根草甸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狗牙根是禾本科狗牙根属多年生草本植物，广泛分布于热带、亚热带和温带地区，中国黄河流域以南各地均有狗牙根，北至新疆亦有野生狗牙根。狗牙根适合在温暖潮湿和温暖半干早地区生长，极耐热耐旱，耐践踏，但抗寒性差，也不耐阴，根系浅，喜在排水良好的肥沃土壤中生长，在轻度盐碱地上也生长较快，且侵占力强，如果疏于管理，两三年内就会完全侵占草坪。狗牙根多生长于村庄附近、道旁河岸、荒地山坡。以根茎、匍匐茎繁殖为主，也可种子繁殖。根茎蔓延力很强，广铺地面，是良好的固堤保土植物。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于评价区荒地、护堤、河滩广泛分布</w:t>
      </w:r>
    </w:p>
    <w:p>
      <w:pPr>
        <w:adjustRightInd w:val="0"/>
        <w:snapToGrid w:val="0"/>
        <w:spacing w:line="360" w:lineRule="auto"/>
        <w:jc w:val="left"/>
        <w:rPr>
          <w:rFonts w:hint="eastAsia"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68595" cy="1841500"/>
            <wp:effectExtent l="0" t="0" r="8255" b="635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77"/>
                    <a:stretch>
                      <a:fillRect/>
                    </a:stretch>
                  </pic:blipFill>
                  <pic:spPr>
                    <a:xfrm>
                      <a:off x="0" y="0"/>
                      <a:ext cx="5268595" cy="184150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④灰化薹草草甸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灰化薹草是莎草科、薹草属多年生草本植物。根状茎短，具长的匍匐茎。生长在湖边、沼泽或湿地。灰化薹草薹草主要进行无性繁殖，依靠根状茎上的腋芽萌发成新株。灰化薹草具有发达的须根，其盘根错节，与土粒相互吸附，构成厚达 </w:t>
      </w:r>
      <w:r>
        <w:rPr>
          <w:rFonts w:hint="default" w:ascii="Times New Roman" w:hAnsi="Times New Roman" w:eastAsia="宋体" w:cs="Times New Roman"/>
          <w:bCs/>
          <w:color w:val="auto"/>
          <w:sz w:val="24"/>
          <w:szCs w:val="21"/>
          <w:highlight w:val="none"/>
          <w:u w:val="none"/>
          <w:lang w:val="en-US" w:eastAsia="zh-CN"/>
        </w:rPr>
        <w:t xml:space="preserve">15-20 </w:t>
      </w:r>
      <w:r>
        <w:rPr>
          <w:rFonts w:hint="eastAsia" w:ascii="Times New Roman" w:hAnsi="Times New Roman" w:eastAsia="宋体" w:cs="Times New Roman"/>
          <w:bCs/>
          <w:color w:val="auto"/>
          <w:sz w:val="24"/>
          <w:szCs w:val="21"/>
          <w:highlight w:val="none"/>
          <w:u w:val="none"/>
          <w:lang w:val="en-US" w:eastAsia="zh-CN"/>
        </w:rPr>
        <w:t xml:space="preserve">厘米的生草根层，坚实不易耕耙，正是由于这一庞大的须根，吸附着沼泽草甸土有限的速效养分，繁殖生长。灰化薹草是洞庭湖滨地区良等野生牧草，幼嫩时，牛、羊、鹅均喜食，除放牧外，因其粗蛋白质含量较高。可刈割、晒制于草、粉碎作为配合饲料的填充剂，也可青贮和作发酵饲料。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该草甸在湖区广泛分布，评价区藕池河河滩广泛分布。</w:t>
      </w:r>
    </w:p>
    <w:p>
      <w:pPr>
        <w:keepNext w:val="0"/>
        <w:keepLines w:val="0"/>
        <w:widowControl/>
        <w:suppressLineNumbers w:val="0"/>
        <w:jc w:val="left"/>
        <w:rPr>
          <w:color w:val="auto"/>
        </w:rPr>
      </w:pPr>
      <w:r>
        <w:rPr>
          <w:color w:val="auto"/>
        </w:rPr>
        <w:drawing>
          <wp:inline distT="0" distB="0" distL="114300" distR="114300">
            <wp:extent cx="5268595" cy="1825625"/>
            <wp:effectExtent l="0" t="0" r="8255" b="3175"/>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r:embed="rId78"/>
                    <a:stretch>
                      <a:fillRect/>
                    </a:stretch>
                  </pic:blipFill>
                  <pic:spPr>
                    <a:xfrm>
                      <a:off x="0" y="0"/>
                      <a:ext cx="5268595" cy="182562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⑤牛毛毡草甸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牛毛毡为多年生莎草科湿生性草本，喜酸性黏土、潮湿环境。一般生于海拔 </w:t>
      </w:r>
      <w:r>
        <w:rPr>
          <w:rFonts w:hint="default" w:ascii="Times New Roman" w:hAnsi="Times New Roman" w:eastAsia="宋体" w:cs="Times New Roman"/>
          <w:bCs/>
          <w:color w:val="auto"/>
          <w:sz w:val="24"/>
          <w:szCs w:val="21"/>
          <w:highlight w:val="none"/>
          <w:u w:val="none"/>
          <w:lang w:val="en-US" w:eastAsia="zh-CN"/>
        </w:rPr>
        <w:t xml:space="preserve">0-3000 m </w:t>
      </w:r>
      <w:r>
        <w:rPr>
          <w:rFonts w:hint="eastAsia" w:ascii="Times New Roman" w:hAnsi="Times New Roman" w:eastAsia="宋体" w:cs="Times New Roman"/>
          <w:bCs/>
          <w:color w:val="auto"/>
          <w:sz w:val="24"/>
          <w:szCs w:val="21"/>
          <w:highlight w:val="none"/>
          <w:u w:val="none"/>
          <w:lang w:val="en-US" w:eastAsia="zh-CN"/>
        </w:rPr>
        <w:t>的稻田、池塘边、河滩地及渠边等湿地。生长的适温为</w:t>
      </w:r>
      <w:r>
        <w:rPr>
          <w:rFonts w:hint="default" w:ascii="Times New Roman" w:hAnsi="Times New Roman" w:eastAsia="宋体" w:cs="Times New Roman"/>
          <w:bCs/>
          <w:color w:val="auto"/>
          <w:sz w:val="24"/>
          <w:szCs w:val="21"/>
          <w:highlight w:val="none"/>
          <w:u w:val="none"/>
          <w:lang w:val="en-US" w:eastAsia="zh-CN"/>
        </w:rPr>
        <w:t>22-26 ℃</w:t>
      </w:r>
      <w:r>
        <w:rPr>
          <w:rFonts w:hint="eastAsia" w:ascii="Times New Roman" w:hAnsi="Times New Roman" w:eastAsia="宋体" w:cs="Times New Roman"/>
          <w:bCs/>
          <w:color w:val="auto"/>
          <w:sz w:val="24"/>
          <w:szCs w:val="21"/>
          <w:highlight w:val="none"/>
          <w:u w:val="none"/>
          <w:lang w:val="en-US" w:eastAsia="zh-CN"/>
        </w:rPr>
        <w:t>。牛毛毡喜欢浅水和潮湿的环境，当有充足的光照时也能生长在</w:t>
      </w:r>
      <w:r>
        <w:rPr>
          <w:rFonts w:hint="default" w:ascii="Times New Roman" w:hAnsi="Times New Roman" w:eastAsia="宋体" w:cs="Times New Roman"/>
          <w:bCs/>
          <w:color w:val="auto"/>
          <w:sz w:val="24"/>
          <w:szCs w:val="21"/>
          <w:highlight w:val="none"/>
          <w:u w:val="none"/>
          <w:lang w:val="en-US" w:eastAsia="zh-CN"/>
        </w:rPr>
        <w:t>80</w:t>
      </w:r>
      <w:r>
        <w:rPr>
          <w:rFonts w:hint="eastAsia" w:ascii="Times New Roman" w:hAnsi="Times New Roman" w:eastAsia="宋体" w:cs="Times New Roman"/>
          <w:bCs/>
          <w:color w:val="auto"/>
          <w:sz w:val="24"/>
          <w:szCs w:val="21"/>
          <w:highlight w:val="none"/>
          <w:u w:val="none"/>
          <w:lang w:val="en-US" w:eastAsia="zh-CN"/>
        </w:rPr>
        <w:t>～</w:t>
      </w:r>
      <w:r>
        <w:rPr>
          <w:rFonts w:hint="default" w:ascii="Times New Roman" w:hAnsi="Times New Roman" w:eastAsia="宋体" w:cs="Times New Roman"/>
          <w:bCs/>
          <w:color w:val="auto"/>
          <w:sz w:val="24"/>
          <w:szCs w:val="21"/>
          <w:highlight w:val="none"/>
          <w:u w:val="none"/>
          <w:lang w:val="en-US" w:eastAsia="zh-CN"/>
        </w:rPr>
        <w:t xml:space="preserve">100 cm </w:t>
      </w:r>
      <w:r>
        <w:rPr>
          <w:rFonts w:hint="eastAsia" w:ascii="Times New Roman" w:hAnsi="Times New Roman" w:eastAsia="宋体" w:cs="Times New Roman"/>
          <w:bCs/>
          <w:color w:val="auto"/>
          <w:sz w:val="24"/>
          <w:szCs w:val="21"/>
          <w:highlight w:val="none"/>
          <w:u w:val="none"/>
          <w:lang w:val="en-US" w:eastAsia="zh-CN"/>
        </w:rPr>
        <w:t xml:space="preserve">的深水中。牛毛毡高发于 </w:t>
      </w:r>
      <w:r>
        <w:rPr>
          <w:rFonts w:hint="default" w:ascii="Times New Roman" w:hAnsi="Times New Roman" w:eastAsia="宋体"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lang w:val="en-US" w:eastAsia="zh-CN"/>
        </w:rPr>
        <w:t>～</w:t>
      </w:r>
      <w:r>
        <w:rPr>
          <w:rFonts w:hint="default" w:ascii="Times New Roman" w:hAnsi="Times New Roman" w:eastAsia="宋体" w:cs="Times New Roman"/>
          <w:bCs/>
          <w:color w:val="auto"/>
          <w:sz w:val="24"/>
          <w:szCs w:val="21"/>
          <w:highlight w:val="none"/>
          <w:u w:val="none"/>
          <w:lang w:val="en-US" w:eastAsia="zh-CN"/>
        </w:rPr>
        <w:t xml:space="preserve">7 </w:t>
      </w:r>
      <w:r>
        <w:rPr>
          <w:rFonts w:hint="eastAsia" w:ascii="Times New Roman" w:hAnsi="Times New Roman" w:eastAsia="宋体" w:cs="Times New Roman"/>
          <w:bCs/>
          <w:color w:val="auto"/>
          <w:sz w:val="24"/>
          <w:szCs w:val="21"/>
          <w:highlight w:val="none"/>
          <w:u w:val="none"/>
          <w:lang w:val="en-US" w:eastAsia="zh-CN"/>
        </w:rPr>
        <w:t xml:space="preserve">月，对水稻危害非常严重，在早晚稻田中甚至可以单独造成严重危害，与其它杂草形成坚不可摧的杂草群落，是稻田的噩梦。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该草甸于评价区农田和河岸区域内广泛分布，于农田中影响作物产量，但在河岸堤坝及河滩范围则有保持水土的作用。</w:t>
      </w:r>
    </w:p>
    <w:p>
      <w:pPr>
        <w:adjustRightInd w:val="0"/>
        <w:snapToGrid w:val="0"/>
        <w:spacing w:line="360" w:lineRule="auto"/>
        <w:jc w:val="left"/>
        <w:rPr>
          <w:color w:val="auto"/>
        </w:rPr>
      </w:pPr>
      <w:r>
        <w:rPr>
          <w:color w:val="auto"/>
        </w:rPr>
        <w:drawing>
          <wp:inline distT="0" distB="0" distL="114300" distR="114300">
            <wp:extent cx="5268595" cy="1727200"/>
            <wp:effectExtent l="0" t="0" r="8255" b="6350"/>
            <wp:docPr id="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pic:cNvPicPr>
                      <a:picLocks noChangeAspect="1"/>
                    </pic:cNvPicPr>
                  </pic:nvPicPr>
                  <pic:blipFill>
                    <a:blip r:embed="rId79"/>
                    <a:stretch>
                      <a:fillRect/>
                    </a:stretch>
                  </pic:blipFill>
                  <pic:spPr>
                    <a:xfrm>
                      <a:off x="0" y="0"/>
                      <a:ext cx="5268595" cy="172720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⑥紫云英草甸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紫云英别名翘摇、红花草等，是豆科黄芪属的二年生草本植物。紫云英富硒，含有丰富的蛋白质，可用做牲畜饲料，其嫩梢可供蔬食；泌蜜量大且蜂蜜品质好，是重要的蜜源植物；也是优良的观花植物，可应用于公园、花坛、花镜中；具有固氮能力，可固定空气中氮，植株腐解时，产生大量的氮素，维持农田生态系统中的氮循环；紫云英以全草、根及种子入药，具有一定的药用价值。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本种于评价区荒地及河滩广泛分布。</w:t>
      </w:r>
    </w:p>
    <w:p>
      <w:pPr>
        <w:adjustRightInd w:val="0"/>
        <w:snapToGrid w:val="0"/>
        <w:spacing w:line="360" w:lineRule="auto"/>
        <w:jc w:val="left"/>
        <w:rPr>
          <w:color w:val="auto"/>
        </w:rPr>
      </w:pPr>
      <w:r>
        <w:rPr>
          <w:color w:val="auto"/>
        </w:rPr>
        <w:drawing>
          <wp:inline distT="0" distB="0" distL="114300" distR="114300">
            <wp:extent cx="5273040" cy="1730375"/>
            <wp:effectExtent l="0" t="0" r="3810" b="3175"/>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80"/>
                    <a:stretch>
                      <a:fillRect/>
                    </a:stretch>
                  </pic:blipFill>
                  <pic:spPr>
                    <a:xfrm>
                      <a:off x="0" y="0"/>
                      <a:ext cx="5273040" cy="173037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fldChar w:fldCharType="begin"/>
      </w:r>
      <w:r>
        <w:rPr>
          <w:rFonts w:hint="eastAsia" w:ascii="Times New Roman" w:hAnsi="Times New Roman" w:eastAsia="宋体" w:cs="Times New Roman"/>
          <w:bCs/>
          <w:color w:val="auto"/>
          <w:sz w:val="24"/>
          <w:szCs w:val="21"/>
          <w:highlight w:val="none"/>
          <w:u w:val="none"/>
          <w:lang w:val="en-US" w:eastAsia="zh-CN"/>
        </w:rPr>
        <w:instrText xml:space="preserve"> = 7 \* GB3 \* MERGEFORMAT </w:instrText>
      </w:r>
      <w:r>
        <w:rPr>
          <w:rFonts w:hint="eastAsia" w:ascii="Times New Roman" w:hAnsi="Times New Roman" w:eastAsia="宋体" w:cs="Times New Roman"/>
          <w:bCs/>
          <w:color w:val="auto"/>
          <w:sz w:val="24"/>
          <w:szCs w:val="21"/>
          <w:highlight w:val="none"/>
          <w:u w:val="none"/>
          <w:lang w:val="en-US" w:eastAsia="zh-CN"/>
        </w:rPr>
        <w:fldChar w:fldCharType="separate"/>
      </w:r>
      <w:r>
        <w:rPr>
          <w:rFonts w:hint="eastAsia" w:ascii="Times New Roman" w:hAnsi="Times New Roman" w:eastAsia="宋体" w:cs="Times New Roman"/>
          <w:bCs/>
          <w:color w:val="auto"/>
          <w:sz w:val="24"/>
          <w:szCs w:val="21"/>
          <w:highlight w:val="none"/>
          <w:u w:val="none"/>
          <w:lang w:val="en-US" w:eastAsia="zh-CN"/>
        </w:rPr>
        <w:t>⑦</w:t>
      </w:r>
      <w:r>
        <w:rPr>
          <w:rFonts w:hint="eastAsia" w:ascii="Times New Roman" w:hAnsi="Times New Roman" w:eastAsia="宋体" w:cs="Times New Roman"/>
          <w:bCs/>
          <w:color w:val="auto"/>
          <w:sz w:val="24"/>
          <w:szCs w:val="21"/>
          <w:highlight w:val="none"/>
          <w:u w:val="none"/>
          <w:lang w:val="en-US" w:eastAsia="zh-CN"/>
        </w:rPr>
        <w:fldChar w:fldCharType="end"/>
      </w:r>
      <w:r>
        <w:rPr>
          <w:rFonts w:hint="eastAsia" w:ascii="Times New Roman" w:hAnsi="Times New Roman" w:eastAsia="宋体" w:cs="Times New Roman"/>
          <w:bCs/>
          <w:color w:val="auto"/>
          <w:sz w:val="24"/>
          <w:szCs w:val="21"/>
          <w:highlight w:val="none"/>
          <w:u w:val="none"/>
          <w:lang w:val="en-US" w:eastAsia="zh-CN"/>
        </w:rPr>
        <w:t xml:space="preserve">北美苍耳草甸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北美苍耳是菊科苍耳属一年生草本植物，具有适应性强、繁殖能力强、生命力顽强等特点，因此是重要危险性外来杂草。北美苍耳成熟时种子外形成木质化总苞，总苞具有喙状针刺，以此粘附在人及动物身上进行远距离传播，本种一旦入侵成功会迅速占据大量生态位，对本土物种产生极其严重的排挤性危害。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该草甸类型为外来逸生，现已广泛分布于评价区草地。</w:t>
      </w:r>
    </w:p>
    <w:p>
      <w:pPr>
        <w:adjustRightInd w:val="0"/>
        <w:snapToGrid w:val="0"/>
        <w:spacing w:line="360" w:lineRule="auto"/>
        <w:jc w:val="left"/>
        <w:rPr>
          <w:rFonts w:hint="eastAsia"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73040" cy="1896745"/>
            <wp:effectExtent l="0" t="0" r="3810" b="8255"/>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pic:cNvPicPr>
                      <a:picLocks noChangeAspect="1"/>
                    </pic:cNvPicPr>
                  </pic:nvPicPr>
                  <pic:blipFill>
                    <a:blip r:embed="rId81"/>
                    <a:stretch>
                      <a:fillRect/>
                    </a:stretch>
                  </pic:blipFill>
                  <pic:spPr>
                    <a:xfrm>
                      <a:off x="0" y="0"/>
                      <a:ext cx="5273040" cy="189674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w:t>
      </w:r>
      <w:r>
        <w:rPr>
          <w:rFonts w:hint="eastAsia"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 xml:space="preserve">）沼泽和水生植物型组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cs="Times New Roman"/>
          <w:bCs/>
          <w:color w:val="auto"/>
          <w:sz w:val="24"/>
          <w:szCs w:val="21"/>
          <w:highlight w:val="none"/>
          <w:u w:val="none"/>
          <w:lang w:val="en-US" w:eastAsia="zh-CN"/>
        </w:rPr>
        <w:t>1）沼泽</w:t>
      </w:r>
      <w:r>
        <w:rPr>
          <w:rFonts w:hint="eastAsia" w:ascii="Times New Roman" w:hAnsi="Times New Roman" w:eastAsia="宋体" w:cs="Times New Roman"/>
          <w:bCs/>
          <w:color w:val="auto"/>
          <w:sz w:val="24"/>
          <w:szCs w:val="21"/>
          <w:highlight w:val="none"/>
          <w:u w:val="none"/>
          <w:lang w:val="en-US" w:eastAsia="zh-CN"/>
        </w:rPr>
        <w:t>植被</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①旱柳群落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旱柳是杨柳科柳属的乔木植物，产于中国的东北、华北平原、西北黄土高原，西至甘肃、青海，南至淮河流域以及浙江、江苏。喜光，耐寒，湿地，旱地皆能生长，适宜在湿润而排水良好的土壤生长。旱柳为耐湿植物，能够一定程度上作为防风固沙的生态屏障，对于保护琥珀周边地区的生态环境具有重要意义；此外，旱柳发达的根系能够有效地固定土壤，减少水土流失。尤其是在湖岸带，旱柳能稳固岸边土壤，防止因波浪侵蚀导致的岸线后退，根系还能够吸收并分解水中的一些有害物质，如重金属离子和过量的营养盐（氮、磷等），从而有助于减轻湖泊的富营养化问题。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该群落主要分布于评价区南侧藕池河河岸，为人工栽培，作防护林。林地潮湿，涨水时节林下常被水淹没。群落外貌较整齐，季相明显。群落郁闭度约</w:t>
      </w:r>
      <w:r>
        <w:rPr>
          <w:rFonts w:hint="default" w:ascii="Times New Roman" w:hAnsi="Times New Roman" w:eastAsia="宋体" w:cs="Times New Roman"/>
          <w:bCs/>
          <w:color w:val="auto"/>
          <w:sz w:val="24"/>
          <w:szCs w:val="21"/>
          <w:highlight w:val="none"/>
          <w:u w:val="none"/>
          <w:lang w:val="en-US" w:eastAsia="zh-CN"/>
        </w:rPr>
        <w:t>0.8</w:t>
      </w:r>
      <w:r>
        <w:rPr>
          <w:rFonts w:hint="eastAsia" w:ascii="Times New Roman" w:hAnsi="Times New Roman" w:eastAsia="宋体" w:cs="Times New Roman"/>
          <w:bCs/>
          <w:color w:val="auto"/>
          <w:sz w:val="24"/>
          <w:szCs w:val="21"/>
          <w:highlight w:val="none"/>
          <w:u w:val="none"/>
          <w:lang w:val="en-US" w:eastAsia="zh-CN"/>
        </w:rPr>
        <w:t xml:space="preserve">，乔木层以旱柳为单优种，林下灌木偶见粉团蔷薇，林下草本层主要有南荻、益母草、百球藨草、蛇床等。 </w:t>
      </w:r>
    </w:p>
    <w:p>
      <w:pPr>
        <w:adjustRightInd w:val="0"/>
        <w:snapToGrid w:val="0"/>
        <w:spacing w:line="360" w:lineRule="auto"/>
        <w:jc w:val="left"/>
        <w:rPr>
          <w:color w:val="auto"/>
        </w:rPr>
      </w:pPr>
      <w:r>
        <w:rPr>
          <w:color w:val="auto"/>
        </w:rPr>
        <w:drawing>
          <wp:inline distT="0" distB="0" distL="114300" distR="114300">
            <wp:extent cx="5199380" cy="1809115"/>
            <wp:effectExtent l="0" t="0" r="1270" b="635"/>
            <wp:docPr id="5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8"/>
                    <pic:cNvPicPr>
                      <a:picLocks noChangeAspect="1"/>
                    </pic:cNvPicPr>
                  </pic:nvPicPr>
                  <pic:blipFill>
                    <a:blip r:embed="rId82"/>
                    <a:stretch>
                      <a:fillRect/>
                    </a:stretch>
                  </pic:blipFill>
                  <pic:spPr>
                    <a:xfrm>
                      <a:off x="0" y="0"/>
                      <a:ext cx="5199380" cy="180911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②芦苇群落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芦苇是禾本科芦苇属的多年生草本植物，分布在中国各地，常见于江河湖泽、池塘沟渠沿岸和低湿地。芦苇的繁殖能力强，在适宜条件下，无论是种子、根状茎和地上茎都可栽种。芦苇花序雄伟美观，常用作湖边、河岸低湿处的观赏植物，有固堤、护坡、控制杂草的作用，杆为造纸原料或作编席织帘及建棚材料，根状茎供药用。芦苇还是湿地沼泽环境中重要的组成部分，且芦苇湿地的生态价值具有</w:t>
      </w:r>
      <w:r>
        <w:rPr>
          <w:rFonts w:hint="default" w:ascii="Times New Roman" w:hAnsi="Times New Roman" w:eastAsia="宋体" w:cs="Times New Roman"/>
          <w:bCs/>
          <w:color w:val="auto"/>
          <w:sz w:val="24"/>
          <w:szCs w:val="21"/>
          <w:highlight w:val="none"/>
          <w:u w:val="none"/>
          <w:lang w:val="en-US" w:eastAsia="zh-CN"/>
        </w:rPr>
        <w:t>“</w:t>
      </w:r>
      <w:r>
        <w:rPr>
          <w:rFonts w:hint="eastAsia" w:ascii="Times New Roman" w:hAnsi="Times New Roman" w:eastAsia="宋体" w:cs="Times New Roman"/>
          <w:bCs/>
          <w:color w:val="auto"/>
          <w:sz w:val="24"/>
          <w:szCs w:val="21"/>
          <w:highlight w:val="none"/>
          <w:u w:val="none"/>
          <w:lang w:val="en-US" w:eastAsia="zh-CN"/>
        </w:rPr>
        <w:t>第二森林</w:t>
      </w:r>
      <w:r>
        <w:rPr>
          <w:rFonts w:hint="default" w:ascii="Times New Roman" w:hAnsi="Times New Roman" w:eastAsia="宋体" w:cs="Times New Roman"/>
          <w:bCs/>
          <w:color w:val="auto"/>
          <w:sz w:val="24"/>
          <w:szCs w:val="21"/>
          <w:highlight w:val="none"/>
          <w:u w:val="none"/>
          <w:lang w:val="en-US" w:eastAsia="zh-CN"/>
        </w:rPr>
        <w:t>”</w:t>
      </w:r>
      <w:r>
        <w:rPr>
          <w:rFonts w:hint="eastAsia" w:ascii="Times New Roman" w:hAnsi="Times New Roman" w:eastAsia="宋体" w:cs="Times New Roman"/>
          <w:bCs/>
          <w:color w:val="auto"/>
          <w:sz w:val="24"/>
          <w:szCs w:val="21"/>
          <w:highlight w:val="none"/>
          <w:u w:val="none"/>
          <w:lang w:val="en-US" w:eastAsia="zh-CN"/>
        </w:rPr>
        <w:t xml:space="preserve">之美誉，在净化水源、调节气候和保护生物多样性等方面具有其他植物不可替代的作用。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该群落广泛分布于评价区荒地、农田田埂、藕池河河岸、堤坝。群落总盖度约</w:t>
      </w:r>
      <w:r>
        <w:rPr>
          <w:rFonts w:hint="default" w:ascii="Times New Roman" w:hAnsi="Times New Roman" w:eastAsia="宋体" w:cs="Times New Roman"/>
          <w:bCs/>
          <w:color w:val="auto"/>
          <w:sz w:val="24"/>
          <w:szCs w:val="21"/>
          <w:highlight w:val="none"/>
          <w:u w:val="none"/>
          <w:lang w:val="en-US" w:eastAsia="zh-CN"/>
        </w:rPr>
        <w:t>90%</w:t>
      </w:r>
      <w:r>
        <w:rPr>
          <w:rFonts w:hint="eastAsia" w:ascii="Times New Roman" w:hAnsi="Times New Roman" w:eastAsia="宋体" w:cs="Times New Roman"/>
          <w:bCs/>
          <w:color w:val="auto"/>
          <w:sz w:val="24"/>
          <w:szCs w:val="21"/>
          <w:highlight w:val="none"/>
          <w:u w:val="none"/>
          <w:lang w:val="en-US" w:eastAsia="zh-CN"/>
        </w:rPr>
        <w:t>，平均高度约</w:t>
      </w:r>
      <w:r>
        <w:rPr>
          <w:rFonts w:hint="default" w:ascii="Times New Roman" w:hAnsi="Times New Roman" w:eastAsia="宋体" w:cs="Times New Roman"/>
          <w:bCs/>
          <w:color w:val="auto"/>
          <w:sz w:val="24"/>
          <w:szCs w:val="21"/>
          <w:highlight w:val="none"/>
          <w:u w:val="none"/>
          <w:lang w:val="en-US" w:eastAsia="zh-CN"/>
        </w:rPr>
        <w:t>2m</w:t>
      </w:r>
      <w:r>
        <w:rPr>
          <w:rFonts w:hint="eastAsia" w:ascii="Times New Roman" w:hAnsi="Times New Roman" w:eastAsia="宋体" w:cs="Times New Roman"/>
          <w:bCs/>
          <w:color w:val="auto"/>
          <w:sz w:val="24"/>
          <w:szCs w:val="21"/>
          <w:highlight w:val="none"/>
          <w:u w:val="none"/>
          <w:lang w:val="en-US" w:eastAsia="zh-CN"/>
        </w:rPr>
        <w:t xml:space="preserve">。群落可分三层，第一层主要为芦苇，第二层主要有蛇床、益母草等，第三层主要有野老鹳、南苜蓿、救荒野豌豆、旋花等。 </w:t>
      </w:r>
    </w:p>
    <w:p>
      <w:pPr>
        <w:pStyle w:val="2"/>
        <w:ind w:left="0" w:leftChars="0" w:firstLine="0" w:firstLineChars="0"/>
        <w:rPr>
          <w:rFonts w:hint="eastAsia"/>
          <w:color w:val="auto"/>
          <w:lang w:val="en-US" w:eastAsia="zh-CN"/>
        </w:rPr>
      </w:pPr>
      <w:r>
        <w:rPr>
          <w:color w:val="auto"/>
        </w:rPr>
        <w:drawing>
          <wp:inline distT="0" distB="0" distL="114300" distR="114300">
            <wp:extent cx="5269865" cy="1863090"/>
            <wp:effectExtent l="0" t="0" r="6985" b="3810"/>
            <wp:docPr id="5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9"/>
                    <pic:cNvPicPr>
                      <a:picLocks noChangeAspect="1"/>
                    </pic:cNvPicPr>
                  </pic:nvPicPr>
                  <pic:blipFill>
                    <a:blip r:embed="rId83"/>
                    <a:stretch>
                      <a:fillRect/>
                    </a:stretch>
                  </pic:blipFill>
                  <pic:spPr>
                    <a:xfrm>
                      <a:off x="0" y="0"/>
                      <a:ext cx="5269865" cy="186309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③南荻群系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南荻是禾本科、芒属多年生高大竹状草本植物。南荻产于中国长江中下游以南各省；生于江洲湖滩上，海拔</w:t>
      </w:r>
      <w:r>
        <w:rPr>
          <w:rFonts w:hint="default" w:ascii="Times New Roman" w:hAnsi="Times New Roman" w:eastAsia="宋体" w:cs="Times New Roman"/>
          <w:bCs/>
          <w:color w:val="auto"/>
          <w:sz w:val="24"/>
          <w:szCs w:val="21"/>
          <w:highlight w:val="none"/>
          <w:u w:val="none"/>
          <w:lang w:val="en-US" w:eastAsia="zh-CN"/>
        </w:rPr>
        <w:t>30-40 m</w:t>
      </w:r>
      <w:r>
        <w:rPr>
          <w:rFonts w:hint="eastAsia" w:ascii="Times New Roman" w:hAnsi="Times New Roman" w:eastAsia="宋体" w:cs="Times New Roman"/>
          <w:bCs/>
          <w:color w:val="auto"/>
          <w:sz w:val="24"/>
          <w:szCs w:val="21"/>
          <w:highlight w:val="none"/>
          <w:u w:val="none"/>
          <w:lang w:val="en-US" w:eastAsia="zh-CN"/>
        </w:rPr>
        <w:t>。南获的根状茎强壮，容易扩散繁殖，植株散生，分藥也多，而且生长迅速，植物纤维长且品质良好。大面积的南获可以调节气候，涵养水源，形成良好的湿地生态环境，为鸟类提供栖息、觅食、繁殖的家园。</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评价区内南荻群落主要生长于藕池河两岸河滩，面积较大，为天然群落。该群落以南荻为单一优势种，群落总盖度约为</w:t>
      </w:r>
      <w:r>
        <w:rPr>
          <w:rFonts w:hint="default" w:ascii="Times New Roman" w:hAnsi="Times New Roman" w:eastAsia="宋体" w:cs="Times New Roman"/>
          <w:bCs/>
          <w:color w:val="auto"/>
          <w:sz w:val="24"/>
          <w:szCs w:val="21"/>
          <w:highlight w:val="none"/>
          <w:u w:val="none"/>
          <w:lang w:val="en-US" w:eastAsia="zh-CN"/>
        </w:rPr>
        <w:t>85%</w:t>
      </w:r>
      <w:r>
        <w:rPr>
          <w:rFonts w:hint="eastAsia" w:ascii="Times New Roman" w:hAnsi="Times New Roman" w:eastAsia="宋体" w:cs="Times New Roman"/>
          <w:bCs/>
          <w:color w:val="auto"/>
          <w:sz w:val="24"/>
          <w:szCs w:val="21"/>
          <w:highlight w:val="none"/>
          <w:u w:val="none"/>
          <w:lang w:val="en-US" w:eastAsia="zh-CN"/>
        </w:rPr>
        <w:t>，平均高度</w:t>
      </w:r>
      <w:r>
        <w:rPr>
          <w:rFonts w:hint="default" w:ascii="Times New Roman" w:hAnsi="Times New Roman" w:eastAsia="宋体" w:cs="Times New Roman"/>
          <w:bCs/>
          <w:color w:val="auto"/>
          <w:sz w:val="24"/>
          <w:szCs w:val="21"/>
          <w:highlight w:val="none"/>
          <w:u w:val="none"/>
          <w:lang w:val="en-US" w:eastAsia="zh-CN"/>
        </w:rPr>
        <w:t>1.5m</w:t>
      </w:r>
      <w:r>
        <w:rPr>
          <w:rFonts w:hint="eastAsia" w:ascii="Times New Roman" w:hAnsi="Times New Roman" w:eastAsia="宋体" w:cs="Times New Roman"/>
          <w:bCs/>
          <w:color w:val="auto"/>
          <w:sz w:val="24"/>
          <w:szCs w:val="21"/>
          <w:highlight w:val="none"/>
          <w:u w:val="none"/>
          <w:lang w:val="en-US" w:eastAsia="zh-CN"/>
        </w:rPr>
        <w:t xml:space="preserve">，伴生草本主要有牛筋草、益母草、双穗雀稗等。 </w:t>
      </w:r>
    </w:p>
    <w:p>
      <w:pPr>
        <w:pStyle w:val="2"/>
        <w:ind w:left="0" w:leftChars="0" w:firstLine="0" w:firstLineChars="0"/>
        <w:rPr>
          <w:rFonts w:hint="eastAsia"/>
          <w:color w:val="auto"/>
          <w:lang w:val="en-US" w:eastAsia="zh-CN"/>
        </w:rPr>
      </w:pPr>
      <w:r>
        <w:rPr>
          <w:color w:val="auto"/>
        </w:rPr>
        <w:drawing>
          <wp:inline distT="0" distB="0" distL="114300" distR="114300">
            <wp:extent cx="5267325" cy="1799590"/>
            <wp:effectExtent l="0" t="0" r="9525" b="10160"/>
            <wp:docPr id="5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0"/>
                    <pic:cNvPicPr>
                      <a:picLocks noChangeAspect="1"/>
                    </pic:cNvPicPr>
                  </pic:nvPicPr>
                  <pic:blipFill>
                    <a:blip r:embed="rId84"/>
                    <a:stretch>
                      <a:fillRect/>
                    </a:stretch>
                  </pic:blipFill>
                  <pic:spPr>
                    <a:xfrm>
                      <a:off x="0" y="0"/>
                      <a:ext cx="5267325" cy="179959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水生植被</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① 黑藻群落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黑藻是水鳖科黑藻属多年生沉水草本。喜光照充足的环境，喜温暖，耐寒冷，在 </w:t>
      </w:r>
      <w:r>
        <w:rPr>
          <w:rFonts w:hint="default" w:ascii="Times New Roman" w:hAnsi="Times New Roman" w:eastAsia="宋体" w:cs="Times New Roman"/>
          <w:bCs/>
          <w:color w:val="auto"/>
          <w:sz w:val="24"/>
          <w:szCs w:val="21"/>
          <w:highlight w:val="none"/>
          <w:u w:val="none"/>
          <w:lang w:val="en-US" w:eastAsia="zh-CN"/>
        </w:rPr>
        <w:t>15-30℃</w:t>
      </w:r>
      <w:r>
        <w:rPr>
          <w:rFonts w:hint="eastAsia" w:ascii="Times New Roman" w:hAnsi="Times New Roman" w:eastAsia="宋体" w:cs="Times New Roman"/>
          <w:bCs/>
          <w:color w:val="auto"/>
          <w:sz w:val="24"/>
          <w:szCs w:val="21"/>
          <w:highlight w:val="none"/>
          <w:u w:val="none"/>
          <w:lang w:val="en-US" w:eastAsia="zh-CN"/>
        </w:rPr>
        <w:t xml:space="preserve">的温度范围内生长良好，越冬温度不宜低于 </w:t>
      </w:r>
      <w:r>
        <w:rPr>
          <w:rFonts w:hint="default" w:ascii="Times New Roman" w:hAnsi="Times New Roman" w:eastAsia="宋体" w:cs="Times New Roman"/>
          <w:bCs/>
          <w:color w:val="auto"/>
          <w:sz w:val="24"/>
          <w:szCs w:val="21"/>
          <w:highlight w:val="none"/>
          <w:u w:val="none"/>
          <w:lang w:val="en-US" w:eastAsia="zh-CN"/>
        </w:rPr>
        <w:t>4℃</w:t>
      </w:r>
      <w:r>
        <w:rPr>
          <w:rFonts w:hint="eastAsia" w:ascii="Times New Roman" w:hAnsi="Times New Roman" w:eastAsia="宋体" w:cs="Times New Roman"/>
          <w:bCs/>
          <w:color w:val="auto"/>
          <w:sz w:val="24"/>
          <w:szCs w:val="21"/>
          <w:highlight w:val="none"/>
          <w:u w:val="none"/>
          <w:lang w:val="en-US" w:eastAsia="zh-CN"/>
        </w:rPr>
        <w:t xml:space="preserve">。该种植物适合室内水体绿化，是装饰水族箱的良好材料，常作为中景、背景草使用。全草可做猪饲料，亦可作为绿肥使用；亦能入药，具利尿祛湿之功效。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现场调查结果显示，黑藻群落广泛分布于评价区北侧农田、原养虾池的静态水域中。群落以黑藻本种为单一优势种，伴生物种主要有水马齿、菹草等。 </w:t>
      </w:r>
    </w:p>
    <w:p>
      <w:pPr>
        <w:adjustRightInd w:val="0"/>
        <w:snapToGrid w:val="0"/>
        <w:spacing w:line="360" w:lineRule="auto"/>
        <w:jc w:val="left"/>
        <w:rPr>
          <w:rFonts w:hint="default"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74310" cy="1909445"/>
            <wp:effectExtent l="0" t="0" r="2540" b="14605"/>
            <wp:docPr id="5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1"/>
                    <pic:cNvPicPr>
                      <a:picLocks noChangeAspect="1"/>
                    </pic:cNvPicPr>
                  </pic:nvPicPr>
                  <pic:blipFill>
                    <a:blip r:embed="rId85"/>
                    <a:stretch>
                      <a:fillRect/>
                    </a:stretch>
                  </pic:blipFill>
                  <pic:spPr>
                    <a:xfrm>
                      <a:off x="0" y="0"/>
                      <a:ext cx="5274310" cy="190944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 xml:space="preserve">② </w:t>
      </w:r>
      <w:r>
        <w:rPr>
          <w:rFonts w:hint="eastAsia" w:ascii="Times New Roman" w:hAnsi="Times New Roman" w:eastAsia="宋体" w:cs="Times New Roman"/>
          <w:bCs/>
          <w:color w:val="auto"/>
          <w:sz w:val="24"/>
          <w:szCs w:val="21"/>
          <w:highlight w:val="none"/>
          <w:u w:val="none"/>
          <w:lang w:val="en-US" w:eastAsia="zh-CN"/>
        </w:rPr>
        <w:t xml:space="preserve">菹草群落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菹草眼为子菜科眼子菜属的多年生沉水草本植物。常生于池塘、湖泊、溪流中，水体多呈微酸至中性。广泛生长在湖沼、池塘、河沟和稻田。菹草的生长时期与大多数水生植物有所不同，冬、春生长良好，对水域的富营养化有较强的适应能力。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根据现场调查结果显示，该群落主要分布于评价区北侧农田沟渠的流动水域中，群落物种多样性较为单一，以菹草为主。</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p>
    <w:p>
      <w:pPr>
        <w:adjustRightInd w:val="0"/>
        <w:snapToGrid w:val="0"/>
        <w:spacing w:line="360" w:lineRule="auto"/>
        <w:jc w:val="left"/>
        <w:rPr>
          <w:rFonts w:hint="eastAsia"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67325" cy="1724025"/>
            <wp:effectExtent l="0" t="0" r="9525" b="9525"/>
            <wp:docPr id="5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2"/>
                    <pic:cNvPicPr>
                      <a:picLocks noChangeAspect="1"/>
                    </pic:cNvPicPr>
                  </pic:nvPicPr>
                  <pic:blipFill>
                    <a:blip r:embed="rId86"/>
                    <a:stretch>
                      <a:fillRect/>
                    </a:stretch>
                  </pic:blipFill>
                  <pic:spPr>
                    <a:xfrm>
                      <a:off x="0" y="0"/>
                      <a:ext cx="5267325" cy="172402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黑藻、菹草等原生水生植物在东洞庭湖国家级自然保护区湿地生态系统扮演至关重要的角色。在水质净化方面，黑藻能够吸收水体中的营养物质，如氮、磷等，有助于减少水体富营养化现象，其根系和茎叶可以减缓水流速度，帮助稳定底泥，防止沉积物再悬浮，从而保持水质清晰；在环境适应性方面，耐寒性强，能够在冬季存活，保证了湿地植被的连续性和稳定性；在生态保护方面促进了湿地生物多样性的提高，它不仅是许多水生动物的食物来源，还为微生物和其他小型生物提供了生存空间。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 xml:space="preserve">③ </w:t>
      </w:r>
      <w:r>
        <w:rPr>
          <w:rFonts w:hint="eastAsia" w:ascii="Times New Roman" w:hAnsi="Times New Roman" w:eastAsia="宋体" w:cs="Times New Roman"/>
          <w:bCs/>
          <w:color w:val="auto"/>
          <w:sz w:val="24"/>
          <w:szCs w:val="21"/>
          <w:highlight w:val="none"/>
          <w:u w:val="none"/>
          <w:lang w:val="en-US" w:eastAsia="zh-CN"/>
        </w:rPr>
        <w:t xml:space="preserve">空心莲子草群落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空心莲子草为苋科莲子草属多年生草本植物，喜旱莲子草原产巴西，引种我国后，逸为野生，现已成为恶性入侵杂草。该群落于评价区内广泛分布。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空心莲子草在湿地生态系统中的影响是双重的，既有正面作用也存在极其显著的负面影响。正面影响主要体现在水质净化、土壤保持和碳汇功能上；负面影响主要有，生态入侵、农业与水资源管理问题以及给当地的生态环境管理和经济发展带来负担。</w:t>
      </w:r>
    </w:p>
    <w:p>
      <w:pPr>
        <w:pStyle w:val="2"/>
        <w:ind w:left="0" w:leftChars="0" w:firstLine="0" w:firstLineChars="0"/>
        <w:rPr>
          <w:rFonts w:hint="eastAsia"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73040" cy="1798955"/>
            <wp:effectExtent l="0" t="0" r="3810" b="10795"/>
            <wp:docPr id="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3"/>
                    <pic:cNvPicPr>
                      <a:picLocks noChangeAspect="1"/>
                    </pic:cNvPicPr>
                  </pic:nvPicPr>
                  <pic:blipFill>
                    <a:blip r:embed="rId87"/>
                    <a:stretch>
                      <a:fillRect/>
                    </a:stretch>
                  </pic:blipFill>
                  <pic:spPr>
                    <a:xfrm>
                      <a:off x="0" y="0"/>
                      <a:ext cx="5273040" cy="179895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w:t>
      </w:r>
      <w:r>
        <w:rPr>
          <w:rFonts w:hint="eastAsia"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 xml:space="preserve">）木本类（栽培植被）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①</w:t>
      </w:r>
      <w:r>
        <w:rPr>
          <w:rFonts w:hint="eastAsia" w:ascii="Times New Roman" w:hAnsi="Times New Roman" w:eastAsia="宋体" w:cs="Times New Roman"/>
          <w:bCs/>
          <w:color w:val="auto"/>
          <w:sz w:val="24"/>
          <w:szCs w:val="21"/>
          <w:highlight w:val="none"/>
          <w:u w:val="none"/>
          <w:lang w:val="en-US" w:eastAsia="zh-CN"/>
        </w:rPr>
        <w:t xml:space="preserve">加杨林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加杨是杨柳科、杨属的大乔木，高可达</w:t>
      </w:r>
      <w:r>
        <w:rPr>
          <w:rFonts w:hint="default" w:ascii="Times New Roman" w:hAnsi="Times New Roman" w:eastAsia="宋体" w:cs="Times New Roman"/>
          <w:bCs/>
          <w:color w:val="auto"/>
          <w:sz w:val="24"/>
          <w:szCs w:val="21"/>
          <w:highlight w:val="none"/>
          <w:u w:val="none"/>
          <w:lang w:val="en-US" w:eastAsia="zh-CN"/>
        </w:rPr>
        <w:t>30</w:t>
      </w:r>
      <w:r>
        <w:rPr>
          <w:rFonts w:hint="eastAsia" w:ascii="Times New Roman" w:hAnsi="Times New Roman" w:eastAsia="宋体" w:cs="Times New Roman"/>
          <w:bCs/>
          <w:color w:val="auto"/>
          <w:sz w:val="24"/>
          <w:szCs w:val="21"/>
          <w:highlight w:val="none"/>
          <w:u w:val="none"/>
          <w:lang w:val="en-US" w:eastAsia="zh-CN"/>
        </w:rPr>
        <w:t xml:space="preserve">多米。加杨原产于加拿大，现于中国各省广泛分布。喜温暖湿润气候，喜光，耐寒，喜湿润而排水良好的冲积土，对水涝、盐碱和薄土地均有一定的适应能力。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现场调查结果显示，该群落主要分布于藕池河两岸，在农田水渠也有少量分布，乔木层以加杨为主，伴生有旱柳，群落盖度约为</w:t>
      </w:r>
      <w:r>
        <w:rPr>
          <w:rFonts w:hint="default" w:ascii="Times New Roman" w:hAnsi="Times New Roman" w:eastAsia="宋体" w:cs="Times New Roman"/>
          <w:bCs/>
          <w:color w:val="auto"/>
          <w:sz w:val="24"/>
          <w:szCs w:val="21"/>
          <w:highlight w:val="none"/>
          <w:u w:val="none"/>
          <w:lang w:val="en-US" w:eastAsia="zh-CN"/>
        </w:rPr>
        <w:t>80%</w:t>
      </w:r>
      <w:r>
        <w:rPr>
          <w:rFonts w:hint="eastAsia" w:ascii="Times New Roman" w:hAnsi="Times New Roman" w:eastAsia="宋体" w:cs="Times New Roman"/>
          <w:bCs/>
          <w:color w:val="auto"/>
          <w:sz w:val="24"/>
          <w:szCs w:val="21"/>
          <w:highlight w:val="none"/>
          <w:u w:val="none"/>
          <w:lang w:val="en-US" w:eastAsia="zh-CN"/>
        </w:rPr>
        <w:t>，平均高度</w:t>
      </w:r>
      <w:r>
        <w:rPr>
          <w:rFonts w:hint="default" w:ascii="Times New Roman" w:hAnsi="Times New Roman" w:eastAsia="宋体" w:cs="Times New Roman"/>
          <w:bCs/>
          <w:color w:val="auto"/>
          <w:sz w:val="24"/>
          <w:szCs w:val="21"/>
          <w:highlight w:val="none"/>
          <w:u w:val="none"/>
          <w:lang w:val="en-US" w:eastAsia="zh-CN"/>
        </w:rPr>
        <w:t>10 m</w:t>
      </w:r>
      <w:r>
        <w:rPr>
          <w:rFonts w:hint="eastAsia" w:ascii="Times New Roman" w:hAnsi="Times New Roman" w:eastAsia="宋体" w:cs="Times New Roman"/>
          <w:bCs/>
          <w:color w:val="auto"/>
          <w:sz w:val="24"/>
          <w:szCs w:val="21"/>
          <w:highlight w:val="none"/>
          <w:u w:val="none"/>
          <w:lang w:val="en-US" w:eastAsia="zh-CN"/>
        </w:rPr>
        <w:t xml:space="preserve">；草本层主要有益母草、荔枝草、蓼子草和风花菜等。 </w:t>
      </w:r>
    </w:p>
    <w:p>
      <w:pPr>
        <w:adjustRightInd w:val="0"/>
        <w:snapToGrid w:val="0"/>
        <w:spacing w:line="360" w:lineRule="auto"/>
        <w:ind w:firstLine="420" w:firstLineChars="200"/>
        <w:jc w:val="left"/>
        <w:rPr>
          <w:color w:val="auto"/>
        </w:rPr>
      </w:pPr>
      <w:r>
        <w:rPr>
          <w:color w:val="auto"/>
        </w:rPr>
        <w:drawing>
          <wp:inline distT="0" distB="0" distL="114300" distR="114300">
            <wp:extent cx="4905375" cy="3476625"/>
            <wp:effectExtent l="0" t="0" r="9525" b="9525"/>
            <wp:docPr id="5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4"/>
                    <pic:cNvPicPr>
                      <a:picLocks noChangeAspect="1"/>
                    </pic:cNvPicPr>
                  </pic:nvPicPr>
                  <pic:blipFill>
                    <a:blip r:embed="rId88"/>
                    <a:stretch>
                      <a:fillRect/>
                    </a:stretch>
                  </pic:blipFill>
                  <pic:spPr>
                    <a:xfrm>
                      <a:off x="0" y="0"/>
                      <a:ext cx="4905375" cy="347662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②</w:t>
      </w:r>
      <w:r>
        <w:rPr>
          <w:rFonts w:hint="eastAsia" w:ascii="Times New Roman" w:hAnsi="Times New Roman" w:eastAsia="宋体" w:cs="Times New Roman"/>
          <w:bCs/>
          <w:color w:val="auto"/>
          <w:sz w:val="24"/>
          <w:szCs w:val="21"/>
          <w:highlight w:val="none"/>
          <w:u w:val="none"/>
          <w:lang w:val="en-US" w:eastAsia="zh-CN"/>
        </w:rPr>
        <w:t xml:space="preserve">水杉林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水杉树原产地是在中国湖北省，分布的地区环境都是比较湿润多雨的，之后在中国各地广泛移栽种植。水杉喜温暖湿润气候；喜深厚肥沃的酸性土；不耐旱，对土壤干旱较敏感，对二氧化硫等有害气体的抗性较弱。水杉木材质轻软，生长较快，纹理直，结构比较粗壮，早晚材硬度区别大，不耐水湿，是很好的工业原料，可供房屋及安置、板料、电杆、家具及木纤维工业原料使用。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现场调查结果表明，水杉林在评价区内分布面积较小，主要作为评价区居民区的四旁树。 </w:t>
      </w:r>
      <w:r>
        <w:rPr>
          <w:color w:val="auto"/>
        </w:rPr>
        <w:drawing>
          <wp:inline distT="0" distB="0" distL="114300" distR="114300">
            <wp:extent cx="5273040" cy="1869440"/>
            <wp:effectExtent l="0" t="0" r="3810" b="16510"/>
            <wp:docPr id="6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pic:cNvPicPr>
                      <a:picLocks noChangeAspect="1"/>
                    </pic:cNvPicPr>
                  </pic:nvPicPr>
                  <pic:blipFill>
                    <a:blip r:embed="rId89"/>
                    <a:stretch>
                      <a:fillRect/>
                    </a:stretch>
                  </pic:blipFill>
                  <pic:spPr>
                    <a:xfrm>
                      <a:off x="0" y="0"/>
                      <a:ext cx="5273040" cy="186944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在</w:t>
      </w:r>
      <w:r>
        <w:rPr>
          <w:rFonts w:hint="default" w:ascii="Times New Roman" w:hAnsi="Times New Roman" w:eastAsia="宋体" w:cs="Times New Roman"/>
          <w:bCs/>
          <w:color w:val="auto"/>
          <w:sz w:val="24"/>
          <w:szCs w:val="21"/>
          <w:highlight w:val="none"/>
          <w:u w:val="none"/>
          <w:lang w:val="en-US" w:eastAsia="zh-CN"/>
        </w:rPr>
        <w:t>20</w:t>
      </w:r>
      <w:r>
        <w:rPr>
          <w:rFonts w:hint="eastAsia" w:ascii="Times New Roman" w:hAnsi="Times New Roman" w:eastAsia="宋体" w:cs="Times New Roman"/>
          <w:bCs/>
          <w:color w:val="auto"/>
          <w:sz w:val="24"/>
          <w:szCs w:val="21"/>
          <w:highlight w:val="none"/>
          <w:u w:val="none"/>
          <w:lang w:val="en-US" w:eastAsia="zh-CN"/>
        </w:rPr>
        <w:t xml:space="preserve">世纪中后期，随着对湖区生态保护重视程度的增加，加杨、水杉开始在洞庭湖周边广泛种植。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加杨和水杉的结合种植，充分利用了各自的优势。加杨的快速生长特性有助于短期内建立植被覆盖，而水杉则能在长期内提供更加稳定的生态环境。两者共同种植不仅能增强湖泊周边的生态稳定性，还能提高整个区域的生物多样性和美观度，促进生态系统的健康与可持续发展。</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通过厂址现场实地调查和有关资料的记载，评价区内无珍稀古树名木和保护植物，项目位于城镇建成区腹地，远离野生植物生长范围，不会对项目范围内野生植物造成直接或间接的影响。</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3）动物多样性调查</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自然保护区实验区毗邻的岳阳楼区地块土地开发利用程度较高，周边为受人类活动的影响非常大，评价区内无大型陆生野生动物。评价范围内野生动物主要分布在东洞庭湖自然保护区内部核心区和缓冲区，本次位于东洞庭湖自然保护区实验区范围内（</w:t>
      </w:r>
      <w:r>
        <w:rPr>
          <w:rFonts w:hint="eastAsia" w:cs="Times New Roman"/>
          <w:bCs/>
          <w:color w:val="auto"/>
          <w:sz w:val="24"/>
          <w:szCs w:val="21"/>
          <w:highlight w:val="none"/>
          <w:u w:val="none"/>
          <w:lang w:val="en-US" w:eastAsia="zh-CN"/>
        </w:rPr>
        <w:t>自然保护区整合优化后</w:t>
      </w:r>
      <w:r>
        <w:rPr>
          <w:rFonts w:hint="eastAsia" w:ascii="Times New Roman" w:hAnsi="Times New Roman" w:eastAsia="宋体" w:cs="Times New Roman"/>
          <w:bCs/>
          <w:color w:val="auto"/>
          <w:sz w:val="24"/>
          <w:szCs w:val="21"/>
          <w:highlight w:val="none"/>
          <w:u w:val="none"/>
          <w:lang w:val="en-US" w:eastAsia="zh-CN"/>
        </w:rPr>
        <w:t>的自然保护区</w:t>
      </w:r>
      <w:r>
        <w:rPr>
          <w:rFonts w:hint="eastAsia" w:cs="Times New Roman"/>
          <w:bCs/>
          <w:color w:val="auto"/>
          <w:sz w:val="24"/>
          <w:szCs w:val="21"/>
          <w:highlight w:val="none"/>
          <w:u w:val="none"/>
          <w:lang w:val="en-US" w:eastAsia="zh-CN"/>
        </w:rPr>
        <w:t>边界</w:t>
      </w:r>
      <w:r>
        <w:rPr>
          <w:rFonts w:hint="eastAsia" w:ascii="Times New Roman" w:hAnsi="Times New Roman" w:eastAsia="宋体" w:cs="Times New Roman"/>
          <w:bCs/>
          <w:color w:val="auto"/>
          <w:sz w:val="24"/>
          <w:szCs w:val="21"/>
          <w:highlight w:val="none"/>
          <w:u w:val="none"/>
          <w:lang w:val="en-US" w:eastAsia="zh-CN"/>
        </w:rPr>
        <w:t>外）。</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①</w:t>
      </w:r>
      <w:r>
        <w:rPr>
          <w:rFonts w:hint="eastAsia" w:ascii="Times New Roman" w:hAnsi="Times New Roman" w:eastAsia="宋体" w:cs="Times New Roman"/>
          <w:bCs/>
          <w:color w:val="auto"/>
          <w:sz w:val="24"/>
          <w:szCs w:val="21"/>
          <w:highlight w:val="none"/>
          <w:u w:val="none"/>
          <w:lang w:val="en-US" w:eastAsia="zh-CN"/>
        </w:rPr>
        <w:t xml:space="preserve">兽类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通过实地调查和参考相关资料</w:t>
      </w:r>
      <w:r>
        <w:rPr>
          <w:rFonts w:hint="eastAsia" w:cs="Times New Roman"/>
          <w:bCs/>
          <w:color w:val="auto"/>
          <w:sz w:val="24"/>
          <w:szCs w:val="21"/>
          <w:highlight w:val="none"/>
          <w:u w:val="none"/>
          <w:lang w:val="en-US" w:eastAsia="zh-CN"/>
        </w:rPr>
        <w:t>——</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华容县团洲垸决口灾后农村居民集中安置房项目</w:t>
      </w:r>
      <w:r>
        <w:rPr>
          <w:rFonts w:hint="eastAsia" w:ascii="Times New Roman" w:hAnsi="Times New Roman" w:eastAsia="宋体" w:cs="宋体"/>
          <w:bCs/>
          <w:color w:val="auto"/>
          <w:sz w:val="24"/>
          <w:szCs w:val="21"/>
          <w:lang w:val="en-US" w:eastAsia="zh-CN"/>
        </w:rPr>
        <w:t>对湖南东洞庭湖国家级自然保护区生物多样性影响评价报告》</w:t>
      </w:r>
      <w:r>
        <w:rPr>
          <w:rFonts w:hint="eastAsia" w:ascii="Times New Roman" w:hAnsi="Times New Roman" w:eastAsia="宋体" w:cs="Times New Roman"/>
          <w:bCs/>
          <w:color w:val="auto"/>
          <w:sz w:val="24"/>
          <w:szCs w:val="21"/>
          <w:highlight w:val="none"/>
          <w:u w:val="none"/>
          <w:lang w:val="en-US" w:eastAsia="zh-CN"/>
        </w:rPr>
        <w:t>，评价区</w:t>
      </w:r>
      <w:r>
        <w:rPr>
          <w:rFonts w:hint="eastAsia" w:cs="Times New Roman"/>
          <w:bCs/>
          <w:color w:val="auto"/>
          <w:sz w:val="24"/>
          <w:szCs w:val="21"/>
          <w:highlight w:val="none"/>
          <w:u w:val="none"/>
          <w:lang w:val="en-US" w:eastAsia="zh-CN"/>
        </w:rPr>
        <w:t>范围内</w:t>
      </w:r>
      <w:r>
        <w:rPr>
          <w:rFonts w:hint="eastAsia" w:ascii="Times New Roman" w:hAnsi="Times New Roman" w:eastAsia="宋体" w:cs="Times New Roman"/>
          <w:bCs/>
          <w:color w:val="auto"/>
          <w:sz w:val="24"/>
          <w:szCs w:val="21"/>
          <w:highlight w:val="none"/>
          <w:u w:val="none"/>
          <w:lang w:val="en-US" w:eastAsia="zh-CN"/>
        </w:rPr>
        <w:t>共记录哺乳动物</w:t>
      </w:r>
      <w:r>
        <w:rPr>
          <w:rFonts w:hint="default" w:ascii="Times New Roman" w:hAnsi="Times New Roman" w:eastAsia="宋体" w:cs="Times New Roman"/>
          <w:bCs/>
          <w:color w:val="auto"/>
          <w:sz w:val="24"/>
          <w:szCs w:val="21"/>
          <w:highlight w:val="none"/>
          <w:u w:val="none"/>
          <w:lang w:val="en-US" w:eastAsia="zh-CN"/>
        </w:rPr>
        <w:t>7</w:t>
      </w:r>
      <w:r>
        <w:rPr>
          <w:rFonts w:hint="eastAsia" w:ascii="Times New Roman" w:hAnsi="Times New Roman" w:eastAsia="宋体" w:cs="Times New Roman"/>
          <w:bCs/>
          <w:color w:val="auto"/>
          <w:sz w:val="24"/>
          <w:szCs w:val="21"/>
          <w:highlight w:val="none"/>
          <w:u w:val="none"/>
          <w:lang w:val="en-US" w:eastAsia="zh-CN"/>
        </w:rPr>
        <w:t>种，隶属于</w:t>
      </w:r>
      <w:r>
        <w:rPr>
          <w:rFonts w:hint="default" w:ascii="Times New Roman" w:hAnsi="Times New Roman" w:eastAsia="宋体" w:cs="Times New Roman"/>
          <w:bCs/>
          <w:color w:val="auto"/>
          <w:sz w:val="24"/>
          <w:szCs w:val="21"/>
          <w:highlight w:val="none"/>
          <w:u w:val="none"/>
          <w:lang w:val="en-US" w:eastAsia="zh-CN"/>
        </w:rPr>
        <w:t>5</w:t>
      </w:r>
      <w:r>
        <w:rPr>
          <w:rFonts w:hint="eastAsia" w:ascii="Times New Roman" w:hAnsi="Times New Roman" w:eastAsia="宋体" w:cs="Times New Roman"/>
          <w:bCs/>
          <w:color w:val="auto"/>
          <w:sz w:val="24"/>
          <w:szCs w:val="21"/>
          <w:highlight w:val="none"/>
          <w:u w:val="none"/>
          <w:lang w:val="en-US" w:eastAsia="zh-CN"/>
        </w:rPr>
        <w:t>目</w:t>
      </w:r>
      <w:r>
        <w:rPr>
          <w:rFonts w:hint="default" w:ascii="Times New Roman" w:hAnsi="Times New Roman" w:eastAsia="宋体"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lang w:val="en-US" w:eastAsia="zh-CN"/>
        </w:rPr>
        <w:t>科。其中劳亚食虫目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种，兔形目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种，啮齿目</w:t>
      </w:r>
      <w:r>
        <w:rPr>
          <w:rFonts w:hint="default" w:ascii="Times New Roman" w:hAnsi="Times New Roman" w:eastAsia="宋体" w:cs="Times New Roman"/>
          <w:bCs/>
          <w:color w:val="auto"/>
          <w:sz w:val="24"/>
          <w:szCs w:val="21"/>
          <w:highlight w:val="none"/>
          <w:u w:val="none"/>
          <w:lang w:val="en-US" w:eastAsia="zh-CN"/>
        </w:rPr>
        <w:t xml:space="preserve">2 </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种，食肉目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种，翼手目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 xml:space="preserve">种。统计得出，有 </w:t>
      </w:r>
      <w:r>
        <w:rPr>
          <w:rFonts w:hint="default" w:ascii="Times New Roman" w:hAnsi="Times New Roman" w:eastAsia="宋体" w:cs="Times New Roman"/>
          <w:bCs/>
          <w:color w:val="auto"/>
          <w:sz w:val="24"/>
          <w:szCs w:val="21"/>
          <w:highlight w:val="none"/>
          <w:u w:val="none"/>
          <w:lang w:val="en-US" w:eastAsia="zh-CN"/>
        </w:rPr>
        <w:t xml:space="preserve">3 </w:t>
      </w:r>
      <w:r>
        <w:rPr>
          <w:rFonts w:hint="eastAsia" w:ascii="Times New Roman" w:hAnsi="Times New Roman" w:eastAsia="宋体" w:cs="Times New Roman"/>
          <w:bCs/>
          <w:color w:val="auto"/>
          <w:sz w:val="24"/>
          <w:szCs w:val="21"/>
          <w:highlight w:val="none"/>
          <w:u w:val="none"/>
          <w:lang w:val="en-US" w:eastAsia="zh-CN"/>
        </w:rPr>
        <w:t xml:space="preserve">种哺乳动物被列入《湖南省地方种重点保护野生动物名录》，即隐纹花鼠、东北刺猬、黄鼬。所有物种受威胁等级均为无危。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②</w:t>
      </w:r>
      <w:r>
        <w:rPr>
          <w:rFonts w:hint="eastAsia" w:ascii="Times New Roman" w:hAnsi="Times New Roman" w:eastAsia="宋体" w:cs="Times New Roman"/>
          <w:bCs/>
          <w:color w:val="auto"/>
          <w:sz w:val="24"/>
          <w:szCs w:val="21"/>
          <w:highlight w:val="none"/>
          <w:u w:val="none"/>
          <w:lang w:val="en-US" w:eastAsia="zh-CN"/>
        </w:rPr>
        <w:t>鸟类</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根据实地调查、访问调查和查阅有关文献，评价区共记录鸟类</w:t>
      </w:r>
      <w:r>
        <w:rPr>
          <w:rFonts w:hint="default" w:ascii="Times New Roman" w:hAnsi="Times New Roman" w:eastAsia="宋体" w:cs="Times New Roman"/>
          <w:bCs/>
          <w:color w:val="auto"/>
          <w:sz w:val="24"/>
          <w:szCs w:val="21"/>
          <w:highlight w:val="none"/>
          <w:u w:val="none"/>
          <w:lang w:val="en-US" w:eastAsia="zh-CN"/>
        </w:rPr>
        <w:t>56</w:t>
      </w:r>
      <w:r>
        <w:rPr>
          <w:rFonts w:hint="eastAsia" w:ascii="Times New Roman" w:hAnsi="Times New Roman" w:eastAsia="宋体" w:cs="Times New Roman"/>
          <w:bCs/>
          <w:color w:val="auto"/>
          <w:sz w:val="24"/>
          <w:szCs w:val="21"/>
          <w:highlight w:val="none"/>
          <w:u w:val="none"/>
          <w:lang w:val="en-US" w:eastAsia="zh-CN"/>
        </w:rPr>
        <w:t>种，隶属</w:t>
      </w:r>
      <w:r>
        <w:rPr>
          <w:rFonts w:hint="default" w:ascii="Times New Roman" w:hAnsi="Times New Roman" w:eastAsia="宋体" w:cs="Times New Roman"/>
          <w:bCs/>
          <w:color w:val="auto"/>
          <w:sz w:val="24"/>
          <w:szCs w:val="21"/>
          <w:highlight w:val="none"/>
          <w:u w:val="none"/>
          <w:lang w:val="en-US" w:eastAsia="zh-CN"/>
        </w:rPr>
        <w:t>11</w:t>
      </w:r>
      <w:r>
        <w:rPr>
          <w:rFonts w:hint="eastAsia" w:ascii="Times New Roman" w:hAnsi="Times New Roman" w:eastAsia="宋体" w:cs="Times New Roman"/>
          <w:bCs/>
          <w:color w:val="auto"/>
          <w:sz w:val="24"/>
          <w:szCs w:val="21"/>
          <w:highlight w:val="none"/>
          <w:u w:val="none"/>
          <w:lang w:val="en-US" w:eastAsia="zh-CN"/>
        </w:rPr>
        <w:t>目</w:t>
      </w:r>
      <w:r>
        <w:rPr>
          <w:rFonts w:hint="default" w:ascii="Times New Roman" w:hAnsi="Times New Roman" w:eastAsia="宋体" w:cs="Times New Roman"/>
          <w:bCs/>
          <w:color w:val="auto"/>
          <w:sz w:val="24"/>
          <w:szCs w:val="21"/>
          <w:highlight w:val="none"/>
          <w:u w:val="none"/>
          <w:lang w:val="en-US" w:eastAsia="zh-CN"/>
        </w:rPr>
        <w:t>30</w:t>
      </w:r>
      <w:r>
        <w:rPr>
          <w:rFonts w:hint="eastAsia" w:ascii="Times New Roman" w:hAnsi="Times New Roman" w:eastAsia="宋体" w:cs="Times New Roman"/>
          <w:bCs/>
          <w:color w:val="auto"/>
          <w:sz w:val="24"/>
          <w:szCs w:val="21"/>
          <w:highlight w:val="none"/>
          <w:u w:val="none"/>
          <w:lang w:val="en-US" w:eastAsia="zh-CN"/>
        </w:rPr>
        <w:t>科，其中雁形目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种、鹈形目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lang w:val="en-US" w:eastAsia="zh-CN"/>
        </w:rPr>
        <w:t>种、䴙䴘目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 xml:space="preserve">种、鹤形目 </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种、鸻形目</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种、鸡形目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种、鹃形目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种、佛法僧目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 xml:space="preserve">科 </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种、鸽形目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种、犀鸟目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种、雀形目</w:t>
      </w:r>
      <w:r>
        <w:rPr>
          <w:rFonts w:hint="default" w:ascii="Times New Roman" w:hAnsi="Times New Roman" w:eastAsia="宋体" w:cs="Times New Roman"/>
          <w:bCs/>
          <w:color w:val="auto"/>
          <w:sz w:val="24"/>
          <w:szCs w:val="21"/>
          <w:highlight w:val="none"/>
          <w:u w:val="none"/>
          <w:lang w:val="en-US" w:eastAsia="zh-CN"/>
        </w:rPr>
        <w:t>19</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34</w:t>
      </w:r>
      <w:r>
        <w:rPr>
          <w:rFonts w:hint="eastAsia" w:ascii="Times New Roman" w:hAnsi="Times New Roman" w:eastAsia="宋体" w:cs="Times New Roman"/>
          <w:bCs/>
          <w:color w:val="auto"/>
          <w:sz w:val="24"/>
          <w:szCs w:val="21"/>
          <w:highlight w:val="none"/>
          <w:u w:val="none"/>
          <w:lang w:val="en-US" w:eastAsia="zh-CN"/>
        </w:rPr>
        <w:t>种。有小䴙䴘、白鹭、苍鹭等</w:t>
      </w:r>
      <w:r>
        <w:rPr>
          <w:rFonts w:hint="default" w:ascii="Times New Roman" w:hAnsi="Times New Roman" w:eastAsia="宋体" w:cs="Times New Roman"/>
          <w:bCs/>
          <w:color w:val="auto"/>
          <w:sz w:val="24"/>
          <w:szCs w:val="21"/>
          <w:highlight w:val="none"/>
          <w:u w:val="none"/>
          <w:lang w:val="en-US" w:eastAsia="zh-CN"/>
        </w:rPr>
        <w:t>27</w:t>
      </w:r>
      <w:r>
        <w:rPr>
          <w:rFonts w:hint="eastAsia" w:ascii="Times New Roman" w:hAnsi="Times New Roman" w:eastAsia="宋体" w:cs="Times New Roman"/>
          <w:bCs/>
          <w:color w:val="auto"/>
          <w:sz w:val="24"/>
          <w:szCs w:val="21"/>
          <w:highlight w:val="none"/>
          <w:u w:val="none"/>
          <w:lang w:val="en-US" w:eastAsia="zh-CN"/>
        </w:rPr>
        <w:t xml:space="preserve">种鸟类被列入《湖南省地方重点保护野生动物名录》。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③</w:t>
      </w:r>
      <w:r>
        <w:rPr>
          <w:rFonts w:hint="eastAsia" w:ascii="Times New Roman" w:hAnsi="Times New Roman" w:eastAsia="宋体" w:cs="Times New Roman"/>
          <w:bCs/>
          <w:color w:val="auto"/>
          <w:sz w:val="24"/>
          <w:szCs w:val="21"/>
          <w:highlight w:val="none"/>
          <w:u w:val="none"/>
          <w:lang w:val="en-US" w:eastAsia="zh-CN"/>
        </w:rPr>
        <w:t xml:space="preserve">爬行类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根据实地调查、访问调查及查阅文献得知，评价区共记录爬行动物</w:t>
      </w:r>
      <w:r>
        <w:rPr>
          <w:rFonts w:hint="default" w:ascii="Times New Roman" w:hAnsi="Times New Roman" w:eastAsia="宋体" w:cs="Times New Roman"/>
          <w:bCs/>
          <w:color w:val="auto"/>
          <w:sz w:val="24"/>
          <w:szCs w:val="21"/>
          <w:highlight w:val="none"/>
          <w:u w:val="none"/>
          <w:lang w:val="en-US" w:eastAsia="zh-CN"/>
        </w:rPr>
        <w:t>10</w:t>
      </w:r>
      <w:r>
        <w:rPr>
          <w:rFonts w:hint="eastAsia" w:ascii="Times New Roman" w:hAnsi="Times New Roman" w:eastAsia="宋体" w:cs="Times New Roman"/>
          <w:bCs/>
          <w:color w:val="auto"/>
          <w:sz w:val="24"/>
          <w:szCs w:val="21"/>
          <w:highlight w:val="none"/>
          <w:u w:val="none"/>
          <w:lang w:val="en-US" w:eastAsia="zh-CN"/>
        </w:rPr>
        <w:t>种，隶属于</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目</w:t>
      </w:r>
      <w:r>
        <w:rPr>
          <w:rFonts w:hint="default" w:ascii="Times New Roman" w:hAnsi="Times New Roman" w:eastAsia="宋体"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lang w:val="en-US" w:eastAsia="zh-CN"/>
        </w:rPr>
        <w:t>科。其中，壁虎科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种、蜥蜴科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种、石龙子科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种、游蛇科</w:t>
      </w:r>
      <w:r>
        <w:rPr>
          <w:rFonts w:hint="default" w:ascii="Times New Roman" w:hAnsi="Times New Roman" w:eastAsia="宋体" w:cs="Times New Roman"/>
          <w:bCs/>
          <w:color w:val="auto"/>
          <w:sz w:val="24"/>
          <w:szCs w:val="21"/>
          <w:highlight w:val="none"/>
          <w:u w:val="none"/>
          <w:lang w:val="en-US" w:eastAsia="zh-CN"/>
        </w:rPr>
        <w:t>4</w:t>
      </w:r>
      <w:r>
        <w:rPr>
          <w:rFonts w:hint="eastAsia" w:ascii="Times New Roman" w:hAnsi="Times New Roman" w:eastAsia="宋体" w:cs="Times New Roman"/>
          <w:bCs/>
          <w:color w:val="auto"/>
          <w:sz w:val="24"/>
          <w:szCs w:val="21"/>
          <w:highlight w:val="none"/>
          <w:u w:val="none"/>
          <w:lang w:val="en-US" w:eastAsia="zh-CN"/>
        </w:rPr>
        <w:t>种、水蛇科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种和蝰科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种，以游蛇科种类占优势。在评价区记录的</w:t>
      </w:r>
      <w:r>
        <w:rPr>
          <w:rFonts w:hint="default" w:ascii="Times New Roman" w:hAnsi="Times New Roman" w:eastAsia="宋体" w:cs="Times New Roman"/>
          <w:bCs/>
          <w:color w:val="auto"/>
          <w:sz w:val="24"/>
          <w:szCs w:val="21"/>
          <w:highlight w:val="none"/>
          <w:u w:val="none"/>
          <w:lang w:val="en-US" w:eastAsia="zh-CN"/>
        </w:rPr>
        <w:t>10</w:t>
      </w:r>
      <w:r>
        <w:rPr>
          <w:rFonts w:hint="eastAsia" w:ascii="Times New Roman" w:hAnsi="Times New Roman" w:eastAsia="宋体" w:cs="Times New Roman"/>
          <w:bCs/>
          <w:color w:val="auto"/>
          <w:sz w:val="24"/>
          <w:szCs w:val="21"/>
          <w:highlight w:val="none"/>
          <w:u w:val="none"/>
          <w:lang w:val="en-US" w:eastAsia="zh-CN"/>
        </w:rPr>
        <w:t xml:space="preserve">种爬行动物均属于湖南省地方重点保护陆生野生动物。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④两栖类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根据实地调查、访问调查及查阅相关文献得知，评价区内共记录两栖动物</w:t>
      </w:r>
      <w:r>
        <w:rPr>
          <w:rFonts w:hint="default" w:ascii="Times New Roman" w:hAnsi="Times New Roman" w:eastAsia="宋体" w:cs="Times New Roman"/>
          <w:bCs/>
          <w:color w:val="auto"/>
          <w:sz w:val="24"/>
          <w:szCs w:val="21"/>
          <w:highlight w:val="none"/>
          <w:u w:val="none"/>
          <w:lang w:val="en-US" w:eastAsia="zh-CN"/>
        </w:rPr>
        <w:t xml:space="preserve">7 </w:t>
      </w:r>
      <w:r>
        <w:rPr>
          <w:rFonts w:hint="eastAsia" w:ascii="Times New Roman" w:hAnsi="Times New Roman" w:eastAsia="宋体" w:cs="Times New Roman"/>
          <w:bCs/>
          <w:color w:val="auto"/>
          <w:sz w:val="24"/>
          <w:szCs w:val="21"/>
          <w:highlight w:val="none"/>
          <w:u w:val="none"/>
          <w:lang w:val="en-US" w:eastAsia="zh-CN"/>
        </w:rPr>
        <w:t>种，隶属于</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目</w:t>
      </w:r>
      <w:r>
        <w:rPr>
          <w:rFonts w:hint="default" w:ascii="Times New Roman" w:hAnsi="Times New Roman" w:eastAsia="宋体" w:cs="Times New Roman"/>
          <w:bCs/>
          <w:color w:val="auto"/>
          <w:sz w:val="24"/>
          <w:szCs w:val="21"/>
          <w:highlight w:val="none"/>
          <w:u w:val="none"/>
          <w:lang w:val="en-US" w:eastAsia="zh-CN"/>
        </w:rPr>
        <w:t>4</w:t>
      </w:r>
      <w:r>
        <w:rPr>
          <w:rFonts w:hint="eastAsia" w:ascii="Times New Roman" w:hAnsi="Times New Roman" w:eastAsia="宋体" w:cs="Times New Roman"/>
          <w:bCs/>
          <w:color w:val="auto"/>
          <w:sz w:val="24"/>
          <w:szCs w:val="21"/>
          <w:highlight w:val="none"/>
          <w:u w:val="none"/>
          <w:lang w:val="en-US" w:eastAsia="zh-CN"/>
        </w:rPr>
        <w:t>科。其中，蟾蜍科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种、蛙科</w:t>
      </w:r>
      <w:r>
        <w:rPr>
          <w:rFonts w:hint="default" w:ascii="Times New Roman" w:hAnsi="Times New Roman" w:eastAsia="宋体"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种、姬蛙科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种和叉舌蛙科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种。记录的</w:t>
      </w:r>
      <w:r>
        <w:rPr>
          <w:rFonts w:hint="default" w:ascii="Times New Roman" w:hAnsi="Times New Roman" w:eastAsia="宋体"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 xml:space="preserve">种两栖动物，均属于湖南省地方重点保护野生动物，即黑斑侧褶蛙、小弧斑姬蛙、饰纹姬蛙。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fldChar w:fldCharType="begin"/>
      </w:r>
      <w:r>
        <w:rPr>
          <w:rFonts w:hint="eastAsia" w:ascii="Times New Roman" w:hAnsi="Times New Roman" w:eastAsia="宋体" w:cs="Times New Roman"/>
          <w:bCs/>
          <w:color w:val="auto"/>
          <w:sz w:val="24"/>
          <w:szCs w:val="21"/>
          <w:highlight w:val="none"/>
          <w:u w:val="none"/>
          <w:lang w:val="en-US" w:eastAsia="zh-CN"/>
        </w:rPr>
        <w:instrText xml:space="preserve"> = 5 \* GB3 \* MERGEFORMAT </w:instrText>
      </w:r>
      <w:r>
        <w:rPr>
          <w:rFonts w:hint="eastAsia" w:ascii="Times New Roman" w:hAnsi="Times New Roman" w:eastAsia="宋体" w:cs="Times New Roman"/>
          <w:bCs/>
          <w:color w:val="auto"/>
          <w:sz w:val="24"/>
          <w:szCs w:val="21"/>
          <w:highlight w:val="none"/>
          <w:u w:val="none"/>
          <w:lang w:val="en-US" w:eastAsia="zh-CN"/>
        </w:rPr>
        <w:fldChar w:fldCharType="separate"/>
      </w:r>
      <w:r>
        <w:rPr>
          <w:rFonts w:hint="eastAsia" w:ascii="Times New Roman" w:hAnsi="Times New Roman" w:eastAsia="宋体" w:cs="Times New Roman"/>
          <w:bCs/>
          <w:color w:val="auto"/>
          <w:sz w:val="24"/>
          <w:szCs w:val="21"/>
          <w:highlight w:val="none"/>
          <w:u w:val="none"/>
          <w:lang w:val="en-US" w:eastAsia="zh-CN"/>
        </w:rPr>
        <w:t>⑤</w:t>
      </w:r>
      <w:r>
        <w:rPr>
          <w:rFonts w:hint="eastAsia" w:ascii="Times New Roman" w:hAnsi="Times New Roman" w:eastAsia="宋体" w:cs="Times New Roman"/>
          <w:bCs/>
          <w:color w:val="auto"/>
          <w:sz w:val="24"/>
          <w:szCs w:val="21"/>
          <w:highlight w:val="none"/>
          <w:u w:val="none"/>
          <w:lang w:val="en-US" w:eastAsia="zh-CN"/>
        </w:rPr>
        <w:fldChar w:fldCharType="end"/>
      </w:r>
      <w:r>
        <w:rPr>
          <w:rFonts w:hint="eastAsia" w:ascii="Times New Roman" w:hAnsi="Times New Roman" w:eastAsia="宋体" w:cs="Times New Roman"/>
          <w:bCs/>
          <w:color w:val="auto"/>
          <w:sz w:val="24"/>
          <w:szCs w:val="21"/>
          <w:highlight w:val="none"/>
          <w:u w:val="none"/>
          <w:lang w:val="en-US" w:eastAsia="zh-CN"/>
        </w:rPr>
        <w:t xml:space="preserve">鱼类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根据实地调查、访问调查及查阅相关文献得知，工程评价区共记录鱼类</w:t>
      </w:r>
      <w:r>
        <w:rPr>
          <w:rFonts w:hint="default" w:ascii="Times New Roman" w:hAnsi="Times New Roman" w:eastAsia="宋体" w:cs="Times New Roman"/>
          <w:bCs/>
          <w:color w:val="auto"/>
          <w:sz w:val="24"/>
          <w:szCs w:val="21"/>
          <w:highlight w:val="none"/>
          <w:u w:val="none"/>
          <w:lang w:val="en-US" w:eastAsia="zh-CN"/>
        </w:rPr>
        <w:t xml:space="preserve">15 </w:t>
      </w:r>
      <w:r>
        <w:rPr>
          <w:rFonts w:hint="eastAsia" w:ascii="Times New Roman" w:hAnsi="Times New Roman" w:eastAsia="宋体" w:cs="Times New Roman"/>
          <w:bCs/>
          <w:color w:val="auto"/>
          <w:sz w:val="24"/>
          <w:szCs w:val="21"/>
          <w:highlight w:val="none"/>
          <w:u w:val="none"/>
          <w:lang w:val="en-US" w:eastAsia="zh-CN"/>
        </w:rPr>
        <w:t>种，隶属于</w:t>
      </w:r>
      <w:r>
        <w:rPr>
          <w:rFonts w:hint="default" w:ascii="Times New Roman" w:hAnsi="Times New Roman" w:eastAsia="宋体" w:cs="Times New Roman"/>
          <w:bCs/>
          <w:color w:val="auto"/>
          <w:sz w:val="24"/>
          <w:szCs w:val="21"/>
          <w:highlight w:val="none"/>
          <w:u w:val="none"/>
          <w:lang w:val="en-US" w:eastAsia="zh-CN"/>
        </w:rPr>
        <w:t>4</w:t>
      </w:r>
      <w:r>
        <w:rPr>
          <w:rFonts w:hint="eastAsia" w:ascii="Times New Roman" w:hAnsi="Times New Roman" w:eastAsia="宋体" w:cs="Times New Roman"/>
          <w:bCs/>
          <w:color w:val="auto"/>
          <w:sz w:val="24"/>
          <w:szCs w:val="21"/>
          <w:highlight w:val="none"/>
          <w:u w:val="none"/>
          <w:lang w:val="en-US" w:eastAsia="zh-CN"/>
        </w:rPr>
        <w:t>目</w:t>
      </w:r>
      <w:r>
        <w:rPr>
          <w:rFonts w:hint="default" w:ascii="Times New Roman" w:hAnsi="Times New Roman" w:eastAsia="宋体"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lang w:val="en-US" w:eastAsia="zh-CN"/>
        </w:rPr>
        <w:t>科，其中鲤形目鱼类最多，共</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11</w:t>
      </w:r>
      <w:r>
        <w:rPr>
          <w:rFonts w:hint="eastAsia" w:ascii="Times New Roman" w:hAnsi="Times New Roman" w:eastAsia="宋体" w:cs="Times New Roman"/>
          <w:bCs/>
          <w:color w:val="auto"/>
          <w:sz w:val="24"/>
          <w:szCs w:val="21"/>
          <w:highlight w:val="none"/>
          <w:u w:val="none"/>
          <w:lang w:val="en-US" w:eastAsia="zh-CN"/>
        </w:rPr>
        <w:t>种，占评价区鱼类总数的</w:t>
      </w:r>
      <w:r>
        <w:rPr>
          <w:rFonts w:hint="default" w:ascii="Times New Roman" w:hAnsi="Times New Roman" w:eastAsia="宋体" w:cs="Times New Roman"/>
          <w:bCs/>
          <w:color w:val="auto"/>
          <w:sz w:val="24"/>
          <w:szCs w:val="21"/>
          <w:highlight w:val="none"/>
          <w:u w:val="none"/>
          <w:lang w:val="en-US" w:eastAsia="zh-CN"/>
        </w:rPr>
        <w:t>73.33%</w:t>
      </w:r>
      <w:r>
        <w:rPr>
          <w:rFonts w:hint="eastAsia" w:ascii="Times New Roman" w:hAnsi="Times New Roman" w:eastAsia="宋体" w:cs="Times New Roman"/>
          <w:bCs/>
          <w:color w:val="auto"/>
          <w:sz w:val="24"/>
          <w:szCs w:val="21"/>
          <w:highlight w:val="none"/>
          <w:u w:val="none"/>
          <w:lang w:val="en-US" w:eastAsia="zh-CN"/>
        </w:rPr>
        <w:t>；鲈形目次之，共</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种，占评价区鱼类总数的</w:t>
      </w:r>
      <w:r>
        <w:rPr>
          <w:rFonts w:hint="default" w:ascii="Times New Roman" w:hAnsi="Times New Roman" w:eastAsia="宋体" w:cs="Times New Roman"/>
          <w:bCs/>
          <w:color w:val="auto"/>
          <w:sz w:val="24"/>
          <w:szCs w:val="21"/>
          <w:highlight w:val="none"/>
          <w:u w:val="none"/>
          <w:lang w:val="en-US" w:eastAsia="zh-CN"/>
        </w:rPr>
        <w:t>13.33%</w:t>
      </w:r>
      <w:r>
        <w:rPr>
          <w:rFonts w:hint="eastAsia" w:ascii="Times New Roman" w:hAnsi="Times New Roman" w:eastAsia="宋体" w:cs="Times New Roman"/>
          <w:bCs/>
          <w:color w:val="auto"/>
          <w:sz w:val="24"/>
          <w:szCs w:val="21"/>
          <w:highlight w:val="none"/>
          <w:u w:val="none"/>
          <w:lang w:val="en-US" w:eastAsia="zh-CN"/>
        </w:rPr>
        <w:t>；合鳃鱼目和鲇形目各</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种，各占评价区鱼类总数的</w:t>
      </w:r>
      <w:r>
        <w:rPr>
          <w:rFonts w:hint="default" w:ascii="Times New Roman" w:hAnsi="Times New Roman" w:eastAsia="宋体" w:cs="Times New Roman"/>
          <w:bCs/>
          <w:color w:val="auto"/>
          <w:sz w:val="24"/>
          <w:szCs w:val="21"/>
          <w:highlight w:val="none"/>
          <w:u w:val="none"/>
          <w:lang w:val="en-US" w:eastAsia="zh-CN"/>
        </w:rPr>
        <w:t>6.67%</w:t>
      </w:r>
      <w:r>
        <w:rPr>
          <w:rFonts w:hint="eastAsia" w:ascii="Times New Roman" w:hAnsi="Times New Roman" w:eastAsia="宋体" w:cs="Times New Roman"/>
          <w:bCs/>
          <w:color w:val="auto"/>
          <w:sz w:val="24"/>
          <w:szCs w:val="21"/>
          <w:highlight w:val="none"/>
          <w:u w:val="none"/>
          <w:lang w:val="en-US" w:eastAsia="zh-CN"/>
        </w:rPr>
        <w:t>。</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东洞庭湖实验区内的野生动物主要由常见的小型和庭院动物构成，常见的物种有白头鹎、八哥、小云雀、戴胜、普通翠鸟、普通秧鸡、白鹃鸰、红嘴蓝鹊、普通秧鸡、中华大蟾蜍等。本项目评价区内无珍稀濒危陆生野生动物，且不涉及上述野生脊椎动物分布。</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4）自然遗迹调查</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本项目评价区内无需要保护的自然遗迹分布。</w:t>
      </w:r>
    </w:p>
    <w:bookmarkEnd w:id="229"/>
    <w:bookmarkEnd w:id="230"/>
    <w:bookmarkEnd w:id="231"/>
    <w:bookmarkEnd w:id="232"/>
    <w:bookmarkEnd w:id="233"/>
    <w:bookmarkEnd w:id="234"/>
    <w:bookmarkEnd w:id="235"/>
    <w:bookmarkEnd w:id="240"/>
    <w:bookmarkEnd w:id="241"/>
    <w:p>
      <w:pPr>
        <w:keepNext/>
        <w:keepLines/>
        <w:widowControl w:val="0"/>
        <w:adjustRightInd w:val="0"/>
        <w:snapToGrid w:val="0"/>
        <w:spacing w:before="0" w:after="0" w:line="360" w:lineRule="auto"/>
        <w:jc w:val="both"/>
        <w:outlineLvl w:val="1"/>
        <w:rPr>
          <w:rFonts w:hint="eastAsia" w:ascii="Times New Roman" w:hAnsi="Times New Roman" w:eastAsia="宋体" w:cs="Times New Roman"/>
          <w:b/>
          <w:bCs/>
          <w:color w:val="auto"/>
          <w:kern w:val="2"/>
          <w:sz w:val="28"/>
          <w:szCs w:val="28"/>
          <w:lang w:val="en-US" w:eastAsia="zh-CN" w:bidi="ar-SA"/>
        </w:rPr>
      </w:pPr>
      <w:bookmarkStart w:id="242" w:name="_Toc22566"/>
      <w:bookmarkStart w:id="243" w:name="_Toc13004"/>
      <w:bookmarkStart w:id="244" w:name="_Toc31479"/>
      <w:bookmarkStart w:id="245" w:name="_Toc6054"/>
      <w:bookmarkStart w:id="246" w:name="_Toc3826"/>
      <w:r>
        <w:rPr>
          <w:rFonts w:hint="eastAsia" w:ascii="Times New Roman" w:hAnsi="Times New Roman" w:eastAsia="宋体" w:cs="Times New Roman"/>
          <w:b/>
          <w:bCs/>
          <w:color w:val="auto"/>
          <w:kern w:val="2"/>
          <w:sz w:val="28"/>
          <w:szCs w:val="28"/>
          <w:lang w:val="en-US" w:eastAsia="zh-CN" w:bidi="ar-SA"/>
        </w:rPr>
        <w:t>3</w:t>
      </w:r>
      <w:r>
        <w:rPr>
          <w:rFonts w:hint="default" w:ascii="Times New Roman" w:hAnsi="Times New Roman" w:eastAsia="宋体" w:cs="Times New Roman"/>
          <w:b/>
          <w:bCs/>
          <w:color w:val="auto"/>
          <w:kern w:val="2"/>
          <w:sz w:val="28"/>
          <w:szCs w:val="28"/>
          <w:lang w:val="en-US" w:eastAsia="zh-CN" w:bidi="ar-SA"/>
        </w:rPr>
        <w:t>.</w:t>
      </w:r>
      <w:r>
        <w:rPr>
          <w:rFonts w:hint="eastAsia" w:ascii="Times New Roman" w:hAnsi="Times New Roman" w:eastAsia="宋体" w:cs="Times New Roman"/>
          <w:b/>
          <w:bCs/>
          <w:color w:val="auto"/>
          <w:kern w:val="2"/>
          <w:sz w:val="28"/>
          <w:szCs w:val="28"/>
          <w:lang w:val="en-US" w:eastAsia="zh-CN" w:bidi="ar-SA"/>
        </w:rPr>
        <w:t>3湖南东洞庭湖国家级自然保护区</w:t>
      </w:r>
      <w:bookmarkEnd w:id="242"/>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3.3.1本项目与保护区位置关系</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rPr>
      </w:pPr>
      <w:r>
        <w:rPr>
          <w:rFonts w:hint="eastAsia" w:ascii="Times New Roman" w:hAnsi="Times New Roman" w:eastAsia="宋体" w:cs="Times New Roman"/>
          <w:bCs/>
          <w:color w:val="auto"/>
          <w:sz w:val="24"/>
          <w:szCs w:val="21"/>
          <w:highlight w:val="none"/>
          <w:u w:val="none"/>
        </w:rPr>
        <w:t>位于东洞庭湖国家级自然保护区内，项目建设</w:t>
      </w:r>
      <w:r>
        <w:rPr>
          <w:rFonts w:hint="eastAsia" w:ascii="Times New Roman" w:hAnsi="Times New Roman" w:eastAsia="宋体" w:cs="Times New Roman"/>
          <w:bCs/>
          <w:color w:val="auto"/>
          <w:sz w:val="24"/>
          <w:szCs w:val="21"/>
          <w:highlight w:val="none"/>
          <w:u w:val="none"/>
          <w:lang w:val="en-US" w:eastAsia="zh-CN"/>
        </w:rPr>
        <w:t>位于保护区的实验区范围内，</w:t>
      </w:r>
      <w:r>
        <w:rPr>
          <w:rFonts w:hint="eastAsia" w:ascii="Times New Roman" w:hAnsi="Times New Roman" w:eastAsia="宋体" w:cs="Times New Roman"/>
          <w:bCs/>
          <w:color w:val="auto"/>
          <w:sz w:val="24"/>
          <w:szCs w:val="21"/>
          <w:highlight w:val="none"/>
          <w:u w:val="none"/>
        </w:rPr>
        <w:t>不涉及保护区的核心区和缓冲区，离核心区最近距离约</w:t>
      </w:r>
      <w:r>
        <w:rPr>
          <w:rFonts w:hint="eastAsia" w:ascii="Times New Roman" w:hAnsi="Times New Roman" w:eastAsia="宋体" w:cs="Times New Roman"/>
          <w:bCs/>
          <w:color w:val="auto"/>
          <w:sz w:val="24"/>
          <w:szCs w:val="21"/>
          <w:highlight w:val="none"/>
          <w:u w:val="none"/>
          <w:lang w:val="en-US" w:eastAsia="zh-CN"/>
        </w:rPr>
        <w:t xml:space="preserve">8.5 </w:t>
      </w:r>
      <w:r>
        <w:rPr>
          <w:rFonts w:hint="eastAsia" w:ascii="Times New Roman" w:hAnsi="Times New Roman" w:eastAsia="宋体" w:cs="Times New Roman"/>
          <w:bCs/>
          <w:color w:val="auto"/>
          <w:sz w:val="24"/>
          <w:szCs w:val="21"/>
          <w:highlight w:val="none"/>
          <w:u w:val="none"/>
        </w:rPr>
        <w:t>km，离缓冲区最近距离约</w:t>
      </w:r>
      <w:r>
        <w:rPr>
          <w:rFonts w:hint="eastAsia" w:ascii="Times New Roman" w:hAnsi="Times New Roman" w:eastAsia="宋体" w:cs="Times New Roman"/>
          <w:bCs/>
          <w:color w:val="auto"/>
          <w:sz w:val="24"/>
          <w:szCs w:val="21"/>
          <w:highlight w:val="none"/>
          <w:u w:val="none"/>
          <w:lang w:val="en-US" w:eastAsia="zh-CN"/>
        </w:rPr>
        <w:t>7.8</w:t>
      </w:r>
      <w:r>
        <w:rPr>
          <w:rFonts w:hint="eastAsia" w:ascii="Times New Roman" w:hAnsi="Times New Roman" w:eastAsia="宋体" w:cs="Times New Roman"/>
          <w:bCs/>
          <w:color w:val="auto"/>
          <w:sz w:val="24"/>
          <w:szCs w:val="21"/>
          <w:highlight w:val="none"/>
          <w:u w:val="none"/>
        </w:rPr>
        <w:t>km。</w:t>
      </w:r>
      <w:r>
        <w:rPr>
          <w:rFonts w:hint="eastAsia" w:ascii="Times New Roman" w:hAnsi="Times New Roman" w:eastAsia="宋体" w:cs="Times New Roman"/>
          <w:bCs/>
          <w:color w:val="auto"/>
          <w:sz w:val="24"/>
          <w:szCs w:val="21"/>
          <w:highlight w:val="none"/>
          <w:u w:val="none"/>
          <w:lang w:val="en-US" w:eastAsia="zh-CN"/>
        </w:rPr>
        <w:t>东</w:t>
      </w:r>
      <w:r>
        <w:rPr>
          <w:rFonts w:hint="eastAsia" w:ascii="Times New Roman" w:hAnsi="Times New Roman" w:cs="Times New Roman"/>
          <w:bCs/>
          <w:color w:val="auto"/>
          <w:sz w:val="24"/>
          <w:szCs w:val="21"/>
          <w:highlight w:val="none"/>
          <w:u w:val="none"/>
          <w:lang w:val="en-US" w:eastAsia="zh-CN"/>
        </w:rPr>
        <w:t>洞庭湖自然保护区方案调整后，本项目处于保护区实验区边界之外（距离</w:t>
      </w:r>
      <w:r>
        <w:rPr>
          <w:rFonts w:hint="eastAsia" w:cs="Times New Roman"/>
          <w:bCs/>
          <w:color w:val="auto"/>
          <w:sz w:val="24"/>
          <w:szCs w:val="21"/>
          <w:highlight w:val="none"/>
          <w:u w:val="none"/>
          <w:lang w:val="en-US" w:eastAsia="zh-CN"/>
        </w:rPr>
        <w:t>整合优化</w:t>
      </w:r>
      <w:r>
        <w:rPr>
          <w:rFonts w:hint="eastAsia" w:ascii="Times New Roman" w:hAnsi="Times New Roman" w:cs="Times New Roman"/>
          <w:bCs/>
          <w:color w:val="auto"/>
          <w:sz w:val="24"/>
          <w:szCs w:val="21"/>
          <w:highlight w:val="none"/>
          <w:u w:val="none"/>
          <w:lang w:val="en-US" w:eastAsia="zh-CN"/>
        </w:rPr>
        <w:t>后</w:t>
      </w:r>
      <w:r>
        <w:rPr>
          <w:rFonts w:hint="eastAsia" w:cs="Times New Roman"/>
          <w:bCs/>
          <w:color w:val="auto"/>
          <w:sz w:val="24"/>
          <w:szCs w:val="21"/>
          <w:highlight w:val="none"/>
          <w:u w:val="none"/>
          <w:lang w:val="en-US" w:eastAsia="zh-CN"/>
        </w:rPr>
        <w:t>湖南东洞庭湖国家级自然保护区</w:t>
      </w:r>
      <w:r>
        <w:rPr>
          <w:rFonts w:hint="eastAsia" w:ascii="Times New Roman" w:hAnsi="Times New Roman" w:cs="Times New Roman"/>
          <w:bCs/>
          <w:color w:val="auto"/>
          <w:sz w:val="24"/>
          <w:szCs w:val="21"/>
          <w:highlight w:val="none"/>
          <w:u w:val="none"/>
          <w:lang w:val="en-US" w:eastAsia="zh-CN"/>
        </w:rPr>
        <w:t>约1.7km）。</w:t>
      </w:r>
    </w:p>
    <w:p>
      <w:pPr>
        <w:pStyle w:val="56"/>
        <w:adjustRightInd w:val="0"/>
        <w:snapToGrid w:val="0"/>
        <w:spacing w:line="360" w:lineRule="auto"/>
        <w:ind w:left="0" w:leftChars="0" w:firstLine="0" w:firstLineChars="0"/>
        <w:rPr>
          <w:rFonts w:hint="default" w:ascii="Times New Roman" w:hAnsi="Times New Roman" w:cs="Times New Roman"/>
          <w:b/>
          <w:color w:val="auto"/>
          <w:sz w:val="24"/>
          <w:szCs w:val="21"/>
          <w:lang w:val="en-US" w:eastAsia="zh-CN"/>
        </w:rPr>
      </w:pPr>
      <w:r>
        <w:rPr>
          <w:rFonts w:hint="eastAsia" w:ascii="Times New Roman" w:hAnsi="Times New Roman" w:cs="Times New Roman"/>
          <w:b/>
          <w:color w:val="auto"/>
          <w:sz w:val="24"/>
          <w:szCs w:val="21"/>
          <w:lang w:val="en-US" w:eastAsia="zh-CN"/>
        </w:rPr>
        <w:t>3.3.2保护区功能区划</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rPr>
      </w:pPr>
      <w:r>
        <w:rPr>
          <w:rFonts w:hint="eastAsia" w:ascii="Times New Roman" w:hAnsi="Times New Roman" w:cs="Times New Roman"/>
          <w:bCs/>
          <w:color w:val="auto"/>
          <w:sz w:val="24"/>
          <w:szCs w:val="21"/>
          <w:highlight w:val="none"/>
          <w:u w:val="none"/>
        </w:rPr>
        <w:t>东洞庭湖是洞庭湖湖系中最大的湖泊，年平均过湖水量达3126亿立方米。常年湖容量178亿立方米，水深4-22m，最大水位落差为17.76m，ph6.8-8.6。它的地貌呈沟港纵横的湿地景观。土壤为湖沼土和河沼土。年平均气温为17℃，湖水年平均温度17.5℃，总降水量1200-1330mm，无霜期258-275天</w:t>
      </w:r>
      <w:r>
        <w:rPr>
          <w:rFonts w:hint="eastAsia" w:ascii="Times New Roman" w:hAnsi="Times New Roman" w:cs="Times New Roman"/>
          <w:bCs/>
          <w:color w:val="auto"/>
          <w:sz w:val="24"/>
          <w:szCs w:val="21"/>
          <w:highlight w:val="none"/>
          <w:u w:val="none"/>
          <w:lang w:eastAsia="zh-CN"/>
        </w:rPr>
        <w:t>。</w:t>
      </w:r>
      <w:r>
        <w:rPr>
          <w:rFonts w:hint="eastAsia" w:ascii="Times New Roman" w:hAnsi="Times New Roman" w:cs="Times New Roman"/>
          <w:bCs/>
          <w:color w:val="auto"/>
          <w:sz w:val="24"/>
          <w:szCs w:val="21"/>
          <w:highlight w:val="none"/>
          <w:u w:val="none"/>
        </w:rPr>
        <w:t>东洞庭湖既是我国湿地水禽的重要越冬地，也是重要繁殖地、停歇地。栖息的雁鸭类、鸻鹬类等水鸟达数十万羽。</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eastAsia="zh-CN"/>
        </w:rPr>
      </w:pPr>
      <w:r>
        <w:rPr>
          <w:rFonts w:hint="eastAsia" w:ascii="Times New Roman" w:hAnsi="Times New Roman" w:cs="Times New Roman"/>
          <w:bCs/>
          <w:color w:val="auto"/>
          <w:sz w:val="24"/>
          <w:szCs w:val="21"/>
          <w:highlight w:val="none"/>
          <w:u w:val="none"/>
          <w:lang w:eastAsia="zh-CN"/>
        </w:rPr>
        <w:t>（</w:t>
      </w:r>
      <w:r>
        <w:rPr>
          <w:rFonts w:hint="eastAsia" w:ascii="Times New Roman" w:hAnsi="Times New Roman" w:cs="Times New Roman"/>
          <w:bCs/>
          <w:color w:val="auto"/>
          <w:sz w:val="24"/>
          <w:szCs w:val="21"/>
          <w:highlight w:val="none"/>
          <w:u w:val="none"/>
          <w:lang w:val="en-US" w:eastAsia="zh-CN"/>
        </w:rPr>
        <w:t>1</w:t>
      </w:r>
      <w:r>
        <w:rPr>
          <w:rFonts w:hint="eastAsia" w:ascii="Times New Roman" w:hAnsi="Times New Roman" w:cs="Times New Roman"/>
          <w:bCs/>
          <w:color w:val="auto"/>
          <w:sz w:val="24"/>
          <w:szCs w:val="21"/>
          <w:highlight w:val="none"/>
          <w:u w:val="none"/>
          <w:lang w:eastAsia="zh-CN"/>
        </w:rPr>
        <w:t>）功能区划概况</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东洞庭湖国家级自然保护区功能区划分情况为:</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①核心区。湿地生态系统完整，生物资源丰富，白鹤、黑鹤、东方白鹤、小天鹅、鸿雁等珍稀濒危鸟类集中栖息的地段，面积</w:t>
      </w:r>
      <w:r>
        <w:rPr>
          <w:rFonts w:hint="eastAsia" w:cs="Times New Roman"/>
          <w:bCs/>
          <w:color w:val="auto"/>
          <w:sz w:val="24"/>
          <w:szCs w:val="21"/>
          <w:highlight w:val="none"/>
          <w:u w:val="none"/>
          <w:lang w:val="en-US" w:eastAsia="zh-CN"/>
        </w:rPr>
        <w:t>3.3286x104hm²。</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将湿地生态系统完整、生物资源丰富、白鹤、黑鹳、东方白鹳、小天鹅、鸿雁等珍稀濒危鸟类集中栖息的地段作为核心区，总面积2.90万hm2。依据功能区划原则，又将保护区核心区分为3大块。即大小西湖-君山后湖核心区:从大小西湖、三坝、四坝至君山后湖包括黑嘴在内的定权发证区域，面积1.60万hm2;红旗湖核心区:上、下红旗湖、天鹅段定权发证区域，面积0.80万hm2:春风湖核心区:包括春风湖及其大片洲滩在内的0.50万hm2定权发证区域。核心区内，实行封闭式管理，严格控制外界人员随意进入或从事捕鱼、放牧等生产经营活动，并对湖水水位进行严格的管理和调控。</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fldChar w:fldCharType="begin"/>
      </w:r>
      <w:r>
        <w:rPr>
          <w:rFonts w:hint="eastAsia" w:ascii="Times New Roman" w:hAnsi="Times New Roman" w:cs="Times New Roman"/>
          <w:bCs/>
          <w:color w:val="auto"/>
          <w:sz w:val="24"/>
          <w:szCs w:val="21"/>
          <w:highlight w:val="none"/>
          <w:u w:val="none"/>
          <w:lang w:val="en-US" w:eastAsia="zh-CN"/>
        </w:rPr>
        <w:instrText xml:space="preserve"> = 2 \* GB3 \* MERGEFORMAT </w:instrText>
      </w:r>
      <w:r>
        <w:rPr>
          <w:rFonts w:hint="eastAsia" w:ascii="Times New Roman" w:hAnsi="Times New Roman" w:cs="Times New Roman"/>
          <w:bCs/>
          <w:color w:val="auto"/>
          <w:sz w:val="24"/>
          <w:szCs w:val="21"/>
          <w:highlight w:val="none"/>
          <w:u w:val="none"/>
          <w:lang w:val="en-US" w:eastAsia="zh-CN"/>
        </w:rPr>
        <w:fldChar w:fldCharType="separate"/>
      </w:r>
      <w:r>
        <w:rPr>
          <w:rFonts w:hint="eastAsia" w:ascii="Times New Roman" w:hAnsi="Times New Roman" w:cs="Times New Roman"/>
          <w:bCs/>
          <w:color w:val="auto"/>
          <w:sz w:val="24"/>
          <w:szCs w:val="21"/>
          <w:highlight w:val="none"/>
          <w:u w:val="none"/>
          <w:lang w:val="en-US" w:eastAsia="zh-CN"/>
        </w:rPr>
        <w:t>②</w:t>
      </w:r>
      <w:r>
        <w:rPr>
          <w:rFonts w:hint="eastAsia" w:ascii="Times New Roman" w:hAnsi="Times New Roman" w:cs="Times New Roman"/>
          <w:bCs/>
          <w:color w:val="auto"/>
          <w:sz w:val="24"/>
          <w:szCs w:val="21"/>
          <w:highlight w:val="none"/>
          <w:u w:val="none"/>
          <w:lang w:val="en-US" w:eastAsia="zh-CN"/>
        </w:rPr>
        <w:fldChar w:fldCharType="end"/>
      </w:r>
      <w:r>
        <w:rPr>
          <w:rFonts w:hint="eastAsia" w:ascii="Times New Roman" w:hAnsi="Times New Roman" w:cs="Times New Roman"/>
          <w:bCs/>
          <w:color w:val="auto"/>
          <w:sz w:val="24"/>
          <w:szCs w:val="21"/>
          <w:highlight w:val="none"/>
          <w:u w:val="none"/>
          <w:lang w:val="en-US" w:eastAsia="zh-CN"/>
        </w:rPr>
        <w:t>缓冲区。核心区外围所有东洞庭湖区域，面积3.</w:t>
      </w:r>
      <w:r>
        <w:rPr>
          <w:rFonts w:hint="eastAsia" w:cs="Times New Roman"/>
          <w:bCs/>
          <w:color w:val="auto"/>
          <w:sz w:val="24"/>
          <w:szCs w:val="21"/>
          <w:highlight w:val="none"/>
          <w:u w:val="none"/>
          <w:lang w:val="en-US" w:eastAsia="zh-CN"/>
        </w:rPr>
        <w:t>2369</w:t>
      </w:r>
      <w:r>
        <w:rPr>
          <w:rFonts w:hint="eastAsia" w:ascii="Times New Roman" w:hAnsi="Times New Roman" w:cs="Times New Roman"/>
          <w:bCs/>
          <w:color w:val="auto"/>
          <w:sz w:val="24"/>
          <w:szCs w:val="21"/>
          <w:highlight w:val="none"/>
          <w:u w:val="none"/>
          <w:lang w:val="en-US" w:eastAsia="zh-CN"/>
        </w:rPr>
        <w:t>x10</w:t>
      </w:r>
      <w:r>
        <w:rPr>
          <w:rFonts w:hint="eastAsia" w:ascii="Times New Roman" w:hAnsi="Times New Roman" w:cs="Times New Roman"/>
          <w:bCs/>
          <w:color w:val="auto"/>
          <w:sz w:val="24"/>
          <w:szCs w:val="21"/>
          <w:highlight w:val="none"/>
          <w:u w:val="none"/>
          <w:vertAlign w:val="superscript"/>
          <w:lang w:val="en-US" w:eastAsia="zh-CN"/>
        </w:rPr>
        <w:t>4</w:t>
      </w:r>
      <w:r>
        <w:rPr>
          <w:rFonts w:hint="eastAsia" w:ascii="Times New Roman" w:hAnsi="Times New Roman" w:cs="Times New Roman"/>
          <w:bCs/>
          <w:color w:val="auto"/>
          <w:sz w:val="24"/>
          <w:szCs w:val="21"/>
          <w:highlight w:val="none"/>
          <w:u w:val="none"/>
          <w:lang w:val="en-US" w:eastAsia="zh-CN"/>
        </w:rPr>
        <w:t>hm²。</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fldChar w:fldCharType="begin"/>
      </w:r>
      <w:r>
        <w:rPr>
          <w:rFonts w:hint="eastAsia" w:ascii="Times New Roman" w:hAnsi="Times New Roman" w:cs="Times New Roman"/>
          <w:bCs/>
          <w:color w:val="auto"/>
          <w:sz w:val="24"/>
          <w:szCs w:val="21"/>
          <w:highlight w:val="none"/>
          <w:u w:val="none"/>
          <w:lang w:val="en-US" w:eastAsia="zh-CN"/>
        </w:rPr>
        <w:instrText xml:space="preserve"> = 3 \* GB3 \* MERGEFORMAT </w:instrText>
      </w:r>
      <w:r>
        <w:rPr>
          <w:rFonts w:hint="eastAsia" w:ascii="Times New Roman" w:hAnsi="Times New Roman" w:cs="Times New Roman"/>
          <w:bCs/>
          <w:color w:val="auto"/>
          <w:sz w:val="24"/>
          <w:szCs w:val="21"/>
          <w:highlight w:val="none"/>
          <w:u w:val="none"/>
          <w:lang w:val="en-US" w:eastAsia="zh-CN"/>
        </w:rPr>
        <w:fldChar w:fldCharType="separate"/>
      </w:r>
      <w:r>
        <w:rPr>
          <w:rFonts w:hint="eastAsia" w:ascii="Times New Roman" w:hAnsi="Times New Roman" w:cs="Times New Roman"/>
          <w:bCs/>
          <w:color w:val="auto"/>
          <w:sz w:val="24"/>
          <w:szCs w:val="21"/>
          <w:highlight w:val="none"/>
          <w:u w:val="none"/>
          <w:lang w:val="en-US" w:eastAsia="zh-CN"/>
        </w:rPr>
        <w:t>③</w:t>
      </w:r>
      <w:r>
        <w:rPr>
          <w:rFonts w:hint="eastAsia" w:ascii="Times New Roman" w:hAnsi="Times New Roman" w:cs="Times New Roman"/>
          <w:bCs/>
          <w:color w:val="auto"/>
          <w:sz w:val="24"/>
          <w:szCs w:val="21"/>
          <w:highlight w:val="none"/>
          <w:u w:val="none"/>
          <w:lang w:val="en-US" w:eastAsia="zh-CN"/>
        </w:rPr>
        <w:fldChar w:fldCharType="end"/>
      </w:r>
      <w:r>
        <w:rPr>
          <w:rFonts w:hint="eastAsia" w:ascii="Times New Roman" w:hAnsi="Times New Roman" w:cs="Times New Roman"/>
          <w:bCs/>
          <w:color w:val="auto"/>
          <w:sz w:val="24"/>
          <w:szCs w:val="21"/>
          <w:highlight w:val="none"/>
          <w:u w:val="none"/>
          <w:lang w:val="en-US" w:eastAsia="zh-CN"/>
        </w:rPr>
        <w:t>实验区。保护区区界以内缓冲区以外的广大区域，包括采桑湖、团湖、方台湖、南湖、芭蕉湖等在内的烷内湖泊和农业用地，面积</w:t>
      </w:r>
      <w:r>
        <w:rPr>
          <w:rFonts w:hint="eastAsia" w:cs="Times New Roman"/>
          <w:bCs/>
          <w:color w:val="auto"/>
          <w:sz w:val="24"/>
          <w:szCs w:val="21"/>
          <w:highlight w:val="none"/>
          <w:u w:val="none"/>
          <w:lang w:val="en-US" w:eastAsia="zh-CN"/>
        </w:rPr>
        <w:t>9.1972</w:t>
      </w:r>
      <w:r>
        <w:rPr>
          <w:rFonts w:hint="eastAsia" w:ascii="Times New Roman" w:hAnsi="Times New Roman" w:cs="Times New Roman"/>
          <w:bCs/>
          <w:color w:val="auto"/>
          <w:sz w:val="24"/>
          <w:szCs w:val="21"/>
          <w:highlight w:val="none"/>
          <w:u w:val="none"/>
          <w:lang w:val="en-US" w:eastAsia="zh-CN"/>
        </w:rPr>
        <w:t>x104hm²。</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在缓冲区和实验区内，保护区将依法取缔各种非法渔具，全面禁止偷猎或毒杀珍禽的违法活动。</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保护区的核心区和缓冲区，是珍稀濒危野生动物的主要栖息地，又是湿地生态系统的典型区域。在该范围内以保护为主，除开展科研、调查活动外，尽量减少人为影响和干扰，绝对禁止在该区域开展经营活动和一切生产活动。</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实验区实际上应该为可持续发展示范区，且实验区内在有利于保护的基础上，该区域内可以开展自然资源的合理利用，特别是应开展非消耗性资源利用，如开展生态旅游业(观鸟、观荷花等)，以减少人们对自然资源的直接消耗和过分依赖。</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eastAsia="zh-CN"/>
        </w:rPr>
      </w:pPr>
      <w:r>
        <w:rPr>
          <w:rFonts w:hint="eastAsia" w:ascii="Times New Roman" w:hAnsi="Times New Roman" w:cs="Times New Roman"/>
          <w:bCs/>
          <w:color w:val="auto"/>
          <w:sz w:val="24"/>
          <w:szCs w:val="21"/>
          <w:highlight w:val="none"/>
          <w:u w:val="none"/>
          <w:lang w:eastAsia="zh-CN"/>
        </w:rPr>
        <w:t>（</w:t>
      </w:r>
      <w:r>
        <w:rPr>
          <w:rFonts w:hint="eastAsia" w:ascii="Times New Roman" w:hAnsi="Times New Roman" w:cs="Times New Roman"/>
          <w:bCs/>
          <w:color w:val="auto"/>
          <w:sz w:val="24"/>
          <w:szCs w:val="21"/>
          <w:highlight w:val="none"/>
          <w:u w:val="none"/>
          <w:lang w:val="en-US" w:eastAsia="zh-CN"/>
        </w:rPr>
        <w:t>2</w:t>
      </w:r>
      <w:r>
        <w:rPr>
          <w:rFonts w:hint="eastAsia" w:ascii="Times New Roman" w:hAnsi="Times New Roman" w:cs="Times New Roman"/>
          <w:bCs/>
          <w:color w:val="auto"/>
          <w:sz w:val="24"/>
          <w:szCs w:val="21"/>
          <w:highlight w:val="none"/>
          <w:u w:val="none"/>
          <w:lang w:eastAsia="zh-CN"/>
        </w:rPr>
        <w:t>）功能区划</w:t>
      </w:r>
      <w:r>
        <w:rPr>
          <w:rFonts w:hint="eastAsia" w:cs="Times New Roman"/>
          <w:bCs/>
          <w:color w:val="auto"/>
          <w:sz w:val="24"/>
          <w:szCs w:val="21"/>
          <w:highlight w:val="none"/>
          <w:u w:val="none"/>
          <w:lang w:val="en-US" w:eastAsia="zh-CN"/>
        </w:rPr>
        <w:t>拟</w:t>
      </w:r>
      <w:r>
        <w:rPr>
          <w:rFonts w:hint="eastAsia" w:ascii="Times New Roman" w:hAnsi="Times New Roman" w:cs="Times New Roman"/>
          <w:bCs/>
          <w:color w:val="auto"/>
          <w:sz w:val="24"/>
          <w:szCs w:val="21"/>
          <w:highlight w:val="none"/>
          <w:u w:val="none"/>
          <w:lang w:val="en-US" w:eastAsia="zh-CN"/>
        </w:rPr>
        <w:t>调整</w:t>
      </w:r>
      <w:r>
        <w:rPr>
          <w:rFonts w:hint="eastAsia" w:ascii="Times New Roman" w:hAnsi="Times New Roman" w:cs="Times New Roman"/>
          <w:bCs/>
          <w:color w:val="auto"/>
          <w:sz w:val="24"/>
          <w:szCs w:val="21"/>
          <w:highlight w:val="none"/>
          <w:u w:val="none"/>
          <w:lang w:eastAsia="zh-CN"/>
        </w:rPr>
        <w:t>概况</w:t>
      </w:r>
    </w:p>
    <w:p>
      <w:pPr>
        <w:pStyle w:val="68"/>
        <w:ind w:firstLine="480"/>
        <w:rPr>
          <w:rFonts w:hint="default" w:ascii="Times New Roman" w:hAnsi="Times New Roman" w:cs="Times New Roman"/>
          <w:color w:val="auto"/>
        </w:rPr>
      </w:pPr>
      <w:r>
        <w:rPr>
          <w:rFonts w:hint="default" w:ascii="Times New Roman" w:hAnsi="Times New Roman" w:cs="Times New Roman"/>
          <w:color w:val="auto"/>
        </w:rPr>
        <w:t>东洞庭湖国家级自然保护区位于长江中下游荆江江段南侧，地处湖南省东北部岳阳市境内，地理坐标为29°0′0″～29°37′45.7″N，112°43′59.5″～113°13′13.4″E之间。自然保护区北起长江湘鄂两省主航道分界线，南至磊石山，东至京广铁路，西至与南县交界。管理范围包括整个东洞庭湖水域及其近周平原岗地。</w:t>
      </w:r>
    </w:p>
    <w:p>
      <w:pPr>
        <w:pStyle w:val="68"/>
        <w:ind w:firstLine="480"/>
        <w:rPr>
          <w:rFonts w:hint="eastAsia" w:ascii="Times New Roman" w:hAnsi="Times New Roman" w:cs="Times New Roman"/>
          <w:color w:val="auto"/>
          <w:lang w:eastAsia="zh-CN"/>
        </w:rPr>
      </w:pPr>
      <w:r>
        <w:rPr>
          <w:rFonts w:hint="default" w:ascii="Times New Roman" w:hAnsi="Times New Roman" w:cs="Times New Roman"/>
          <w:color w:val="auto"/>
        </w:rPr>
        <w:t>东洞庭湖国家级自然保护区成立于1982年，1992年成为我国首批加入《国际湿地公约》的六块国际重要湿地之一，1994年经国务院批准升格为国家级自然保护区，2018年经国务院（国办函[2018]19号）批准，调整了保护区范围与功能区划。保护区划分为核心区、缓冲区和实验区，保护区面积157627公顷，其中核心区面积33286公顷，缓冲区面积32369公顷，实验区面积91972公顷。东洞庭湖是世界自然基金会（WWF）确定的全球200个生物多样性热点地区之一，湿地生物资源丰富，是东北亚迁徙候鸟重要的越冬地和栖息地。保护区有鸟类356种，其中国家一级保护的有东方白鹳、黑鹳、白鹤等18种，二级保护的64种；有维管束植物486种；鱼类117种，其中国家一级保护的有白鲟、中华鲟2种；两栖类12种，爬行类11种，哺乳类31种，其中国家一级保护2种，即江豚和目前中国最大的自然野化种群麋鹿。2021年，洞庭湖越冬水鸟创历史新高达到28.8万只，麋鹿达到200余头，已成为最大的自然野化种群和稳定的东洞庭湖亚群。长江江豚持续增加，达到120多头。候鸟的欢歌、麋鹿的倩影、江豚的微笑已成为湖南生态文明建设的新名片</w:t>
      </w:r>
      <w:r>
        <w:rPr>
          <w:rFonts w:hint="eastAsia" w:ascii="Times New Roman" w:hAnsi="Times New Roman" w:cs="Times New Roman"/>
          <w:color w:val="auto"/>
          <w:lang w:eastAsia="zh-CN"/>
        </w:rPr>
        <w:t>。</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1）规划拟调整概况</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东洞庭湖自然保护区现正在整合优化，关于湖南东洞庭湖国家级自然保护区整合优化方案情况已</w:t>
      </w:r>
      <w:r>
        <w:rPr>
          <w:rFonts w:hint="eastAsia" w:cs="Times New Roman"/>
          <w:bCs/>
          <w:color w:val="auto"/>
          <w:sz w:val="24"/>
          <w:szCs w:val="21"/>
          <w:highlight w:val="none"/>
          <w:u w:val="none"/>
          <w:lang w:val="en-US" w:eastAsia="zh-CN"/>
        </w:rPr>
        <w:t>于2023年3月</w:t>
      </w:r>
      <w:r>
        <w:rPr>
          <w:rFonts w:hint="eastAsia" w:ascii="Times New Roman" w:hAnsi="Times New Roman" w:cs="Times New Roman"/>
          <w:bCs/>
          <w:color w:val="auto"/>
          <w:sz w:val="24"/>
          <w:szCs w:val="21"/>
          <w:highlight w:val="none"/>
          <w:u w:val="none"/>
          <w:lang w:val="en-US" w:eastAsia="zh-CN"/>
        </w:rPr>
        <w:t>在岳阳市林业局网站进行公示，目前</w:t>
      </w:r>
      <w:r>
        <w:rPr>
          <w:rFonts w:hint="eastAsia" w:cs="Times New Roman"/>
          <w:bCs/>
          <w:color w:val="auto"/>
          <w:sz w:val="24"/>
          <w:szCs w:val="21"/>
          <w:highlight w:val="none"/>
          <w:u w:val="none"/>
          <w:lang w:val="en-US" w:eastAsia="zh-CN"/>
        </w:rPr>
        <w:t>整合优化方案及新的自然保护区规划正在积极编制中</w:t>
      </w:r>
      <w:r>
        <w:rPr>
          <w:rFonts w:hint="eastAsia" w:ascii="Times New Roman" w:hAnsi="Times New Roman" w:cs="Times New Roman"/>
          <w:bCs/>
          <w:color w:val="auto"/>
          <w:sz w:val="24"/>
          <w:szCs w:val="21"/>
          <w:highlight w:val="none"/>
          <w:u w:val="none"/>
          <w:lang w:val="en-US" w:eastAsia="zh-CN"/>
        </w:rPr>
        <w:t>，未正式发布。此次范围调整只涉及将部分实验区部分区域调出保护区</w:t>
      </w:r>
      <w:r>
        <w:rPr>
          <w:rFonts w:hint="eastAsia" w:cs="Times New Roman"/>
          <w:bCs/>
          <w:color w:val="auto"/>
          <w:sz w:val="24"/>
          <w:szCs w:val="21"/>
          <w:highlight w:val="none"/>
          <w:u w:val="none"/>
          <w:lang w:val="en-US" w:eastAsia="zh-CN"/>
        </w:rPr>
        <w:t>；</w:t>
      </w:r>
      <w:r>
        <w:rPr>
          <w:rFonts w:hint="eastAsia" w:ascii="Times New Roman" w:hAnsi="Times New Roman" w:cs="Times New Roman"/>
          <w:bCs/>
          <w:color w:val="auto"/>
          <w:sz w:val="24"/>
          <w:szCs w:val="21"/>
          <w:highlight w:val="none"/>
          <w:u w:val="none"/>
          <w:lang w:val="en-US" w:eastAsia="zh-CN"/>
        </w:rPr>
        <w:t>功能区调整拟将部分实验区调整为</w:t>
      </w:r>
      <w:r>
        <w:rPr>
          <w:rFonts w:hint="eastAsia" w:cs="Times New Roman"/>
          <w:bCs/>
          <w:color w:val="auto"/>
          <w:sz w:val="24"/>
          <w:szCs w:val="21"/>
          <w:highlight w:val="none"/>
          <w:u w:val="none"/>
          <w:lang w:val="en-US" w:eastAsia="zh-CN"/>
        </w:rPr>
        <w:t>一般狗控制区</w:t>
      </w:r>
      <w:r>
        <w:rPr>
          <w:rFonts w:hint="eastAsia" w:ascii="Times New Roman" w:hAnsi="Times New Roman" w:cs="Times New Roman"/>
          <w:bCs/>
          <w:color w:val="auto"/>
          <w:sz w:val="24"/>
          <w:szCs w:val="21"/>
          <w:highlight w:val="none"/>
          <w:u w:val="none"/>
          <w:lang w:val="en-US" w:eastAsia="zh-CN"/>
        </w:rPr>
        <w:t>，并将</w:t>
      </w:r>
      <w:r>
        <w:rPr>
          <w:rFonts w:hint="eastAsia" w:cs="Times New Roman"/>
          <w:bCs/>
          <w:color w:val="auto"/>
          <w:sz w:val="24"/>
          <w:szCs w:val="21"/>
          <w:highlight w:val="none"/>
          <w:u w:val="none"/>
          <w:lang w:val="en-US" w:eastAsia="zh-CN"/>
        </w:rPr>
        <w:t>原有核心区以及</w:t>
      </w:r>
      <w:r>
        <w:rPr>
          <w:rFonts w:hint="eastAsia" w:ascii="Times New Roman" w:hAnsi="Times New Roman" w:cs="Times New Roman"/>
          <w:bCs/>
          <w:color w:val="auto"/>
          <w:sz w:val="24"/>
          <w:szCs w:val="21"/>
          <w:highlight w:val="none"/>
          <w:u w:val="none"/>
          <w:lang w:val="en-US" w:eastAsia="zh-CN"/>
        </w:rPr>
        <w:t>部分缓冲区调整为</w:t>
      </w:r>
      <w:r>
        <w:rPr>
          <w:rFonts w:hint="eastAsia" w:cs="Times New Roman"/>
          <w:bCs/>
          <w:color w:val="auto"/>
          <w:sz w:val="24"/>
          <w:szCs w:val="21"/>
          <w:highlight w:val="none"/>
          <w:u w:val="none"/>
          <w:lang w:val="en-US" w:eastAsia="zh-CN"/>
        </w:rPr>
        <w:t>核心保护区</w:t>
      </w:r>
      <w:r>
        <w:rPr>
          <w:rFonts w:hint="eastAsia" w:ascii="Times New Roman" w:hAnsi="Times New Roman" w:cs="Times New Roman"/>
          <w:bCs/>
          <w:color w:val="auto"/>
          <w:sz w:val="24"/>
          <w:szCs w:val="21"/>
          <w:highlight w:val="none"/>
          <w:u w:val="none"/>
          <w:lang w:val="en-US" w:eastAsia="zh-CN"/>
        </w:rPr>
        <w:t>。</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2）调整范围</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拟将</w:t>
      </w:r>
      <w:r>
        <w:rPr>
          <w:rFonts w:hint="eastAsia" w:cs="Times New Roman"/>
          <w:bCs/>
          <w:color w:val="auto"/>
          <w:sz w:val="24"/>
          <w:szCs w:val="21"/>
          <w:highlight w:val="none"/>
          <w:u w:val="none"/>
          <w:lang w:val="en-US" w:eastAsia="zh-CN"/>
        </w:rPr>
        <w:t>部分</w:t>
      </w:r>
      <w:r>
        <w:rPr>
          <w:rFonts w:hint="eastAsia" w:ascii="Times New Roman" w:hAnsi="Times New Roman" w:cs="Times New Roman"/>
          <w:bCs/>
          <w:color w:val="auto"/>
          <w:sz w:val="24"/>
          <w:szCs w:val="21"/>
          <w:highlight w:val="none"/>
          <w:u w:val="none"/>
          <w:lang w:val="en-US" w:eastAsia="zh-CN"/>
        </w:rPr>
        <w:t>实验区地块调出自然保护区范围。由于历史原因，这些区域（详见附图）早在80年代被划入了自然保护区，被划为自然保护区的实验区进行保护管理。由于人口密集，工农业聚集，管理难度极大，基本不具各自然保护区实验区的保护意义。通过组织专家进行实地调查发现，该区域近洞庭湖大堤区域大部分为城市集镇，城区周边区域则多为平原、农田村庄。</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湖南东洞庭湖国家级自然保护区调整后范围为地理坐标在N29</w:t>
      </w:r>
      <w:r>
        <w:rPr>
          <w:rFonts w:hint="eastAsia" w:ascii="微软雅黑" w:hAnsi="微软雅黑" w:eastAsia="微软雅黑" w:cs="微软雅黑"/>
          <w:bCs/>
          <w:color w:val="auto"/>
          <w:sz w:val="24"/>
          <w:szCs w:val="21"/>
          <w:highlight w:val="none"/>
          <w:u w:val="none"/>
          <w:lang w:val="en-US" w:eastAsia="zh-CN"/>
        </w:rPr>
        <w:t>⁰</w:t>
      </w:r>
      <w:r>
        <w:rPr>
          <w:rFonts w:hint="eastAsia" w:ascii="Times New Roman" w:hAnsi="Times New Roman" w:cs="Times New Roman"/>
          <w:bCs/>
          <w:color w:val="auto"/>
          <w:sz w:val="24"/>
          <w:szCs w:val="21"/>
          <w:highlight w:val="none"/>
          <w:u w:val="none"/>
          <w:lang w:val="en-US" w:eastAsia="zh-CN"/>
        </w:rPr>
        <w:t>0'0"-29</w:t>
      </w:r>
      <w:r>
        <w:rPr>
          <w:rFonts w:hint="eastAsia" w:ascii="微软雅黑" w:hAnsi="微软雅黑" w:eastAsia="微软雅黑" w:cs="微软雅黑"/>
          <w:bCs/>
          <w:color w:val="auto"/>
          <w:sz w:val="24"/>
          <w:szCs w:val="21"/>
          <w:highlight w:val="none"/>
          <w:u w:val="none"/>
          <w:lang w:val="en-US" w:eastAsia="zh-CN"/>
        </w:rPr>
        <w:t>⁰</w:t>
      </w:r>
      <w:r>
        <w:rPr>
          <w:rFonts w:hint="eastAsia" w:ascii="Times New Roman" w:hAnsi="Times New Roman" w:cs="Times New Roman"/>
          <w:bCs/>
          <w:color w:val="auto"/>
          <w:sz w:val="24"/>
          <w:szCs w:val="21"/>
          <w:highlight w:val="none"/>
          <w:u w:val="none"/>
          <w:lang w:val="en-US" w:eastAsia="zh-CN"/>
        </w:rPr>
        <w:t>37'45.7"，E112</w:t>
      </w:r>
      <w:r>
        <w:rPr>
          <w:rFonts w:hint="eastAsia" w:ascii="微软雅黑" w:hAnsi="微软雅黑" w:eastAsia="微软雅黑" w:cs="微软雅黑"/>
          <w:bCs/>
          <w:color w:val="auto"/>
          <w:sz w:val="24"/>
          <w:szCs w:val="21"/>
          <w:highlight w:val="none"/>
          <w:u w:val="none"/>
          <w:lang w:val="en-US" w:eastAsia="zh-CN"/>
        </w:rPr>
        <w:t>⁰</w:t>
      </w:r>
      <w:r>
        <w:rPr>
          <w:rFonts w:hint="eastAsia" w:ascii="Times New Roman" w:hAnsi="Times New Roman" w:cs="Times New Roman"/>
          <w:bCs/>
          <w:color w:val="auto"/>
          <w:sz w:val="24"/>
          <w:szCs w:val="21"/>
          <w:highlight w:val="none"/>
          <w:u w:val="none"/>
          <w:lang w:val="en-US" w:eastAsia="zh-CN"/>
        </w:rPr>
        <w:t>43'59.5"-113</w:t>
      </w:r>
      <w:r>
        <w:rPr>
          <w:rFonts w:hint="eastAsia" w:ascii="微软雅黑" w:hAnsi="微软雅黑" w:eastAsia="微软雅黑" w:cs="微软雅黑"/>
          <w:bCs/>
          <w:color w:val="auto"/>
          <w:sz w:val="24"/>
          <w:szCs w:val="21"/>
          <w:highlight w:val="none"/>
          <w:u w:val="none"/>
          <w:lang w:val="en-US" w:eastAsia="zh-CN"/>
        </w:rPr>
        <w:t>⁰</w:t>
      </w:r>
      <w:r>
        <w:rPr>
          <w:rFonts w:hint="eastAsia" w:ascii="Times New Roman" w:hAnsi="Times New Roman" w:cs="Times New Roman"/>
          <w:bCs/>
          <w:color w:val="auto"/>
          <w:sz w:val="24"/>
          <w:szCs w:val="21"/>
          <w:highlight w:val="none"/>
          <w:u w:val="none"/>
          <w:lang w:val="en-US" w:eastAsia="zh-CN"/>
        </w:rPr>
        <w:t>13'13.4"之间，自然保护区北起长江湘鄂两省主航道分界线，南至汨罗磊石山，东至京广铁路，西与南县交界。东西宽约50公里，南北长70公里，总面积</w:t>
      </w:r>
      <w:r>
        <w:rPr>
          <w:rFonts w:hint="eastAsia" w:cs="Times New Roman"/>
          <w:bCs/>
          <w:color w:val="auto"/>
          <w:sz w:val="24"/>
          <w:szCs w:val="21"/>
          <w:highlight w:val="none"/>
          <w:u w:val="none"/>
          <w:lang w:val="en-US" w:eastAsia="zh-CN"/>
        </w:rPr>
        <w:t>101152.28</w:t>
      </w:r>
      <w:r>
        <w:rPr>
          <w:rFonts w:hint="eastAsia" w:ascii="Times New Roman" w:hAnsi="Times New Roman" w:cs="Times New Roman"/>
          <w:bCs/>
          <w:color w:val="auto"/>
          <w:sz w:val="24"/>
          <w:szCs w:val="21"/>
          <w:highlight w:val="none"/>
          <w:u w:val="none"/>
          <w:lang w:val="en-US" w:eastAsia="zh-CN"/>
        </w:rPr>
        <w:t>公顷，东洞庭湖自然保护区方案调整后，本项目正好处于</w:t>
      </w:r>
      <w:r>
        <w:rPr>
          <w:rFonts w:hint="eastAsia" w:cs="Times New Roman"/>
          <w:bCs/>
          <w:color w:val="auto"/>
          <w:sz w:val="24"/>
          <w:szCs w:val="21"/>
          <w:highlight w:val="none"/>
          <w:u w:val="none"/>
          <w:lang w:val="en-US" w:eastAsia="zh-CN"/>
        </w:rPr>
        <w:t>湖南东洞庭湖自然保护区一般控制区</w:t>
      </w:r>
      <w:r>
        <w:rPr>
          <w:rFonts w:hint="eastAsia" w:ascii="Times New Roman" w:hAnsi="Times New Roman" w:cs="Times New Roman"/>
          <w:bCs/>
          <w:color w:val="auto"/>
          <w:sz w:val="24"/>
          <w:szCs w:val="21"/>
          <w:highlight w:val="none"/>
          <w:u w:val="none"/>
          <w:lang w:val="en-US" w:eastAsia="zh-CN"/>
        </w:rPr>
        <w:t>边界之外（距离</w:t>
      </w:r>
      <w:r>
        <w:rPr>
          <w:rFonts w:hint="eastAsia" w:cs="Times New Roman"/>
          <w:bCs/>
          <w:color w:val="auto"/>
          <w:sz w:val="24"/>
          <w:szCs w:val="21"/>
          <w:highlight w:val="none"/>
          <w:u w:val="none"/>
          <w:lang w:val="en-US" w:eastAsia="zh-CN"/>
        </w:rPr>
        <w:t>湖南东洞庭湖国家级自然保护区</w:t>
      </w:r>
      <w:r>
        <w:rPr>
          <w:rFonts w:hint="eastAsia" w:ascii="Times New Roman" w:hAnsi="Times New Roman" w:cs="Times New Roman"/>
          <w:bCs/>
          <w:color w:val="auto"/>
          <w:sz w:val="24"/>
          <w:szCs w:val="21"/>
          <w:highlight w:val="none"/>
          <w:u w:val="none"/>
          <w:lang w:val="en-US" w:eastAsia="zh-CN"/>
        </w:rPr>
        <w:t>约1.7km），由于调整规划目前仍</w:t>
      </w:r>
      <w:r>
        <w:rPr>
          <w:rFonts w:hint="eastAsia" w:cs="Times New Roman"/>
          <w:bCs/>
          <w:color w:val="auto"/>
          <w:sz w:val="24"/>
          <w:szCs w:val="21"/>
          <w:highlight w:val="none"/>
          <w:u w:val="none"/>
          <w:lang w:val="en-US" w:eastAsia="zh-CN"/>
        </w:rPr>
        <w:t>未正式发布</w:t>
      </w:r>
      <w:r>
        <w:rPr>
          <w:rFonts w:hint="eastAsia" w:ascii="Times New Roman" w:hAnsi="Times New Roman" w:cs="Times New Roman"/>
          <w:bCs/>
          <w:color w:val="auto"/>
          <w:sz w:val="24"/>
          <w:szCs w:val="21"/>
          <w:highlight w:val="none"/>
          <w:u w:val="none"/>
          <w:lang w:val="en-US" w:eastAsia="zh-CN"/>
        </w:rPr>
        <w:t>，故本报告仍以原有功能区划为准。</w:t>
      </w:r>
    </w:p>
    <w:p>
      <w:pPr>
        <w:pStyle w:val="69"/>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表3-3 湖南东洞庭湖国家级自然保护区整合优化方案拟调整基本情况</w:t>
      </w:r>
    </w:p>
    <w:tbl>
      <w:tblPr>
        <w:tblStyle w:val="23"/>
        <w:tblW w:w="0" w:type="auto"/>
        <w:tblInd w:w="4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 w:type="dxa"/>
          <w:bottom w:w="0" w:type="dxa"/>
          <w:right w:w="10" w:type="dxa"/>
        </w:tblCellMar>
      </w:tblPr>
      <w:tblGrid>
        <w:gridCol w:w="616"/>
        <w:gridCol w:w="1233"/>
        <w:gridCol w:w="797"/>
        <w:gridCol w:w="461"/>
        <w:gridCol w:w="2899"/>
        <w:gridCol w:w="1300"/>
        <w:gridCol w:w="98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1040" w:hRule="atLeast"/>
        </w:trPr>
        <w:tc>
          <w:tcPr>
            <w:tcW w:w="616" w:type="dxa"/>
            <w:tcBorders>
              <w:tl2br w:val="nil"/>
              <w:tr2bl w:val="nil"/>
            </w:tcBorders>
            <w:vAlign w:val="center"/>
          </w:tcPr>
          <w:p>
            <w:pPr>
              <w:pStyle w:val="70"/>
              <w:jc w:val="center"/>
              <w:rPr>
                <w:rFonts w:hint="eastAsia" w:ascii="Times New Roman" w:hAnsi="Times New Roman" w:cs="Times New Roman"/>
                <w:color w:val="auto"/>
              </w:rPr>
            </w:pPr>
            <w:r>
              <w:rPr>
                <w:rFonts w:hint="eastAsia" w:ascii="Times New Roman" w:hAnsi="Times New Roman" w:cs="Times New Roman"/>
                <w:color w:val="auto"/>
              </w:rPr>
              <w:t>保护区名称</w:t>
            </w:r>
          </w:p>
        </w:tc>
        <w:tc>
          <w:tcPr>
            <w:tcW w:w="1233" w:type="dxa"/>
            <w:tcBorders>
              <w:tl2br w:val="nil"/>
              <w:tr2bl w:val="nil"/>
            </w:tcBorders>
            <w:vAlign w:val="center"/>
          </w:tcPr>
          <w:p>
            <w:pPr>
              <w:pStyle w:val="70"/>
              <w:jc w:val="center"/>
              <w:rPr>
                <w:rFonts w:hint="eastAsia" w:ascii="Times New Roman" w:hAnsi="Times New Roman" w:cs="Times New Roman"/>
                <w:color w:val="auto"/>
              </w:rPr>
            </w:pPr>
            <w:r>
              <w:rPr>
                <w:rFonts w:hint="eastAsia" w:ascii="Times New Roman" w:hAnsi="Times New Roman" w:cs="Times New Roman"/>
                <w:color w:val="auto"/>
              </w:rPr>
              <w:t>所在行政区域及地理坐标</w:t>
            </w:r>
          </w:p>
        </w:tc>
        <w:tc>
          <w:tcPr>
            <w:tcW w:w="797" w:type="dxa"/>
            <w:tcBorders>
              <w:tl2br w:val="nil"/>
              <w:tr2bl w:val="nil"/>
            </w:tcBorders>
            <w:vAlign w:val="center"/>
          </w:tcPr>
          <w:p>
            <w:pPr>
              <w:pStyle w:val="70"/>
              <w:jc w:val="center"/>
              <w:rPr>
                <w:rFonts w:hint="eastAsia" w:ascii="Times New Roman" w:hAnsi="Times New Roman" w:cs="Times New Roman"/>
                <w:color w:val="auto"/>
              </w:rPr>
            </w:pPr>
            <w:r>
              <w:rPr>
                <w:rFonts w:hint="eastAsia" w:ascii="Times New Roman" w:hAnsi="Times New Roman" w:cs="Times New Roman"/>
                <w:color w:val="auto"/>
              </w:rPr>
              <w:t>主要保护对象</w:t>
            </w:r>
          </w:p>
        </w:tc>
        <w:tc>
          <w:tcPr>
            <w:tcW w:w="461" w:type="dxa"/>
            <w:tcBorders>
              <w:tl2br w:val="nil"/>
              <w:tr2bl w:val="nil"/>
            </w:tcBorders>
            <w:vAlign w:val="center"/>
          </w:tcPr>
          <w:p>
            <w:pPr>
              <w:pStyle w:val="70"/>
              <w:jc w:val="center"/>
              <w:rPr>
                <w:rFonts w:hint="eastAsia" w:ascii="Times New Roman" w:hAnsi="Times New Roman" w:cs="Times New Roman"/>
                <w:color w:val="auto"/>
              </w:rPr>
            </w:pPr>
            <w:r>
              <w:rPr>
                <w:rFonts w:hint="eastAsia" w:ascii="Times New Roman" w:hAnsi="Times New Roman" w:cs="Times New Roman"/>
                <w:color w:val="auto"/>
              </w:rPr>
              <w:t>调整类型</w:t>
            </w:r>
          </w:p>
        </w:tc>
        <w:tc>
          <w:tcPr>
            <w:tcW w:w="2899" w:type="dxa"/>
            <w:tcBorders>
              <w:tl2br w:val="nil"/>
              <w:tr2bl w:val="nil"/>
            </w:tcBorders>
            <w:vAlign w:val="center"/>
          </w:tcPr>
          <w:p>
            <w:pPr>
              <w:pStyle w:val="70"/>
              <w:jc w:val="center"/>
              <w:rPr>
                <w:rFonts w:hint="eastAsia" w:ascii="Times New Roman" w:hAnsi="Times New Roman" w:cs="Times New Roman"/>
                <w:color w:val="auto"/>
              </w:rPr>
            </w:pPr>
            <w:r>
              <w:rPr>
                <w:rFonts w:hint="eastAsia" w:ascii="Times New Roman" w:hAnsi="Times New Roman" w:cs="Times New Roman"/>
                <w:color w:val="auto"/>
              </w:rPr>
              <w:t>调整理由</w:t>
            </w:r>
          </w:p>
        </w:tc>
        <w:tc>
          <w:tcPr>
            <w:tcW w:w="1300" w:type="dxa"/>
            <w:tcBorders>
              <w:tl2br w:val="nil"/>
              <w:tr2bl w:val="nil"/>
            </w:tcBorders>
            <w:vAlign w:val="center"/>
          </w:tcPr>
          <w:p>
            <w:pPr>
              <w:pStyle w:val="70"/>
              <w:jc w:val="center"/>
              <w:rPr>
                <w:rFonts w:hint="eastAsia" w:ascii="Times New Roman" w:hAnsi="Times New Roman" w:cs="Times New Roman"/>
                <w:color w:val="auto"/>
              </w:rPr>
            </w:pPr>
            <w:r>
              <w:rPr>
                <w:rFonts w:hint="eastAsia" w:ascii="Times New Roman" w:hAnsi="Times New Roman" w:cs="Times New Roman"/>
                <w:color w:val="auto"/>
              </w:rPr>
              <w:t>调整前面积</w:t>
            </w:r>
          </w:p>
        </w:tc>
        <w:tc>
          <w:tcPr>
            <w:tcW w:w="980" w:type="dxa"/>
            <w:tcBorders>
              <w:tl2br w:val="nil"/>
              <w:tr2bl w:val="nil"/>
            </w:tcBorders>
            <w:vAlign w:val="center"/>
          </w:tcPr>
          <w:p>
            <w:pPr>
              <w:pStyle w:val="70"/>
              <w:jc w:val="center"/>
              <w:rPr>
                <w:rFonts w:hint="eastAsia" w:ascii="Times New Roman" w:hAnsi="Times New Roman" w:cs="Times New Roman"/>
                <w:color w:val="auto"/>
              </w:rPr>
            </w:pPr>
            <w:r>
              <w:rPr>
                <w:rFonts w:hint="eastAsia" w:ascii="Times New Roman" w:hAnsi="Times New Roman" w:cs="Times New Roman"/>
                <w:color w:val="auto"/>
              </w:rPr>
              <w:t>调整后面积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4800" w:hRule="atLeast"/>
        </w:trPr>
        <w:tc>
          <w:tcPr>
            <w:tcW w:w="616" w:type="dxa"/>
            <w:tcBorders>
              <w:tl2br w:val="nil"/>
              <w:tr2bl w:val="nil"/>
            </w:tcBorders>
            <w:vAlign w:val="center"/>
          </w:tcPr>
          <w:p>
            <w:pPr>
              <w:pStyle w:val="70"/>
              <w:jc w:val="center"/>
              <w:rPr>
                <w:rFonts w:hint="eastAsia" w:ascii="Times New Roman" w:hAnsi="Times New Roman" w:cs="Times New Roman"/>
                <w:color w:val="auto"/>
              </w:rPr>
            </w:pPr>
          </w:p>
          <w:p>
            <w:pPr>
              <w:pStyle w:val="70"/>
              <w:jc w:val="center"/>
              <w:rPr>
                <w:rFonts w:hint="eastAsia" w:ascii="Times New Roman" w:hAnsi="Times New Roman" w:cs="Times New Roman"/>
                <w:color w:val="auto"/>
              </w:rPr>
            </w:pPr>
          </w:p>
          <w:p>
            <w:pPr>
              <w:pStyle w:val="70"/>
              <w:jc w:val="center"/>
              <w:rPr>
                <w:rFonts w:hint="eastAsia" w:ascii="Times New Roman" w:hAnsi="Times New Roman" w:cs="Times New Roman"/>
                <w:color w:val="auto"/>
              </w:rPr>
            </w:pPr>
          </w:p>
          <w:p>
            <w:pPr>
              <w:pStyle w:val="70"/>
              <w:jc w:val="center"/>
              <w:rPr>
                <w:rFonts w:hint="eastAsia" w:ascii="Times New Roman" w:hAnsi="Times New Roman" w:cs="Times New Roman"/>
                <w:color w:val="auto"/>
              </w:rPr>
            </w:pPr>
          </w:p>
          <w:p>
            <w:pPr>
              <w:pStyle w:val="70"/>
              <w:jc w:val="center"/>
              <w:rPr>
                <w:rFonts w:hint="eastAsia" w:ascii="Times New Roman" w:hAnsi="Times New Roman" w:cs="Times New Roman"/>
                <w:color w:val="auto"/>
              </w:rPr>
            </w:pPr>
          </w:p>
          <w:p>
            <w:pPr>
              <w:pStyle w:val="70"/>
              <w:jc w:val="center"/>
              <w:rPr>
                <w:rFonts w:hint="eastAsia" w:ascii="Times New Roman" w:hAnsi="Times New Roman" w:cs="Times New Roman"/>
                <w:color w:val="auto"/>
              </w:rPr>
            </w:pPr>
            <w:r>
              <w:rPr>
                <w:rFonts w:hint="eastAsia" w:ascii="Times New Roman" w:hAnsi="Times New Roman" w:cs="Times New Roman"/>
                <w:color w:val="auto"/>
              </w:rPr>
              <w:t>湖南东洞庭湖国家级自然保护区</w:t>
            </w:r>
          </w:p>
        </w:tc>
        <w:tc>
          <w:tcPr>
            <w:tcW w:w="1233" w:type="dxa"/>
            <w:tcBorders>
              <w:tl2br w:val="nil"/>
              <w:tr2bl w:val="nil"/>
            </w:tcBorders>
            <w:vAlign w:val="center"/>
          </w:tcPr>
          <w:p>
            <w:pPr>
              <w:pStyle w:val="70"/>
              <w:jc w:val="center"/>
              <w:rPr>
                <w:rFonts w:hint="eastAsia" w:ascii="Times New Roman" w:hAnsi="Times New Roman" w:cs="Times New Roman"/>
                <w:color w:val="auto"/>
              </w:rPr>
            </w:pPr>
          </w:p>
          <w:p>
            <w:pPr>
              <w:pStyle w:val="70"/>
              <w:jc w:val="center"/>
              <w:rPr>
                <w:rFonts w:hint="eastAsia" w:ascii="Times New Roman" w:hAnsi="Times New Roman" w:cs="Times New Roman"/>
                <w:color w:val="auto"/>
              </w:rPr>
            </w:pPr>
          </w:p>
          <w:p>
            <w:pPr>
              <w:pStyle w:val="70"/>
              <w:jc w:val="center"/>
              <w:rPr>
                <w:rFonts w:hint="eastAsia" w:ascii="Times New Roman" w:hAnsi="Times New Roman" w:cs="Times New Roman"/>
                <w:color w:val="auto"/>
              </w:rPr>
            </w:pPr>
          </w:p>
          <w:p>
            <w:pPr>
              <w:pStyle w:val="70"/>
              <w:jc w:val="center"/>
              <w:rPr>
                <w:rFonts w:hint="default" w:ascii="Times New Roman" w:hAnsi="Times New Roman" w:cs="Times New Roman"/>
                <w:color w:val="auto"/>
              </w:rPr>
            </w:pPr>
            <w:r>
              <w:rPr>
                <w:rFonts w:hint="eastAsia" w:ascii="Times New Roman" w:hAnsi="Times New Roman" w:cs="Times New Roman"/>
                <w:color w:val="auto"/>
              </w:rPr>
              <w:t>岳阳市岳阳楼区、君山区、云溪区、华容县、岳阳县、汨罗市。112</w:t>
            </w:r>
            <w:r>
              <w:rPr>
                <w:rFonts w:hint="default" w:ascii="Times New Roman" w:hAnsi="Times New Roman" w:cs="Times New Roman"/>
                <w:color w:val="auto"/>
              </w:rPr>
              <w:t>° 42'55”</w:t>
            </w:r>
            <w:r>
              <w:rPr>
                <w:rFonts w:hint="eastAsia" w:ascii="Times New Roman" w:hAnsi="Times New Roman" w:cs="Times New Roman"/>
                <w:color w:val="auto"/>
                <w:lang w:val="en-US" w:eastAsia="zh-CN"/>
              </w:rPr>
              <w:t xml:space="preserve"> </w:t>
            </w:r>
            <w:r>
              <w:rPr>
                <w:rFonts w:hint="default" w:ascii="Times New Roman" w:hAnsi="Times New Roman" w:cs="Times New Roman"/>
                <w:color w:val="auto"/>
              </w:rPr>
              <w:t>~113°13' 6"E.28° 59' 58"~29° 37'40"</w:t>
            </w:r>
          </w:p>
          <w:p>
            <w:pPr>
              <w:pStyle w:val="70"/>
              <w:jc w:val="center"/>
              <w:rPr>
                <w:rFonts w:hint="eastAsia" w:ascii="Times New Roman" w:hAnsi="Times New Roman" w:cs="Times New Roman"/>
                <w:color w:val="auto"/>
              </w:rPr>
            </w:pPr>
            <w:r>
              <w:rPr>
                <w:rFonts w:hint="default" w:ascii="Times New Roman" w:hAnsi="Times New Roman" w:cs="Times New Roman"/>
                <w:color w:val="auto"/>
              </w:rPr>
              <w:t>N.</w:t>
            </w:r>
          </w:p>
        </w:tc>
        <w:tc>
          <w:tcPr>
            <w:tcW w:w="797" w:type="dxa"/>
            <w:tcBorders>
              <w:tl2br w:val="nil"/>
              <w:tr2bl w:val="nil"/>
            </w:tcBorders>
            <w:vAlign w:val="center"/>
          </w:tcPr>
          <w:p>
            <w:pPr>
              <w:pStyle w:val="70"/>
              <w:jc w:val="center"/>
              <w:rPr>
                <w:rFonts w:hint="eastAsia" w:ascii="Times New Roman" w:hAnsi="Times New Roman" w:cs="Times New Roman"/>
                <w:color w:val="auto"/>
              </w:rPr>
            </w:pPr>
            <w:r>
              <w:rPr>
                <w:rFonts w:hint="eastAsia" w:ascii="Times New Roman" w:hAnsi="Times New Roman" w:cs="Times New Roman"/>
                <w:color w:val="auto"/>
              </w:rPr>
              <w:t>湖南东洞庭湖国家级自然保护区主要保护对象为白鹤、白头鹤、东方白鹤、黑鹤等越冬候乌和麋鹿、江豚、中华秋沙鸭等珍稀濒危野生动</w:t>
            </w:r>
          </w:p>
          <w:p>
            <w:pPr>
              <w:pStyle w:val="70"/>
              <w:jc w:val="center"/>
              <w:rPr>
                <w:rFonts w:hint="eastAsia" w:ascii="Times New Roman" w:hAnsi="Times New Roman" w:cs="Times New Roman"/>
                <w:color w:val="auto"/>
              </w:rPr>
            </w:pPr>
            <w:r>
              <w:rPr>
                <w:rFonts w:hint="eastAsia" w:ascii="Times New Roman" w:hAnsi="Times New Roman" w:cs="Times New Roman"/>
                <w:color w:val="auto"/>
              </w:rPr>
              <w:t>物及洞庭湖湿地生态系统和生物多样性</w:t>
            </w:r>
          </w:p>
        </w:tc>
        <w:tc>
          <w:tcPr>
            <w:tcW w:w="461" w:type="dxa"/>
            <w:tcBorders>
              <w:tl2br w:val="nil"/>
              <w:tr2bl w:val="nil"/>
            </w:tcBorders>
            <w:vAlign w:val="center"/>
          </w:tcPr>
          <w:p>
            <w:pPr>
              <w:pStyle w:val="70"/>
              <w:jc w:val="center"/>
              <w:rPr>
                <w:rFonts w:hint="eastAsia" w:ascii="Times New Roman" w:hAnsi="Times New Roman" w:cs="Times New Roman"/>
                <w:color w:val="auto"/>
              </w:rPr>
            </w:pPr>
          </w:p>
          <w:p>
            <w:pPr>
              <w:pStyle w:val="70"/>
              <w:jc w:val="center"/>
              <w:rPr>
                <w:rFonts w:hint="eastAsia" w:ascii="Times New Roman" w:hAnsi="Times New Roman" w:cs="Times New Roman"/>
                <w:color w:val="auto"/>
              </w:rPr>
            </w:pPr>
          </w:p>
          <w:p>
            <w:pPr>
              <w:pStyle w:val="70"/>
              <w:jc w:val="center"/>
              <w:rPr>
                <w:rFonts w:hint="eastAsia" w:ascii="Times New Roman" w:hAnsi="Times New Roman" w:cs="Times New Roman"/>
                <w:color w:val="auto"/>
              </w:rPr>
            </w:pPr>
          </w:p>
          <w:p>
            <w:pPr>
              <w:pStyle w:val="70"/>
              <w:jc w:val="center"/>
              <w:rPr>
                <w:rFonts w:hint="eastAsia" w:ascii="Times New Roman" w:hAnsi="Times New Roman" w:cs="Times New Roman"/>
                <w:color w:val="auto"/>
              </w:rPr>
            </w:pPr>
          </w:p>
          <w:p>
            <w:pPr>
              <w:pStyle w:val="70"/>
              <w:jc w:val="center"/>
              <w:rPr>
                <w:rFonts w:hint="eastAsia" w:ascii="Times New Roman" w:hAnsi="Times New Roman" w:cs="Times New Roman"/>
                <w:color w:val="auto"/>
              </w:rPr>
            </w:pPr>
          </w:p>
          <w:p>
            <w:pPr>
              <w:pStyle w:val="70"/>
              <w:jc w:val="center"/>
              <w:rPr>
                <w:rFonts w:hint="eastAsia" w:ascii="Times New Roman" w:hAnsi="Times New Roman" w:cs="Times New Roman"/>
                <w:color w:val="auto"/>
              </w:rPr>
            </w:pPr>
          </w:p>
          <w:p>
            <w:pPr>
              <w:pStyle w:val="70"/>
              <w:jc w:val="center"/>
              <w:rPr>
                <w:rFonts w:hint="eastAsia" w:ascii="Times New Roman" w:hAnsi="Times New Roman" w:cs="Times New Roman"/>
                <w:color w:val="auto"/>
              </w:rPr>
            </w:pPr>
            <w:r>
              <w:rPr>
                <w:rFonts w:hint="eastAsia" w:ascii="Times New Roman" w:hAnsi="Times New Roman" w:cs="Times New Roman"/>
                <w:color w:val="auto"/>
              </w:rPr>
              <w:t>范围和功能区</w:t>
            </w:r>
          </w:p>
          <w:p>
            <w:pPr>
              <w:pStyle w:val="70"/>
              <w:jc w:val="center"/>
              <w:rPr>
                <w:rFonts w:hint="eastAsia" w:ascii="Times New Roman" w:hAnsi="Times New Roman" w:cs="Times New Roman"/>
                <w:color w:val="auto"/>
              </w:rPr>
            </w:pPr>
            <w:r>
              <w:rPr>
                <w:rFonts w:hint="eastAsia" w:ascii="Times New Roman" w:hAnsi="Times New Roman" w:cs="Times New Roman"/>
                <w:color w:val="auto"/>
              </w:rPr>
              <w:t>调整</w:t>
            </w:r>
          </w:p>
        </w:tc>
        <w:tc>
          <w:tcPr>
            <w:tcW w:w="2899" w:type="dxa"/>
            <w:tcBorders>
              <w:tl2br w:val="nil"/>
              <w:tr2bl w:val="nil"/>
            </w:tcBorders>
            <w:vAlign w:val="center"/>
          </w:tcPr>
          <w:p>
            <w:pPr>
              <w:pStyle w:val="70"/>
              <w:jc w:val="center"/>
              <w:rPr>
                <w:rFonts w:hint="eastAsia" w:ascii="Times New Roman" w:hAnsi="Times New Roman" w:cs="Times New Roman"/>
                <w:color w:val="auto"/>
              </w:rPr>
            </w:pPr>
            <w:r>
              <w:rPr>
                <w:rFonts w:hint="eastAsia" w:ascii="Times New Roman" w:hAnsi="Times New Roman" w:cs="Times New Roman"/>
                <w:color w:val="auto"/>
              </w:rPr>
              <w:t>根据“中办发〔2019〕42号”“自然资函〔2020〕71号”“湘林保〔2020〕16号”等相关政策文件，要求开展自然保护地整合优化工作，合理确定自然保护地类型和功能定位，优化边界范围和功能分区，重点解决自然保护地空间重叠、边界不清、权责不明、保护与发展矛盾突出等问题。</w:t>
            </w:r>
          </w:p>
          <w:p>
            <w:pPr>
              <w:pStyle w:val="70"/>
              <w:jc w:val="center"/>
              <w:rPr>
                <w:rFonts w:hint="eastAsia" w:ascii="Times New Roman" w:hAnsi="Times New Roman" w:cs="Times New Roman"/>
                <w:color w:val="auto"/>
              </w:rPr>
            </w:pPr>
            <w:r>
              <w:rPr>
                <w:rFonts w:hint="eastAsia" w:ascii="Times New Roman" w:hAnsi="Times New Roman" w:cs="Times New Roman"/>
                <w:color w:val="auto"/>
              </w:rPr>
              <w:t>一是因湖南东洞庭湖国家级自然保护区与岳阳楼-东洞庭湖风景名胜区存在大量交叉重叠部分，为加强人文景观资源的保护，将其保留为风景风景名胜区，二是在设立之初，自然保护区划入了大量城镇建成区、村庄及永久基本农田，为有效解决历史遗留问题，促进自然保护区与社区和谐发展，将其调出自然保护区范围.</w:t>
            </w:r>
          </w:p>
        </w:tc>
        <w:tc>
          <w:tcPr>
            <w:tcW w:w="1300" w:type="dxa"/>
            <w:tcBorders>
              <w:tl2br w:val="nil"/>
              <w:tr2bl w:val="nil"/>
            </w:tcBorders>
            <w:vAlign w:val="center"/>
          </w:tcPr>
          <w:p>
            <w:pPr>
              <w:pStyle w:val="70"/>
              <w:jc w:val="center"/>
              <w:rPr>
                <w:rFonts w:hint="eastAsia" w:ascii="Times New Roman" w:hAnsi="Times New Roman" w:cs="Times New Roman"/>
                <w:color w:val="auto"/>
              </w:rPr>
            </w:pPr>
            <w:r>
              <w:rPr>
                <w:rFonts w:hint="eastAsia" w:ascii="Times New Roman" w:hAnsi="Times New Roman" w:cs="Times New Roman"/>
                <w:color w:val="auto"/>
              </w:rPr>
              <w:t>批复总面积</w:t>
            </w:r>
          </w:p>
          <w:p>
            <w:pPr>
              <w:pStyle w:val="70"/>
              <w:jc w:val="center"/>
              <w:rPr>
                <w:rFonts w:hint="eastAsia" w:ascii="Times New Roman" w:hAnsi="Times New Roman" w:cs="Times New Roman"/>
                <w:color w:val="auto"/>
              </w:rPr>
            </w:pPr>
            <w:r>
              <w:rPr>
                <w:rFonts w:hint="eastAsia" w:ascii="Times New Roman" w:hAnsi="Times New Roman" w:cs="Times New Roman"/>
                <w:color w:val="auto"/>
              </w:rPr>
              <w:t>157627.00公顷，落图总面积157534.30公顷.其中核心区批复面积33286.20公顷，落图面积</w:t>
            </w:r>
          </w:p>
          <w:p>
            <w:pPr>
              <w:pStyle w:val="70"/>
              <w:jc w:val="center"/>
              <w:rPr>
                <w:rFonts w:hint="eastAsia" w:ascii="Times New Roman" w:hAnsi="Times New Roman" w:cs="Times New Roman"/>
                <w:color w:val="auto"/>
              </w:rPr>
            </w:pPr>
            <w:r>
              <w:rPr>
                <w:rFonts w:hint="eastAsia" w:ascii="Times New Roman" w:hAnsi="Times New Roman" w:cs="Times New Roman"/>
                <w:color w:val="auto"/>
              </w:rPr>
              <w:t>33247.96公顷：缓冲区批复面积32369.80公顷，落图面积32456.51公顷：</w:t>
            </w:r>
          </w:p>
          <w:p>
            <w:pPr>
              <w:pStyle w:val="70"/>
              <w:jc w:val="center"/>
              <w:rPr>
                <w:rFonts w:hint="eastAsia" w:ascii="Times New Roman" w:hAnsi="Times New Roman" w:cs="Times New Roman"/>
                <w:color w:val="auto"/>
              </w:rPr>
            </w:pPr>
            <w:r>
              <w:rPr>
                <w:rFonts w:hint="eastAsia" w:ascii="Times New Roman" w:hAnsi="Times New Roman" w:cs="Times New Roman"/>
                <w:color w:val="auto"/>
              </w:rPr>
              <w:t>实验区批复面积91972.00公顷，落图面积9182983公顷</w:t>
            </w:r>
          </w:p>
        </w:tc>
        <w:tc>
          <w:tcPr>
            <w:tcW w:w="980" w:type="dxa"/>
            <w:tcBorders>
              <w:tl2br w:val="nil"/>
              <w:tr2bl w:val="nil"/>
            </w:tcBorders>
            <w:vAlign w:val="center"/>
          </w:tcPr>
          <w:p>
            <w:pPr>
              <w:pStyle w:val="70"/>
              <w:jc w:val="center"/>
              <w:rPr>
                <w:rFonts w:hint="eastAsia" w:ascii="Times New Roman" w:hAnsi="Times New Roman" w:cs="Times New Roman"/>
                <w:color w:val="auto"/>
              </w:rPr>
            </w:pPr>
            <w:r>
              <w:rPr>
                <w:rFonts w:hint="eastAsia" w:ascii="Times New Roman" w:hAnsi="Times New Roman" w:cs="Times New Roman"/>
                <w:color w:val="auto"/>
              </w:rPr>
              <w:t>总面积</w:t>
            </w:r>
          </w:p>
          <w:p>
            <w:pPr>
              <w:pStyle w:val="70"/>
              <w:jc w:val="center"/>
              <w:rPr>
                <w:rFonts w:hint="eastAsia" w:ascii="Times New Roman" w:hAnsi="Times New Roman" w:cs="Times New Roman"/>
                <w:color w:val="auto"/>
              </w:rPr>
            </w:pPr>
            <w:r>
              <w:rPr>
                <w:rFonts w:hint="eastAsia" w:ascii="Times New Roman" w:hAnsi="Times New Roman" w:cs="Times New Roman"/>
                <w:color w:val="auto"/>
              </w:rPr>
              <w:t>101152.28公顷其中：核心保护区面积68055.08公</w:t>
            </w:r>
          </w:p>
          <w:p>
            <w:pPr>
              <w:pStyle w:val="70"/>
              <w:jc w:val="center"/>
              <w:rPr>
                <w:rFonts w:hint="eastAsia" w:ascii="Times New Roman" w:hAnsi="Times New Roman" w:cs="Times New Roman"/>
                <w:color w:val="auto"/>
              </w:rPr>
            </w:pPr>
            <w:r>
              <w:rPr>
                <w:rFonts w:hint="eastAsia" w:ascii="Times New Roman" w:hAnsi="Times New Roman" w:cs="Times New Roman"/>
                <w:color w:val="auto"/>
              </w:rPr>
              <w:t>顷，一般控制区面积33097.21公</w:t>
            </w:r>
          </w:p>
          <w:p>
            <w:pPr>
              <w:pStyle w:val="70"/>
              <w:jc w:val="center"/>
              <w:rPr>
                <w:rFonts w:hint="eastAsia" w:ascii="Times New Roman" w:hAnsi="Times New Roman" w:cs="Times New Roman"/>
                <w:color w:val="auto"/>
              </w:rPr>
            </w:pPr>
            <w:r>
              <w:rPr>
                <w:rFonts w:hint="eastAsia" w:ascii="Times New Roman" w:hAnsi="Times New Roman" w:cs="Times New Roman"/>
                <w:color w:val="auto"/>
              </w:rPr>
              <w:t>顷.</w:t>
            </w:r>
          </w:p>
        </w:tc>
      </w:tr>
    </w:tbl>
    <w:p>
      <w:pPr>
        <w:pStyle w:val="2"/>
        <w:rPr>
          <w:rFonts w:hint="eastAsia"/>
          <w:color w:val="auto"/>
          <w:lang w:val="en-US" w:eastAsia="zh-CN"/>
        </w:rPr>
      </w:pPr>
    </w:p>
    <w:p>
      <w:pPr>
        <w:pStyle w:val="56"/>
        <w:adjustRightInd w:val="0"/>
        <w:snapToGrid w:val="0"/>
        <w:spacing w:line="360" w:lineRule="auto"/>
        <w:ind w:left="0" w:leftChars="0" w:firstLine="0" w:firstLineChars="0"/>
        <w:rPr>
          <w:rFonts w:hint="default" w:ascii="Times New Roman" w:hAnsi="Times New Roman" w:cs="Times New Roman"/>
          <w:b/>
          <w:color w:val="auto"/>
          <w:sz w:val="24"/>
          <w:szCs w:val="21"/>
          <w:lang w:val="en-US" w:eastAsia="zh-CN"/>
        </w:rPr>
      </w:pPr>
      <w:r>
        <w:rPr>
          <w:rFonts w:hint="eastAsia" w:ascii="Times New Roman" w:hAnsi="Times New Roman" w:cs="Times New Roman"/>
          <w:b/>
          <w:color w:val="auto"/>
          <w:sz w:val="24"/>
          <w:szCs w:val="21"/>
          <w:lang w:val="en-US" w:eastAsia="zh-CN"/>
        </w:rPr>
        <w:t>3.3.2保护区内生态系统</w:t>
      </w:r>
    </w:p>
    <w:p>
      <w:pPr>
        <w:pStyle w:val="68"/>
        <w:ind w:firstLine="480"/>
        <w:rPr>
          <w:rFonts w:hint="default" w:ascii="Times New Roman" w:hAnsi="Times New Roman" w:cs="Times New Roman"/>
          <w:color w:val="auto"/>
          <w:lang w:val="en-US" w:eastAsia="zh-CN"/>
        </w:rPr>
      </w:pPr>
      <w:r>
        <w:rPr>
          <w:rFonts w:hint="eastAsia" w:cs="Times New Roman"/>
          <w:color w:val="auto"/>
          <w:lang w:val="en-US" w:eastAsia="zh-CN"/>
        </w:rPr>
        <w:t>（1）植被</w:t>
      </w:r>
    </w:p>
    <w:p>
      <w:pPr>
        <w:pStyle w:val="68"/>
        <w:ind w:firstLine="480"/>
        <w:rPr>
          <w:rFonts w:hint="default" w:ascii="Times New Roman" w:hAnsi="Times New Roman" w:cs="Times New Roman"/>
          <w:color w:val="auto"/>
        </w:rPr>
      </w:pPr>
      <w:r>
        <w:rPr>
          <w:rFonts w:hint="default" w:ascii="Times New Roman" w:hAnsi="Times New Roman" w:cs="Times New Roman"/>
          <w:color w:val="auto"/>
        </w:rPr>
        <w:t>植被以湿地植物为主，自然保护区范围因有丘陵岗地，也包括部分丘陵岗地的森林、灌丛类型，划分为7个植被型组（针叶林、针阔混交林、阔叶林、灌草丛、草甸型、沼泽型、水生植物型），63个群系（包括季节性群系）。保护区有维管束植物169科、541属、865种。其中蕨类植物24科、40属、63种，裸子植物7科、17属、22种，被子植物138科、484属、780种。自然保护区865种植物中，分布于湿地区域即水体、洲滩、湖堤等冲积土上的湿地植物共451种。典型的水生植物55种，其中挺水植物28种，浮叶植物7种，漂浮植物6种，沉水植物14种。</w:t>
      </w:r>
    </w:p>
    <w:p>
      <w:pPr>
        <w:pStyle w:val="68"/>
        <w:ind w:firstLine="480"/>
        <w:rPr>
          <w:rFonts w:hint="default" w:ascii="Times New Roman" w:hAnsi="Times New Roman" w:eastAsia="宋体" w:cs="Times New Roman"/>
          <w:color w:val="auto"/>
          <w:lang w:val="en-US" w:eastAsia="zh-CN"/>
        </w:rPr>
      </w:pPr>
      <w:r>
        <w:rPr>
          <w:rFonts w:hint="eastAsia" w:cs="Times New Roman"/>
          <w:color w:val="auto"/>
          <w:lang w:val="en-US" w:eastAsia="zh-CN"/>
        </w:rPr>
        <w:t>（2）动物</w:t>
      </w:r>
    </w:p>
    <w:p>
      <w:pPr>
        <w:pStyle w:val="68"/>
        <w:ind w:firstLine="480"/>
        <w:rPr>
          <w:rFonts w:hint="default" w:ascii="Times New Roman" w:hAnsi="Times New Roman" w:cs="Times New Roman"/>
          <w:color w:val="auto"/>
        </w:rPr>
      </w:pPr>
      <w:r>
        <w:rPr>
          <w:rFonts w:hint="default" w:ascii="Times New Roman" w:hAnsi="Times New Roman" w:cs="Times New Roman"/>
          <w:color w:val="auto"/>
        </w:rPr>
        <w:t>自然保护区有野生脊椎动物共有5纲37目110科534种。其中，鱼类7目19科117种；两栖类2目5科11种；爬行类3目8科25种；鸟类17/18目55/64科348种；哺乳类7目14科33种。保护区独特的水域湿地环境，决定了该区动物类群具有喜湿或半喜湿性特征。构成该区生物地理动物群的主体为水禽和鱼类，而绝大多数为迁徙性鸟类和洄游性鱼类，形成了复杂的区系特征，同时集中了许多珍稀濒危物种，且濒危物种还具有相当的数量，对于保持湿地生物多样性具有重要意义</w:t>
      </w:r>
    </w:p>
    <w:p>
      <w:pPr>
        <w:pStyle w:val="68"/>
        <w:ind w:firstLine="480"/>
        <w:rPr>
          <w:rFonts w:hint="default" w:ascii="Times New Roman" w:hAnsi="Times New Roman" w:cs="Times New Roman"/>
          <w:color w:val="auto"/>
        </w:rPr>
      </w:pPr>
      <w:r>
        <w:rPr>
          <w:rFonts w:hint="eastAsia" w:cs="Times New Roman"/>
          <w:color w:val="auto"/>
          <w:lang w:val="en-US" w:eastAsia="zh-CN"/>
        </w:rPr>
        <w:t>（3）</w:t>
      </w:r>
      <w:r>
        <w:rPr>
          <w:rFonts w:hint="eastAsia" w:ascii="Times New Roman" w:hAnsi="Times New Roman" w:cs="Times New Roman"/>
          <w:color w:val="auto"/>
        </w:rPr>
        <w:t>景观资源</w:t>
      </w:r>
    </w:p>
    <w:p>
      <w:pPr>
        <w:pStyle w:val="68"/>
        <w:ind w:firstLine="480"/>
        <w:rPr>
          <w:rFonts w:hint="eastAsia" w:ascii="Times New Roman" w:hAnsi="Times New Roman" w:eastAsia="宋体" w:cs="Times New Roman"/>
          <w:color w:val="auto"/>
        </w:rPr>
      </w:pPr>
      <w:r>
        <w:rPr>
          <w:rFonts w:hint="eastAsia" w:ascii="Times New Roman" w:hAnsi="Times New Roman" w:cs="Times New Roman"/>
          <w:color w:val="auto"/>
        </w:rPr>
        <w:t>壮丽的湿地景观：洞庭湖纳湘江、资江、澧水、沅江四水，吞吐长江，浩浩</w:t>
      </w:r>
      <w:r>
        <w:rPr>
          <w:rFonts w:hint="eastAsia" w:ascii="Times New Roman" w:hAnsi="Times New Roman" w:eastAsia="宋体" w:cs="Times New Roman"/>
          <w:color w:val="auto"/>
        </w:rPr>
        <w:t>荡荡，横无际涯，天水一色，云蒸霞蔚，气象万千，波澜壮阔的八百里洞庭胜景依稀呈现；秋冬时节，水退滩现，形成独特的湖中湖，各显峥嵘，条条水道将星罗棋布、大小不等、形状各异的湖泊连贯成串，形似一条壮观的超级项链；在一望无垠的水际洲滩上，自由翱翔的鸟群追风逐月，绵延不绝，潇湘八景之一的“平沙落雁”竞现眼前，令人心旷神怡，流连忘返。</w:t>
      </w:r>
    </w:p>
    <w:p>
      <w:pPr>
        <w:pStyle w:val="68"/>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丰富的生物景观：洞庭湖宽广的湖面，在地壳不断沉降与隆起的造地运动作用下，逐渐形成了不同的地形地貌和多样的湿地生态环境，从而孕育了丰富的植被群落和水生生物资源，为食性不同的百余种水禽提供了取之不尽的食物，成为冬侯鸟栖息的乐园。每到秋风劲吹的季节，成千上万的游禽和涉禽，飞越万水千山，从遥远的西北利亚、东北、西北等繁殖地成群结队来到洞庭湖湖区越冬。</w:t>
      </w:r>
    </w:p>
    <w:p>
      <w:pPr>
        <w:pStyle w:val="68"/>
        <w:ind w:firstLine="48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（4）重点保护对象</w:t>
      </w:r>
    </w:p>
    <w:p>
      <w:pPr>
        <w:pStyle w:val="68"/>
        <w:ind w:firstLine="4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重点保护对象：东洞庭湖国家级自然保护区湿地洲滩发育，是我国珍稀候鸟越冬栖息地和繁殖地。鸟类数量、种类，水生生物数量、种类，淡水鱼类数量、种类都十分丰富。鱼类有114种、贝类40余种、鸟类80余种、兽类10余种，野生植物有873种。其中属于国家一类保护的水禽有白鹤、丹顶鹤、白头鹤、白枕鹤、白图、黑鹤、斑嘴鸦鹏等7种，属于国家二类保护的水禽有大鸨、灰鹤、白琵鸳、天鹅等多种:还有属于国家一类保护的中华鲟、白鳍豚，属于国家二类保护的江豚、扬子鳄、麋鹿、具有十分重要的研究和保护价值。</w:t>
      </w:r>
    </w:p>
    <w:p>
      <w:pPr>
        <w:pStyle w:val="68"/>
        <w:ind w:firstLine="4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本项目位于该保护区现状实验区范围内、</w:t>
      </w:r>
      <w:r>
        <w:rPr>
          <w:rFonts w:hint="eastAsia" w:cs="Times New Roman"/>
          <w:color w:val="auto"/>
          <w:lang w:val="en-US" w:eastAsia="zh-CN"/>
        </w:rPr>
        <w:t>整合优化范围后的自然保护区范围</w:t>
      </w:r>
      <w:r>
        <w:rPr>
          <w:rFonts w:hint="eastAsia" w:ascii="Times New Roman" w:hAnsi="Times New Roman" w:eastAsia="宋体" w:cs="Times New Roman"/>
          <w:color w:val="auto"/>
          <w:lang w:val="en-US" w:eastAsia="zh-CN"/>
        </w:rPr>
        <w:t>外，不涉及珍稀保护动物。</w:t>
      </w:r>
    </w:p>
    <w:p>
      <w:pPr>
        <w:pStyle w:val="68"/>
        <w:ind w:firstLine="480"/>
        <w:rPr>
          <w:rFonts w:hint="eastAsia" w:ascii="Times New Roman" w:hAnsi="Times New Roman" w:eastAsia="宋体" w:cs="Times New Roman"/>
          <w:b/>
          <w:bCs w:val="0"/>
          <w:snapToGrid w:val="0"/>
          <w:color w:val="auto"/>
          <w:kern w:val="0"/>
          <w:sz w:val="30"/>
          <w:szCs w:val="30"/>
          <w:lang w:val="en-US" w:eastAsia="zh-CN" w:bidi="ar-SA"/>
        </w:rPr>
      </w:pPr>
      <w:r>
        <w:rPr>
          <w:rFonts w:hint="eastAsia" w:ascii="Times New Roman" w:hAnsi="Times New Roman" w:eastAsia="宋体" w:cs="Times New Roman"/>
          <w:b/>
          <w:bCs w:val="0"/>
          <w:snapToGrid w:val="0"/>
          <w:color w:val="auto"/>
          <w:kern w:val="0"/>
          <w:sz w:val="30"/>
          <w:szCs w:val="30"/>
          <w:lang w:val="en-US" w:eastAsia="zh-CN" w:bidi="ar-SA"/>
        </w:rPr>
        <w:br w:type="page"/>
      </w:r>
    </w:p>
    <w:p>
      <w:pPr>
        <w:keepNext/>
        <w:widowControl w:val="0"/>
        <w:overflowPunct w:val="0"/>
        <w:snapToGrid w:val="0"/>
        <w:spacing w:before="120" w:after="160" w:line="259" w:lineRule="auto"/>
        <w:ind w:left="432" w:hanging="432"/>
        <w:jc w:val="both"/>
        <w:outlineLvl w:val="0"/>
        <w:rPr>
          <w:rFonts w:ascii="Times New Roman" w:hAnsi="Times New Roman" w:eastAsia="黑体" w:cs="Times New Roman"/>
          <w:b w:val="0"/>
          <w:bCs/>
          <w:snapToGrid w:val="0"/>
          <w:color w:val="auto"/>
          <w:kern w:val="44"/>
          <w:sz w:val="30"/>
          <w:szCs w:val="30"/>
          <w:lang w:val="en-US" w:eastAsia="zh-CN" w:bidi="ar-SA"/>
        </w:rPr>
      </w:pPr>
      <w:bookmarkStart w:id="247" w:name="_Toc12000"/>
      <w:r>
        <w:rPr>
          <w:rFonts w:hint="eastAsia" w:ascii="Times New Roman" w:hAnsi="Times New Roman" w:eastAsia="宋体" w:cs="Times New Roman"/>
          <w:b/>
          <w:bCs w:val="0"/>
          <w:snapToGrid w:val="0"/>
          <w:color w:val="auto"/>
          <w:kern w:val="0"/>
          <w:sz w:val="30"/>
          <w:szCs w:val="30"/>
          <w:lang w:val="en-US" w:eastAsia="zh-CN" w:bidi="ar-SA"/>
        </w:rPr>
        <w:t>4</w:t>
      </w:r>
      <w:r>
        <w:rPr>
          <w:rFonts w:ascii="Times New Roman" w:hAnsi="Times New Roman" w:eastAsia="宋体" w:cs="Times New Roman"/>
          <w:b/>
          <w:bCs w:val="0"/>
          <w:snapToGrid w:val="0"/>
          <w:color w:val="auto"/>
          <w:kern w:val="0"/>
          <w:sz w:val="30"/>
          <w:szCs w:val="30"/>
          <w:lang w:val="en-US" w:eastAsia="zh-CN" w:bidi="ar-SA"/>
        </w:rPr>
        <w:t>生态环境</w:t>
      </w:r>
      <w:r>
        <w:rPr>
          <w:rFonts w:hint="eastAsia" w:ascii="Times New Roman" w:hAnsi="Times New Roman" w:eastAsia="宋体" w:cs="Times New Roman"/>
          <w:b/>
          <w:bCs w:val="0"/>
          <w:snapToGrid w:val="0"/>
          <w:color w:val="auto"/>
          <w:kern w:val="0"/>
          <w:sz w:val="30"/>
          <w:szCs w:val="30"/>
          <w:lang w:val="en-US" w:eastAsia="zh-CN" w:bidi="ar-SA"/>
        </w:rPr>
        <w:t>影响</w:t>
      </w:r>
      <w:r>
        <w:rPr>
          <w:rFonts w:ascii="Times New Roman" w:hAnsi="Times New Roman" w:eastAsia="宋体" w:cs="Times New Roman"/>
          <w:b/>
          <w:bCs w:val="0"/>
          <w:snapToGrid w:val="0"/>
          <w:color w:val="auto"/>
          <w:kern w:val="0"/>
          <w:sz w:val="30"/>
          <w:szCs w:val="30"/>
          <w:lang w:val="en-US" w:eastAsia="zh-CN" w:bidi="ar-SA"/>
        </w:rPr>
        <w:t>评价</w:t>
      </w:r>
      <w:bookmarkEnd w:id="243"/>
      <w:bookmarkEnd w:id="244"/>
      <w:bookmarkEnd w:id="245"/>
      <w:bookmarkEnd w:id="246"/>
      <w:bookmarkEnd w:id="247"/>
    </w:p>
    <w:p>
      <w:pPr>
        <w:keepNext/>
        <w:keepLines/>
        <w:widowControl w:val="0"/>
        <w:adjustRightInd w:val="0"/>
        <w:snapToGrid w:val="0"/>
        <w:spacing w:before="0" w:after="0" w:line="360" w:lineRule="auto"/>
        <w:jc w:val="both"/>
        <w:outlineLvl w:val="1"/>
        <w:rPr>
          <w:rFonts w:hint="default" w:ascii="Times New Roman" w:hAnsi="Times New Roman" w:eastAsia="宋体" w:cs="Times New Roman"/>
          <w:b/>
          <w:bCs/>
          <w:color w:val="auto"/>
          <w:kern w:val="2"/>
          <w:sz w:val="28"/>
          <w:szCs w:val="28"/>
          <w:lang w:val="en-US" w:eastAsia="zh-CN" w:bidi="ar-SA"/>
        </w:rPr>
      </w:pPr>
      <w:bookmarkStart w:id="248" w:name="_Toc9300"/>
      <w:bookmarkStart w:id="249" w:name="_Toc21397"/>
      <w:bookmarkStart w:id="250" w:name="_Toc31053"/>
      <w:bookmarkStart w:id="251" w:name="_Toc1436"/>
      <w:bookmarkStart w:id="252" w:name="_Toc23237"/>
      <w:bookmarkStart w:id="253" w:name="_Toc280"/>
      <w:bookmarkStart w:id="254" w:name="_Toc11496"/>
      <w:bookmarkStart w:id="255" w:name="_Toc20999"/>
      <w:r>
        <w:rPr>
          <w:rFonts w:ascii="Times New Roman" w:hAnsi="Times New Roman" w:eastAsia="宋体" w:cs="Times New Roman"/>
          <w:b/>
          <w:bCs/>
          <w:color w:val="auto"/>
          <w:kern w:val="2"/>
          <w:sz w:val="28"/>
          <w:szCs w:val="28"/>
          <w:lang w:val="en-US" w:eastAsia="zh-CN" w:bidi="ar-SA"/>
        </w:rPr>
        <w:t xml:space="preserve">4.1 </w:t>
      </w:r>
      <w:r>
        <w:rPr>
          <w:rFonts w:hint="eastAsia" w:ascii="Times New Roman" w:hAnsi="Times New Roman" w:eastAsia="宋体" w:cs="Times New Roman"/>
          <w:b/>
          <w:bCs/>
          <w:color w:val="auto"/>
          <w:kern w:val="2"/>
          <w:sz w:val="28"/>
          <w:szCs w:val="28"/>
          <w:lang w:val="en-US" w:eastAsia="zh-CN" w:bidi="ar-SA"/>
        </w:rPr>
        <w:t>施工期生态环境影响分析与评价</w:t>
      </w:r>
      <w:bookmarkEnd w:id="248"/>
      <w:bookmarkEnd w:id="249"/>
      <w:bookmarkEnd w:id="250"/>
    </w:p>
    <w:p>
      <w:pPr>
        <w:pStyle w:val="68"/>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w:t>
      </w:r>
      <w:r>
        <w:rPr>
          <w:rFonts w:hint="eastAsia" w:ascii="Times New Roman" w:hAnsi="Times New Roman" w:eastAsia="宋体" w:cs="Times New Roman"/>
          <w:color w:val="auto"/>
          <w:lang w:val="en-US" w:eastAsia="zh-CN"/>
        </w:rPr>
        <w:t>位于华容县团洲乡</w:t>
      </w:r>
      <w:r>
        <w:rPr>
          <w:rFonts w:hint="default" w:ascii="Times New Roman" w:hAnsi="Times New Roman" w:eastAsia="宋体" w:cs="Times New Roman"/>
          <w:color w:val="auto"/>
          <w:lang w:val="en-US" w:eastAsia="zh-CN"/>
        </w:rPr>
        <w:t>，项目占地及评价范围内不涉及自然保护区、风景名胜区等特殊生态敏感区。受开发建设和人类活动的影响，影响范围内植被主要为人工植被及次生植被毛竹、杉木及灌木、杂草</w:t>
      </w:r>
      <w:r>
        <w:rPr>
          <w:rFonts w:hint="eastAsia" w:ascii="Times New Roman" w:hAnsi="Times New Roman" w:eastAsia="宋体" w:cs="Times New Roman"/>
          <w:color w:val="auto"/>
          <w:lang w:val="en-US" w:eastAsia="zh-CN"/>
        </w:rPr>
        <w:t>、农作物</w:t>
      </w:r>
      <w:r>
        <w:rPr>
          <w:rFonts w:hint="default" w:ascii="Times New Roman" w:hAnsi="Times New Roman" w:eastAsia="宋体" w:cs="Times New Roman"/>
          <w:color w:val="auto"/>
          <w:lang w:val="en-US" w:eastAsia="zh-CN"/>
        </w:rPr>
        <w:t>等，主要动物为常见种类，如：鼠、麻雀等，无国家规定保护的珍稀动植物。项目</w:t>
      </w:r>
      <w:r>
        <w:rPr>
          <w:rFonts w:hint="eastAsia" w:ascii="Times New Roman" w:hAnsi="Times New Roman" w:eastAsia="宋体" w:cs="Times New Roman"/>
          <w:color w:val="auto"/>
          <w:lang w:val="en-US" w:eastAsia="zh-CN"/>
        </w:rPr>
        <w:t>施工期对</w:t>
      </w:r>
      <w:r>
        <w:rPr>
          <w:rFonts w:hint="default" w:ascii="Times New Roman" w:hAnsi="Times New Roman" w:eastAsia="宋体" w:cs="Times New Roman"/>
          <w:color w:val="auto"/>
          <w:lang w:val="en-US" w:eastAsia="zh-CN"/>
        </w:rPr>
        <w:t>生态环境</w:t>
      </w:r>
      <w:r>
        <w:rPr>
          <w:rFonts w:hint="eastAsia" w:ascii="Times New Roman" w:hAnsi="Times New Roman" w:eastAsia="宋体" w:cs="Times New Roman"/>
          <w:color w:val="auto"/>
          <w:lang w:val="en-US" w:eastAsia="zh-CN"/>
        </w:rPr>
        <w:t>的</w:t>
      </w:r>
      <w:r>
        <w:rPr>
          <w:rFonts w:hint="default" w:ascii="Times New Roman" w:hAnsi="Times New Roman" w:eastAsia="宋体" w:cs="Times New Roman"/>
          <w:color w:val="auto"/>
          <w:lang w:val="en-US" w:eastAsia="zh-CN"/>
        </w:rPr>
        <w:t>影响主要包括对土地利用、动植物、景观、加剧水土流失产生的影响。</w:t>
      </w:r>
    </w:p>
    <w:p>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 xml:space="preserve">4.1.1 </w:t>
      </w:r>
      <w:bookmarkEnd w:id="251"/>
      <w:bookmarkEnd w:id="252"/>
      <w:bookmarkEnd w:id="253"/>
      <w:bookmarkEnd w:id="254"/>
      <w:bookmarkEnd w:id="255"/>
      <w:r>
        <w:rPr>
          <w:rFonts w:hint="eastAsia" w:ascii="Times New Roman" w:hAnsi="Times New Roman" w:eastAsia="宋体" w:cs="Times New Roman"/>
          <w:b/>
          <w:color w:val="auto"/>
          <w:kern w:val="2"/>
          <w:sz w:val="24"/>
          <w:szCs w:val="24"/>
          <w:lang w:val="en-US" w:eastAsia="zh-CN" w:bidi="ar-SA"/>
        </w:rPr>
        <w:t>占地产生的影响</w:t>
      </w:r>
    </w:p>
    <w:p>
      <w:pPr>
        <w:pStyle w:val="68"/>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工程对土地利用形式变化的影响包括永久占地和临时占地两方面。</w:t>
      </w:r>
      <w:r>
        <w:rPr>
          <w:rFonts w:hint="eastAsia" w:ascii="Times New Roman" w:hAnsi="Times New Roman" w:eastAsia="宋体" w:cs="Times New Roman"/>
          <w:color w:val="auto"/>
          <w:lang w:val="en-US" w:eastAsia="zh-CN"/>
        </w:rPr>
        <w:t>因项目临时占地位于永久占地范围内，本次主要分析永久占地产生的影响。</w:t>
      </w:r>
      <w:r>
        <w:rPr>
          <w:rFonts w:hint="default" w:ascii="Times New Roman" w:hAnsi="Times New Roman" w:eastAsia="宋体" w:cs="Times New Roman"/>
          <w:color w:val="auto"/>
          <w:lang w:val="en-US" w:eastAsia="zh-CN"/>
        </w:rPr>
        <w:t>施工区占地将破坏土壤表层，从而使其变得疏松，受多风天气和降雨的影响，易发生风蚀、水蚀，造成水土流失，使土壤及其养分流失。</w:t>
      </w:r>
    </w:p>
    <w:p>
      <w:pPr>
        <w:pStyle w:val="68"/>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本项目工程永久占地主要是工程占地，永久占地面积为</w:t>
      </w:r>
      <w:r>
        <w:rPr>
          <w:rFonts w:hint="eastAsia" w:cs="Times New Roman"/>
          <w:color w:val="auto"/>
          <w:lang w:val="en-US" w:eastAsia="zh-CN"/>
        </w:rPr>
        <w:t>276905</w:t>
      </w:r>
      <w:r>
        <w:rPr>
          <w:rFonts w:hint="default" w:ascii="Times New Roman" w:hAnsi="Times New Roman" w:eastAsia="宋体" w:cs="Times New Roman"/>
          <w:color w:val="auto"/>
          <w:lang w:val="en-US" w:eastAsia="zh-CN"/>
        </w:rPr>
        <w:t>m</w:t>
      </w:r>
      <w:r>
        <w:rPr>
          <w:rFonts w:hint="default" w:ascii="Times New Roman" w:hAnsi="Times New Roman" w:eastAsia="宋体" w:cs="Times New Roman"/>
          <w:color w:val="auto"/>
          <w:vertAlign w:val="superscript"/>
          <w:lang w:val="en-US" w:eastAsia="zh-CN"/>
        </w:rPr>
        <w:t>2</w:t>
      </w:r>
      <w:r>
        <w:rPr>
          <w:rFonts w:hint="default" w:ascii="Times New Roman" w:hAnsi="Times New Roman" w:eastAsia="宋体" w:cs="Times New Roman"/>
          <w:color w:val="auto"/>
          <w:lang w:val="en-US" w:eastAsia="zh-CN"/>
        </w:rPr>
        <w:t>，占地类型主要为</w:t>
      </w:r>
      <w:r>
        <w:rPr>
          <w:rFonts w:hint="eastAsia" w:cs="Times New Roman"/>
          <w:color w:val="auto"/>
          <w:lang w:val="en-US" w:eastAsia="zh-CN"/>
        </w:rPr>
        <w:t>耕地（非基本农田）</w:t>
      </w:r>
      <w:r>
        <w:rPr>
          <w:rFonts w:hint="default" w:ascii="Times New Roman" w:hAnsi="Times New Roman" w:eastAsia="宋体" w:cs="Times New Roman"/>
          <w:color w:val="auto"/>
          <w:lang w:val="en-US" w:eastAsia="zh-CN"/>
        </w:rPr>
        <w:t>。</w:t>
      </w:r>
    </w:p>
    <w:p>
      <w:pPr>
        <w:pStyle w:val="68"/>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工程占地使土地利用价值发生了改变，对耕地来说，原有价值被</w:t>
      </w:r>
      <w:r>
        <w:rPr>
          <w:rFonts w:hint="eastAsia" w:ascii="Times New Roman" w:hAnsi="Times New Roman" w:eastAsia="宋体" w:cs="Times New Roman"/>
          <w:color w:val="auto"/>
          <w:lang w:val="en-US" w:eastAsia="zh-CN"/>
        </w:rPr>
        <w:t>安置区工程</w:t>
      </w:r>
      <w:r>
        <w:rPr>
          <w:rFonts w:hint="default" w:ascii="Times New Roman" w:hAnsi="Times New Roman" w:eastAsia="宋体" w:cs="Times New Roman"/>
          <w:color w:val="auto"/>
          <w:lang w:val="en-US" w:eastAsia="zh-CN"/>
        </w:rPr>
        <w:t>带来的</w:t>
      </w:r>
      <w:r>
        <w:rPr>
          <w:rFonts w:hint="eastAsia" w:ascii="Times New Roman" w:hAnsi="Times New Roman" w:eastAsia="宋体" w:cs="Times New Roman"/>
          <w:color w:val="auto"/>
          <w:lang w:val="en-US" w:eastAsia="zh-CN"/>
        </w:rPr>
        <w:t>社会</w:t>
      </w:r>
      <w:r>
        <w:rPr>
          <w:rFonts w:hint="default" w:ascii="Times New Roman" w:hAnsi="Times New Roman" w:eastAsia="宋体" w:cs="Times New Roman"/>
          <w:color w:val="auto"/>
          <w:lang w:val="en-US" w:eastAsia="zh-CN"/>
        </w:rPr>
        <w:t>价值所代替。工程占地将导致一定时期内耕地面积减少，农作物减产，</w:t>
      </w:r>
      <w:r>
        <w:rPr>
          <w:rFonts w:hint="eastAsia" w:ascii="Times New Roman" w:hAnsi="Times New Roman" w:eastAsia="宋体" w:cs="Times New Roman"/>
          <w:color w:val="auto"/>
          <w:lang w:val="en-US" w:eastAsia="zh-CN"/>
        </w:rPr>
        <w:t>项目所在地</w:t>
      </w:r>
      <w:r>
        <w:rPr>
          <w:rFonts w:hint="default" w:ascii="Times New Roman" w:hAnsi="Times New Roman" w:eastAsia="宋体" w:cs="Times New Roman"/>
          <w:color w:val="auto"/>
          <w:lang w:val="en-US" w:eastAsia="zh-CN"/>
        </w:rPr>
        <w:t>地区人多地少的矛盾，加剧对剩余耕地的压力，使农业生产受到影响。工程占地内的植被主要为杉木林、灌丛和草丛等，农作物主要有水稻、玉米等，可见，受工程建设影响的植被以人工植被和次生植被为主。</w:t>
      </w:r>
    </w:p>
    <w:p>
      <w:pPr>
        <w:pStyle w:val="68"/>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因此，尽管项目建设对当地耕地资源及植被资源有一定的影响，但由于</w:t>
      </w:r>
      <w:r>
        <w:rPr>
          <w:rFonts w:hint="eastAsia" w:ascii="Times New Roman" w:hAnsi="Times New Roman" w:eastAsia="宋体" w:cs="Times New Roman"/>
          <w:color w:val="auto"/>
          <w:lang w:val="en-US" w:eastAsia="zh-CN"/>
        </w:rPr>
        <w:t>本项目</w:t>
      </w:r>
      <w:r>
        <w:rPr>
          <w:rFonts w:hint="default" w:ascii="Times New Roman" w:hAnsi="Times New Roman" w:eastAsia="宋体" w:cs="Times New Roman"/>
          <w:color w:val="auto"/>
          <w:lang w:val="en-US" w:eastAsia="zh-CN"/>
        </w:rPr>
        <w:t>占地仅为很少的一部分，对于</w:t>
      </w:r>
      <w:r>
        <w:rPr>
          <w:rFonts w:hint="eastAsia" w:ascii="Times New Roman" w:hAnsi="Times New Roman" w:eastAsia="宋体" w:cs="Times New Roman"/>
          <w:color w:val="auto"/>
          <w:lang w:val="en-US" w:eastAsia="zh-CN"/>
        </w:rPr>
        <w:t>华容</w:t>
      </w:r>
      <w:r>
        <w:rPr>
          <w:rFonts w:hint="default" w:ascii="Times New Roman" w:hAnsi="Times New Roman" w:eastAsia="宋体" w:cs="Times New Roman"/>
          <w:color w:val="auto"/>
          <w:lang w:val="en-US" w:eastAsia="zh-CN"/>
        </w:rPr>
        <w:t>县的土地平衡影响很小；通过当地政府进行土地调整和规划，不会对当地土地利用总体格局产生大的影响，也不会对评价区植被稳定性造成较大影响。</w:t>
      </w:r>
    </w:p>
    <w:p>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4.1.2对自然保护区的影响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本项目评价范围内主要为</w:t>
      </w:r>
      <w:r>
        <w:rPr>
          <w:rFonts w:hint="eastAsia" w:ascii="Times New Roman" w:hAnsi="Times New Roman" w:cs="Times New Roman"/>
          <w:bCs/>
          <w:color w:val="auto"/>
          <w:sz w:val="24"/>
          <w:szCs w:val="21"/>
          <w:highlight w:val="none"/>
          <w:u w:val="none"/>
          <w:lang w:val="en-US" w:eastAsia="zh-CN"/>
        </w:rPr>
        <w:t>农村</w:t>
      </w:r>
      <w:r>
        <w:rPr>
          <w:rFonts w:hint="default" w:ascii="Times New Roman" w:hAnsi="Times New Roman" w:cs="Times New Roman"/>
          <w:bCs/>
          <w:color w:val="auto"/>
          <w:sz w:val="24"/>
          <w:szCs w:val="21"/>
          <w:highlight w:val="none"/>
          <w:u w:val="none"/>
          <w:lang w:val="en-US" w:eastAsia="zh-CN"/>
        </w:rPr>
        <w:t>生态系统。</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东洞庭湖国家级自然保护区为湖泊类型湿地，主导功能是调蓄长江洪水径流，维系长江中下游地区的防洪安全，辅助功能主要是沉沙净污、湖泊湿地景观系统多样性以及在维系水陆复合系统中的生态前置库作用和功能，并具有保护渔业自然增值，繁衍生物多样性，特别是珍稀水禽栖息地的生态服务功能。</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本项目建设不涉及东洞庭湖国家级自然保护区的核心区与缓冲区，项目位于</w:t>
      </w:r>
      <w:r>
        <w:rPr>
          <w:rFonts w:hint="eastAsia" w:ascii="Times New Roman" w:hAnsi="Times New Roman" w:cs="Times New Roman"/>
          <w:bCs/>
          <w:color w:val="auto"/>
          <w:sz w:val="24"/>
          <w:szCs w:val="21"/>
          <w:highlight w:val="none"/>
          <w:u w:val="none"/>
          <w:lang w:val="en-US" w:eastAsia="zh-CN"/>
        </w:rPr>
        <w:t>团洲乡中心小学东侧，花园小区西侧</w:t>
      </w:r>
      <w:r>
        <w:rPr>
          <w:rFonts w:hint="default" w:ascii="Times New Roman" w:hAnsi="Times New Roman" w:cs="Times New Roman"/>
          <w:bCs/>
          <w:color w:val="auto"/>
          <w:sz w:val="24"/>
          <w:szCs w:val="21"/>
          <w:highlight w:val="none"/>
          <w:u w:val="none"/>
          <w:lang w:val="en-US" w:eastAsia="zh-CN"/>
        </w:rPr>
        <w:t>，项目所在区为该保护区</w:t>
      </w:r>
      <w:r>
        <w:rPr>
          <w:rFonts w:hint="eastAsia" w:cs="Times New Roman"/>
          <w:bCs/>
          <w:color w:val="auto"/>
          <w:sz w:val="24"/>
          <w:szCs w:val="21"/>
          <w:highlight w:val="none"/>
          <w:u w:val="none"/>
          <w:lang w:val="en-US" w:eastAsia="zh-CN"/>
        </w:rPr>
        <w:t>优化整合</w:t>
      </w:r>
      <w:r>
        <w:rPr>
          <w:rFonts w:hint="default" w:ascii="Times New Roman" w:hAnsi="Times New Roman" w:cs="Times New Roman"/>
          <w:bCs/>
          <w:color w:val="auto"/>
          <w:sz w:val="24"/>
          <w:szCs w:val="21"/>
          <w:highlight w:val="none"/>
          <w:u w:val="none"/>
          <w:lang w:val="en-US" w:eastAsia="zh-CN"/>
        </w:rPr>
        <w:t>前的实验区范围，实验区主要为分布于缓冲区以外的广大区域。且根据目前正在进行的保护区范围和功能区规划调整</w:t>
      </w:r>
      <w:r>
        <w:rPr>
          <w:rFonts w:hint="eastAsia" w:cs="Times New Roman"/>
          <w:bCs/>
          <w:color w:val="auto"/>
          <w:sz w:val="24"/>
          <w:szCs w:val="21"/>
          <w:highlight w:val="none"/>
          <w:u w:val="none"/>
          <w:lang w:val="en-US" w:eastAsia="zh-CN"/>
        </w:rPr>
        <w:t>的</w:t>
      </w:r>
      <w:r>
        <w:rPr>
          <w:rFonts w:hint="default" w:ascii="Times New Roman" w:hAnsi="Times New Roman" w:cs="Times New Roman"/>
          <w:bCs/>
          <w:color w:val="auto"/>
          <w:sz w:val="24"/>
          <w:szCs w:val="21"/>
          <w:highlight w:val="none"/>
          <w:u w:val="none"/>
          <w:lang w:val="en-US" w:eastAsia="zh-CN"/>
        </w:rPr>
        <w:t>材料来看，本项目</w:t>
      </w:r>
      <w:r>
        <w:rPr>
          <w:rFonts w:hint="eastAsia" w:cs="Times New Roman"/>
          <w:bCs/>
          <w:color w:val="auto"/>
          <w:sz w:val="24"/>
          <w:szCs w:val="21"/>
          <w:highlight w:val="none"/>
          <w:u w:val="none"/>
          <w:lang w:val="en-US" w:eastAsia="zh-CN"/>
        </w:rPr>
        <w:t>湖南东洞庭湖国家级自然保护区</w:t>
      </w:r>
      <w:r>
        <w:rPr>
          <w:rFonts w:hint="default" w:ascii="Times New Roman" w:hAnsi="Times New Roman" w:cs="Times New Roman"/>
          <w:bCs/>
          <w:color w:val="auto"/>
          <w:sz w:val="24"/>
          <w:szCs w:val="21"/>
          <w:highlight w:val="none"/>
          <w:u w:val="none"/>
          <w:lang w:val="en-US" w:eastAsia="zh-CN"/>
        </w:rPr>
        <w:t>在</w:t>
      </w:r>
      <w:r>
        <w:rPr>
          <w:rFonts w:hint="eastAsia" w:cs="Times New Roman"/>
          <w:bCs/>
          <w:color w:val="auto"/>
          <w:sz w:val="24"/>
          <w:szCs w:val="21"/>
          <w:highlight w:val="none"/>
          <w:u w:val="none"/>
          <w:lang w:val="en-US" w:eastAsia="zh-CN"/>
        </w:rPr>
        <w:t>优化整合</w:t>
      </w:r>
      <w:r>
        <w:rPr>
          <w:rFonts w:hint="default" w:ascii="Times New Roman" w:hAnsi="Times New Roman" w:cs="Times New Roman"/>
          <w:bCs/>
          <w:color w:val="auto"/>
          <w:sz w:val="24"/>
          <w:szCs w:val="21"/>
          <w:highlight w:val="none"/>
          <w:u w:val="none"/>
          <w:lang w:val="en-US" w:eastAsia="zh-CN"/>
        </w:rPr>
        <w:t>完成后，便不再属于自然保护区</w:t>
      </w:r>
      <w:r>
        <w:rPr>
          <w:rFonts w:hint="eastAsia" w:cs="Times New Roman"/>
          <w:bCs/>
          <w:color w:val="auto"/>
          <w:sz w:val="24"/>
          <w:szCs w:val="21"/>
          <w:highlight w:val="none"/>
          <w:u w:val="none"/>
          <w:lang w:val="en-US" w:eastAsia="zh-CN"/>
        </w:rPr>
        <w:t>范围</w:t>
      </w:r>
      <w:r>
        <w:rPr>
          <w:rFonts w:hint="default" w:ascii="Times New Roman" w:hAnsi="Times New Roman" w:cs="Times New Roman"/>
          <w:bCs/>
          <w:color w:val="auto"/>
          <w:sz w:val="24"/>
          <w:szCs w:val="21"/>
          <w:highlight w:val="none"/>
          <w:u w:val="none"/>
          <w:lang w:val="en-US" w:eastAsia="zh-CN"/>
        </w:rPr>
        <w:t>。</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本项目用地不涉及环保拆迁，拆迁由政府负责，建设方拿净地。项目属于房地产建设项目，不涉及具体生产内容。经现场踏勘，项目工程已完成，本次评价为补评。项目施工期没有明显的遗留环境污染问题，无周边单位投诉情况发生。本次拟不对施工期环境影响进行重点评价，仅对其进行简单的回顾性评价。</w:t>
      </w:r>
    </w:p>
    <w:p>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lang w:val="en-US" w:eastAsia="zh-CN" w:bidi="ar-SA"/>
        </w:rPr>
      </w:pPr>
      <w:bookmarkStart w:id="256" w:name="_Toc16669"/>
      <w:bookmarkStart w:id="257" w:name="_Toc13318"/>
      <w:bookmarkStart w:id="258" w:name="_Toc25718"/>
      <w:bookmarkStart w:id="259" w:name="_Toc28430"/>
      <w:bookmarkStart w:id="260" w:name="_Toc4017"/>
      <w:r>
        <w:rPr>
          <w:rFonts w:hint="eastAsia" w:ascii="Times New Roman" w:hAnsi="Times New Roman" w:eastAsia="宋体" w:cs="Times New Roman"/>
          <w:b/>
          <w:color w:val="auto"/>
          <w:kern w:val="2"/>
          <w:sz w:val="24"/>
          <w:szCs w:val="24"/>
          <w:lang w:val="en-US" w:eastAsia="zh-CN" w:bidi="ar-SA"/>
        </w:rPr>
        <w:t>4.1.</w:t>
      </w:r>
      <w:bookmarkEnd w:id="256"/>
      <w:bookmarkEnd w:id="257"/>
      <w:bookmarkEnd w:id="258"/>
      <w:bookmarkEnd w:id="259"/>
      <w:bookmarkEnd w:id="260"/>
      <w:r>
        <w:rPr>
          <w:rFonts w:hint="eastAsia" w:ascii="Times New Roman" w:hAnsi="Times New Roman" w:eastAsia="宋体" w:cs="Times New Roman"/>
          <w:b/>
          <w:color w:val="auto"/>
          <w:kern w:val="2"/>
          <w:sz w:val="24"/>
          <w:szCs w:val="24"/>
          <w:lang w:val="en-US" w:eastAsia="zh-CN" w:bidi="ar-SA"/>
        </w:rPr>
        <w:t>3对动植物的影响</w:t>
      </w:r>
    </w:p>
    <w:p>
      <w:pPr>
        <w:pStyle w:val="68"/>
        <w:ind w:firstLine="48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r>
        <w:rPr>
          <w:rFonts w:hint="default" w:ascii="Times New Roman" w:hAnsi="Times New Roman" w:eastAsia="宋体" w:cs="Times New Roman"/>
          <w:color w:val="auto"/>
          <w:lang w:val="en-US" w:eastAsia="zh-CN"/>
        </w:rPr>
        <w:t>陆生植物影响</w:t>
      </w:r>
    </w:p>
    <w:p>
      <w:pPr>
        <w:pStyle w:val="68"/>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本项目施工过程将对现有植被破除或移植，会一定程度上减少区域范围内的植被面积，在短期内生态系统内绿地面积将会减少，植被覆盖率将总体下降，生态系统的调节作用有一定削弱。</w:t>
      </w:r>
    </w:p>
    <w:p>
      <w:pPr>
        <w:pStyle w:val="68"/>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用地及评价范围内没有古树名木，没有国家级和省级重点保护的野生植物及生境，项目区不在生态保护红线、国家公园、自然保护区、森林公园、湿地公园、风景名胜区、其他自然公园等生态敏感区内。因此，项目施工及影响区域范围内植被主要为毛竹林、杉木林、灌丛和草丛等次生植被及人工植被，无珍稀保护植物。施工开挖和占地会造成部分植被的破坏，但由于损失的面积相对于区域来说是少量的，且受影响的植被均属一般常见类型，在区域生长范围广，不存在因项目建设而导致植物种群消失或灭绝。待施工结束后边坡及临时工程采取植被恢复措施，进行一定程度的可还将弥补部分损失的生物量。因而，本项目建设不会影响该区域生态系统的稳定性和完整性。</w:t>
      </w:r>
    </w:p>
    <w:p>
      <w:pPr>
        <w:pStyle w:val="68"/>
        <w:ind w:firstLine="48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r>
        <w:rPr>
          <w:rFonts w:hint="default" w:ascii="Times New Roman" w:hAnsi="Times New Roman" w:eastAsia="宋体" w:cs="Times New Roman"/>
          <w:color w:val="auto"/>
          <w:lang w:val="en-US" w:eastAsia="zh-CN"/>
        </w:rPr>
        <w:t>陆生</w:t>
      </w:r>
      <w:r>
        <w:rPr>
          <w:rFonts w:hint="eastAsia" w:ascii="Times New Roman" w:hAnsi="Times New Roman" w:eastAsia="宋体" w:cs="Times New Roman"/>
          <w:color w:val="auto"/>
          <w:lang w:val="en-US" w:eastAsia="zh-CN"/>
        </w:rPr>
        <w:t>动</w:t>
      </w:r>
      <w:r>
        <w:rPr>
          <w:rFonts w:hint="default" w:ascii="Times New Roman" w:hAnsi="Times New Roman" w:eastAsia="宋体" w:cs="Times New Roman"/>
          <w:color w:val="auto"/>
          <w:lang w:val="en-US" w:eastAsia="zh-CN"/>
        </w:rPr>
        <w:t>物影响</w:t>
      </w:r>
    </w:p>
    <w:p>
      <w:pPr>
        <w:pStyle w:val="68"/>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项目施工对陆生动物的影响主要是植被破坏、施工噪声等。施工期工程占地缩小了陆生动物的栖息空间，</w:t>
      </w:r>
      <w:r>
        <w:rPr>
          <w:rFonts w:hint="eastAsia" w:ascii="Times New Roman" w:hAnsi="Times New Roman" w:eastAsia="宋体" w:cs="Times New Roman"/>
          <w:color w:val="auto"/>
          <w:lang w:val="en-US" w:eastAsia="zh-CN"/>
        </w:rPr>
        <w:t>缩减了</w:t>
      </w:r>
      <w:r>
        <w:rPr>
          <w:rFonts w:hint="default" w:ascii="Times New Roman" w:hAnsi="Times New Roman" w:eastAsia="宋体" w:cs="Times New Roman"/>
          <w:color w:val="auto"/>
          <w:lang w:val="en-US" w:eastAsia="zh-CN"/>
        </w:rPr>
        <w:t>部分动物的活动区域、觅食范围等，施工期作业机械发出的噪声、产生的振动以及施工人员的活动对陆生动物的生存产生了一定的影响。</w:t>
      </w:r>
    </w:p>
    <w:p>
      <w:pPr>
        <w:pStyle w:val="68"/>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但由于工程区域主要是常见的鸟类、啮齿类动物，暂未发现珍稀濒危保护野生动物。故工程建设虽然对一定范围内的野生动物产生一定程度的不利影响，但由于其可以迁移到远离施工区域的地方栖息和活动，因此，工程建设不会对其种群数量产生明显影响，更不会改变其种群结构。不过，施工期应加强对施工人员的教育宣传，严禁施工人员有不利于保护各种野生动物的活动。项目施工建设对动物影响时间较短，同时，可随植被的恢复而缓解、消失。</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1)对水生动物的影响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对东洞庭湖自然保护区有一级保护鱼类中华鲟、二级保护鱼类胭脂鱼、以及江豚。按照江豚、中华鲟、胭脂鱼的生活习性，根据本项目施工及运营特征，项目不涉及水域施工，不涉及上述动物的分布区及洄游通道，故对东洞庭湖国家级自然保护区的影响区域很小，项目施工</w:t>
      </w:r>
      <w:r>
        <w:rPr>
          <w:rFonts w:hint="eastAsia" w:ascii="Times New Roman" w:hAnsi="Times New Roman" w:cs="Times New Roman"/>
          <w:bCs/>
          <w:color w:val="auto"/>
          <w:sz w:val="24"/>
          <w:szCs w:val="21"/>
          <w:highlight w:val="none"/>
          <w:u w:val="none"/>
          <w:lang w:val="en-US" w:eastAsia="zh-CN"/>
        </w:rPr>
        <w:t>过程未</w:t>
      </w:r>
      <w:r>
        <w:rPr>
          <w:rFonts w:hint="default" w:ascii="Times New Roman" w:hAnsi="Times New Roman" w:cs="Times New Roman"/>
          <w:bCs/>
          <w:color w:val="auto"/>
          <w:sz w:val="24"/>
          <w:szCs w:val="21"/>
          <w:highlight w:val="none"/>
          <w:u w:val="none"/>
          <w:lang w:val="en-US" w:eastAsia="zh-CN"/>
        </w:rPr>
        <w:t>对东洞庭湖国家级自然保护区的水生动物产生明显负影响。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2)对鸟类的影响</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东洞庭湖自然保护区的鸟类包括三大类，既冬候鸟、夏候鸟、留鸟。最为重要的是冬水禽。这些水禽中有很多珍贵的、稀有的种类，如:颧类CiconiaSP.、鹤类Grus SP.、雁类AnserSP.、天鹅类GygnusSP.等。项目建设对水禽的影响主要表现在以下两个方面。第一，冬候鸟夏季生活在凉爽的北方，入冬后，北方食物短缺，它们就沿着固定的路线迁移到南方越冬，地面地形、地貌的改变，环境的变化，直接影响它们的迁入，对其生态生境产生一定影响。第二，施工期间，在施工区域的这些优势种鸟类由于环境的变化影响了它们的生活、取食环境将被迫离开它们原来的领域，邻近领域的优势种鸟类也由于受到施工噪声的惊吓，也将远离原来的栖息地，但是这种不利影响有时间限制，当临时征地区域的植被恢复后，它们仍可以回到原来的领域，继续生活，而且这些鸟类在非施工区内可以找到相同或相似生境，可迁移到合适生境中生活，对其</w:t>
      </w:r>
      <w:r>
        <w:rPr>
          <w:rFonts w:hint="eastAsia" w:ascii="Times New Roman" w:hAnsi="Times New Roman" w:cs="Times New Roman"/>
          <w:bCs/>
          <w:color w:val="auto"/>
          <w:sz w:val="24"/>
          <w:szCs w:val="21"/>
          <w:highlight w:val="none"/>
          <w:u w:val="none"/>
          <w:lang w:val="en-US" w:eastAsia="zh-CN"/>
        </w:rPr>
        <w:t>生存不会造成长期的、不可逆的不利影响。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3)对两栖类动物的影响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两栖类动物最主要的生活习性就是在水域和陆地间交替生活，而且具有准确的迁徙路线。东洞庭湖自然保护区主要两栖类动物有鳖、龟类.、蛙类、蟹类、扬子鳄、麇鹿等。这些动物有国家重点保护的种类，有省级重点保护的种类。麇鹿、扬子鳄为国家一级保护种，科研价值、经济价值都很高。</w:t>
      </w:r>
    </w:p>
    <w:p>
      <w:pPr>
        <w:pStyle w:val="68"/>
        <w:ind w:firstLine="480"/>
        <w:rPr>
          <w:rFonts w:hint="eastAsia" w:ascii="Times New Roman" w:hAnsi="Times New Roman" w:eastAsia="宋体" w:cs="Times New Roman"/>
          <w:color w:val="auto"/>
          <w:lang w:val="en-US" w:eastAsia="zh-CN"/>
        </w:rPr>
      </w:pPr>
      <w:r>
        <w:rPr>
          <w:rFonts w:hint="default" w:ascii="Times New Roman" w:hAnsi="Times New Roman" w:cs="Times New Roman"/>
          <w:bCs/>
          <w:color w:val="auto"/>
          <w:sz w:val="24"/>
          <w:szCs w:val="21"/>
          <w:highlight w:val="none"/>
          <w:u w:val="none"/>
          <w:lang w:val="en-US" w:eastAsia="zh-CN"/>
        </w:rPr>
        <w:t>陆生动物和两栖类动物一样，有各自固定的活动范围和路线。保护区内的白额雁、灰鹤、麇鹿具有迁移特性，本项目距离麋鹿活动的红旗湖甚远(在30km以外)，并且不会对其并往返于长江-洞庭湖之间的通道产生阻拦和任何破坏，因此，项目工程建设不会对其产生影响。</w:t>
      </w:r>
    </w:p>
    <w:p>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lang w:val="en-US" w:eastAsia="zh-CN" w:bidi="ar-SA"/>
        </w:rPr>
      </w:pPr>
      <w:bookmarkStart w:id="261" w:name="_Toc29006"/>
      <w:bookmarkStart w:id="262" w:name="_Toc16148"/>
      <w:bookmarkStart w:id="263" w:name="_Toc19684"/>
      <w:bookmarkStart w:id="264" w:name="_Toc9701"/>
      <w:bookmarkStart w:id="265" w:name="_Toc18522"/>
      <w:r>
        <w:rPr>
          <w:rFonts w:hint="eastAsia" w:ascii="Times New Roman" w:hAnsi="Times New Roman" w:eastAsia="宋体" w:cs="Times New Roman"/>
          <w:b/>
          <w:color w:val="auto"/>
          <w:kern w:val="2"/>
          <w:sz w:val="24"/>
          <w:szCs w:val="24"/>
          <w:lang w:val="en-US" w:eastAsia="zh-CN" w:bidi="ar-SA"/>
        </w:rPr>
        <w:t>4.1.</w:t>
      </w:r>
      <w:bookmarkEnd w:id="261"/>
      <w:bookmarkEnd w:id="262"/>
      <w:bookmarkEnd w:id="263"/>
      <w:bookmarkEnd w:id="264"/>
      <w:bookmarkEnd w:id="265"/>
      <w:r>
        <w:rPr>
          <w:rFonts w:hint="eastAsia" w:ascii="Times New Roman" w:hAnsi="Times New Roman" w:eastAsia="宋体" w:cs="Times New Roman"/>
          <w:b/>
          <w:color w:val="auto"/>
          <w:kern w:val="2"/>
          <w:sz w:val="24"/>
          <w:szCs w:val="24"/>
          <w:lang w:val="en-US" w:eastAsia="zh-CN" w:bidi="ar-SA"/>
        </w:rPr>
        <w:t>4水土流失影响</w:t>
      </w:r>
    </w:p>
    <w:p>
      <w:pPr>
        <w:pStyle w:val="68"/>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在施工过程中由于开挖地面、机械碾压、排放废弃物等原因，施工破坏了原有的地貌，进一步扰动了表土结构，致使土壤抗蚀能力降低。已裸露的土壤极易被降雨径流冲刷而产生水土流失，特别是暴雨时冲刷更为严重。其中地表开挖、填方等不同地貌部位和不同时期可发生不同形式的水土流失。</w:t>
      </w:r>
      <w:r>
        <w:rPr>
          <w:rFonts w:hint="eastAsia" w:ascii="Times New Roman" w:hAnsi="Times New Roman" w:eastAsia="宋体" w:cs="Times New Roman"/>
          <w:color w:val="auto"/>
          <w:lang w:val="en-US" w:eastAsia="zh-CN"/>
        </w:rPr>
        <w:t>项目目前已建成，根据现场走访、询问及勘查，施工期未出现大规模水土流失现象，现状场地已采取了合理的绿化及硬化措施，无裸露土壤存在，不存在水土流失隐患</w:t>
      </w:r>
      <w:r>
        <w:rPr>
          <w:rFonts w:hint="default" w:ascii="Times New Roman" w:hAnsi="Times New Roman" w:eastAsia="宋体" w:cs="Times New Roman"/>
          <w:color w:val="auto"/>
          <w:lang w:val="en-US" w:eastAsia="zh-CN"/>
        </w:rPr>
        <w:t>。</w:t>
      </w:r>
    </w:p>
    <w:p>
      <w:pPr>
        <w:keepNext/>
        <w:keepLines/>
        <w:widowControl w:val="0"/>
        <w:adjustRightInd w:val="0"/>
        <w:snapToGrid w:val="0"/>
        <w:spacing w:before="0" w:after="0" w:line="360" w:lineRule="auto"/>
        <w:jc w:val="both"/>
        <w:outlineLvl w:val="1"/>
        <w:rPr>
          <w:rFonts w:hint="default" w:ascii="Times New Roman" w:hAnsi="Times New Roman" w:eastAsia="宋体" w:cs="Times New Roman"/>
          <w:b/>
          <w:bCs/>
          <w:color w:val="auto"/>
          <w:kern w:val="2"/>
          <w:sz w:val="28"/>
          <w:szCs w:val="28"/>
          <w:lang w:val="en-US" w:eastAsia="zh-CN" w:bidi="ar-SA"/>
        </w:rPr>
      </w:pPr>
      <w:bookmarkStart w:id="266" w:name="_Toc6378"/>
      <w:bookmarkStart w:id="267" w:name="_Toc18090"/>
      <w:bookmarkStart w:id="268" w:name="_Toc25023"/>
      <w:r>
        <w:rPr>
          <w:rFonts w:ascii="Times New Roman" w:hAnsi="Times New Roman" w:eastAsia="宋体" w:cs="Times New Roman"/>
          <w:b/>
          <w:bCs/>
          <w:color w:val="auto"/>
          <w:kern w:val="2"/>
          <w:sz w:val="28"/>
          <w:szCs w:val="28"/>
          <w:lang w:val="en-US" w:eastAsia="zh-CN" w:bidi="ar-SA"/>
        </w:rPr>
        <w:t>4.</w:t>
      </w:r>
      <w:r>
        <w:rPr>
          <w:rFonts w:hint="eastAsia" w:ascii="Times New Roman" w:hAnsi="Times New Roman" w:eastAsia="宋体" w:cs="Times New Roman"/>
          <w:b/>
          <w:bCs/>
          <w:color w:val="auto"/>
          <w:kern w:val="2"/>
          <w:sz w:val="28"/>
          <w:szCs w:val="28"/>
          <w:lang w:val="en-US" w:eastAsia="zh-CN" w:bidi="ar-SA"/>
        </w:rPr>
        <w:t>2</w:t>
      </w:r>
      <w:r>
        <w:rPr>
          <w:rFonts w:ascii="Times New Roman" w:hAnsi="Times New Roman" w:eastAsia="宋体" w:cs="Times New Roman"/>
          <w:b/>
          <w:bCs/>
          <w:color w:val="auto"/>
          <w:kern w:val="2"/>
          <w:sz w:val="28"/>
          <w:szCs w:val="28"/>
          <w:lang w:val="en-US" w:eastAsia="zh-CN" w:bidi="ar-SA"/>
        </w:rPr>
        <w:t xml:space="preserve"> </w:t>
      </w:r>
      <w:r>
        <w:rPr>
          <w:rFonts w:hint="eastAsia" w:ascii="Times New Roman" w:hAnsi="Times New Roman" w:eastAsia="宋体" w:cs="Times New Roman"/>
          <w:b/>
          <w:bCs/>
          <w:color w:val="auto"/>
          <w:kern w:val="2"/>
          <w:sz w:val="28"/>
          <w:szCs w:val="28"/>
          <w:lang w:val="en-US" w:eastAsia="zh-CN" w:bidi="ar-SA"/>
        </w:rPr>
        <w:t>运营期生态环境影响分析与评价</w:t>
      </w:r>
      <w:bookmarkEnd w:id="266"/>
      <w:bookmarkEnd w:id="267"/>
      <w:bookmarkEnd w:id="268"/>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w:t>
      </w:r>
      <w:r>
        <w:rPr>
          <w:rFonts w:hint="default" w:ascii="Times New Roman" w:hAnsi="Times New Roman" w:eastAsia="宋体" w:cs="Times New Roman"/>
          <w:b/>
          <w:color w:val="auto"/>
          <w:kern w:val="2"/>
          <w:sz w:val="24"/>
          <w:szCs w:val="24"/>
          <w:lang w:val="en-US" w:eastAsia="zh-CN" w:bidi="ar-SA"/>
        </w:rPr>
        <w:t>.1占地类型环境影响分析</w:t>
      </w:r>
    </w:p>
    <w:p>
      <w:pPr>
        <w:pStyle w:val="68"/>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本工程建设占用的土地为永久占地，具有不可逆性，将对土地资源造成一定程度的影响。但是由于</w:t>
      </w:r>
      <w:r>
        <w:rPr>
          <w:rFonts w:hint="eastAsia" w:ascii="Times New Roman" w:hAnsi="Times New Roman" w:eastAsia="宋体" w:cs="Times New Roman"/>
          <w:color w:val="auto"/>
          <w:lang w:val="en-US" w:eastAsia="zh-CN"/>
        </w:rPr>
        <w:t>项目</w:t>
      </w:r>
      <w:r>
        <w:rPr>
          <w:rFonts w:hint="default" w:ascii="Times New Roman" w:hAnsi="Times New Roman" w:eastAsia="宋体" w:cs="Times New Roman"/>
          <w:color w:val="auto"/>
          <w:lang w:val="en-US" w:eastAsia="zh-CN"/>
        </w:rPr>
        <w:t>占地仅为直接影响区很少的一部分，对于</w:t>
      </w:r>
      <w:r>
        <w:rPr>
          <w:rFonts w:hint="eastAsia" w:ascii="Times New Roman" w:hAnsi="Times New Roman" w:eastAsia="宋体" w:cs="Times New Roman"/>
          <w:color w:val="auto"/>
          <w:lang w:val="en-US" w:eastAsia="zh-CN"/>
        </w:rPr>
        <w:t>华容</w:t>
      </w:r>
      <w:r>
        <w:rPr>
          <w:rFonts w:hint="default" w:ascii="Times New Roman" w:hAnsi="Times New Roman" w:eastAsia="宋体" w:cs="Times New Roman"/>
          <w:color w:val="auto"/>
          <w:lang w:val="en-US" w:eastAsia="zh-CN"/>
        </w:rPr>
        <w:t>县的土地平衡影响很小；通过当地政府进行土地调整和规划，不会对当地土地利用总体格局产生大的影响。工程临时用地主要为旱地及林地，临时用地施工结束后覆土，恢复原有土地利用功能，对占地影响较小。</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w:t>
      </w:r>
      <w:r>
        <w:rPr>
          <w:rFonts w:hint="default" w:ascii="Times New Roman" w:hAnsi="Times New Roman" w:eastAsia="宋体" w:cs="Times New Roman"/>
          <w:b/>
          <w:color w:val="auto"/>
          <w:kern w:val="2"/>
          <w:sz w:val="24"/>
          <w:szCs w:val="24"/>
          <w:lang w:val="en-US" w:eastAsia="zh-CN" w:bidi="ar-SA"/>
        </w:rPr>
        <w:t>.2对</w:t>
      </w:r>
      <w:r>
        <w:rPr>
          <w:rFonts w:hint="eastAsia" w:eastAsia="宋体" w:cs="Times New Roman"/>
          <w:b/>
          <w:color w:val="auto"/>
          <w:kern w:val="2"/>
          <w:sz w:val="24"/>
          <w:szCs w:val="24"/>
          <w:lang w:val="en-US" w:eastAsia="zh-CN" w:bidi="ar-SA"/>
        </w:rPr>
        <w:t>项目周边</w:t>
      </w:r>
      <w:r>
        <w:rPr>
          <w:rFonts w:hint="default" w:ascii="Times New Roman" w:hAnsi="Times New Roman" w:eastAsia="宋体" w:cs="Times New Roman"/>
          <w:b/>
          <w:color w:val="auto"/>
          <w:kern w:val="2"/>
          <w:sz w:val="24"/>
          <w:szCs w:val="24"/>
          <w:lang w:val="en-US" w:eastAsia="zh-CN" w:bidi="ar-SA"/>
        </w:rPr>
        <w:t>植被的影响分析</w:t>
      </w:r>
    </w:p>
    <w:p>
      <w:pPr>
        <w:pStyle w:val="68"/>
        <w:ind w:firstLine="48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项目建成后的永久占地会对区域内主要植被造成一定的破坏，</w:t>
      </w:r>
      <w:r>
        <w:rPr>
          <w:rFonts w:hint="eastAsia" w:ascii="Times New Roman" w:hAnsi="Times New Roman" w:eastAsia="宋体" w:cs="Times New Roman"/>
          <w:color w:val="auto"/>
          <w:lang w:val="en-US" w:eastAsia="zh-CN"/>
        </w:rPr>
        <w:t>本项目为房地产开发建设项目，营运期的主要环境污染源为噪声和油烟、停车场废气以及少量垃圾桶恶臭，生活污水经隔油池和化粪池预处理后经自建管道流入市政污水管网，不直接外排，污染源对植被造成的影响很小，故营运期对植被的影响很小。</w:t>
      </w:r>
    </w:p>
    <w:p>
      <w:pPr>
        <w:pStyle w:val="68"/>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工程竣工后通过对进行景观绿化恢复会带来一定的正面影响。项目建设不会导致植被群落分布和群落结构的明显变化，更不会导致植被物种的消失，因此，项目运营后对植被影响较小。</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w:t>
      </w:r>
      <w:r>
        <w:rPr>
          <w:rFonts w:hint="default" w:ascii="Times New Roman" w:hAnsi="Times New Roman" w:eastAsia="宋体" w:cs="Times New Roman"/>
          <w:b/>
          <w:color w:val="auto"/>
          <w:kern w:val="2"/>
          <w:sz w:val="24"/>
          <w:szCs w:val="24"/>
          <w:lang w:val="en-US" w:eastAsia="zh-CN" w:bidi="ar-SA"/>
        </w:rPr>
        <w:t>.3对</w:t>
      </w:r>
      <w:r>
        <w:rPr>
          <w:rFonts w:hint="eastAsia" w:eastAsia="宋体" w:cs="Times New Roman"/>
          <w:b/>
          <w:color w:val="auto"/>
          <w:kern w:val="2"/>
          <w:sz w:val="24"/>
          <w:szCs w:val="24"/>
          <w:lang w:val="en-US" w:eastAsia="zh-CN" w:bidi="ar-SA"/>
        </w:rPr>
        <w:t>项目周边</w:t>
      </w:r>
      <w:r>
        <w:rPr>
          <w:rFonts w:hint="default" w:ascii="Times New Roman" w:hAnsi="Times New Roman" w:eastAsia="宋体" w:cs="Times New Roman"/>
          <w:b/>
          <w:color w:val="auto"/>
          <w:kern w:val="2"/>
          <w:sz w:val="24"/>
          <w:szCs w:val="24"/>
          <w:lang w:val="en-US" w:eastAsia="zh-CN" w:bidi="ar-SA"/>
        </w:rPr>
        <w:t>动物的影响分析</w:t>
      </w:r>
    </w:p>
    <w:p>
      <w:pPr>
        <w:pStyle w:val="68"/>
        <w:ind w:firstLine="4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项目所在区域动物主要为</w:t>
      </w:r>
      <w:r>
        <w:rPr>
          <w:rFonts w:hint="default" w:ascii="Times New Roman" w:hAnsi="Times New Roman" w:eastAsia="宋体" w:cs="Times New Roman"/>
          <w:color w:val="auto"/>
          <w:lang w:val="en-US" w:eastAsia="zh-CN"/>
        </w:rPr>
        <w:t>常见的鸟类、啮齿类动物，</w:t>
      </w:r>
      <w:r>
        <w:rPr>
          <w:rFonts w:hint="eastAsia" w:ascii="Times New Roman" w:hAnsi="Times New Roman" w:eastAsia="宋体" w:cs="Times New Roman"/>
          <w:color w:val="auto"/>
          <w:lang w:val="en-US" w:eastAsia="zh-CN"/>
        </w:rPr>
        <w:t>已基本适应了人类活动带来的影响。</w:t>
      </w:r>
    </w:p>
    <w:p>
      <w:pPr>
        <w:pStyle w:val="68"/>
        <w:ind w:firstLine="48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项目为房地产开发建设项目，营运期的主要环境污染源为噪声和油烟、停车场废气以及少量垃圾桶恶臭，生活污水经隔油池和化粪池预处理后经自建管道流入市政污水管网，不直接外排，污染源对植被造成的影响很小，故营运期对</w:t>
      </w:r>
      <w:r>
        <w:rPr>
          <w:rFonts w:hint="default" w:ascii="Times New Roman" w:hAnsi="Times New Roman" w:eastAsia="宋体" w:cs="Times New Roman"/>
          <w:color w:val="auto"/>
          <w:lang w:val="en-US" w:eastAsia="zh-CN"/>
        </w:rPr>
        <w:t>对动物的种群大小和活动范围影响有限。</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w:t>
      </w:r>
      <w:r>
        <w:rPr>
          <w:rFonts w:hint="default" w:ascii="Times New Roman" w:hAnsi="Times New Roman" w:eastAsia="宋体" w:cs="Times New Roman"/>
          <w:b/>
          <w:color w:val="auto"/>
          <w:kern w:val="2"/>
          <w:sz w:val="24"/>
          <w:szCs w:val="24"/>
          <w:lang w:val="en-US" w:eastAsia="zh-CN" w:bidi="ar-SA"/>
        </w:rPr>
        <w:t>.4对区域生态体系完整性及景观的影响分析</w:t>
      </w:r>
    </w:p>
    <w:p>
      <w:pPr>
        <w:pStyle w:val="68"/>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项目区域植被主要以毛竹林、杉木林、灌丛和草丛等此生植被及人工植被为主。区域内植被分布面积较大，且组成较为单一，群落结构简单，</w:t>
      </w:r>
      <w:r>
        <w:rPr>
          <w:rFonts w:hint="eastAsia" w:ascii="Times New Roman" w:hAnsi="Times New Roman" w:eastAsia="宋体" w:cs="Times New Roman"/>
          <w:color w:val="auto"/>
          <w:lang w:val="en-US" w:eastAsia="zh-CN"/>
        </w:rPr>
        <w:t>项目</w:t>
      </w:r>
      <w:r>
        <w:rPr>
          <w:rFonts w:hint="default" w:ascii="Times New Roman" w:hAnsi="Times New Roman" w:eastAsia="宋体" w:cs="Times New Roman"/>
          <w:color w:val="auto"/>
          <w:lang w:val="en-US" w:eastAsia="zh-CN"/>
        </w:rPr>
        <w:t>建设占用面积比例较小，因此，项目运营期对项目评价区自然体系的生态影响也会很小，而且工程完工后通过自然生态系统体系的自我调节和水土保持及迹地恢复等工程措施，区域自然体系的性质和功能将得到恢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bookmarkStart w:id="269" w:name="_Toc43457067"/>
      <w:r>
        <w:rPr>
          <w:rFonts w:hint="default" w:ascii="Times New Roman" w:hAnsi="Times New Roman" w:cs="Times New Roman"/>
          <w:bCs/>
          <w:color w:val="auto"/>
          <w:sz w:val="24"/>
          <w:szCs w:val="21"/>
          <w:highlight w:val="none"/>
          <w:u w:val="none"/>
          <w:lang w:val="en-US" w:eastAsia="zh-CN"/>
        </w:rPr>
        <w:t>生态景观是社会、经济、自然复合生态系统的多维生态网络，包括自然生态景观和人文生态景观，强调格局、过程和功能的多维耦合，是由物理的、化学的、生物的、区域的、社会的、经济的及文化的组分在时、空、量、构、序范畴上相互作用形成的人与自然的复合生态网络。它不仅包括有形的地理和生物景观，还包括了无形的个体与整体、内部与外部、过去和未来以及主观与客观问的系统生态联系。它强调人类生态系统内部与外部环境之间的和谐，系统结构和功能的耦合，过去、现在和未来发展的关联及融洽性。所以，该项目尽管</w:t>
      </w:r>
      <w:r>
        <w:rPr>
          <w:rFonts w:hint="default" w:ascii="Times New Roman" w:hAnsi="Times New Roman" w:eastAsia="宋体" w:cs="Times New Roman"/>
          <w:bCs/>
          <w:color w:val="auto"/>
          <w:sz w:val="24"/>
          <w:szCs w:val="21"/>
          <w:highlight w:val="none"/>
          <w:u w:val="none"/>
          <w:lang w:val="en-US" w:eastAsia="zh-CN"/>
        </w:rPr>
        <w:t>只占地</w:t>
      </w:r>
      <w:r>
        <w:rPr>
          <w:rFonts w:hint="eastAsia" w:ascii="Times New Roman" w:hAnsi="Times New Roman" w:eastAsia="宋体" w:cs="Times New Roman"/>
          <w:bCs/>
          <w:color w:val="auto"/>
          <w:sz w:val="24"/>
          <w:szCs w:val="21"/>
          <w:highlight w:val="none"/>
          <w:u w:val="none"/>
          <w:lang w:val="en-US" w:eastAsia="zh-CN"/>
        </w:rPr>
        <w:t>276905</w:t>
      </w:r>
      <w:r>
        <w:rPr>
          <w:rFonts w:hint="default" w:ascii="Times New Roman" w:hAnsi="Times New Roman" w:eastAsia="宋体" w:cs="Times New Roman"/>
          <w:bCs/>
          <w:color w:val="auto"/>
          <w:sz w:val="24"/>
          <w:szCs w:val="21"/>
          <w:highlight w:val="none"/>
          <w:u w:val="none"/>
          <w:lang w:val="en-US" w:eastAsia="zh-CN"/>
        </w:rPr>
        <w:t>m</w:t>
      </w:r>
      <w:r>
        <w:rPr>
          <w:rFonts w:hint="default" w:ascii="Times New Roman" w:hAnsi="Times New Roman" w:eastAsia="宋体" w:cs="Times New Roman"/>
          <w:bCs/>
          <w:color w:val="auto"/>
          <w:sz w:val="24"/>
          <w:szCs w:val="21"/>
          <w:highlight w:val="none"/>
          <w:u w:val="none"/>
          <w:vertAlign w:val="superscript"/>
          <w:lang w:val="en-US" w:eastAsia="zh-CN"/>
        </w:rPr>
        <w:t>2</w:t>
      </w:r>
      <w:r>
        <w:rPr>
          <w:rFonts w:hint="default" w:ascii="Times New Roman" w:hAnsi="Times New Roman" w:eastAsia="宋体" w:cs="Times New Roman"/>
          <w:bCs/>
          <w:color w:val="auto"/>
          <w:sz w:val="24"/>
          <w:szCs w:val="21"/>
          <w:highlight w:val="none"/>
          <w:u w:val="none"/>
          <w:vertAlign w:val="baseline"/>
          <w:lang w:val="en-US" w:eastAsia="zh-CN"/>
        </w:rPr>
        <w:t>，</w:t>
      </w:r>
      <w:r>
        <w:rPr>
          <w:rFonts w:hint="default" w:ascii="Times New Roman" w:hAnsi="Times New Roman" w:cs="Times New Roman"/>
          <w:bCs/>
          <w:color w:val="auto"/>
          <w:sz w:val="24"/>
          <w:szCs w:val="21"/>
          <w:highlight w:val="none"/>
          <w:u w:val="none"/>
          <w:lang w:val="en-US" w:eastAsia="zh-CN"/>
        </w:rPr>
        <w:t>该地块景观生态风险体现在两个方面，一是对自然植被的移除，二是潜在的人工建筑的大小、体量、颜色、风格、式样需要进行精心设计及评估。</w:t>
      </w:r>
      <w:r>
        <w:rPr>
          <w:rFonts w:hint="eastAsia" w:ascii="Times New Roman" w:hAnsi="Times New Roman" w:cs="Times New Roman"/>
          <w:bCs/>
          <w:color w:val="auto"/>
          <w:sz w:val="24"/>
          <w:szCs w:val="21"/>
          <w:highlight w:val="none"/>
          <w:u w:val="none"/>
          <w:lang w:val="en-US" w:eastAsia="zh-CN"/>
        </w:rPr>
        <w:t>本项目目前已建成，项目周边为团洲乡城镇建成区，项目的整体建筑风格为徽派建筑，与周边环境较为相融。</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4.2.5</w:t>
      </w:r>
      <w:r>
        <w:rPr>
          <w:rFonts w:hint="default" w:ascii="Times New Roman" w:hAnsi="Times New Roman" w:eastAsia="宋体" w:cs="Times New Roman"/>
          <w:b/>
          <w:color w:val="auto"/>
          <w:kern w:val="2"/>
          <w:sz w:val="24"/>
          <w:szCs w:val="24"/>
          <w:lang w:val="en-US" w:eastAsia="zh-CN" w:bidi="ar-SA"/>
        </w:rPr>
        <w:t>保护区累积生态影响分析析</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评价范围内永久占地面积为</w:t>
      </w:r>
      <w:r>
        <w:rPr>
          <w:rFonts w:hint="eastAsia" w:cs="Times New Roman"/>
          <w:bCs/>
          <w:color w:val="auto"/>
          <w:sz w:val="24"/>
          <w:szCs w:val="21"/>
          <w:highlight w:val="none"/>
          <w:u w:val="none"/>
          <w:lang w:val="en-US" w:eastAsia="zh-CN"/>
        </w:rPr>
        <w:t>276905</w:t>
      </w:r>
      <w:r>
        <w:rPr>
          <w:rFonts w:hint="default" w:ascii="Times New Roman" w:hAnsi="Times New Roman" w:eastAsia="宋体" w:cs="Times New Roman"/>
          <w:bCs/>
          <w:color w:val="auto"/>
          <w:sz w:val="24"/>
          <w:szCs w:val="21"/>
          <w:highlight w:val="none"/>
          <w:u w:val="none"/>
          <w:lang w:val="en-US" w:eastAsia="zh-CN"/>
        </w:rPr>
        <w:t>m²，均为自然保护区</w:t>
      </w:r>
      <w:r>
        <w:rPr>
          <w:rFonts w:hint="eastAsia" w:cs="Times New Roman"/>
          <w:bCs/>
          <w:color w:val="auto"/>
          <w:sz w:val="24"/>
          <w:szCs w:val="21"/>
          <w:highlight w:val="none"/>
          <w:u w:val="none"/>
          <w:lang w:val="en-US" w:eastAsia="zh-CN"/>
        </w:rPr>
        <w:t>优化整合前的</w:t>
      </w:r>
      <w:r>
        <w:rPr>
          <w:rFonts w:hint="default" w:ascii="Times New Roman" w:hAnsi="Times New Roman" w:eastAsia="宋体" w:cs="Times New Roman"/>
          <w:bCs/>
          <w:color w:val="auto"/>
          <w:sz w:val="24"/>
          <w:szCs w:val="21"/>
          <w:highlight w:val="none"/>
          <w:u w:val="none"/>
          <w:lang w:val="en-US" w:eastAsia="zh-CN"/>
        </w:rPr>
        <w:t>实验区，实验区永久占地面积占自然保护区总面积(</w:t>
      </w:r>
      <w:r>
        <w:rPr>
          <w:rFonts w:hint="eastAsia" w:cs="Times New Roman"/>
          <w:bCs/>
          <w:color w:val="auto"/>
          <w:sz w:val="24"/>
          <w:szCs w:val="21"/>
          <w:highlight w:val="none"/>
          <w:u w:val="none"/>
          <w:lang w:val="en-US" w:eastAsia="zh-CN"/>
        </w:rPr>
        <w:t>15.7627</w:t>
      </w:r>
      <w:r>
        <w:rPr>
          <w:rFonts w:hint="default" w:ascii="Times New Roman" w:hAnsi="Times New Roman" w:eastAsia="宋体" w:cs="Times New Roman"/>
          <w:bCs/>
          <w:color w:val="auto"/>
          <w:sz w:val="24"/>
          <w:szCs w:val="21"/>
          <w:highlight w:val="none"/>
          <w:u w:val="none"/>
          <w:lang w:val="en-US" w:eastAsia="zh-CN"/>
        </w:rPr>
        <w:t>x10</w:t>
      </w:r>
      <w:r>
        <w:rPr>
          <w:rFonts w:hint="eastAsia" w:cs="Times New Roman"/>
          <w:bCs/>
          <w:color w:val="auto"/>
          <w:sz w:val="24"/>
          <w:szCs w:val="21"/>
          <w:highlight w:val="none"/>
          <w:u w:val="none"/>
          <w:vertAlign w:val="superscript"/>
          <w:lang w:val="en-US" w:eastAsia="zh-CN"/>
        </w:rPr>
        <w:t>4</w:t>
      </w:r>
      <w:r>
        <w:rPr>
          <w:rFonts w:hint="default" w:ascii="Times New Roman" w:hAnsi="Times New Roman" w:eastAsia="宋体" w:cs="Times New Roman"/>
          <w:bCs/>
          <w:color w:val="auto"/>
          <w:sz w:val="24"/>
          <w:szCs w:val="21"/>
          <w:highlight w:val="none"/>
          <w:u w:val="none"/>
          <w:lang w:val="en-US" w:eastAsia="zh-CN"/>
        </w:rPr>
        <w:t>hm</w:t>
      </w:r>
      <w:r>
        <w:rPr>
          <w:rFonts w:hint="default" w:ascii="Times New Roman" w:hAnsi="Times New Roman" w:eastAsia="宋体" w:cs="Times New Roman"/>
          <w:bCs/>
          <w:color w:val="auto"/>
          <w:sz w:val="24"/>
          <w:szCs w:val="21"/>
          <w:highlight w:val="none"/>
          <w:u w:val="none"/>
          <w:vertAlign w:val="superscript"/>
          <w:lang w:val="en-US" w:eastAsia="zh-CN"/>
        </w:rPr>
        <w:t>2</w:t>
      </w:r>
      <w:r>
        <w:rPr>
          <w:rFonts w:hint="default" w:ascii="Times New Roman" w:hAnsi="Times New Roman" w:eastAsia="宋体" w:cs="Times New Roman"/>
          <w:bCs/>
          <w:color w:val="auto"/>
          <w:sz w:val="24"/>
          <w:szCs w:val="21"/>
          <w:highlight w:val="none"/>
          <w:u w:val="none"/>
          <w:lang w:val="en-US" w:eastAsia="zh-CN"/>
        </w:rPr>
        <w:t>)的0.0</w:t>
      </w:r>
      <w:r>
        <w:rPr>
          <w:rFonts w:hint="eastAsia" w:cs="Times New Roman"/>
          <w:bCs/>
          <w:color w:val="auto"/>
          <w:sz w:val="24"/>
          <w:szCs w:val="21"/>
          <w:highlight w:val="none"/>
          <w:u w:val="none"/>
          <w:lang w:val="en-US" w:eastAsia="zh-CN"/>
        </w:rPr>
        <w:t>176</w:t>
      </w:r>
      <w:r>
        <w:rPr>
          <w:rFonts w:hint="default" w:ascii="Times New Roman" w:hAnsi="Times New Roman" w:eastAsia="宋体" w:cs="Times New Roman"/>
          <w:bCs/>
          <w:color w:val="auto"/>
          <w:sz w:val="24"/>
          <w:szCs w:val="21"/>
          <w:highlight w:val="none"/>
          <w:u w:val="none"/>
          <w:lang w:val="en-US" w:eastAsia="zh-CN"/>
        </w:rPr>
        <w:t>%，所占比重极小，且区域均为已有城市建成区，不会使保护区生态环境破碎化。</w:t>
      </w:r>
    </w:p>
    <w:p>
      <w:pPr>
        <w:adjustRightInd w:val="0"/>
        <w:snapToGrid w:val="0"/>
        <w:spacing w:line="360" w:lineRule="auto"/>
        <w:ind w:firstLine="480" w:firstLineChars="200"/>
        <w:jc w:val="left"/>
        <w:rPr>
          <w:rFonts w:ascii="Times New Roman" w:hAnsi="Times New Roman"/>
          <w:bCs w:val="0"/>
          <w:snapToGrid w:val="0"/>
          <w:color w:val="auto"/>
          <w:kern w:val="0"/>
          <w:sz w:val="30"/>
          <w:szCs w:val="30"/>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eastAsia="宋体" w:cs="Times New Roman"/>
          <w:bCs/>
          <w:color w:val="auto"/>
          <w:sz w:val="24"/>
          <w:szCs w:val="21"/>
          <w:highlight w:val="none"/>
          <w:u w:val="none"/>
          <w:lang w:val="en-US" w:eastAsia="zh-CN"/>
        </w:rPr>
        <w:t>项目植被类型涉及的物种均为常见种，易于栽植和恢复</w:t>
      </w:r>
      <w:r>
        <w:rPr>
          <w:rFonts w:hint="eastAsia" w:cs="Times New Roman"/>
          <w:bCs/>
          <w:color w:val="auto"/>
          <w:sz w:val="24"/>
          <w:szCs w:val="21"/>
          <w:highlight w:val="none"/>
          <w:u w:val="none"/>
          <w:lang w:val="en-US" w:eastAsia="zh-CN"/>
        </w:rPr>
        <w:t>；</w:t>
      </w:r>
      <w:r>
        <w:rPr>
          <w:rFonts w:hint="default" w:ascii="Times New Roman" w:hAnsi="Times New Roman" w:eastAsia="宋体" w:cs="Times New Roman"/>
          <w:bCs/>
          <w:color w:val="auto"/>
          <w:sz w:val="24"/>
          <w:szCs w:val="21"/>
          <w:highlight w:val="none"/>
          <w:u w:val="none"/>
          <w:lang w:val="en-US" w:eastAsia="zh-CN"/>
        </w:rPr>
        <w:t>周边无珍稀濒危的野生植物种类:周边没有国家级珍稀野生动物分布，其影响数量有限。项目施工和运营不会使保护区某一生境或物种消失，且影响的种类在保护区范围内分布较多，不会对保护区原有生态系统结构和功能产生较大影响。项目因营运期污染主要为设备噪声、</w:t>
      </w:r>
      <w:r>
        <w:rPr>
          <w:rFonts w:hint="eastAsia" w:ascii="Times New Roman" w:hAnsi="Times New Roman" w:eastAsia="宋体" w:cs="Times New Roman"/>
          <w:bCs/>
          <w:color w:val="auto"/>
          <w:sz w:val="24"/>
          <w:szCs w:val="21"/>
          <w:highlight w:val="none"/>
          <w:u w:val="none"/>
          <w:lang w:val="en-US" w:eastAsia="zh-CN"/>
        </w:rPr>
        <w:t>厨房</w:t>
      </w:r>
      <w:r>
        <w:rPr>
          <w:rFonts w:hint="default" w:ascii="Times New Roman" w:hAnsi="Times New Roman" w:eastAsia="宋体" w:cs="Times New Roman"/>
          <w:bCs/>
          <w:color w:val="auto"/>
          <w:sz w:val="24"/>
          <w:szCs w:val="21"/>
          <w:highlight w:val="none"/>
          <w:u w:val="none"/>
          <w:lang w:val="en-US" w:eastAsia="zh-CN"/>
        </w:rPr>
        <w:t>油烟及住户产生的固废垃圾、生活污水，采取生态专题报告提出措施后，不会对保护区造成明显的不利影响。</w:t>
      </w:r>
      <w:r>
        <w:rPr>
          <w:rFonts w:hint="default" w:ascii="Times New Roman" w:hAnsi="Times New Roman" w:cs="Times New Roman"/>
          <w:b/>
          <w:bCs/>
          <w:color w:val="auto"/>
          <w:spacing w:val="20"/>
          <w:sz w:val="32"/>
          <w:szCs w:val="32"/>
          <w:lang w:val="en-GB"/>
        </w:rPr>
        <w:br w:type="page"/>
      </w:r>
    </w:p>
    <w:p>
      <w:pPr>
        <w:keepNext/>
        <w:widowControl w:val="0"/>
        <w:overflowPunct w:val="0"/>
        <w:snapToGrid w:val="0"/>
        <w:spacing w:before="120" w:after="160" w:line="259" w:lineRule="auto"/>
        <w:ind w:left="432" w:hanging="432"/>
        <w:jc w:val="both"/>
        <w:outlineLvl w:val="0"/>
        <w:rPr>
          <w:rFonts w:ascii="Times New Roman" w:hAnsi="Times New Roman" w:eastAsia="宋体" w:cs="Times New Roman"/>
          <w:b/>
          <w:bCs w:val="0"/>
          <w:snapToGrid w:val="0"/>
          <w:color w:val="auto"/>
          <w:kern w:val="0"/>
          <w:sz w:val="30"/>
          <w:szCs w:val="30"/>
          <w:lang w:val="en-US" w:eastAsia="zh-CN" w:bidi="ar-SA"/>
        </w:rPr>
      </w:pPr>
      <w:bookmarkStart w:id="270" w:name="_Toc17890"/>
      <w:bookmarkStart w:id="271" w:name="_Toc9956"/>
      <w:bookmarkStart w:id="272" w:name="_Toc10029"/>
      <w:bookmarkStart w:id="273" w:name="_Toc6600"/>
      <w:bookmarkStart w:id="274" w:name="_Toc28695"/>
      <w:r>
        <w:rPr>
          <w:rFonts w:ascii="Times New Roman" w:hAnsi="Times New Roman" w:eastAsia="宋体" w:cs="Times New Roman"/>
          <w:b/>
          <w:bCs w:val="0"/>
          <w:snapToGrid w:val="0"/>
          <w:color w:val="auto"/>
          <w:kern w:val="0"/>
          <w:sz w:val="30"/>
          <w:szCs w:val="30"/>
          <w:lang w:val="en-US" w:eastAsia="zh-CN" w:bidi="ar-SA"/>
        </w:rPr>
        <w:t>5生态</w:t>
      </w:r>
      <w:bookmarkEnd w:id="269"/>
      <w:r>
        <w:rPr>
          <w:rFonts w:ascii="Times New Roman" w:hAnsi="Times New Roman" w:eastAsia="宋体" w:cs="Times New Roman"/>
          <w:b/>
          <w:bCs w:val="0"/>
          <w:snapToGrid w:val="0"/>
          <w:color w:val="auto"/>
          <w:kern w:val="0"/>
          <w:sz w:val="30"/>
          <w:szCs w:val="30"/>
          <w:lang w:val="en-US" w:eastAsia="zh-CN" w:bidi="ar-SA"/>
        </w:rPr>
        <w:t>保护对策措施</w:t>
      </w:r>
      <w:bookmarkEnd w:id="270"/>
      <w:bookmarkEnd w:id="271"/>
      <w:bookmarkEnd w:id="272"/>
      <w:bookmarkEnd w:id="273"/>
      <w:bookmarkEnd w:id="274"/>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275" w:name="_Toc6967"/>
      <w:bookmarkStart w:id="276" w:name="_Toc1734"/>
      <w:bookmarkStart w:id="277" w:name="_Toc5278"/>
      <w:bookmarkStart w:id="278" w:name="_Toc8205"/>
      <w:bookmarkStart w:id="279" w:name="_Toc28369"/>
      <w:bookmarkStart w:id="280" w:name="_Toc3275"/>
      <w:bookmarkStart w:id="281" w:name="_Toc15182"/>
      <w:bookmarkStart w:id="282" w:name="_Toc20848"/>
      <w:r>
        <w:rPr>
          <w:rFonts w:ascii="Times New Roman" w:hAnsi="Times New Roman" w:eastAsia="宋体" w:cs="Times New Roman"/>
          <w:b/>
          <w:bCs/>
          <w:color w:val="auto"/>
          <w:kern w:val="2"/>
          <w:sz w:val="28"/>
          <w:szCs w:val="28"/>
          <w:lang w:val="en-US" w:eastAsia="zh-CN" w:bidi="ar-SA"/>
        </w:rPr>
        <w:t>5.1施工期生态保护措施</w:t>
      </w:r>
      <w:bookmarkEnd w:id="275"/>
      <w:bookmarkEnd w:id="276"/>
      <w:bookmarkEnd w:id="277"/>
      <w:bookmarkEnd w:id="278"/>
      <w:bookmarkEnd w:id="279"/>
      <w:bookmarkEnd w:id="280"/>
      <w:bookmarkEnd w:id="281"/>
      <w:bookmarkEnd w:id="282"/>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5.1.1</w:t>
      </w:r>
      <w:r>
        <w:rPr>
          <w:rFonts w:hint="default" w:ascii="Times New Roman" w:hAnsi="Times New Roman" w:cs="Times New Roman"/>
          <w:b/>
          <w:bCs/>
          <w:color w:val="auto"/>
          <w:lang w:val="en-US" w:eastAsia="zh-CN"/>
        </w:rPr>
        <w:t>施工管理</w:t>
      </w:r>
      <w:r>
        <w:rPr>
          <w:rFonts w:hint="eastAsia" w:ascii="Times New Roman" w:hAnsi="Times New Roman" w:cs="Times New Roman"/>
          <w:b/>
          <w:bCs/>
          <w:color w:val="auto"/>
          <w:lang w:val="en-US" w:eastAsia="zh-CN"/>
        </w:rPr>
        <w:t>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项目现状已建成，根据回顾性调查，项目施工期</w:t>
      </w:r>
      <w:r>
        <w:rPr>
          <w:rFonts w:hint="default" w:ascii="Times New Roman" w:hAnsi="Times New Roman" w:eastAsia="宋体" w:cs="Times New Roman"/>
          <w:bCs/>
          <w:color w:val="auto"/>
          <w:sz w:val="24"/>
          <w:szCs w:val="21"/>
          <w:highlight w:val="none"/>
          <w:u w:val="none"/>
          <w:lang w:val="en-US" w:eastAsia="zh-CN"/>
        </w:rPr>
        <w:t>合理组织施工，严格施工作业，在建设过程中，做好防护，加强</w:t>
      </w:r>
      <w:r>
        <w:rPr>
          <w:rFonts w:hint="eastAsia" w:ascii="Times New Roman" w:hAnsi="Times New Roman" w:eastAsia="宋体" w:cs="Times New Roman"/>
          <w:bCs/>
          <w:color w:val="auto"/>
          <w:sz w:val="24"/>
          <w:szCs w:val="21"/>
          <w:highlight w:val="none"/>
          <w:u w:val="none"/>
          <w:lang w:val="en-US" w:eastAsia="zh-CN"/>
        </w:rPr>
        <w:t>了</w:t>
      </w:r>
      <w:r>
        <w:rPr>
          <w:rFonts w:hint="default" w:ascii="Times New Roman" w:hAnsi="Times New Roman" w:eastAsia="宋体" w:cs="Times New Roman"/>
          <w:bCs/>
          <w:color w:val="auto"/>
          <w:sz w:val="24"/>
          <w:szCs w:val="21"/>
          <w:highlight w:val="none"/>
          <w:u w:val="none"/>
          <w:lang w:val="en-US" w:eastAsia="zh-CN"/>
        </w:rPr>
        <w:t>施工区污废水、泥浆的管控</w:t>
      </w:r>
      <w:r>
        <w:rPr>
          <w:rFonts w:hint="eastAsia" w:ascii="Times New Roman" w:hAnsi="Times New Roman" w:eastAsia="宋体" w:cs="Times New Roman"/>
          <w:bCs/>
          <w:color w:val="auto"/>
          <w:sz w:val="24"/>
          <w:szCs w:val="21"/>
          <w:highlight w:val="none"/>
          <w:u w:val="none"/>
          <w:lang w:val="en-US" w:eastAsia="zh-CN"/>
        </w:rPr>
        <w:t>，未出现大量施工废水、泥浆外排现象；</w:t>
      </w:r>
      <w:r>
        <w:rPr>
          <w:rFonts w:hint="default" w:ascii="Times New Roman" w:hAnsi="Times New Roman" w:eastAsia="宋体" w:cs="Times New Roman"/>
          <w:bCs/>
          <w:color w:val="auto"/>
          <w:sz w:val="24"/>
          <w:szCs w:val="21"/>
          <w:highlight w:val="none"/>
          <w:u w:val="none"/>
          <w:lang w:val="en-US" w:eastAsia="zh-CN"/>
        </w:rPr>
        <w:t>加强施工期材料的管理，妥善放置，及时清理，</w:t>
      </w:r>
      <w:r>
        <w:rPr>
          <w:rFonts w:hint="eastAsia" w:ascii="Times New Roman" w:hAnsi="Times New Roman" w:eastAsia="宋体" w:cs="Times New Roman"/>
          <w:bCs/>
          <w:color w:val="auto"/>
          <w:sz w:val="24"/>
          <w:szCs w:val="21"/>
          <w:highlight w:val="none"/>
          <w:u w:val="none"/>
          <w:lang w:val="en-US" w:eastAsia="zh-CN"/>
        </w:rPr>
        <w:t>未对</w:t>
      </w:r>
      <w:r>
        <w:rPr>
          <w:rFonts w:hint="default" w:ascii="Times New Roman" w:hAnsi="Times New Roman" w:eastAsia="宋体" w:cs="Times New Roman"/>
          <w:bCs/>
          <w:color w:val="auto"/>
          <w:sz w:val="24"/>
          <w:szCs w:val="21"/>
          <w:highlight w:val="none"/>
          <w:u w:val="none"/>
          <w:lang w:val="en-US" w:eastAsia="zh-CN"/>
        </w:rPr>
        <w:t>对</w:t>
      </w:r>
      <w:r>
        <w:rPr>
          <w:rFonts w:hint="eastAsia" w:ascii="Times New Roman" w:hAnsi="Times New Roman" w:eastAsia="宋体" w:cs="Times New Roman"/>
          <w:bCs/>
          <w:color w:val="auto"/>
          <w:sz w:val="24"/>
          <w:szCs w:val="21"/>
          <w:highlight w:val="none"/>
          <w:u w:val="none"/>
          <w:lang w:val="en-US" w:eastAsia="zh-CN"/>
        </w:rPr>
        <w:t>周边</w:t>
      </w:r>
      <w:r>
        <w:rPr>
          <w:rFonts w:hint="default" w:ascii="Times New Roman" w:hAnsi="Times New Roman" w:eastAsia="宋体" w:cs="Times New Roman"/>
          <w:bCs/>
          <w:color w:val="auto"/>
          <w:sz w:val="24"/>
          <w:szCs w:val="21"/>
          <w:highlight w:val="none"/>
          <w:u w:val="none"/>
          <w:lang w:val="en-US" w:eastAsia="zh-CN"/>
        </w:rPr>
        <w:t>水质</w:t>
      </w:r>
      <w:r>
        <w:rPr>
          <w:rFonts w:hint="eastAsia" w:ascii="Times New Roman" w:hAnsi="Times New Roman" w:eastAsia="宋体" w:cs="Times New Roman"/>
          <w:bCs/>
          <w:color w:val="auto"/>
          <w:sz w:val="24"/>
          <w:szCs w:val="21"/>
          <w:highlight w:val="none"/>
          <w:u w:val="none"/>
          <w:lang w:val="en-US" w:eastAsia="zh-CN"/>
        </w:rPr>
        <w:t>以及周边大气环境</w:t>
      </w:r>
      <w:r>
        <w:rPr>
          <w:rFonts w:hint="default" w:ascii="Times New Roman" w:hAnsi="Times New Roman" w:eastAsia="宋体" w:cs="Times New Roman"/>
          <w:bCs/>
          <w:color w:val="auto"/>
          <w:sz w:val="24"/>
          <w:szCs w:val="21"/>
          <w:highlight w:val="none"/>
          <w:u w:val="none"/>
          <w:lang w:val="en-US" w:eastAsia="zh-CN"/>
        </w:rPr>
        <w:t>造成污染。</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5.1.2</w:t>
      </w:r>
      <w:r>
        <w:rPr>
          <w:rFonts w:hint="default" w:ascii="Times New Roman" w:hAnsi="Times New Roman" w:cs="Times New Roman"/>
          <w:b/>
          <w:bCs/>
          <w:color w:val="auto"/>
          <w:u w:val="none"/>
          <w:lang w:val="en-US" w:eastAsia="zh-CN"/>
        </w:rPr>
        <w:t>占地</w:t>
      </w:r>
      <w:r>
        <w:rPr>
          <w:rFonts w:hint="eastAsia" w:ascii="Times New Roman" w:hAnsi="Times New Roman" w:cs="Times New Roman"/>
          <w:b/>
          <w:bCs/>
          <w:color w:val="auto"/>
          <w:u w:val="none"/>
          <w:lang w:val="en-US" w:eastAsia="zh-CN"/>
        </w:rPr>
        <w:t>恢复措施</w:t>
      </w:r>
    </w:p>
    <w:p>
      <w:pPr>
        <w:adjustRightInd w:val="0"/>
        <w:snapToGrid w:val="0"/>
        <w:spacing w:line="360" w:lineRule="auto"/>
        <w:ind w:firstLine="480" w:firstLineChars="200"/>
        <w:jc w:val="left"/>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bCs/>
          <w:color w:val="auto"/>
          <w:sz w:val="24"/>
          <w:szCs w:val="21"/>
          <w:highlight w:val="none"/>
          <w:u w:val="none"/>
          <w:lang w:val="en-US" w:eastAsia="zh-CN"/>
        </w:rPr>
        <w:t>本项目占地类型主要为旱地、</w:t>
      </w:r>
      <w:r>
        <w:rPr>
          <w:rFonts w:hint="eastAsia" w:ascii="Times New Roman" w:hAnsi="Times New Roman" w:eastAsia="宋体" w:cs="Times New Roman"/>
          <w:bCs/>
          <w:color w:val="auto"/>
          <w:sz w:val="24"/>
          <w:szCs w:val="21"/>
          <w:highlight w:val="none"/>
          <w:u w:val="none"/>
          <w:lang w:val="en-US" w:eastAsia="zh-CN"/>
        </w:rPr>
        <w:t>水田</w:t>
      </w:r>
      <w:r>
        <w:rPr>
          <w:rFonts w:hint="default" w:ascii="Times New Roman" w:hAnsi="Times New Roman" w:eastAsia="宋体" w:cs="Times New Roman"/>
          <w:bCs/>
          <w:color w:val="auto"/>
          <w:sz w:val="24"/>
          <w:szCs w:val="21"/>
          <w:highlight w:val="none"/>
          <w:u w:val="none"/>
          <w:lang w:val="en-US" w:eastAsia="zh-CN"/>
        </w:rPr>
        <w:t>，占地内现有地表植被将受到破坏，使区域生物量受到损失，对区域生态环境造成一定的影响。施工结束后对</w:t>
      </w:r>
      <w:r>
        <w:rPr>
          <w:rFonts w:hint="eastAsia" w:ascii="Times New Roman" w:hAnsi="Times New Roman" w:eastAsia="宋体" w:cs="Times New Roman"/>
          <w:bCs/>
          <w:color w:val="auto"/>
          <w:sz w:val="24"/>
          <w:szCs w:val="21"/>
          <w:highlight w:val="none"/>
          <w:u w:val="none"/>
          <w:lang w:val="en-US" w:eastAsia="zh-CN"/>
        </w:rPr>
        <w:t>安置区内绿化用地进行</w:t>
      </w:r>
      <w:r>
        <w:rPr>
          <w:rFonts w:hint="default" w:ascii="Times New Roman" w:hAnsi="Times New Roman" w:eastAsia="宋体" w:cs="Times New Roman"/>
          <w:bCs/>
          <w:color w:val="auto"/>
          <w:sz w:val="24"/>
          <w:szCs w:val="21"/>
          <w:highlight w:val="none"/>
          <w:u w:val="none"/>
          <w:lang w:val="en-US" w:eastAsia="zh-CN"/>
        </w:rPr>
        <w:t>回覆表土，</w:t>
      </w:r>
      <w:r>
        <w:rPr>
          <w:rFonts w:hint="eastAsia" w:ascii="Times New Roman" w:hAnsi="Times New Roman" w:eastAsia="宋体" w:cs="Times New Roman"/>
          <w:bCs/>
          <w:color w:val="auto"/>
          <w:sz w:val="24"/>
          <w:szCs w:val="21"/>
          <w:highlight w:val="none"/>
          <w:u w:val="none"/>
          <w:lang w:val="en-US" w:eastAsia="zh-CN"/>
        </w:rPr>
        <w:t>绿化恢复，</w:t>
      </w:r>
      <w:r>
        <w:rPr>
          <w:rFonts w:hint="default" w:ascii="Times New Roman" w:hAnsi="Times New Roman" w:eastAsia="宋体" w:cs="Times New Roman"/>
          <w:bCs/>
          <w:color w:val="auto"/>
          <w:sz w:val="24"/>
          <w:szCs w:val="21"/>
          <w:highlight w:val="none"/>
          <w:u w:val="none"/>
          <w:lang w:val="en-US" w:eastAsia="zh-CN"/>
        </w:rPr>
        <w:t>做好</w:t>
      </w:r>
      <w:r>
        <w:rPr>
          <w:rFonts w:hint="eastAsia" w:ascii="Times New Roman" w:hAnsi="Times New Roman" w:eastAsia="宋体" w:cs="Times New Roman"/>
          <w:bCs/>
          <w:color w:val="auto"/>
          <w:sz w:val="24"/>
          <w:szCs w:val="21"/>
          <w:highlight w:val="none"/>
          <w:u w:val="none"/>
          <w:lang w:val="en-US" w:eastAsia="zh-CN"/>
        </w:rPr>
        <w:t>了</w:t>
      </w:r>
      <w:r>
        <w:rPr>
          <w:rFonts w:hint="default" w:ascii="Times New Roman" w:hAnsi="Times New Roman" w:eastAsia="宋体" w:cs="Times New Roman"/>
          <w:bCs/>
          <w:color w:val="auto"/>
          <w:sz w:val="24"/>
          <w:szCs w:val="21"/>
          <w:highlight w:val="none"/>
          <w:u w:val="none"/>
          <w:lang w:val="en-US" w:eastAsia="zh-CN"/>
        </w:rPr>
        <w:t>绿化补偿工作</w:t>
      </w:r>
      <w:r>
        <w:rPr>
          <w:rFonts w:hint="default" w:ascii="Times New Roman" w:hAnsi="Times New Roman" w:eastAsia="宋体" w:cs="Times New Roman"/>
          <w:color w:val="auto"/>
          <w:u w:val="none"/>
          <w:lang w:val="en-US" w:eastAsia="zh-CN"/>
        </w:rPr>
        <w:t>。</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5.1.3对</w:t>
      </w:r>
      <w:r>
        <w:rPr>
          <w:rFonts w:hint="eastAsia" w:eastAsia="宋体" w:cs="Times New Roman"/>
          <w:b/>
          <w:color w:val="auto"/>
          <w:kern w:val="2"/>
          <w:sz w:val="24"/>
          <w:szCs w:val="24"/>
          <w:lang w:val="en-US" w:eastAsia="zh-CN" w:bidi="ar-SA"/>
        </w:rPr>
        <w:t>项目周边</w:t>
      </w:r>
      <w:r>
        <w:rPr>
          <w:rFonts w:hint="default" w:ascii="Times New Roman" w:hAnsi="Times New Roman" w:cs="Times New Roman"/>
          <w:b/>
          <w:bCs/>
          <w:color w:val="auto"/>
          <w:lang w:val="en-US" w:eastAsia="zh-CN"/>
        </w:rPr>
        <w:t>动植物保护措施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1、</w:t>
      </w:r>
      <w:r>
        <w:rPr>
          <w:rFonts w:hint="default" w:ascii="Times New Roman" w:hAnsi="Times New Roman" w:eastAsia="宋体" w:cs="Times New Roman"/>
          <w:bCs/>
          <w:color w:val="auto"/>
          <w:sz w:val="24"/>
          <w:szCs w:val="21"/>
          <w:highlight w:val="none"/>
          <w:u w:val="none"/>
          <w:lang w:val="en-US" w:eastAsia="zh-CN"/>
        </w:rPr>
        <w:t>对施工</w:t>
      </w:r>
      <w:r>
        <w:rPr>
          <w:rFonts w:hint="eastAsia" w:ascii="Times New Roman" w:hAnsi="Times New Roman" w:eastAsia="宋体" w:cs="Times New Roman"/>
          <w:bCs/>
          <w:color w:val="auto"/>
          <w:sz w:val="24"/>
          <w:szCs w:val="21"/>
          <w:highlight w:val="none"/>
          <w:u w:val="none"/>
          <w:lang w:val="en-US" w:eastAsia="zh-CN"/>
        </w:rPr>
        <w:t>周边区域</w:t>
      </w:r>
      <w:r>
        <w:rPr>
          <w:rFonts w:hint="default" w:ascii="Times New Roman" w:hAnsi="Times New Roman" w:eastAsia="宋体" w:cs="Times New Roman"/>
          <w:bCs/>
          <w:color w:val="auto"/>
          <w:sz w:val="24"/>
          <w:szCs w:val="21"/>
          <w:highlight w:val="none"/>
          <w:u w:val="none"/>
          <w:lang w:val="en-US" w:eastAsia="zh-CN"/>
        </w:rPr>
        <w:t>植被的保护措施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①施工期标明</w:t>
      </w:r>
      <w:r>
        <w:rPr>
          <w:rFonts w:hint="eastAsia" w:ascii="Times New Roman" w:hAnsi="Times New Roman" w:eastAsia="宋体" w:cs="Times New Roman"/>
          <w:bCs/>
          <w:color w:val="auto"/>
          <w:sz w:val="24"/>
          <w:szCs w:val="21"/>
          <w:highlight w:val="none"/>
          <w:u w:val="none"/>
          <w:lang w:val="en-US" w:eastAsia="zh-CN"/>
        </w:rPr>
        <w:t>了</w:t>
      </w:r>
      <w:r>
        <w:rPr>
          <w:rFonts w:hint="default" w:ascii="Times New Roman" w:hAnsi="Times New Roman" w:eastAsia="宋体" w:cs="Times New Roman"/>
          <w:bCs/>
          <w:color w:val="auto"/>
          <w:sz w:val="24"/>
          <w:szCs w:val="21"/>
          <w:highlight w:val="none"/>
          <w:u w:val="none"/>
          <w:lang w:val="en-US" w:eastAsia="zh-CN"/>
        </w:rPr>
        <w:t>施工活动区，施工人员和车辆在进行各类活动、运送建筑材料和土方时，按照现有道路进行，避免</w:t>
      </w:r>
      <w:r>
        <w:rPr>
          <w:rFonts w:hint="eastAsia" w:ascii="Times New Roman" w:hAnsi="Times New Roman" w:eastAsia="宋体" w:cs="Times New Roman"/>
          <w:bCs/>
          <w:color w:val="auto"/>
          <w:sz w:val="24"/>
          <w:szCs w:val="21"/>
          <w:highlight w:val="none"/>
          <w:u w:val="none"/>
          <w:lang w:val="en-US" w:eastAsia="zh-CN"/>
        </w:rPr>
        <w:t>了</w:t>
      </w:r>
      <w:r>
        <w:rPr>
          <w:rFonts w:hint="default" w:ascii="Times New Roman" w:hAnsi="Times New Roman" w:eastAsia="宋体" w:cs="Times New Roman"/>
          <w:bCs/>
          <w:color w:val="auto"/>
          <w:sz w:val="24"/>
          <w:szCs w:val="21"/>
          <w:highlight w:val="none"/>
          <w:u w:val="none"/>
          <w:lang w:val="en-US" w:eastAsia="zh-CN"/>
        </w:rPr>
        <w:t>大面积的破坏植被。</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②合理规划设计临时设施，不得随意修建；运输易产生扬尘的沙土时，</w:t>
      </w:r>
      <w:r>
        <w:rPr>
          <w:rFonts w:hint="eastAsia" w:ascii="Times New Roman" w:hAnsi="Times New Roman" w:eastAsia="宋体" w:cs="Times New Roman"/>
          <w:bCs/>
          <w:color w:val="auto"/>
          <w:sz w:val="24"/>
          <w:szCs w:val="21"/>
          <w:highlight w:val="none"/>
          <w:u w:val="none"/>
          <w:lang w:val="en-US" w:eastAsia="zh-CN"/>
        </w:rPr>
        <w:t>采取了</w:t>
      </w:r>
      <w:r>
        <w:rPr>
          <w:rFonts w:hint="default" w:ascii="Times New Roman" w:hAnsi="Times New Roman" w:eastAsia="宋体" w:cs="Times New Roman"/>
          <w:bCs/>
          <w:color w:val="auto"/>
          <w:sz w:val="24"/>
          <w:szCs w:val="21"/>
          <w:highlight w:val="none"/>
          <w:u w:val="none"/>
          <w:lang w:val="en-US" w:eastAsia="zh-CN"/>
        </w:rPr>
        <w:t>洒水或覆盖遮挡物。</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③</w:t>
      </w:r>
      <w:r>
        <w:rPr>
          <w:rFonts w:hint="eastAsia" w:ascii="Times New Roman" w:hAnsi="Times New Roman" w:eastAsia="宋体" w:cs="Times New Roman"/>
          <w:bCs/>
          <w:color w:val="auto"/>
          <w:sz w:val="24"/>
          <w:szCs w:val="21"/>
          <w:highlight w:val="none"/>
          <w:u w:val="none"/>
          <w:lang w:val="en-US" w:eastAsia="zh-CN"/>
        </w:rPr>
        <w:t>在进行场地三通一平</w:t>
      </w:r>
      <w:r>
        <w:rPr>
          <w:rFonts w:hint="default" w:ascii="Times New Roman" w:hAnsi="Times New Roman" w:eastAsia="宋体" w:cs="Times New Roman"/>
          <w:bCs/>
          <w:color w:val="auto"/>
          <w:sz w:val="24"/>
          <w:szCs w:val="21"/>
          <w:highlight w:val="none"/>
          <w:u w:val="none"/>
          <w:lang w:val="en-US" w:eastAsia="zh-CN"/>
        </w:rPr>
        <w:t>及临时工程的设置</w:t>
      </w:r>
      <w:r>
        <w:rPr>
          <w:rFonts w:hint="eastAsia" w:ascii="Times New Roman" w:hAnsi="Times New Roman" w:eastAsia="宋体" w:cs="Times New Roman"/>
          <w:bCs/>
          <w:color w:val="auto"/>
          <w:sz w:val="24"/>
          <w:szCs w:val="21"/>
          <w:highlight w:val="none"/>
          <w:u w:val="none"/>
          <w:lang w:val="en-US" w:eastAsia="zh-CN"/>
        </w:rPr>
        <w:t>时均</w:t>
      </w:r>
      <w:r>
        <w:rPr>
          <w:rFonts w:hint="default" w:ascii="Times New Roman" w:hAnsi="Times New Roman" w:eastAsia="宋体" w:cs="Times New Roman"/>
          <w:bCs/>
          <w:color w:val="auto"/>
          <w:sz w:val="24"/>
          <w:szCs w:val="21"/>
          <w:highlight w:val="none"/>
          <w:u w:val="none"/>
          <w:lang w:val="en-US" w:eastAsia="zh-CN"/>
        </w:rPr>
        <w:t>采取措施加以恢复；施工前应剥离表层土，在</w:t>
      </w:r>
      <w:r>
        <w:rPr>
          <w:rFonts w:hint="eastAsia" w:ascii="Times New Roman" w:hAnsi="Times New Roman" w:eastAsia="宋体" w:cs="Times New Roman"/>
          <w:bCs/>
          <w:color w:val="auto"/>
          <w:sz w:val="24"/>
          <w:szCs w:val="21"/>
          <w:highlight w:val="none"/>
          <w:u w:val="none"/>
          <w:lang w:val="en-US" w:eastAsia="zh-CN"/>
        </w:rPr>
        <w:t>工程永久占地</w:t>
      </w:r>
      <w:r>
        <w:rPr>
          <w:rFonts w:hint="default" w:ascii="Times New Roman" w:hAnsi="Times New Roman" w:eastAsia="宋体" w:cs="Times New Roman"/>
          <w:bCs/>
          <w:color w:val="auto"/>
          <w:sz w:val="24"/>
          <w:szCs w:val="21"/>
          <w:highlight w:val="none"/>
          <w:u w:val="none"/>
          <w:lang w:val="en-US" w:eastAsia="zh-CN"/>
        </w:rPr>
        <w:t>区域作为临时堆土区进行堆放，施工完毕后，在采取水土保持措施的同时将剥离的表土层进行回填覆土，并种植当地乔、灌、草，进行迹地恢复。</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④施工结束后，应严格按照水保方案对工程区域进行复耕和植被恢复。</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2、</w:t>
      </w:r>
      <w:r>
        <w:rPr>
          <w:rFonts w:hint="default" w:ascii="Times New Roman" w:hAnsi="Times New Roman" w:eastAsia="宋体" w:cs="Times New Roman"/>
          <w:bCs/>
          <w:color w:val="auto"/>
          <w:sz w:val="24"/>
          <w:szCs w:val="21"/>
          <w:highlight w:val="none"/>
          <w:u w:val="none"/>
          <w:lang w:val="en-US" w:eastAsia="zh-CN"/>
        </w:rPr>
        <w:t>对施工</w:t>
      </w:r>
      <w:r>
        <w:rPr>
          <w:rFonts w:hint="eastAsia" w:ascii="Times New Roman" w:hAnsi="Times New Roman" w:eastAsia="宋体" w:cs="Times New Roman"/>
          <w:bCs/>
          <w:color w:val="auto"/>
          <w:sz w:val="24"/>
          <w:szCs w:val="21"/>
          <w:highlight w:val="none"/>
          <w:u w:val="none"/>
          <w:lang w:val="en-US" w:eastAsia="zh-CN"/>
        </w:rPr>
        <w:t>周边区域</w:t>
      </w:r>
      <w:r>
        <w:rPr>
          <w:rFonts w:hint="default" w:ascii="Times New Roman" w:hAnsi="Times New Roman" w:eastAsia="宋体" w:cs="Times New Roman"/>
          <w:bCs/>
          <w:color w:val="auto"/>
          <w:sz w:val="24"/>
          <w:szCs w:val="21"/>
          <w:highlight w:val="none"/>
          <w:u w:val="none"/>
          <w:lang w:val="en-US" w:eastAsia="zh-CN"/>
        </w:rPr>
        <w:t>动物的保护措施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本工程施工</w:t>
      </w:r>
      <w:r>
        <w:rPr>
          <w:rFonts w:hint="eastAsia" w:ascii="Times New Roman" w:hAnsi="Times New Roman" w:eastAsia="宋体" w:cs="Times New Roman"/>
          <w:bCs/>
          <w:color w:val="auto"/>
          <w:sz w:val="24"/>
          <w:szCs w:val="21"/>
          <w:highlight w:val="none"/>
          <w:u w:val="none"/>
          <w:lang w:val="en-US" w:eastAsia="zh-CN"/>
        </w:rPr>
        <w:t>范围及周边</w:t>
      </w:r>
      <w:r>
        <w:rPr>
          <w:rFonts w:hint="default" w:ascii="Times New Roman" w:hAnsi="Times New Roman" w:eastAsia="宋体" w:cs="Times New Roman"/>
          <w:bCs/>
          <w:color w:val="auto"/>
          <w:sz w:val="24"/>
          <w:szCs w:val="21"/>
          <w:highlight w:val="none"/>
          <w:u w:val="none"/>
          <w:lang w:val="en-US" w:eastAsia="zh-CN"/>
        </w:rPr>
        <w:t>仅有一些常见鸟类、啮齿类动物少量存在，施工过程中由于开挖建设会对</w:t>
      </w:r>
      <w:r>
        <w:rPr>
          <w:rFonts w:hint="eastAsia" w:ascii="Times New Roman" w:hAnsi="Times New Roman" w:eastAsia="宋体" w:cs="Times New Roman"/>
          <w:bCs/>
          <w:color w:val="auto"/>
          <w:sz w:val="24"/>
          <w:szCs w:val="21"/>
          <w:highlight w:val="none"/>
          <w:u w:val="none"/>
          <w:lang w:val="en-US" w:eastAsia="zh-CN"/>
        </w:rPr>
        <w:t>区域及周边</w:t>
      </w:r>
      <w:r>
        <w:rPr>
          <w:rFonts w:hint="default" w:ascii="Times New Roman" w:hAnsi="Times New Roman" w:eastAsia="宋体" w:cs="Times New Roman"/>
          <w:bCs/>
          <w:color w:val="auto"/>
          <w:sz w:val="24"/>
          <w:szCs w:val="21"/>
          <w:highlight w:val="none"/>
          <w:u w:val="none"/>
          <w:lang w:val="en-US" w:eastAsia="zh-CN"/>
        </w:rPr>
        <w:t>的啮齿类动物产生影响。</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①提高施工人员的环境保护意识，严禁捕狩野生动物。</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②大力宣传两栖、爬行动物对农林卫生的有益作用，如蛙类、蛇类等要摄食大量害虫、害鼠，呼吁当地居民和施工人员自觉保护野生动物。由于鸟类有较强扩散能力，工程施工将使它们迁移到别处，随着施工结束，工程区的鸟类数量将逐渐恢复。</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③严禁随意砍伐森林和破坏植被，避免影响动物的栖息环境。</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④施工后期加强</w:t>
      </w:r>
      <w:r>
        <w:rPr>
          <w:rFonts w:hint="eastAsia" w:ascii="Times New Roman" w:hAnsi="Times New Roman" w:eastAsia="宋体" w:cs="Times New Roman"/>
          <w:bCs/>
          <w:color w:val="auto"/>
          <w:sz w:val="24"/>
          <w:szCs w:val="21"/>
          <w:highlight w:val="none"/>
          <w:u w:val="none"/>
          <w:lang w:val="en-US" w:eastAsia="zh-CN"/>
        </w:rPr>
        <w:t>安置区内</w:t>
      </w:r>
      <w:r>
        <w:rPr>
          <w:rFonts w:hint="default" w:ascii="Times New Roman" w:hAnsi="Times New Roman" w:eastAsia="宋体" w:cs="Times New Roman"/>
          <w:bCs/>
          <w:color w:val="auto"/>
          <w:sz w:val="24"/>
          <w:szCs w:val="21"/>
          <w:highlight w:val="none"/>
          <w:u w:val="none"/>
          <w:lang w:val="en-US" w:eastAsia="zh-CN"/>
        </w:rPr>
        <w:t>的绿化，尽量采用当地植物种类，以乔-灌-草结合、常绿与落叶相结合、针叶与阔叶相结合、观赏与经济植物相结合的方式，多物种、多层次和多样化的进行植物配置。</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5.1.4</w:t>
      </w:r>
      <w:r>
        <w:rPr>
          <w:rFonts w:hint="default" w:ascii="Times New Roman" w:hAnsi="Times New Roman" w:eastAsia="宋体" w:cs="Times New Roman"/>
          <w:b/>
          <w:bCs/>
          <w:color w:val="auto"/>
          <w:lang w:val="en-US" w:eastAsia="zh-CN"/>
        </w:rPr>
        <w:t>水土保持措施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为防治水土流失，施工中应采取如下措施：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(1)对工程区主要是做好预防保护措施及土石方平衡的合理调运利用，优化施工工艺，尽量减少弃渣量。及时运输挖方，及时填压土方，并做好施工过程中的临时拦挡、截排水、沉沙、覆盖等防护措施，从根本上防止大雨径流对开挖面和填方区的冲刷，减少水土流失量。对建设中永久占地的表层土予以收集保存，施工结束后对边坡进行植被绿化，改善和恢复生态景观。</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(2)弃渣场水土保持主要采取以下措施：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①截排水措施：按照“上截下拦”的原则，需在弃渣边坡两侧、下游及弃渣边坡坡顶设置C20混凝土排水沟，将场内外汇水排出;堆渣顶应根据渣场推进方向、弃渣方向及积水情况开挖临时排水沟，连接周边排水沟;各类截排水沟、临时排水设施须通过沉沙池连接，并通过沉沙池沉降后排入周边排水系统；</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②拦挡措施：严格按照“先拦后弃”的要求，弃渣前在弃渣场下边坡坡脚修建挡渣墙;由于弃渣量较小，从挡渣墙顶至弃渣面按1:2放坡;弃渣场周边弃渣边界、可能出现的低缓弃渣边坡坡脚；</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③整地及迹地恢复措施：弃渣结束后对弃渣面及边坡进行平整，回填种植土，弃渣边坡采用植假俭草草皮护坡。项目区植被覆盖情况较好，对弃渣场采取乔灌草结合的林草措施，其中乔木选择当地树种湿地松，灌木选用小叶女贞、迎春花，攀缘植物有爬山虎，草类选择狗牙根等混合草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④其它措施：弃渣场施工前需将弃渣场内的表土或基层进行清理，避免渣体底部摩擦力不足造成渣体滑动，堆至弃渣场上流空旷处；</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fldChar w:fldCharType="begin"/>
      </w:r>
      <w:r>
        <w:rPr>
          <w:rFonts w:hint="default" w:ascii="Times New Roman" w:hAnsi="Times New Roman" w:eastAsia="宋体" w:cs="Times New Roman"/>
          <w:bCs/>
          <w:color w:val="auto"/>
          <w:sz w:val="24"/>
          <w:szCs w:val="21"/>
          <w:highlight w:val="none"/>
          <w:u w:val="none"/>
          <w:lang w:val="en-US" w:eastAsia="zh-CN"/>
        </w:rPr>
        <w:instrText xml:space="preserve"> = 5 \* GB3 \* MERGEFORMAT </w:instrText>
      </w:r>
      <w:r>
        <w:rPr>
          <w:rFonts w:hint="default" w:ascii="Times New Roman" w:hAnsi="Times New Roman" w:eastAsia="宋体" w:cs="Times New Roman"/>
          <w:bCs/>
          <w:color w:val="auto"/>
          <w:sz w:val="24"/>
          <w:szCs w:val="21"/>
          <w:highlight w:val="none"/>
          <w:u w:val="none"/>
          <w:lang w:val="en-US" w:eastAsia="zh-CN"/>
        </w:rPr>
        <w:fldChar w:fldCharType="separate"/>
      </w:r>
      <w:r>
        <w:rPr>
          <w:rFonts w:hint="default" w:ascii="Times New Roman" w:hAnsi="Times New Roman" w:eastAsia="宋体" w:cs="Times New Roman"/>
          <w:bCs/>
          <w:color w:val="auto"/>
          <w:sz w:val="24"/>
          <w:szCs w:val="21"/>
          <w:highlight w:val="none"/>
          <w:u w:val="none"/>
          <w:lang w:val="en-US" w:eastAsia="zh-CN"/>
        </w:rPr>
        <w:t>⑤</w:t>
      </w:r>
      <w:r>
        <w:rPr>
          <w:rFonts w:hint="default" w:ascii="Times New Roman" w:hAnsi="Times New Roman" w:eastAsia="宋体" w:cs="Times New Roman"/>
          <w:bCs/>
          <w:color w:val="auto"/>
          <w:sz w:val="24"/>
          <w:szCs w:val="21"/>
          <w:highlight w:val="none"/>
          <w:u w:val="none"/>
          <w:lang w:val="en-US" w:eastAsia="zh-CN"/>
        </w:rPr>
        <w:fldChar w:fldCharType="end"/>
      </w:r>
      <w:r>
        <w:rPr>
          <w:rFonts w:hint="default" w:ascii="Times New Roman" w:hAnsi="Times New Roman" w:eastAsia="宋体" w:cs="Times New Roman"/>
          <w:bCs/>
          <w:color w:val="auto"/>
          <w:sz w:val="24"/>
          <w:szCs w:val="21"/>
          <w:highlight w:val="none"/>
          <w:u w:val="none"/>
          <w:lang w:val="en-US" w:eastAsia="zh-CN"/>
        </w:rPr>
        <w:t>为保证弃渣边坡的稳定，弃渣过程中应做到分层碾压弃渣，从挡渣墙顶至弃渣面按1:2放坡；</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w:t>
      </w:r>
      <w:r>
        <w:rPr>
          <w:rFonts w:hint="eastAsia" w:ascii="Times New Roman" w:hAnsi="Times New Roman" w:eastAsia="宋体" w:cs="Times New Roman"/>
          <w:bCs/>
          <w:color w:val="auto"/>
          <w:sz w:val="24"/>
          <w:szCs w:val="21"/>
          <w:highlight w:val="none"/>
          <w:u w:val="none"/>
          <w:lang w:val="en-US" w:eastAsia="zh-CN"/>
        </w:rPr>
        <w:t>3</w:t>
      </w:r>
      <w:r>
        <w:rPr>
          <w:rFonts w:hint="default" w:ascii="Times New Roman" w:hAnsi="Times New Roman" w:eastAsia="宋体" w:cs="Times New Roman"/>
          <w:bCs/>
          <w:color w:val="auto"/>
          <w:sz w:val="24"/>
          <w:szCs w:val="21"/>
          <w:highlight w:val="none"/>
          <w:u w:val="none"/>
          <w:lang w:val="en-US" w:eastAsia="zh-CN"/>
        </w:rPr>
        <w:t>)对施工临时施工生产生活区和表土临时堆置区主要是采取临时排水、拦挡及覆盖等措施，对场地进行场地清理和平整，将清理的表土覆盖堆存用于后期恢复耕作或种植林草。</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283" w:name="_Toc15693"/>
      <w:bookmarkStart w:id="284" w:name="_Toc5060"/>
      <w:bookmarkStart w:id="285" w:name="_Toc30574"/>
      <w:bookmarkStart w:id="286" w:name="_Toc10162"/>
      <w:bookmarkStart w:id="287" w:name="_Toc28772"/>
      <w:bookmarkStart w:id="288" w:name="_Toc13675"/>
      <w:bookmarkStart w:id="289" w:name="_Toc21379"/>
      <w:bookmarkStart w:id="290" w:name="_Toc23134"/>
      <w:r>
        <w:rPr>
          <w:rFonts w:ascii="Times New Roman" w:hAnsi="Times New Roman" w:eastAsia="宋体" w:cs="Times New Roman"/>
          <w:b/>
          <w:bCs/>
          <w:color w:val="auto"/>
          <w:kern w:val="2"/>
          <w:sz w:val="28"/>
          <w:szCs w:val="28"/>
          <w:lang w:val="en-US" w:eastAsia="zh-CN" w:bidi="ar-SA"/>
        </w:rPr>
        <w:t>5.2营运期生态保护措施</w:t>
      </w:r>
      <w:bookmarkEnd w:id="283"/>
      <w:bookmarkEnd w:id="284"/>
      <w:bookmarkEnd w:id="285"/>
      <w:bookmarkEnd w:id="286"/>
      <w:bookmarkEnd w:id="287"/>
      <w:bookmarkEnd w:id="288"/>
      <w:bookmarkEnd w:id="289"/>
      <w:bookmarkEnd w:id="290"/>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项目运营期主要采取的生态保护措施如下：</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（1）施工后期应加强对绿化植物的管理与养护，以达到恢复植被的目的。</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（2）加强营运期管理，保证各项工程设施完好和确保安全生产是生态保护最基本的措施。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（3）应加强</w:t>
      </w:r>
      <w:r>
        <w:rPr>
          <w:rFonts w:hint="eastAsia" w:ascii="Times New Roman" w:hAnsi="Times New Roman" w:eastAsia="宋体" w:cs="Times New Roman"/>
          <w:bCs/>
          <w:color w:val="auto"/>
          <w:sz w:val="24"/>
          <w:szCs w:val="21"/>
          <w:highlight w:val="none"/>
          <w:u w:val="none"/>
          <w:lang w:val="en-US" w:eastAsia="zh-CN"/>
        </w:rPr>
        <w:t>对物业及开发商的</w:t>
      </w:r>
      <w:r>
        <w:rPr>
          <w:rFonts w:hint="default" w:ascii="Times New Roman" w:hAnsi="Times New Roman" w:eastAsia="宋体" w:cs="Times New Roman"/>
          <w:bCs/>
          <w:color w:val="auto"/>
          <w:sz w:val="24"/>
          <w:szCs w:val="21"/>
          <w:highlight w:val="none"/>
          <w:u w:val="none"/>
          <w:lang w:val="en-US" w:eastAsia="zh-CN"/>
        </w:rPr>
        <w:t>管理和宣传教育，确保</w:t>
      </w:r>
      <w:r>
        <w:rPr>
          <w:rFonts w:hint="eastAsia" w:ascii="Times New Roman" w:hAnsi="Times New Roman" w:eastAsia="宋体" w:cs="Times New Roman"/>
          <w:bCs/>
          <w:color w:val="auto"/>
          <w:sz w:val="24"/>
          <w:szCs w:val="21"/>
          <w:highlight w:val="none"/>
          <w:u w:val="none"/>
          <w:lang w:val="en-US" w:eastAsia="zh-CN"/>
        </w:rPr>
        <w:t>本项目安置区内</w:t>
      </w:r>
      <w:r>
        <w:rPr>
          <w:rFonts w:hint="default" w:ascii="Times New Roman" w:hAnsi="Times New Roman" w:eastAsia="宋体" w:cs="Times New Roman"/>
          <w:bCs/>
          <w:color w:val="auto"/>
          <w:sz w:val="24"/>
          <w:szCs w:val="21"/>
          <w:highlight w:val="none"/>
          <w:u w:val="none"/>
          <w:lang w:val="en-US" w:eastAsia="zh-CN"/>
        </w:rPr>
        <w:t>绿化林带不受破坏。主体工程完后，应对工程裸地进行植被恢复，优先采用乡土植物品种</w:t>
      </w:r>
      <w:r>
        <w:rPr>
          <w:rFonts w:hint="eastAsia" w:ascii="Times New Roman" w:hAnsi="Times New Roman" w:eastAsia="宋体" w:cs="Times New Roman"/>
          <w:bCs/>
          <w:color w:val="auto"/>
          <w:sz w:val="24"/>
          <w:szCs w:val="21"/>
          <w:highlight w:val="none"/>
          <w:u w:val="none"/>
          <w:lang w:val="en-US" w:eastAsia="zh-CN"/>
        </w:rPr>
        <w:t>。</w:t>
      </w:r>
      <w:r>
        <w:rPr>
          <w:rFonts w:hint="default" w:ascii="Times New Roman" w:hAnsi="Times New Roman" w:eastAsia="宋体" w:cs="Times New Roman"/>
          <w:bCs/>
          <w:color w:val="auto"/>
          <w:sz w:val="24"/>
          <w:szCs w:val="21"/>
          <w:highlight w:val="none"/>
          <w:u w:val="none"/>
          <w:lang w:val="en-US" w:eastAsia="zh-CN"/>
        </w:rPr>
        <w:t>在植被恢复中，植物选择应考虑抗逆性、速生性、景观价值及经济成本等因素，以乔木、灌木为主，草本为辅进行植被配置或自然更新。植物物种的选择应考虑当地生态适应强的植物，如马尾松、毛竹、盐肤木、芒、丝茅等，应注意在施工时予以移栽保护，便于在植被恢复时利用。</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pPr>
        <w:widowControl/>
        <w:adjustRightInd w:val="0"/>
        <w:snapToGrid w:val="0"/>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lang w:val="en-US" w:eastAsia="zh-CN" w:bidi="ar-SA"/>
        </w:rPr>
      </w:pPr>
      <w:bookmarkStart w:id="291" w:name="_Toc21525"/>
      <w:bookmarkStart w:id="292" w:name="_Toc15047"/>
      <w:bookmarkStart w:id="293" w:name="_Toc7132"/>
      <w:bookmarkStart w:id="294" w:name="_Toc6071"/>
      <w:bookmarkStart w:id="295" w:name="_Toc10105"/>
      <w:r>
        <w:rPr>
          <w:rFonts w:ascii="Times New Roman" w:hAnsi="Times New Roman" w:eastAsia="宋体" w:cs="Times New Roman"/>
          <w:b/>
          <w:snapToGrid w:val="0"/>
          <w:color w:val="auto"/>
          <w:kern w:val="0"/>
          <w:sz w:val="30"/>
          <w:szCs w:val="30"/>
          <w:lang w:val="en-US" w:eastAsia="zh-CN" w:bidi="ar-SA"/>
        </w:rPr>
        <w:t>6评价结论和建议</w:t>
      </w:r>
      <w:bookmarkEnd w:id="291"/>
      <w:bookmarkEnd w:id="292"/>
      <w:bookmarkEnd w:id="293"/>
      <w:bookmarkEnd w:id="294"/>
      <w:bookmarkEnd w:id="295"/>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296" w:name="_Toc24989"/>
      <w:bookmarkStart w:id="297" w:name="_Toc7947"/>
      <w:bookmarkStart w:id="298" w:name="_Toc2619"/>
      <w:r>
        <w:rPr>
          <w:rFonts w:ascii="Times New Roman" w:hAnsi="Times New Roman" w:eastAsia="宋体" w:cs="Times New Roman"/>
          <w:b/>
          <w:bCs/>
          <w:color w:val="auto"/>
          <w:kern w:val="2"/>
          <w:sz w:val="28"/>
          <w:szCs w:val="28"/>
          <w:lang w:val="en-US" w:eastAsia="zh-CN" w:bidi="ar-SA"/>
        </w:rPr>
        <w:t>6.1评价结论</w:t>
      </w:r>
      <w:bookmarkEnd w:id="296"/>
      <w:bookmarkEnd w:id="297"/>
      <w:bookmarkEnd w:id="298"/>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本工程对生态环境的影响主要表现为：工程占地、人为干扰、施工活动及施工活动产生的弃渣、废水、扬尘等，总体而言，项目建设将对生态环境造成一定的不利影响，本工程在设计、施工</w:t>
      </w:r>
      <w:r>
        <w:rPr>
          <w:rFonts w:hint="eastAsia" w:ascii="Times New Roman" w:hAnsi="Times New Roman" w:eastAsia="宋体" w:cs="Times New Roman"/>
          <w:bCs/>
          <w:color w:val="auto"/>
          <w:sz w:val="24"/>
          <w:szCs w:val="21"/>
          <w:highlight w:val="none"/>
          <w:u w:val="none"/>
          <w:lang w:val="en-US" w:eastAsia="zh-CN"/>
        </w:rPr>
        <w:t>已经采取了较为完善的措施防止造成较大的生态环境影响，在后续的</w:t>
      </w:r>
      <w:r>
        <w:rPr>
          <w:rFonts w:hint="default" w:ascii="Times New Roman" w:hAnsi="Times New Roman" w:eastAsia="宋体" w:cs="Times New Roman"/>
          <w:bCs/>
          <w:color w:val="auto"/>
          <w:sz w:val="24"/>
          <w:szCs w:val="21"/>
          <w:highlight w:val="none"/>
          <w:u w:val="none"/>
          <w:lang w:val="en-US" w:eastAsia="zh-CN"/>
        </w:rPr>
        <w:t>运营</w:t>
      </w:r>
      <w:r>
        <w:rPr>
          <w:rFonts w:hint="eastAsia" w:ascii="Times New Roman" w:hAnsi="Times New Roman" w:eastAsia="宋体" w:cs="Times New Roman"/>
          <w:bCs/>
          <w:color w:val="auto"/>
          <w:sz w:val="24"/>
          <w:szCs w:val="21"/>
          <w:highlight w:val="none"/>
          <w:u w:val="none"/>
          <w:lang w:val="en-US" w:eastAsia="zh-CN"/>
        </w:rPr>
        <w:t>过程</w:t>
      </w:r>
      <w:r>
        <w:rPr>
          <w:rFonts w:hint="default" w:ascii="Times New Roman" w:hAnsi="Times New Roman" w:eastAsia="宋体" w:cs="Times New Roman"/>
          <w:bCs/>
          <w:color w:val="auto"/>
          <w:sz w:val="24"/>
          <w:szCs w:val="21"/>
          <w:highlight w:val="none"/>
          <w:u w:val="none"/>
          <w:lang w:val="en-US" w:eastAsia="zh-CN"/>
        </w:rPr>
        <w:t>中，</w:t>
      </w:r>
      <w:r>
        <w:rPr>
          <w:rFonts w:hint="eastAsia" w:ascii="Times New Roman" w:hAnsi="Times New Roman" w:eastAsia="宋体" w:cs="Times New Roman"/>
          <w:bCs/>
          <w:color w:val="auto"/>
          <w:sz w:val="24"/>
          <w:szCs w:val="21"/>
          <w:highlight w:val="none"/>
          <w:u w:val="none"/>
          <w:lang w:val="en-US" w:eastAsia="zh-CN"/>
        </w:rPr>
        <w:t>应严格</w:t>
      </w:r>
      <w:r>
        <w:rPr>
          <w:rFonts w:hint="default" w:ascii="Times New Roman" w:hAnsi="Times New Roman" w:eastAsia="宋体" w:cs="Times New Roman"/>
          <w:bCs/>
          <w:color w:val="auto"/>
          <w:sz w:val="24"/>
          <w:szCs w:val="21"/>
          <w:highlight w:val="none"/>
          <w:u w:val="none"/>
          <w:lang w:val="en-US" w:eastAsia="zh-CN"/>
        </w:rPr>
        <w:t>采取本报告提出的保护和加强管理等积极有效的保护措施，可将工程</w:t>
      </w:r>
      <w:r>
        <w:rPr>
          <w:rFonts w:hint="eastAsia" w:ascii="Times New Roman" w:hAnsi="Times New Roman" w:eastAsia="宋体" w:cs="Times New Roman"/>
          <w:bCs/>
          <w:color w:val="auto"/>
          <w:sz w:val="24"/>
          <w:szCs w:val="21"/>
          <w:highlight w:val="none"/>
          <w:u w:val="none"/>
          <w:lang w:val="en-US" w:eastAsia="zh-CN"/>
        </w:rPr>
        <w:t>建设</w:t>
      </w:r>
      <w:r>
        <w:rPr>
          <w:rFonts w:hint="default" w:ascii="Times New Roman" w:hAnsi="Times New Roman" w:eastAsia="宋体" w:cs="Times New Roman"/>
          <w:bCs/>
          <w:color w:val="auto"/>
          <w:sz w:val="24"/>
          <w:szCs w:val="21"/>
          <w:highlight w:val="none"/>
          <w:u w:val="none"/>
          <w:lang w:val="en-US" w:eastAsia="zh-CN"/>
        </w:rPr>
        <w:t>带来的负面影响减轻到生物、生态能够承载的程度。因此，从生态影响的角度分析，本项目是可行的。</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299" w:name="_Toc23080"/>
      <w:bookmarkStart w:id="300" w:name="_Toc17926"/>
      <w:bookmarkStart w:id="301" w:name="_Toc2309"/>
      <w:r>
        <w:rPr>
          <w:rFonts w:ascii="Times New Roman" w:hAnsi="Times New Roman" w:eastAsia="宋体" w:cs="Times New Roman"/>
          <w:b/>
          <w:bCs/>
          <w:color w:val="auto"/>
          <w:kern w:val="2"/>
          <w:sz w:val="28"/>
          <w:szCs w:val="28"/>
          <w:lang w:val="en-US" w:eastAsia="zh-CN" w:bidi="ar-SA"/>
        </w:rPr>
        <w:t>6.2评价建议</w:t>
      </w:r>
      <w:bookmarkEnd w:id="299"/>
      <w:bookmarkEnd w:id="300"/>
      <w:bookmarkEnd w:id="301"/>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1、进一步完善安置区内绿化工作</w:t>
      </w:r>
      <w:r>
        <w:rPr>
          <w:rFonts w:hint="default" w:ascii="Times New Roman" w:hAnsi="Times New Roman" w:eastAsia="宋体" w:cs="Times New Roman"/>
          <w:bCs/>
          <w:color w:val="auto"/>
          <w:sz w:val="24"/>
          <w:szCs w:val="21"/>
          <w:highlight w:val="none"/>
          <w:u w:val="none"/>
          <w:lang w:val="en-US" w:eastAsia="zh-CN"/>
        </w:rPr>
        <w:t>，</w:t>
      </w:r>
      <w:r>
        <w:rPr>
          <w:rFonts w:hint="eastAsia" w:ascii="Times New Roman" w:hAnsi="Times New Roman" w:eastAsia="宋体" w:cs="Times New Roman"/>
          <w:bCs/>
          <w:color w:val="auto"/>
          <w:sz w:val="24"/>
          <w:szCs w:val="21"/>
          <w:highlight w:val="none"/>
          <w:u w:val="none"/>
          <w:lang w:val="en-US" w:eastAsia="zh-CN"/>
        </w:rPr>
        <w:t>在现有绿地基础上进一步丰富区内绿化层次，</w:t>
      </w:r>
      <w:r>
        <w:rPr>
          <w:rFonts w:hint="default" w:ascii="Times New Roman" w:hAnsi="Times New Roman" w:eastAsia="宋体" w:cs="Times New Roman"/>
          <w:bCs/>
          <w:color w:val="auto"/>
          <w:sz w:val="24"/>
          <w:szCs w:val="21"/>
          <w:highlight w:val="none"/>
          <w:u w:val="none"/>
          <w:lang w:val="en-US" w:eastAsia="zh-CN"/>
        </w:rPr>
        <w:t>减少由于生境破坏对动植物的不利影响。</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2、</w:t>
      </w:r>
      <w:r>
        <w:rPr>
          <w:rFonts w:hint="default" w:ascii="Times New Roman" w:hAnsi="Times New Roman" w:eastAsia="宋体" w:cs="Times New Roman"/>
          <w:bCs/>
          <w:color w:val="auto"/>
          <w:sz w:val="24"/>
          <w:szCs w:val="21"/>
          <w:highlight w:val="none"/>
          <w:u w:val="none"/>
          <w:lang w:val="en-US" w:eastAsia="zh-CN"/>
        </w:rPr>
        <w:t>严格落实本报告提出的环保措施，建立常规管理和监测机制。</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r>
        <w:rPr>
          <w:rFonts w:hint="eastAsia" w:ascii="Times New Roman" w:hAnsi="Times New Roman" w:eastAsia="宋体" w:cs="Times New Roman"/>
          <w:bCs/>
          <w:color w:val="auto"/>
          <w:sz w:val="24"/>
          <w:szCs w:val="21"/>
          <w:highlight w:val="none"/>
          <w:u w:val="none"/>
          <w:lang w:val="en-US" w:eastAsia="zh-CN"/>
        </w:rPr>
        <w:t>3、</w:t>
      </w:r>
      <w:r>
        <w:rPr>
          <w:rFonts w:hint="default" w:ascii="Times New Roman" w:hAnsi="Times New Roman" w:eastAsia="宋体" w:cs="Times New Roman"/>
          <w:bCs/>
          <w:color w:val="auto"/>
          <w:sz w:val="24"/>
          <w:szCs w:val="21"/>
          <w:highlight w:val="none"/>
          <w:u w:val="none"/>
          <w:lang w:val="en-US" w:eastAsia="zh-CN"/>
        </w:rPr>
        <w:t>落实环保措施投资费用，切实落实各项污染防治及生态减缓措施。</w:t>
      </w:r>
    </w:p>
    <w:p>
      <w:pPr>
        <w:adjustRightInd/>
        <w:snapToGrid/>
        <w:spacing w:line="240" w:lineRule="auto"/>
        <w:ind w:firstLine="0" w:firstLineChars="0"/>
        <w:jc w:val="center"/>
        <w:outlineLvl w:val="1"/>
        <w:rPr>
          <w:rFonts w:hint="default" w:ascii="Times New Roman" w:hAnsi="Times New Roman" w:eastAsia="宋体" w:cs="Times New Roman"/>
          <w:b/>
          <w:bCs/>
          <w:color w:val="auto"/>
          <w:sz w:val="24"/>
          <w:szCs w:val="24"/>
          <w:lang w:val="en-US" w:eastAsia="zh-CN"/>
        </w:rPr>
      </w:pPr>
      <w:bookmarkStart w:id="302" w:name="_Toc3490"/>
      <w:bookmarkStart w:id="303" w:name="_Toc18593"/>
      <w:bookmarkStart w:id="304" w:name="_Toc15039"/>
      <w:bookmarkStart w:id="305" w:name="_Toc24246"/>
      <w:bookmarkStart w:id="306" w:name="_Toc26213"/>
      <w:r>
        <w:rPr>
          <w:rFonts w:hint="default" w:ascii="Times New Roman" w:hAnsi="Times New Roman" w:eastAsia="宋体" w:cs="Times New Roman"/>
          <w:b/>
          <w:bCs/>
          <w:color w:val="auto"/>
          <w:sz w:val="24"/>
          <w:szCs w:val="24"/>
          <w:lang w:val="en-US" w:eastAsia="zh-CN"/>
        </w:rPr>
        <w:t>生态影响评价自查表</w:t>
      </w:r>
      <w:bookmarkEnd w:id="302"/>
      <w:bookmarkEnd w:id="303"/>
      <w:bookmarkEnd w:id="304"/>
      <w:bookmarkEnd w:id="305"/>
      <w:bookmarkEnd w:id="306"/>
    </w:p>
    <w:tbl>
      <w:tblPr>
        <w:tblStyle w:val="23"/>
        <w:tblW w:w="8992"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091"/>
        <w:gridCol w:w="1491"/>
        <w:gridCol w:w="6410"/>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582" w:type="dxa"/>
            <w:gridSpan w:val="2"/>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工作内容</w:t>
            </w:r>
          </w:p>
        </w:tc>
        <w:tc>
          <w:tcPr>
            <w:tcW w:w="6410" w:type="dxa"/>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自查项目</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tcBorders>
              <w:right w:val="single" w:color="auto" w:sz="4" w:space="0"/>
            </w:tcBorders>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生态影响识别</w:t>
            </w:r>
          </w:p>
        </w:tc>
        <w:tc>
          <w:tcPr>
            <w:tcW w:w="1491" w:type="dxa"/>
            <w:tcBorders>
              <w:left w:val="single" w:color="auto" w:sz="4" w:space="0"/>
            </w:tcBorders>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生态保护目标</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rPr>
              <w:t>重要物种□；国家公园□；自然保护区</w:t>
            </w:r>
            <w:r>
              <w:rPr>
                <w:rFonts w:hint="eastAsia" w:eastAsia="宋体" w:cs="Times New Roman"/>
                <w:color w:val="auto"/>
                <w:sz w:val="21"/>
                <w:szCs w:val="21"/>
                <w:lang w:eastAsia="zh-CN"/>
              </w:rPr>
              <w:t>☑</w:t>
            </w:r>
            <w:r>
              <w:rPr>
                <w:rFonts w:ascii="Times New Roman" w:hAnsi="Times New Roman" w:eastAsia="宋体" w:cs="Times New Roman"/>
                <w:color w:val="auto"/>
                <w:sz w:val="21"/>
                <w:szCs w:val="21"/>
              </w:rPr>
              <w:t>；自然公园</w:t>
            </w: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；世界自然遗产□；生态保护红线□；重要生境□；其他具有重要生态功能、对保护生物多样性具有重要意义的区域□；其他</w:t>
            </w:r>
            <w:r>
              <w:rPr>
                <w:rFonts w:hint="eastAsia" w:eastAsia="宋体" w:cs="Times New Roman"/>
                <w:color w:val="auto"/>
                <w:sz w:val="21"/>
                <w:szCs w:val="21"/>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tcBorders>
              <w:right w:val="single" w:color="auto" w:sz="4" w:space="0"/>
            </w:tcBorders>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p>
        </w:tc>
        <w:tc>
          <w:tcPr>
            <w:tcW w:w="1491" w:type="dxa"/>
            <w:tcBorders>
              <w:left w:val="single" w:color="auto" w:sz="4" w:space="0"/>
            </w:tcBorders>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影响方式</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工程占用</w:t>
            </w:r>
            <w:r>
              <w:rPr>
                <w:rFonts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；施工活动干扰</w:t>
            </w:r>
            <w:r>
              <w:rPr>
                <w:rFonts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；改变环境条件□；其他□</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tcBorders>
              <w:right w:val="single" w:color="auto" w:sz="4" w:space="0"/>
            </w:tcBorders>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p>
        </w:tc>
        <w:tc>
          <w:tcPr>
            <w:tcW w:w="1491" w:type="dxa"/>
            <w:tcBorders>
              <w:left w:val="single" w:color="auto" w:sz="4" w:space="0"/>
            </w:tcBorders>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评价因子</w:t>
            </w:r>
          </w:p>
        </w:tc>
        <w:tc>
          <w:tcPr>
            <w:tcW w:w="641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物种</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生境</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生物群落</w:t>
            </w:r>
            <w:r>
              <w:rPr>
                <w:rFonts w:hint="default" w:ascii="Times New Roman" w:hAnsi="Times New Roman" w:eastAsia="宋体" w:cs="Times New Roman"/>
                <w:color w:val="auto"/>
                <w:kern w:val="0"/>
                <w:sz w:val="21"/>
                <w:szCs w:val="21"/>
                <w:u w:val="none" w:color="auto"/>
              </w:rPr>
              <w:sym w:font="Wingdings 2" w:char="0052"/>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i w:val="0"/>
                <w:iCs w:val="0"/>
                <w:color w:val="auto"/>
                <w:kern w:val="0"/>
                <w:sz w:val="21"/>
                <w:szCs w:val="21"/>
                <w:u w:val="none"/>
                <w:lang w:val="en-US" w:eastAsia="zh-CN" w:bidi="ar"/>
              </w:rPr>
              <w:t>物种组成、群落结构等</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生态系统</w:t>
            </w:r>
            <w:r>
              <w:rPr>
                <w:rFonts w:hint="default" w:ascii="Times New Roman" w:hAnsi="Times New Roman" w:eastAsia="宋体" w:cs="Times New Roman"/>
                <w:color w:val="auto"/>
                <w:kern w:val="0"/>
                <w:sz w:val="21"/>
                <w:szCs w:val="21"/>
                <w:u w:val="none" w:color="auto"/>
              </w:rPr>
              <w:sym w:font="Wingdings 2" w:char="0052"/>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i w:val="0"/>
                <w:iCs w:val="0"/>
                <w:color w:val="auto"/>
                <w:kern w:val="0"/>
                <w:sz w:val="21"/>
                <w:szCs w:val="21"/>
                <w:u w:val="none"/>
                <w:lang w:val="en-US" w:eastAsia="zh-CN" w:bidi="ar"/>
              </w:rPr>
              <w:t>植被覆盖度、生态系统功能、完整性</w:t>
            </w:r>
            <w:r>
              <w:rPr>
                <w:rFonts w:hint="eastAsia" w:ascii="Times New Roman" w:hAnsi="Times New Roman" w:eastAsia="宋体" w:cs="Times New Roman"/>
                <w:i w:val="0"/>
                <w:iCs w:val="0"/>
                <w:color w:val="auto"/>
                <w:kern w:val="0"/>
                <w:sz w:val="21"/>
                <w:szCs w:val="21"/>
                <w:u w:val="none"/>
                <w:lang w:val="en-US" w:eastAsia="zh-CN" w:bidi="ar"/>
              </w:rPr>
              <w:t>等</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生物多样性</w:t>
            </w:r>
            <w:r>
              <w:rPr>
                <w:rFonts w:hint="default" w:ascii="Times New Roman" w:hAnsi="Times New Roman" w:eastAsia="宋体" w:cs="Times New Roman"/>
                <w:color w:val="auto"/>
                <w:kern w:val="0"/>
                <w:sz w:val="21"/>
                <w:szCs w:val="21"/>
                <w:u w:val="none" w:color="auto"/>
              </w:rPr>
              <w:sym w:font="Wingdings 2" w:char="0052"/>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i w:val="0"/>
                <w:iCs w:val="0"/>
                <w:color w:val="auto"/>
                <w:kern w:val="0"/>
                <w:sz w:val="21"/>
                <w:szCs w:val="21"/>
                <w:u w:val="none"/>
                <w:lang w:val="en-US" w:eastAsia="zh-CN" w:bidi="ar"/>
              </w:rPr>
              <w:t>物种丰富度、均匀度、优势度</w:t>
            </w:r>
            <w:r>
              <w:rPr>
                <w:rFonts w:hint="eastAsia" w:ascii="Times New Roman" w:hAnsi="Times New Roman" w:eastAsia="宋体" w:cs="Times New Roman"/>
                <w:i w:val="0"/>
                <w:iCs w:val="0"/>
                <w:color w:val="auto"/>
                <w:kern w:val="0"/>
                <w:sz w:val="21"/>
                <w:szCs w:val="21"/>
                <w:u w:val="none"/>
                <w:lang w:val="en-US" w:eastAsia="zh-CN" w:bidi="ar"/>
              </w:rPr>
              <w:t>等</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生态敏感区</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自然景观</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自然遗迹</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pPr>
              <w:adjustRightInd/>
              <w:snapToGrid/>
              <w:spacing w:line="240" w:lineRule="auto"/>
              <w:ind w:firstLine="0" w:firstLineChars="0"/>
              <w:jc w:val="both"/>
              <w:rPr>
                <w:rFonts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u w:val="none" w:color="auto"/>
                <w:lang w:eastAsia="zh-CN"/>
              </w:rPr>
              <w:t>其他</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582" w:type="dxa"/>
            <w:gridSpan w:val="2"/>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评价等级</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一级</w:t>
            </w:r>
            <w:r>
              <w:rPr>
                <w:rFonts w:hint="eastAsia" w:cs="Times New Roman"/>
                <w:color w:val="auto"/>
                <w:sz w:val="21"/>
                <w:szCs w:val="21"/>
                <w:lang w:eastAsia="zh-CN"/>
              </w:rPr>
              <w:t>☑</w:t>
            </w:r>
            <w:r>
              <w:rPr>
                <w:rFonts w:hint="eastAsia" w:ascii="Times New Roman" w:hAnsi="Times New Roman" w:eastAsia="宋体" w:cs="Times New Roman"/>
                <w:color w:val="auto"/>
                <w:sz w:val="21"/>
                <w:szCs w:val="21"/>
              </w:rPr>
              <w:t xml:space="preserve">   </w:t>
            </w:r>
            <w:r>
              <w:rPr>
                <w:rFonts w:ascii="Times New Roman" w:hAnsi="Times New Roman" w:eastAsia="宋体" w:cs="Times New Roman"/>
                <w:color w:val="auto"/>
                <w:sz w:val="21"/>
                <w:szCs w:val="21"/>
              </w:rPr>
              <w:t>二级</w:t>
            </w: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 xml:space="preserve"> </w:t>
            </w:r>
            <w:r>
              <w:rPr>
                <w:rFonts w:ascii="Times New Roman" w:hAnsi="Times New Roman" w:eastAsia="宋体" w:cs="Times New Roman"/>
                <w:color w:val="auto"/>
                <w:sz w:val="21"/>
                <w:szCs w:val="21"/>
              </w:rPr>
              <w:t>三级</w:t>
            </w:r>
            <w:r>
              <w:rPr>
                <w:rFonts w:hint="eastAsia" w:cs="Times New Roman"/>
                <w:color w:val="auto"/>
                <w:sz w:val="21"/>
                <w:szCs w:val="21"/>
                <w:lang w:eastAsia="zh-CN"/>
              </w:rPr>
              <w:t>□</w:t>
            </w:r>
            <w:r>
              <w:rPr>
                <w:rFonts w:hint="eastAsia" w:ascii="Times New Roman" w:hAnsi="Times New Roman" w:eastAsia="宋体" w:cs="Times New Roman"/>
                <w:color w:val="auto"/>
                <w:sz w:val="21"/>
                <w:szCs w:val="21"/>
              </w:rPr>
              <w:t xml:space="preserve">  </w:t>
            </w:r>
            <w:r>
              <w:rPr>
                <w:rFonts w:ascii="Times New Roman" w:hAnsi="Times New Roman" w:eastAsia="宋体" w:cs="Times New Roman"/>
                <w:color w:val="auto"/>
                <w:sz w:val="21"/>
                <w:szCs w:val="21"/>
              </w:rPr>
              <w:t>生态影响简单分析</w:t>
            </w:r>
            <w:r>
              <w:rPr>
                <w:rFonts w:ascii="Times New Roman" w:hAnsi="Times New Roman" w:eastAsia="宋体" w:cs="Times New Roman"/>
                <w:color w:val="auto"/>
                <w:sz w:val="21"/>
                <w:szCs w:val="21"/>
              </w:rPr>
              <w:sym w:font="Wingdings 2" w:char="00A3"/>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582" w:type="dxa"/>
            <w:gridSpan w:val="2"/>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评价范围</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陆域面积：（</w:t>
            </w:r>
            <w:r>
              <w:rPr>
                <w:rFonts w:hint="eastAsia" w:cs="Times New Roman"/>
                <w:color w:val="auto"/>
                <w:sz w:val="21"/>
                <w:szCs w:val="21"/>
                <w:lang w:val="en-US" w:eastAsia="zh-CN"/>
              </w:rPr>
              <w:t>4.026</w:t>
            </w:r>
            <w:r>
              <w:rPr>
                <w:rFonts w:ascii="Times New Roman" w:hAnsi="Times New Roman" w:eastAsia="宋体" w:cs="Times New Roman"/>
                <w:color w:val="auto"/>
                <w:sz w:val="21"/>
                <w:szCs w:val="21"/>
              </w:rPr>
              <w:t>）km</w:t>
            </w:r>
            <w:r>
              <w:rPr>
                <w:rFonts w:ascii="Times New Roman" w:hAnsi="Times New Roman" w:eastAsia="宋体" w:cs="Times New Roman"/>
                <w:color w:val="auto"/>
                <w:sz w:val="21"/>
                <w:szCs w:val="21"/>
                <w:vertAlign w:val="superscript"/>
              </w:rPr>
              <w:t>2</w:t>
            </w:r>
            <w:r>
              <w:rPr>
                <w:rFonts w:ascii="Times New Roman" w:hAnsi="Times New Roman" w:eastAsia="宋体" w:cs="Times New Roman"/>
                <w:color w:val="auto"/>
                <w:sz w:val="21"/>
                <w:szCs w:val="21"/>
              </w:rPr>
              <w:t>；水域面积：（）km</w:t>
            </w:r>
            <w:r>
              <w:rPr>
                <w:rFonts w:ascii="Times New Roman" w:hAnsi="Times New Roman" w:eastAsia="宋体" w:cs="Times New Roman"/>
                <w:color w:val="auto"/>
                <w:sz w:val="21"/>
                <w:szCs w:val="21"/>
                <w:vertAlign w:val="superscript"/>
              </w:rPr>
              <w:t>2</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w:t>
            </w:r>
            <w:r>
              <w:rPr>
                <w:rFonts w:ascii="Times New Roman" w:hAnsi="Times New Roman" w:eastAsia="宋体" w:cs="Times New Roman"/>
                <w:color w:val="auto"/>
                <w:sz w:val="21"/>
                <w:szCs w:val="21"/>
              </w:rPr>
              <w:t>现状</w:t>
            </w:r>
            <w:r>
              <w:rPr>
                <w:rFonts w:hint="eastAsia" w:ascii="Times New Roman" w:hAnsi="Times New Roman" w:eastAsia="宋体" w:cs="Times New Roman"/>
                <w:color w:val="auto"/>
                <w:sz w:val="21"/>
                <w:szCs w:val="21"/>
              </w:rPr>
              <w:t>调查与</w:t>
            </w:r>
            <w:r>
              <w:rPr>
                <w:rFonts w:ascii="Times New Roman" w:hAnsi="Times New Roman" w:eastAsia="宋体" w:cs="Times New Roman"/>
                <w:color w:val="auto"/>
                <w:sz w:val="21"/>
                <w:szCs w:val="21"/>
              </w:rPr>
              <w:t>评价</w:t>
            </w: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调查方法</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rPr>
              <w:t>资料收集</w:t>
            </w:r>
            <w:r>
              <w:rPr>
                <w:rFonts w:hint="eastAsia"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；遥感调查</w:t>
            </w: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；调查样方、样线</w:t>
            </w:r>
            <w:r>
              <w:rPr>
                <w:rFonts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；调查点位、断面□；专家和公众咨询法</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；其他</w:t>
            </w:r>
            <w:r>
              <w:rPr>
                <w:rFonts w:hint="eastAsia" w:ascii="Times New Roman" w:hAnsi="Times New Roman" w:eastAsia="宋体" w:cs="Times New Roman"/>
                <w:color w:val="auto"/>
                <w:sz w:val="21"/>
                <w:szCs w:val="21"/>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调查时间</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rPr>
              <w:t>春季</w:t>
            </w:r>
            <w:r>
              <w:rPr>
                <w:rFonts w:hint="eastAsia" w:eastAsia="宋体" w:cs="Times New Roman"/>
                <w:color w:val="auto"/>
                <w:sz w:val="21"/>
                <w:szCs w:val="21"/>
                <w:lang w:eastAsia="zh-CN"/>
              </w:rPr>
              <w:t>☑</w:t>
            </w:r>
            <w:r>
              <w:rPr>
                <w:rFonts w:ascii="Times New Roman" w:hAnsi="Times New Roman" w:eastAsia="宋体" w:cs="Times New Roman"/>
                <w:color w:val="auto"/>
                <w:sz w:val="21"/>
                <w:szCs w:val="21"/>
              </w:rPr>
              <w:t>；夏季</w:t>
            </w: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；秋季</w:t>
            </w:r>
            <w:r>
              <w:rPr>
                <w:rFonts w:hint="eastAsia" w:eastAsia="宋体" w:cs="Times New Roman"/>
                <w:color w:val="auto"/>
                <w:sz w:val="21"/>
                <w:szCs w:val="21"/>
                <w:lang w:eastAsia="zh-CN"/>
              </w:rPr>
              <w:t>□</w:t>
            </w:r>
            <w:r>
              <w:rPr>
                <w:rFonts w:ascii="Times New Roman" w:hAnsi="Times New Roman" w:eastAsia="宋体" w:cs="Times New Roman"/>
                <w:color w:val="auto"/>
                <w:sz w:val="21"/>
                <w:szCs w:val="21"/>
              </w:rPr>
              <w:t>；冬季</w:t>
            </w:r>
            <w:r>
              <w:rPr>
                <w:rFonts w:hint="eastAsia" w:ascii="Times New Roman" w:hAnsi="Times New Roman" w:eastAsia="宋体" w:cs="Times New Roman"/>
                <w:color w:val="auto"/>
                <w:sz w:val="21"/>
                <w:szCs w:val="21"/>
                <w:lang w:eastAsia="zh-CN"/>
              </w:rPr>
              <w:t>□</w:t>
            </w:r>
          </w:p>
          <w:p>
            <w:pPr>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丰水期</w:t>
            </w:r>
            <w:r>
              <w:rPr>
                <w:rFonts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；枯水期□；平水期□</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所在区域的生态问题</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水土流失</w:t>
            </w: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；沙漠化□；石漠化□；盐渍化□；生物入侵</w:t>
            </w:r>
            <w:r>
              <w:rPr>
                <w:rFonts w:hint="eastAsia" w:eastAsia="宋体" w:cs="Times New Roman"/>
                <w:color w:val="auto"/>
                <w:sz w:val="21"/>
                <w:szCs w:val="21"/>
                <w:lang w:eastAsia="zh-CN"/>
              </w:rPr>
              <w:t>□</w:t>
            </w:r>
            <w:r>
              <w:rPr>
                <w:rFonts w:ascii="Times New Roman" w:hAnsi="Times New Roman" w:eastAsia="宋体" w:cs="Times New Roman"/>
                <w:color w:val="auto"/>
                <w:sz w:val="21"/>
                <w:szCs w:val="21"/>
              </w:rPr>
              <w:t>；污染危害□；其他</w:t>
            </w:r>
            <w:r>
              <w:rPr>
                <w:rFonts w:ascii="Times New Roman" w:hAnsi="Times New Roman" w:eastAsia="宋体" w:cs="Times New Roman"/>
                <w:color w:val="auto"/>
                <w:sz w:val="21"/>
                <w:szCs w:val="21"/>
              </w:rPr>
              <w:sym w:font="Wingdings 2" w:char="0052"/>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评价内容</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植被/植物群落</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；土地利用</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；生态系统</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；生物多样性</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；重要物种□；生态敏感区□；其他</w:t>
            </w:r>
            <w:r>
              <w:rPr>
                <w:rFonts w:hint="eastAsia" w:ascii="Times New Roman" w:hAnsi="Times New Roman" w:eastAsia="宋体" w:cs="Times New Roman"/>
                <w:color w:val="auto"/>
                <w:sz w:val="21"/>
                <w:szCs w:val="21"/>
              </w:rPr>
              <w:sym w:font="Wingdings 2" w:char="0052"/>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生态影响预测与评价</w:t>
            </w: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评价方法</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定性</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；定性和定量</w:t>
            </w:r>
            <w:r>
              <w:rPr>
                <w:rFonts w:hint="eastAsia" w:ascii="Times New Roman" w:hAnsi="Times New Roman" w:eastAsia="宋体" w:cs="Times New Roman"/>
                <w:color w:val="auto"/>
                <w:sz w:val="21"/>
                <w:szCs w:val="21"/>
              </w:rPr>
              <w:sym w:font="Wingdings 2" w:char="00A3"/>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ign w:val="bottom"/>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评价内容</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植被/植物群落</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；土地利用</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；生态系统</w:t>
            </w:r>
            <w:r>
              <w:rPr>
                <w:rFonts w:hint="eastAsia" w:ascii="Times New Roman" w:hAnsi="Times New Roman" w:eastAsia="宋体" w:cs="Times New Roman"/>
                <w:color w:val="auto"/>
                <w:sz w:val="21"/>
                <w:szCs w:val="21"/>
              </w:rPr>
              <w:sym w:font="Wingdings 2" w:char="00A3"/>
            </w:r>
            <w:r>
              <w:rPr>
                <w:rFonts w:hint="eastAsia" w:ascii="Times New Roman" w:hAnsi="Times New Roman" w:eastAsia="宋体" w:cs="Times New Roman"/>
                <w:color w:val="auto"/>
                <w:sz w:val="21"/>
                <w:szCs w:val="21"/>
              </w:rPr>
              <w:t>；生物多样性</w:t>
            </w:r>
            <w:r>
              <w:rPr>
                <w:rFonts w:hint="eastAsia" w:ascii="Times New Roman" w:hAnsi="Times New Roman" w:eastAsia="宋体" w:cs="Times New Roman"/>
                <w:color w:val="auto"/>
                <w:sz w:val="21"/>
                <w:szCs w:val="21"/>
              </w:rPr>
              <w:sym w:font="Wingdings 2" w:char="00A3"/>
            </w:r>
            <w:r>
              <w:rPr>
                <w:rFonts w:hint="eastAsia" w:ascii="Times New Roman" w:hAnsi="Times New Roman" w:eastAsia="宋体" w:cs="Times New Roman"/>
                <w:color w:val="auto"/>
                <w:sz w:val="21"/>
                <w:szCs w:val="21"/>
              </w:rPr>
              <w:t>；重要物种</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；生态敏感区</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；生物入侵风险□；其他</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生态保护对策措施</w:t>
            </w: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对策措施</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避让□；减缓</w:t>
            </w:r>
            <w:r>
              <w:rPr>
                <w:rFonts w:hint="eastAsia" w:ascii="Times New Roman" w:hAnsi="Times New Roman" w:eastAsia="宋体" w:cs="Times New Roman"/>
                <w:color w:val="auto"/>
                <w:sz w:val="21"/>
                <w:szCs w:val="21"/>
              </w:rPr>
              <w:sym w:font="Wingdings 2" w:char="00A3"/>
            </w:r>
            <w:r>
              <w:rPr>
                <w:rFonts w:hint="eastAsia" w:ascii="Times New Roman" w:hAnsi="Times New Roman" w:eastAsia="宋体" w:cs="Times New Roman"/>
                <w:color w:val="auto"/>
                <w:sz w:val="21"/>
                <w:szCs w:val="21"/>
              </w:rPr>
              <w:t>；生态修复</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；生态补偿☑；科研□；其他</w:t>
            </w:r>
            <w:r>
              <w:rPr>
                <w:rFonts w:hint="eastAsia" w:ascii="Times New Roman" w:hAnsi="Times New Roman" w:eastAsia="宋体" w:cs="Times New Roman"/>
                <w:color w:val="auto"/>
                <w:sz w:val="21"/>
                <w:szCs w:val="21"/>
              </w:rPr>
              <w:sym w:font="Wingdings 2" w:char="0052"/>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生态监测计划</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全生命周期□；长期跟踪□；常规□；无</w:t>
            </w:r>
            <w:r>
              <w:rPr>
                <w:rFonts w:hint="eastAsia" w:ascii="Times New Roman" w:hAnsi="Times New Roman" w:eastAsia="宋体" w:cs="Times New Roman"/>
                <w:color w:val="auto"/>
                <w:sz w:val="21"/>
                <w:szCs w:val="21"/>
              </w:rPr>
              <w:sym w:font="Wingdings 2" w:char="0052"/>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环境管理</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环境监理</w:t>
            </w:r>
            <w:r>
              <w:rPr>
                <w:rFonts w:hint="eastAsia" w:ascii="Times New Roman" w:hAnsi="Times New Roman" w:eastAsia="宋体" w:cs="Times New Roman"/>
                <w:color w:val="auto"/>
                <w:sz w:val="21"/>
                <w:szCs w:val="21"/>
              </w:rPr>
              <w:sym w:font="Wingdings 2" w:char="00A3"/>
            </w:r>
            <w:r>
              <w:rPr>
                <w:rFonts w:hint="eastAsia" w:ascii="Times New Roman" w:hAnsi="Times New Roman" w:eastAsia="宋体" w:cs="Times New Roman"/>
                <w:color w:val="auto"/>
                <w:sz w:val="21"/>
                <w:szCs w:val="21"/>
              </w:rPr>
              <w:t>；环境影响后评价□；其他</w:t>
            </w:r>
            <w:r>
              <w:rPr>
                <w:rFonts w:hint="eastAsia" w:ascii="Times New Roman" w:hAnsi="Times New Roman" w:eastAsia="宋体" w:cs="Times New Roman"/>
                <w:color w:val="auto"/>
                <w:sz w:val="21"/>
                <w:szCs w:val="21"/>
              </w:rPr>
              <w:sym w:font="Wingdings 2" w:char="0052"/>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评价结论</w:t>
            </w: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生态影响</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 xml:space="preserve">可行 </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             不可行□</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992" w:type="dxa"/>
            <w:gridSpan w:val="3"/>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注：“□”，填“√”；“（  ）”为内容填写项</w:t>
            </w:r>
          </w:p>
        </w:tc>
      </w:tr>
    </w:tbl>
    <w:p>
      <w:pPr>
        <w:rPr>
          <w:color w:val="auto"/>
        </w:rPr>
      </w:pPr>
      <w:r>
        <w:rPr>
          <w:color w:val="auto"/>
        </w:rPr>
        <w:br w:type="page"/>
      </w:r>
    </w:p>
    <w:p>
      <w:pPr>
        <w:pStyle w:val="2"/>
        <w:rPr>
          <w:color w:val="auto"/>
        </w:rPr>
      </w:pPr>
    </w:p>
    <w:sectPr>
      <w:footerReference r:id="rId13"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6A7768-240A-4BA9-A9E6-7E6A3E0E726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15178E8B-A2A4-4456-AF4F-89868D321FCA}"/>
  </w:font>
  <w:font w:name="等线">
    <w:panose1 w:val="02010600030101010101"/>
    <w:charset w:val="86"/>
    <w:family w:val="auto"/>
    <w:pitch w:val="default"/>
    <w:sig w:usb0="A00002BF" w:usb1="38CF7CFA" w:usb2="00000016" w:usb3="00000000" w:csb0="0004000F" w:csb1="00000000"/>
    <w:embedRegular r:id="rId3" w:fontKey="{DCC84DF4-D0CC-4196-B42C-0BC82BEEC399}"/>
  </w:font>
  <w:font w:name="仿宋_GB2312">
    <w:panose1 w:val="02010609030101010101"/>
    <w:charset w:val="86"/>
    <w:family w:val="modern"/>
    <w:pitch w:val="default"/>
    <w:sig w:usb0="00000001" w:usb1="080E0000" w:usb2="00000000" w:usb3="00000000" w:csb0="00040000" w:csb1="00000000"/>
    <w:embedRegular r:id="rId4" w:fontKey="{C22071E9-5D47-435B-BF99-06214C004D72}"/>
  </w:font>
  <w:font w:name="楷体_GB2312">
    <w:panose1 w:val="02010609030101010101"/>
    <w:charset w:val="86"/>
    <w:family w:val="modern"/>
    <w:pitch w:val="default"/>
    <w:sig w:usb0="00000001" w:usb1="080E0000" w:usb2="00000000" w:usb3="00000000" w:csb0="00040000" w:csb1="00000000"/>
    <w:embedRegular r:id="rId5" w:fontKey="{FE64431F-4FD7-4B3A-8762-7110BC45E789}"/>
  </w:font>
  <w:font w:name="华文仿宋">
    <w:panose1 w:val="02010600040101010101"/>
    <w:charset w:val="86"/>
    <w:family w:val="auto"/>
    <w:pitch w:val="default"/>
    <w:sig w:usb0="00000287" w:usb1="080F0000" w:usb2="00000000" w:usb3="00000000" w:csb0="0004009F" w:csb1="DFD70000"/>
    <w:embedRegular r:id="rId6" w:fontKey="{B6D4F29D-D29A-413C-BDA9-9CDEED66EA8E}"/>
  </w:font>
  <w:font w:name="仿宋">
    <w:panose1 w:val="02010609060101010101"/>
    <w:charset w:val="86"/>
    <w:family w:val="auto"/>
    <w:pitch w:val="default"/>
    <w:sig w:usb0="800002BF" w:usb1="38CF7CFA" w:usb2="00000016" w:usb3="00000000" w:csb0="00040001" w:csb1="00000000"/>
    <w:embedRegular r:id="rId7" w:fontKey="{BB61F14F-93B0-4C5B-8D47-1A5405B2D8B9}"/>
  </w:font>
  <w:font w:name="Wingdings 2">
    <w:panose1 w:val="05020102010507070707"/>
    <w:charset w:val="02"/>
    <w:family w:val="roman"/>
    <w:pitch w:val="default"/>
    <w:sig w:usb0="00000000" w:usb1="00000000" w:usb2="00000000" w:usb3="00000000" w:csb0="80000000" w:csb1="00000000"/>
    <w:embedRegular r:id="rId8" w:fontKey="{0F8458DD-3B80-48CC-B061-9CE12F426A52}"/>
  </w:font>
  <w:font w:name="新宋体">
    <w:panose1 w:val="02010609030101010101"/>
    <w:charset w:val="86"/>
    <w:family w:val="auto"/>
    <w:pitch w:val="default"/>
    <w:sig w:usb0="00000203" w:usb1="288F0000" w:usb2="00000006" w:usb3="00000000" w:csb0="00040001" w:csb1="00000000"/>
    <w:embedRegular r:id="rId9" w:fontKey="{2B971F59-F861-4D91-B8B6-86E4811B69F4}"/>
  </w:font>
  <w:font w:name="微软雅黑">
    <w:panose1 w:val="020B0503020204020204"/>
    <w:charset w:val="86"/>
    <w:family w:val="auto"/>
    <w:pitch w:val="default"/>
    <w:sig w:usb0="80000287" w:usb1="2ACF3C50" w:usb2="00000016" w:usb3="00000000" w:csb0="0004001F" w:csb1="00000000"/>
    <w:embedRegular r:id="rId10" w:fontKey="{7E9D37F6-9511-442D-8923-99AA8E3FD86E}"/>
  </w:font>
  <w:font w:name="宋">
    <w:altName w:val="宋体"/>
    <w:panose1 w:val="00000000000000000000"/>
    <w:charset w:val="00"/>
    <w:family w:val="auto"/>
    <w:pitch w:val="default"/>
    <w:sig w:usb0="00000000" w:usb1="00000000" w:usb2="00000000" w:usb3="00000000" w:csb0="00000000" w:csb1="00000000"/>
    <w:embedRegular r:id="rId11" w:fontKey="{1C2A1C53-519D-4D2B-83E5-7F71B68179A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7"/>
      </w:rPr>
    </w:pPr>
    <w:r>
      <w:fldChar w:fldCharType="begin"/>
    </w:r>
    <w:r>
      <w:rPr>
        <w:rStyle w:val="27"/>
      </w:rPr>
      <w:instrText xml:space="preserve">PAGE  </w:instrText>
    </w:r>
    <w:r>
      <w:fldChar w:fldCharType="end"/>
    </w:r>
  </w:p>
  <w:p>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25</w:t>
                          </w:r>
                          <w:r>
                            <w:fldChar w:fldCharType="end"/>
                          </w:r>
                        </w:p>
                      </w:txbxContent>
                    </wps:txbx>
                    <wps:bodyPr vert="horz" wrap="none" lIns="0" tIns="0" rIns="0" bIns="0" anchor="t" anchorCtr="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ORY+VTaAQAAtQMAAA4AAAAAAAAAAQAg&#10;AAAAHgEAAGRycy9lMm9Eb2MueG1sUEsFBgAAAAAGAAYAWQEAAGoFA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40</w:t>
                          </w:r>
                          <w:r>
                            <w:fldChar w:fldCharType="end"/>
                          </w:r>
                        </w:p>
                      </w:txbxContent>
                    </wps:txbx>
                    <wps:bodyPr vert="horz" wrap="none" lIns="0" tIns="0" rIns="0" bIns="0" anchor="t" anchorCtr="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ERKTv3aAQAAtQMAAA4AAAAAAAAAAQAg&#10;AAAAHgEAAGRycy9lMm9Eb2MueG1sUEsFBgAAAAAGAAYAWQEAAGoFA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0" w:after="60"/>
      <w:rPr>
        <w:rFonts w:hint="eastAsia"/>
      </w:rPr>
    </w:pPr>
    <w:r>
      <w:rPr>
        <w:sz w:val="21"/>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Lfz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GLfzszAgAAZQQAAA4AAAAAAAAAAQAgAAAAHwEAAGRycy9lMm9Eb2MueG1sUEsF&#10;BgAAAAAGAAYAWQEAAMQ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0" w:after="60"/>
      <w:ind w:firstLine="420"/>
      <w:jc w:val="center"/>
      <w:rPr>
        <w:sz w:val="21"/>
        <w:szCs w:val="21"/>
      </w:rPr>
    </w:pPr>
    <w:r>
      <w:rPr>
        <w:sz w:val="21"/>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34aczAgAAZQ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34aczAgAAZQQAAA4AAAAAAAAAAQAgAAAAHwEAAGRycy9lMm9Eb2MueG1sUEsF&#10;BgAAAAAGAAYAWQEAAMQ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firstLine="36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ind w:firstLine="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72</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pPr>
                      <w:widowControl w:val="0"/>
                      <w:snapToGrid w:val="0"/>
                      <w:ind w:firstLine="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72</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83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numPr>
        <w:ilvl w:val="0"/>
        <w:numId w:val="0"/>
      </w:numPr>
      <w:spacing w:before="0" w:beforeLines="0" w:after="0" w:afterLines="0" w:line="240" w:lineRule="auto"/>
      <w:jc w:val="center"/>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numPr>
        <w:ilvl w:val="0"/>
        <w:numId w:val="0"/>
      </w:numPr>
      <w:pBdr>
        <w:bottom w:val="thinThickSmallGap" w:color="auto" w:sz="12" w:space="1"/>
      </w:pBdr>
      <w:spacing w:before="0" w:beforeLines="0" w:after="0" w:afterLines="0" w:line="240" w:lineRule="auto"/>
      <w:jc w:val="center"/>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9DBD3B"/>
    <w:multiLevelType w:val="singleLevel"/>
    <w:tmpl w:val="8E9DBD3B"/>
    <w:lvl w:ilvl="0" w:tentative="0">
      <w:start w:val="1"/>
      <w:numFmt w:val="decimal"/>
      <w:suff w:val="nothing"/>
      <w:lvlText w:val="（%1）"/>
      <w:lvlJc w:val="left"/>
      <w:pPr>
        <w:ind w:left="360"/>
      </w:pPr>
    </w:lvl>
  </w:abstractNum>
  <w:abstractNum w:abstractNumId="1">
    <w:nsid w:val="CAA8358B"/>
    <w:multiLevelType w:val="singleLevel"/>
    <w:tmpl w:val="CAA8358B"/>
    <w:lvl w:ilvl="0" w:tentative="0">
      <w:start w:val="2"/>
      <w:numFmt w:val="decimal"/>
      <w:suff w:val="nothing"/>
      <w:lvlText w:val="%1、"/>
      <w:lvlJc w:val="left"/>
    </w:lvl>
  </w:abstractNum>
  <w:abstractNum w:abstractNumId="2">
    <w:nsid w:val="D30B9BF5"/>
    <w:multiLevelType w:val="singleLevel"/>
    <w:tmpl w:val="D30B9BF5"/>
    <w:lvl w:ilvl="0" w:tentative="0">
      <w:start w:val="1"/>
      <w:numFmt w:val="decimal"/>
      <w:suff w:val="nothing"/>
      <w:lvlText w:val="%1、"/>
      <w:lvlJc w:val="left"/>
    </w:lvl>
  </w:abstractNum>
  <w:abstractNum w:abstractNumId="3">
    <w:nsid w:val="11C8C781"/>
    <w:multiLevelType w:val="singleLevel"/>
    <w:tmpl w:val="11C8C781"/>
    <w:lvl w:ilvl="0" w:tentative="0">
      <w:start w:val="1"/>
      <w:numFmt w:val="decimal"/>
      <w:lvlText w:val="(%1)"/>
      <w:lvlJc w:val="left"/>
      <w:pPr>
        <w:ind w:left="425" w:hanging="425"/>
      </w:pPr>
      <w:rPr>
        <w:rFonts w:hint="default"/>
      </w:rPr>
    </w:lvl>
  </w:abstractNum>
  <w:abstractNum w:abstractNumId="4">
    <w:nsid w:val="1C8B6C75"/>
    <w:multiLevelType w:val="singleLevel"/>
    <w:tmpl w:val="1C8B6C75"/>
    <w:lvl w:ilvl="0" w:tentative="0">
      <w:start w:val="6"/>
      <w:numFmt w:val="chineseCounting"/>
      <w:suff w:val="nothing"/>
      <w:lvlText w:val="%1、"/>
      <w:lvlJc w:val="left"/>
      <w:rPr>
        <w:rFonts w:hint="eastAsia"/>
      </w:rPr>
    </w:lvl>
  </w:abstractNum>
  <w:abstractNum w:abstractNumId="5">
    <w:nsid w:val="2709B6AB"/>
    <w:multiLevelType w:val="singleLevel"/>
    <w:tmpl w:val="2709B6AB"/>
    <w:lvl w:ilvl="0" w:tentative="0">
      <w:start w:val="2"/>
      <w:numFmt w:val="decimal"/>
      <w:suff w:val="nothing"/>
      <w:lvlText w:val="%1、"/>
      <w:lvlJc w:val="left"/>
    </w:lvl>
  </w:abstractNum>
  <w:abstractNum w:abstractNumId="6">
    <w:nsid w:val="39CB5F34"/>
    <w:multiLevelType w:val="singleLevel"/>
    <w:tmpl w:val="39CB5F34"/>
    <w:lvl w:ilvl="0" w:tentative="0">
      <w:start w:val="1"/>
      <w:numFmt w:val="decimal"/>
      <w:lvlText w:val="(%1)"/>
      <w:lvlJc w:val="left"/>
      <w:pPr>
        <w:ind w:left="425" w:hanging="425"/>
      </w:pPr>
      <w:rPr>
        <w:rFonts w:hint="default"/>
      </w:rPr>
    </w:lvl>
  </w:abstractNum>
  <w:abstractNum w:abstractNumId="7">
    <w:nsid w:val="435141F0"/>
    <w:multiLevelType w:val="multilevel"/>
    <w:tmpl w:val="435141F0"/>
    <w:lvl w:ilvl="0" w:tentative="0">
      <w:start w:val="1"/>
      <w:numFmt w:val="decimal"/>
      <w:isLgl/>
      <w:suff w:val="space"/>
      <w:lvlText w:val="%1"/>
      <w:lvlJc w:val="left"/>
      <w:pPr>
        <w:ind w:left="200" w:firstLine="0"/>
      </w:pPr>
      <w:rPr>
        <w:rFonts w:hint="eastAsia" w:ascii="Times New Roman" w:hAnsi="Times New Roman" w:eastAsia="宋体" w:cs="Times New Roman"/>
        <w:b/>
        <w:i w:val="0"/>
        <w:sz w:val="36"/>
        <w:szCs w:val="36"/>
      </w:rPr>
    </w:lvl>
    <w:lvl w:ilvl="1" w:tentative="0">
      <w:start w:val="1"/>
      <w:numFmt w:val="decimal"/>
      <w:isLgl/>
      <w:suff w:val="space"/>
      <w:lvlText w:val="%1.%2"/>
      <w:lvlJc w:val="left"/>
      <w:pPr>
        <w:ind w:left="1800" w:firstLine="0"/>
      </w:pPr>
      <w:rPr>
        <w:rFonts w:hint="default" w:ascii="Times New Roman" w:hAnsi="Times New Roman" w:eastAsia="宋体"/>
        <w:b/>
        <w:i w:val="0"/>
        <w:sz w:val="30"/>
      </w:rPr>
    </w:lvl>
    <w:lvl w:ilvl="2" w:tentative="0">
      <w:start w:val="1"/>
      <w:numFmt w:val="decimal"/>
      <w:isLgl/>
      <w:suff w:val="space"/>
      <w:lvlText w:val="%1.%2.%3"/>
      <w:lvlJc w:val="left"/>
      <w:pPr>
        <w:ind w:left="180" w:firstLine="0"/>
      </w:pPr>
      <w:rPr>
        <w:rFonts w:hint="eastAsia" w:ascii="Times New Roman" w:hAnsi="Times New Roman" w:cs="Times New Roman"/>
        <w:bCs w:val="0"/>
        <w:i w:val="0"/>
        <w:iCs w:val="0"/>
        <w:caps w:val="0"/>
        <w:smallCaps w:val="0"/>
        <w:strike w:val="0"/>
        <w:dstrike w:val="0"/>
        <w:vanish w:val="0"/>
        <w:color w:val="000000"/>
        <w:spacing w:val="0"/>
        <w:kern w:val="0"/>
        <w:position w:val="0"/>
        <w:u w:val="none"/>
        <w:vertAlign w:val="baseline"/>
      </w:rPr>
    </w:lvl>
    <w:lvl w:ilvl="3" w:tentative="0">
      <w:start w:val="1"/>
      <w:numFmt w:val="decimal"/>
      <w:isLgl/>
      <w:suff w:val="space"/>
      <w:lvlText w:val="%1.%2.%3.%4"/>
      <w:lvlJc w:val="left"/>
      <w:pPr>
        <w:ind w:left="360" w:firstLine="0"/>
      </w:pPr>
      <w:rPr>
        <w:rFonts w:hint="default" w:ascii="Times New Roman" w:hAnsi="Times New Roman" w:eastAsia="宋体"/>
        <w:b/>
        <w:i w:val="0"/>
        <w:sz w:val="24"/>
      </w:rPr>
    </w:lvl>
    <w:lvl w:ilvl="4" w:tentative="0">
      <w:start w:val="1"/>
      <w:numFmt w:val="decimal"/>
      <w:pStyle w:val="8"/>
      <w:suff w:val="space"/>
      <w:lvlText w:val="( %5 )"/>
      <w:lvlJc w:val="left"/>
      <w:pPr>
        <w:ind w:left="540" w:firstLine="0"/>
      </w:pPr>
      <w:rPr>
        <w:rFonts w:hint="eastAsia"/>
        <w:b w:val="0"/>
        <w:i w:val="0"/>
        <w:sz w:val="24"/>
      </w:rPr>
    </w:lvl>
    <w:lvl w:ilvl="5" w:tentative="0">
      <w:start w:val="1"/>
      <w:numFmt w:val="decimalEnclosedCircle"/>
      <w:suff w:val="space"/>
      <w:lvlText w:val="%6"/>
      <w:lvlJc w:val="left"/>
      <w:pPr>
        <w:ind w:left="760" w:firstLine="0"/>
      </w:pPr>
      <w:rPr>
        <w:rFonts w:hint="eastAsia"/>
      </w:rPr>
    </w:lvl>
    <w:lvl w:ilvl="6" w:tentative="0">
      <w:start w:val="1"/>
      <w:numFmt w:val="decimal"/>
      <w:lvlText w:val="%1.%2.%3.%4.%5.%6.%7"/>
      <w:lvlJc w:val="left"/>
      <w:pPr>
        <w:tabs>
          <w:tab w:val="left" w:pos="4715"/>
        </w:tabs>
        <w:ind w:left="4715" w:hanging="1276"/>
      </w:pPr>
      <w:rPr>
        <w:rFonts w:hint="eastAsia"/>
      </w:rPr>
    </w:lvl>
    <w:lvl w:ilvl="7" w:tentative="0">
      <w:start w:val="1"/>
      <w:numFmt w:val="decimal"/>
      <w:lvlText w:val="%1.%2.%3.%4.%5.%6.%7.%8"/>
      <w:lvlJc w:val="left"/>
      <w:pPr>
        <w:tabs>
          <w:tab w:val="left" w:pos="5282"/>
        </w:tabs>
        <w:ind w:left="5282" w:hanging="1418"/>
      </w:pPr>
      <w:rPr>
        <w:rFonts w:hint="eastAsia"/>
      </w:rPr>
    </w:lvl>
    <w:lvl w:ilvl="8" w:tentative="0">
      <w:start w:val="1"/>
      <w:numFmt w:val="decimal"/>
      <w:lvlText w:val="%1.%2.%3.%4.%5.%6.%7.%8.%9"/>
      <w:lvlJc w:val="left"/>
      <w:pPr>
        <w:tabs>
          <w:tab w:val="left" w:pos="5990"/>
        </w:tabs>
        <w:ind w:left="5990" w:hanging="1700"/>
      </w:pPr>
      <w:rPr>
        <w:rFonts w:hint="eastAsia"/>
      </w:rPr>
    </w:lvl>
  </w:abstractNum>
  <w:abstractNum w:abstractNumId="8">
    <w:nsid w:val="60DD9765"/>
    <w:multiLevelType w:val="singleLevel"/>
    <w:tmpl w:val="60DD9765"/>
    <w:lvl w:ilvl="0" w:tentative="0">
      <w:start w:val="3"/>
      <w:numFmt w:val="decimal"/>
      <w:suff w:val="nothing"/>
      <w:lvlText w:val="（%1）"/>
      <w:lvlJc w:val="left"/>
    </w:lvl>
  </w:abstractNum>
  <w:abstractNum w:abstractNumId="9">
    <w:nsid w:val="729E4037"/>
    <w:multiLevelType w:val="singleLevel"/>
    <w:tmpl w:val="729E4037"/>
    <w:lvl w:ilvl="0" w:tentative="0">
      <w:start w:val="1"/>
      <w:numFmt w:val="decimal"/>
      <w:suff w:val="nothing"/>
      <w:lvlText w:val="%1、"/>
      <w:lvlJc w:val="left"/>
    </w:lvl>
  </w:abstractNum>
  <w:num w:numId="1">
    <w:abstractNumId w:val="7"/>
  </w:num>
  <w:num w:numId="2">
    <w:abstractNumId w:val="1"/>
  </w:num>
  <w:num w:numId="3">
    <w:abstractNumId w:val="2"/>
  </w:num>
  <w:num w:numId="4">
    <w:abstractNumId w:val="9"/>
  </w:num>
  <w:num w:numId="5">
    <w:abstractNumId w:val="8"/>
  </w:num>
  <w:num w:numId="6">
    <w:abstractNumId w:val="0"/>
  </w:num>
  <w:num w:numId="7">
    <w:abstractNumId w:val="6"/>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2NzUzZDNlZWQ2YzMxYTczYzhhOTMxMzljZGI4M2UifQ=="/>
    <w:docVar w:name="KSO_WPS_MARK_KEY" w:val="4ae66c6a-6ca7-4fab-8547-eaf9ed184888"/>
  </w:docVars>
  <w:rsids>
    <w:rsidRoot w:val="00172A27"/>
    <w:rsid w:val="000060B3"/>
    <w:rsid w:val="00041CF6"/>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1ED"/>
    <w:rsid w:val="000C09AC"/>
    <w:rsid w:val="000C767F"/>
    <w:rsid w:val="000D5A44"/>
    <w:rsid w:val="000E3ED2"/>
    <w:rsid w:val="00107807"/>
    <w:rsid w:val="001251DD"/>
    <w:rsid w:val="00131F42"/>
    <w:rsid w:val="001357F1"/>
    <w:rsid w:val="00140FA8"/>
    <w:rsid w:val="00142FEB"/>
    <w:rsid w:val="00143A2D"/>
    <w:rsid w:val="00145A41"/>
    <w:rsid w:val="00151675"/>
    <w:rsid w:val="00157435"/>
    <w:rsid w:val="00172A27"/>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340F"/>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2F4AD6"/>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1804"/>
    <w:rsid w:val="00452738"/>
    <w:rsid w:val="00456091"/>
    <w:rsid w:val="00466321"/>
    <w:rsid w:val="00484B9B"/>
    <w:rsid w:val="004855F6"/>
    <w:rsid w:val="0048661E"/>
    <w:rsid w:val="00494670"/>
    <w:rsid w:val="004A3823"/>
    <w:rsid w:val="004B44C7"/>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857D7"/>
    <w:rsid w:val="0069290A"/>
    <w:rsid w:val="00696058"/>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07B"/>
    <w:rsid w:val="007A2170"/>
    <w:rsid w:val="007A22BF"/>
    <w:rsid w:val="007A3323"/>
    <w:rsid w:val="007B72B8"/>
    <w:rsid w:val="007B7A58"/>
    <w:rsid w:val="007C21B5"/>
    <w:rsid w:val="007E4BD2"/>
    <w:rsid w:val="007F57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052C8"/>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1BAD"/>
    <w:rsid w:val="00C2596A"/>
    <w:rsid w:val="00C27537"/>
    <w:rsid w:val="00C328FE"/>
    <w:rsid w:val="00C33507"/>
    <w:rsid w:val="00C4409D"/>
    <w:rsid w:val="00C44E72"/>
    <w:rsid w:val="00C45A06"/>
    <w:rsid w:val="00C47E5B"/>
    <w:rsid w:val="00C61E4B"/>
    <w:rsid w:val="00C64BFF"/>
    <w:rsid w:val="00C651E9"/>
    <w:rsid w:val="00C704E9"/>
    <w:rsid w:val="00C73CD4"/>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58FB"/>
    <w:rsid w:val="00DF6690"/>
    <w:rsid w:val="00DF6804"/>
    <w:rsid w:val="00E0358D"/>
    <w:rsid w:val="00E04323"/>
    <w:rsid w:val="00E070A2"/>
    <w:rsid w:val="00E2656A"/>
    <w:rsid w:val="00E36788"/>
    <w:rsid w:val="00E412D0"/>
    <w:rsid w:val="00E551FD"/>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1A70"/>
    <w:rsid w:val="00F82B19"/>
    <w:rsid w:val="00F9212D"/>
    <w:rsid w:val="00F965DA"/>
    <w:rsid w:val="00FA406A"/>
    <w:rsid w:val="00FB503A"/>
    <w:rsid w:val="00FB516C"/>
    <w:rsid w:val="00FD0236"/>
    <w:rsid w:val="00FD18F4"/>
    <w:rsid w:val="00FD54DB"/>
    <w:rsid w:val="00FD619F"/>
    <w:rsid w:val="01290F7E"/>
    <w:rsid w:val="0151371A"/>
    <w:rsid w:val="015D1E09"/>
    <w:rsid w:val="02697903"/>
    <w:rsid w:val="02F96569"/>
    <w:rsid w:val="03D251BA"/>
    <w:rsid w:val="03EA7B21"/>
    <w:rsid w:val="04827A43"/>
    <w:rsid w:val="05BD2181"/>
    <w:rsid w:val="05F83EAE"/>
    <w:rsid w:val="062D344D"/>
    <w:rsid w:val="063E7D85"/>
    <w:rsid w:val="06F6508D"/>
    <w:rsid w:val="07293586"/>
    <w:rsid w:val="07295285"/>
    <w:rsid w:val="07636392"/>
    <w:rsid w:val="076E3F95"/>
    <w:rsid w:val="07770C56"/>
    <w:rsid w:val="08236132"/>
    <w:rsid w:val="092217DD"/>
    <w:rsid w:val="093A7294"/>
    <w:rsid w:val="0A263993"/>
    <w:rsid w:val="0A2D3AC2"/>
    <w:rsid w:val="0AA755DF"/>
    <w:rsid w:val="0B120D44"/>
    <w:rsid w:val="0BD27BF6"/>
    <w:rsid w:val="0BEF0663"/>
    <w:rsid w:val="0C3B3C7D"/>
    <w:rsid w:val="0C741481"/>
    <w:rsid w:val="0CAB2EAE"/>
    <w:rsid w:val="0CF60D08"/>
    <w:rsid w:val="0D621C7D"/>
    <w:rsid w:val="0DFD2537"/>
    <w:rsid w:val="0E73034D"/>
    <w:rsid w:val="0ECD5D4E"/>
    <w:rsid w:val="0F136D29"/>
    <w:rsid w:val="0F13775A"/>
    <w:rsid w:val="0F5F45FE"/>
    <w:rsid w:val="0F892DBD"/>
    <w:rsid w:val="0F9A112B"/>
    <w:rsid w:val="106D2F64"/>
    <w:rsid w:val="10B63710"/>
    <w:rsid w:val="10F10820"/>
    <w:rsid w:val="111C2F7A"/>
    <w:rsid w:val="11665CA1"/>
    <w:rsid w:val="117E773A"/>
    <w:rsid w:val="1290624C"/>
    <w:rsid w:val="12FE7E10"/>
    <w:rsid w:val="13951726"/>
    <w:rsid w:val="14396509"/>
    <w:rsid w:val="146934F1"/>
    <w:rsid w:val="14DD2C3C"/>
    <w:rsid w:val="16087E1D"/>
    <w:rsid w:val="16942F40"/>
    <w:rsid w:val="17701D14"/>
    <w:rsid w:val="17735226"/>
    <w:rsid w:val="17B374D3"/>
    <w:rsid w:val="183724E4"/>
    <w:rsid w:val="189F624C"/>
    <w:rsid w:val="18EC1394"/>
    <w:rsid w:val="19427323"/>
    <w:rsid w:val="1A1C66C0"/>
    <w:rsid w:val="1A2C2022"/>
    <w:rsid w:val="1A42393B"/>
    <w:rsid w:val="1A976739"/>
    <w:rsid w:val="1AAD45DE"/>
    <w:rsid w:val="1B046F80"/>
    <w:rsid w:val="1B3267B5"/>
    <w:rsid w:val="1B40161D"/>
    <w:rsid w:val="1B441859"/>
    <w:rsid w:val="1B6606B1"/>
    <w:rsid w:val="1C5E7925"/>
    <w:rsid w:val="1C7D5E6D"/>
    <w:rsid w:val="1CA547E5"/>
    <w:rsid w:val="1CA934AA"/>
    <w:rsid w:val="1CE811EA"/>
    <w:rsid w:val="1CFD070F"/>
    <w:rsid w:val="1D5F6196"/>
    <w:rsid w:val="1D6132A5"/>
    <w:rsid w:val="1D8E56D5"/>
    <w:rsid w:val="1DEA6002"/>
    <w:rsid w:val="1E7A43DA"/>
    <w:rsid w:val="1ECF5A4C"/>
    <w:rsid w:val="1F966239"/>
    <w:rsid w:val="1FE7539E"/>
    <w:rsid w:val="1FFE7BD7"/>
    <w:rsid w:val="2059498F"/>
    <w:rsid w:val="20671BE0"/>
    <w:rsid w:val="20963CB8"/>
    <w:rsid w:val="20A81A1B"/>
    <w:rsid w:val="20B07FB6"/>
    <w:rsid w:val="20B646FB"/>
    <w:rsid w:val="21384FBF"/>
    <w:rsid w:val="213B74B1"/>
    <w:rsid w:val="215A2310"/>
    <w:rsid w:val="21DE318A"/>
    <w:rsid w:val="21EF5B80"/>
    <w:rsid w:val="21F13438"/>
    <w:rsid w:val="22576990"/>
    <w:rsid w:val="22B40DF6"/>
    <w:rsid w:val="22F47480"/>
    <w:rsid w:val="23DE1C48"/>
    <w:rsid w:val="240210CD"/>
    <w:rsid w:val="24BF09F7"/>
    <w:rsid w:val="252D53FE"/>
    <w:rsid w:val="258264EF"/>
    <w:rsid w:val="258C3947"/>
    <w:rsid w:val="25EC2D81"/>
    <w:rsid w:val="26103F3B"/>
    <w:rsid w:val="276237A8"/>
    <w:rsid w:val="277057A2"/>
    <w:rsid w:val="27F41D6C"/>
    <w:rsid w:val="28E026ED"/>
    <w:rsid w:val="29206EB8"/>
    <w:rsid w:val="29595666"/>
    <w:rsid w:val="29874881"/>
    <w:rsid w:val="29E325E0"/>
    <w:rsid w:val="2A452503"/>
    <w:rsid w:val="2B8A1CFE"/>
    <w:rsid w:val="2BA936A8"/>
    <w:rsid w:val="2C0406BB"/>
    <w:rsid w:val="2C315A5A"/>
    <w:rsid w:val="2C4B1C25"/>
    <w:rsid w:val="2C5E50B0"/>
    <w:rsid w:val="2D9E56F5"/>
    <w:rsid w:val="2DB3256D"/>
    <w:rsid w:val="2E667F96"/>
    <w:rsid w:val="2E8226AB"/>
    <w:rsid w:val="2F04602B"/>
    <w:rsid w:val="2FD065E6"/>
    <w:rsid w:val="2FD96870"/>
    <w:rsid w:val="305772D8"/>
    <w:rsid w:val="30580BC9"/>
    <w:rsid w:val="311E2ED7"/>
    <w:rsid w:val="315619EE"/>
    <w:rsid w:val="315C449C"/>
    <w:rsid w:val="31B82709"/>
    <w:rsid w:val="31D05482"/>
    <w:rsid w:val="323B3B69"/>
    <w:rsid w:val="32400B34"/>
    <w:rsid w:val="32610134"/>
    <w:rsid w:val="329C47A2"/>
    <w:rsid w:val="329E6876"/>
    <w:rsid w:val="33242316"/>
    <w:rsid w:val="333015F2"/>
    <w:rsid w:val="334B6320"/>
    <w:rsid w:val="3371024C"/>
    <w:rsid w:val="33D934D4"/>
    <w:rsid w:val="33FE2F6A"/>
    <w:rsid w:val="340E07E5"/>
    <w:rsid w:val="34235BF7"/>
    <w:rsid w:val="344F6495"/>
    <w:rsid w:val="358C5FA8"/>
    <w:rsid w:val="35C15DF1"/>
    <w:rsid w:val="36074A7F"/>
    <w:rsid w:val="3649081B"/>
    <w:rsid w:val="36923549"/>
    <w:rsid w:val="36B75FBF"/>
    <w:rsid w:val="36BD0C45"/>
    <w:rsid w:val="36BD5CF0"/>
    <w:rsid w:val="373E1AB6"/>
    <w:rsid w:val="37E00298"/>
    <w:rsid w:val="38176844"/>
    <w:rsid w:val="38B302F9"/>
    <w:rsid w:val="38F12CD3"/>
    <w:rsid w:val="38F94775"/>
    <w:rsid w:val="392971ED"/>
    <w:rsid w:val="39325651"/>
    <w:rsid w:val="398D5F49"/>
    <w:rsid w:val="39E354AF"/>
    <w:rsid w:val="3A872856"/>
    <w:rsid w:val="3B27053D"/>
    <w:rsid w:val="3B3763D1"/>
    <w:rsid w:val="3C2F6E1E"/>
    <w:rsid w:val="3C4F64BA"/>
    <w:rsid w:val="3CDA245A"/>
    <w:rsid w:val="3CE108FB"/>
    <w:rsid w:val="3D1E06B7"/>
    <w:rsid w:val="3D347774"/>
    <w:rsid w:val="3DFF740A"/>
    <w:rsid w:val="3EDA0523"/>
    <w:rsid w:val="3FEA596B"/>
    <w:rsid w:val="407A6407"/>
    <w:rsid w:val="40A74862"/>
    <w:rsid w:val="41E74EF1"/>
    <w:rsid w:val="4200449D"/>
    <w:rsid w:val="423A3BCC"/>
    <w:rsid w:val="424E57D2"/>
    <w:rsid w:val="42B26C49"/>
    <w:rsid w:val="43333315"/>
    <w:rsid w:val="433A6FE6"/>
    <w:rsid w:val="43480868"/>
    <w:rsid w:val="4350713C"/>
    <w:rsid w:val="436653E0"/>
    <w:rsid w:val="43B919C5"/>
    <w:rsid w:val="43C4431A"/>
    <w:rsid w:val="44322A62"/>
    <w:rsid w:val="44B951CC"/>
    <w:rsid w:val="44CD14E0"/>
    <w:rsid w:val="44F20B0B"/>
    <w:rsid w:val="45063FCF"/>
    <w:rsid w:val="452E5F4C"/>
    <w:rsid w:val="45612018"/>
    <w:rsid w:val="458946E9"/>
    <w:rsid w:val="45A47C0E"/>
    <w:rsid w:val="46577FD6"/>
    <w:rsid w:val="46D955A7"/>
    <w:rsid w:val="47133957"/>
    <w:rsid w:val="47A07E0C"/>
    <w:rsid w:val="47DE3010"/>
    <w:rsid w:val="482214BC"/>
    <w:rsid w:val="48227FD1"/>
    <w:rsid w:val="4870272E"/>
    <w:rsid w:val="49DC7715"/>
    <w:rsid w:val="4A023139"/>
    <w:rsid w:val="4A695228"/>
    <w:rsid w:val="4A7B576F"/>
    <w:rsid w:val="4AF561A9"/>
    <w:rsid w:val="4C4A0649"/>
    <w:rsid w:val="4C7E5ECA"/>
    <w:rsid w:val="4C876AA5"/>
    <w:rsid w:val="4D0E00FB"/>
    <w:rsid w:val="4D176606"/>
    <w:rsid w:val="4D3245B5"/>
    <w:rsid w:val="4D484C6C"/>
    <w:rsid w:val="4DEC4FB0"/>
    <w:rsid w:val="4E075D8A"/>
    <w:rsid w:val="4EC00FAD"/>
    <w:rsid w:val="4ECD2F25"/>
    <w:rsid w:val="4F695BD0"/>
    <w:rsid w:val="4F9843DC"/>
    <w:rsid w:val="4FC62A8C"/>
    <w:rsid w:val="4FE20F0D"/>
    <w:rsid w:val="4FE51552"/>
    <w:rsid w:val="50504C4B"/>
    <w:rsid w:val="509C6E7C"/>
    <w:rsid w:val="5162104E"/>
    <w:rsid w:val="52A46842"/>
    <w:rsid w:val="530C1261"/>
    <w:rsid w:val="53A039CC"/>
    <w:rsid w:val="53A1505A"/>
    <w:rsid w:val="54063E08"/>
    <w:rsid w:val="543437E8"/>
    <w:rsid w:val="54F73313"/>
    <w:rsid w:val="54F80955"/>
    <w:rsid w:val="555170A7"/>
    <w:rsid w:val="5587536D"/>
    <w:rsid w:val="559B174B"/>
    <w:rsid w:val="55CE0CF4"/>
    <w:rsid w:val="5606569E"/>
    <w:rsid w:val="56160BFE"/>
    <w:rsid w:val="56B22A9C"/>
    <w:rsid w:val="5705745D"/>
    <w:rsid w:val="57212723"/>
    <w:rsid w:val="57B72A76"/>
    <w:rsid w:val="57C3426C"/>
    <w:rsid w:val="57CE1F93"/>
    <w:rsid w:val="588743D1"/>
    <w:rsid w:val="5887701A"/>
    <w:rsid w:val="58C87801"/>
    <w:rsid w:val="593F1EA8"/>
    <w:rsid w:val="59C0439F"/>
    <w:rsid w:val="59F02BEC"/>
    <w:rsid w:val="5ABE2233"/>
    <w:rsid w:val="5B904113"/>
    <w:rsid w:val="5BA30583"/>
    <w:rsid w:val="5BDF5D95"/>
    <w:rsid w:val="5BFE7528"/>
    <w:rsid w:val="5E2467F1"/>
    <w:rsid w:val="5E705B43"/>
    <w:rsid w:val="5F1A2B43"/>
    <w:rsid w:val="5F5C5FB8"/>
    <w:rsid w:val="5FB837BB"/>
    <w:rsid w:val="60CC405A"/>
    <w:rsid w:val="61E215D8"/>
    <w:rsid w:val="621B3775"/>
    <w:rsid w:val="62364782"/>
    <w:rsid w:val="6394356A"/>
    <w:rsid w:val="63C61B2C"/>
    <w:rsid w:val="63D40BE9"/>
    <w:rsid w:val="64102431"/>
    <w:rsid w:val="64A5243A"/>
    <w:rsid w:val="64D45ABA"/>
    <w:rsid w:val="64EC1E25"/>
    <w:rsid w:val="64F531DE"/>
    <w:rsid w:val="65373578"/>
    <w:rsid w:val="66744447"/>
    <w:rsid w:val="6688644D"/>
    <w:rsid w:val="671F124A"/>
    <w:rsid w:val="677A33C6"/>
    <w:rsid w:val="681F6961"/>
    <w:rsid w:val="68610A2F"/>
    <w:rsid w:val="68805514"/>
    <w:rsid w:val="68923DAA"/>
    <w:rsid w:val="689C380B"/>
    <w:rsid w:val="69316E2F"/>
    <w:rsid w:val="694958E2"/>
    <w:rsid w:val="694E2071"/>
    <w:rsid w:val="694E61D4"/>
    <w:rsid w:val="69766163"/>
    <w:rsid w:val="697A3B33"/>
    <w:rsid w:val="697E7479"/>
    <w:rsid w:val="69D44760"/>
    <w:rsid w:val="69E352E0"/>
    <w:rsid w:val="69F30C7F"/>
    <w:rsid w:val="6A520EC7"/>
    <w:rsid w:val="6A6555DC"/>
    <w:rsid w:val="6AF87E20"/>
    <w:rsid w:val="6B322639"/>
    <w:rsid w:val="6C636C38"/>
    <w:rsid w:val="6D094722"/>
    <w:rsid w:val="6D2B14AA"/>
    <w:rsid w:val="6DB34098"/>
    <w:rsid w:val="6DB545B6"/>
    <w:rsid w:val="6DE02FB4"/>
    <w:rsid w:val="6E2D20FE"/>
    <w:rsid w:val="6E415F04"/>
    <w:rsid w:val="6E514CED"/>
    <w:rsid w:val="6EB563D5"/>
    <w:rsid w:val="6ED92677"/>
    <w:rsid w:val="6F225983"/>
    <w:rsid w:val="6FFC5590"/>
    <w:rsid w:val="703F5918"/>
    <w:rsid w:val="706D1DD0"/>
    <w:rsid w:val="70856B87"/>
    <w:rsid w:val="70D527EE"/>
    <w:rsid w:val="711E638B"/>
    <w:rsid w:val="715B5300"/>
    <w:rsid w:val="71A4788D"/>
    <w:rsid w:val="71D27F8A"/>
    <w:rsid w:val="722652B6"/>
    <w:rsid w:val="72553024"/>
    <w:rsid w:val="73122968"/>
    <w:rsid w:val="731F5D5E"/>
    <w:rsid w:val="73BF1FC1"/>
    <w:rsid w:val="73C51AD5"/>
    <w:rsid w:val="741E793C"/>
    <w:rsid w:val="745E3944"/>
    <w:rsid w:val="74864F95"/>
    <w:rsid w:val="7635099D"/>
    <w:rsid w:val="77762421"/>
    <w:rsid w:val="77B56B1F"/>
    <w:rsid w:val="780F09F4"/>
    <w:rsid w:val="78A90480"/>
    <w:rsid w:val="7A194C28"/>
    <w:rsid w:val="7A364017"/>
    <w:rsid w:val="7A8265E1"/>
    <w:rsid w:val="7B686D42"/>
    <w:rsid w:val="7B841746"/>
    <w:rsid w:val="7BA82956"/>
    <w:rsid w:val="7BB6113D"/>
    <w:rsid w:val="7C6C5AC7"/>
    <w:rsid w:val="7CC6544B"/>
    <w:rsid w:val="7D0239FF"/>
    <w:rsid w:val="7D087552"/>
    <w:rsid w:val="7D5E40CD"/>
    <w:rsid w:val="7DCD56F2"/>
    <w:rsid w:val="7E6C008D"/>
    <w:rsid w:val="7F001CE7"/>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name="heading 3" w:locked="1"/>
    <w:lsdException w:qFormat="1" w:uiPriority="1" w:semiHidden="0" w:name="heading 4" w:locked="1"/>
    <w:lsdException w:qFormat="1" w:unhideWhenUsed="0" w:uiPriority="0"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qFormat="1"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1"/>
    <w:next w:val="1"/>
    <w:qFormat/>
    <w:locked/>
    <w:uiPriority w:val="0"/>
    <w:pPr>
      <w:tabs>
        <w:tab w:val="left" w:pos="360"/>
        <w:tab w:val="left" w:pos="432"/>
        <w:tab w:val="left" w:pos="576"/>
      </w:tabs>
      <w:spacing w:before="260" w:after="240" w:afterLines="100"/>
      <w:outlineLvl w:val="1"/>
    </w:pPr>
    <w:rPr>
      <w:rFonts w:ascii="Arial" w:hAnsi="Arial" w:eastAsia="黑体"/>
      <w:bCs/>
      <w:sz w:val="28"/>
      <w:szCs w:val="32"/>
      <w:lang w:val="en-US" w:eastAsia="zh-CN" w:bidi="ar-SA"/>
    </w:rPr>
  </w:style>
  <w:style w:type="paragraph" w:styleId="6">
    <w:name w:val="heading 3"/>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7">
    <w:name w:val="heading 4"/>
    <w:basedOn w:val="1"/>
    <w:next w:val="1"/>
    <w:unhideWhenUsed/>
    <w:qFormat/>
    <w:locked/>
    <w:uiPriority w:val="1"/>
    <w:pPr>
      <w:ind w:left="217"/>
      <w:outlineLvl w:val="3"/>
    </w:pPr>
    <w:rPr>
      <w:rFonts w:hint="eastAsia"/>
      <w:b/>
      <w:sz w:val="24"/>
      <w:szCs w:val="24"/>
    </w:rPr>
  </w:style>
  <w:style w:type="paragraph" w:styleId="8">
    <w:name w:val="heading 5"/>
    <w:basedOn w:val="1"/>
    <w:next w:val="1"/>
    <w:qFormat/>
    <w:locked/>
    <w:uiPriority w:val="0"/>
    <w:pPr>
      <w:widowControl w:val="0"/>
      <w:numPr>
        <w:ilvl w:val="4"/>
        <w:numId w:val="1"/>
      </w:numPr>
      <w:tabs>
        <w:tab w:val="left" w:pos="289"/>
      </w:tabs>
      <w:adjustRightInd/>
      <w:snapToGrid/>
      <w:spacing w:before="25" w:after="25"/>
      <w:ind w:left="0" w:firstLine="200"/>
      <w:outlineLvl w:val="4"/>
    </w:pPr>
    <w:rPr>
      <w:rFonts w:ascii="Times New Roman" w:hAnsi="Times New Roman" w:eastAsia="宋体" w:cs="Times New Roman"/>
      <w:bCs/>
      <w:color w:val="000000"/>
      <w:kern w:val="0"/>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locked/>
    <w:uiPriority w:val="0"/>
    <w:pPr>
      <w:ind w:firstLine="420"/>
    </w:pPr>
    <w:rPr>
      <w:rFonts w:ascii="Calibri"/>
      <w:szCs w:val="24"/>
    </w:rPr>
  </w:style>
  <w:style w:type="paragraph" w:styleId="3">
    <w:name w:val="Body Text Indent"/>
    <w:basedOn w:val="1"/>
    <w:link w:val="36"/>
    <w:qFormat/>
    <w:uiPriority w:val="0"/>
    <w:pPr>
      <w:spacing w:after="120"/>
      <w:ind w:left="420" w:leftChars="200"/>
    </w:pPr>
    <w:rPr>
      <w:kern w:val="0"/>
      <w:sz w:val="24"/>
      <w:szCs w:val="20"/>
    </w:rPr>
  </w:style>
  <w:style w:type="paragraph" w:styleId="9">
    <w:name w:val="Normal Indent"/>
    <w:basedOn w:val="1"/>
    <w:next w:val="1"/>
    <w:qFormat/>
    <w:locked/>
    <w:uiPriority w:val="0"/>
    <w:pPr>
      <w:adjustRightInd w:val="0"/>
      <w:snapToGrid w:val="0"/>
      <w:spacing w:line="360" w:lineRule="auto"/>
      <w:ind w:firstLine="200" w:firstLineChars="200"/>
      <w:jc w:val="left"/>
    </w:pPr>
    <w:rPr>
      <w:szCs w:val="20"/>
    </w:rPr>
  </w:style>
  <w:style w:type="paragraph" w:styleId="10">
    <w:name w:val="annotation text"/>
    <w:basedOn w:val="1"/>
    <w:link w:val="34"/>
    <w:semiHidden/>
    <w:qFormat/>
    <w:uiPriority w:val="0"/>
    <w:pPr>
      <w:jc w:val="left"/>
    </w:pPr>
    <w:rPr>
      <w:kern w:val="0"/>
      <w:sz w:val="24"/>
      <w:szCs w:val="20"/>
    </w:rPr>
  </w:style>
  <w:style w:type="paragraph" w:styleId="11">
    <w:name w:val="Body Text"/>
    <w:basedOn w:val="1"/>
    <w:next w:val="1"/>
    <w:link w:val="35"/>
    <w:qFormat/>
    <w:uiPriority w:val="0"/>
    <w:pPr>
      <w:widowControl/>
      <w:snapToGrid w:val="0"/>
      <w:spacing w:before="60" w:after="160" w:line="259" w:lineRule="auto"/>
      <w:ind w:right="113"/>
    </w:pPr>
    <w:rPr>
      <w:kern w:val="0"/>
      <w:sz w:val="18"/>
      <w:szCs w:val="20"/>
    </w:rPr>
  </w:style>
  <w:style w:type="paragraph" w:styleId="12">
    <w:name w:val="Plain Text"/>
    <w:basedOn w:val="1"/>
    <w:next w:val="1"/>
    <w:qFormat/>
    <w:locked/>
    <w:uiPriority w:val="0"/>
    <w:pPr>
      <w:spacing w:line="240" w:lineRule="auto"/>
      <w:ind w:firstLine="200" w:firstLineChars="200"/>
    </w:pPr>
    <w:rPr>
      <w:rFonts w:ascii="宋体" w:hAnsi="Courier New" w:cs="Courier New"/>
      <w:sz w:val="21"/>
      <w:szCs w:val="21"/>
    </w:rPr>
  </w:style>
  <w:style w:type="paragraph" w:styleId="13">
    <w:name w:val="Date"/>
    <w:basedOn w:val="1"/>
    <w:next w:val="1"/>
    <w:link w:val="37"/>
    <w:qFormat/>
    <w:uiPriority w:val="0"/>
    <w:pPr>
      <w:ind w:left="100" w:leftChars="2500"/>
    </w:pPr>
    <w:rPr>
      <w:kern w:val="0"/>
      <w:sz w:val="24"/>
      <w:szCs w:val="20"/>
    </w:rPr>
  </w:style>
  <w:style w:type="paragraph" w:styleId="14">
    <w:name w:val="Balloon Text"/>
    <w:basedOn w:val="1"/>
    <w:link w:val="38"/>
    <w:semiHidden/>
    <w:qFormat/>
    <w:uiPriority w:val="0"/>
    <w:rPr>
      <w:kern w:val="0"/>
      <w:sz w:val="18"/>
      <w:szCs w:val="20"/>
    </w:rPr>
  </w:style>
  <w:style w:type="paragraph" w:styleId="15">
    <w:name w:val="footer"/>
    <w:basedOn w:val="1"/>
    <w:link w:val="39"/>
    <w:qFormat/>
    <w:uiPriority w:val="99"/>
    <w:pPr>
      <w:tabs>
        <w:tab w:val="center" w:pos="4153"/>
        <w:tab w:val="right" w:pos="8306"/>
      </w:tabs>
      <w:snapToGrid w:val="0"/>
      <w:jc w:val="left"/>
    </w:pPr>
    <w:rPr>
      <w:kern w:val="0"/>
      <w:sz w:val="18"/>
      <w:szCs w:val="20"/>
    </w:rPr>
  </w:style>
  <w:style w:type="paragraph" w:styleId="16">
    <w:name w:val="header"/>
    <w:basedOn w:val="1"/>
    <w:link w:val="40"/>
    <w:qFormat/>
    <w:uiPriority w:val="0"/>
    <w:pPr>
      <w:pBdr>
        <w:bottom w:val="single" w:color="auto" w:sz="6" w:space="1"/>
      </w:pBdr>
      <w:tabs>
        <w:tab w:val="center" w:pos="4153"/>
        <w:tab w:val="right" w:pos="8306"/>
      </w:tabs>
      <w:snapToGrid w:val="0"/>
      <w:jc w:val="center"/>
    </w:pPr>
    <w:rPr>
      <w:kern w:val="0"/>
      <w:sz w:val="18"/>
      <w:szCs w:val="20"/>
    </w:rPr>
  </w:style>
  <w:style w:type="paragraph" w:styleId="17">
    <w:name w:val="toc 1"/>
    <w:basedOn w:val="1"/>
    <w:next w:val="1"/>
    <w:qFormat/>
    <w:locked/>
    <w:uiPriority w:val="0"/>
  </w:style>
  <w:style w:type="paragraph" w:styleId="18">
    <w:name w:val="table of figures"/>
    <w:basedOn w:val="1"/>
    <w:next w:val="1"/>
    <w:qFormat/>
    <w:locked/>
    <w:uiPriority w:val="0"/>
    <w:pPr>
      <w:ind w:left="840" w:leftChars="200" w:hanging="420" w:hangingChars="200"/>
    </w:pPr>
  </w:style>
  <w:style w:type="paragraph" w:styleId="19">
    <w:name w:val="toc 2"/>
    <w:basedOn w:val="1"/>
    <w:next w:val="1"/>
    <w:qFormat/>
    <w:locked/>
    <w:uiPriority w:val="0"/>
    <w:pPr>
      <w:ind w:left="420" w:leftChars="200"/>
    </w:pPr>
  </w:style>
  <w:style w:type="paragraph" w:styleId="20">
    <w:name w:val="Normal (Web)"/>
    <w:basedOn w:val="1"/>
    <w:link w:val="41"/>
    <w:qFormat/>
    <w:uiPriority w:val="0"/>
    <w:pPr>
      <w:widowControl/>
      <w:spacing w:before="100" w:beforeAutospacing="1" w:after="100" w:afterAutospacing="1"/>
      <w:jc w:val="left"/>
    </w:pPr>
    <w:rPr>
      <w:rFonts w:ascii="宋体" w:hAnsi="宋体"/>
      <w:kern w:val="0"/>
      <w:sz w:val="24"/>
      <w:szCs w:val="20"/>
    </w:rPr>
  </w:style>
  <w:style w:type="paragraph" w:styleId="21">
    <w:name w:val="annotation subject"/>
    <w:basedOn w:val="10"/>
    <w:next w:val="10"/>
    <w:link w:val="42"/>
    <w:semiHidden/>
    <w:qFormat/>
    <w:uiPriority w:val="0"/>
    <w:rPr>
      <w:b/>
    </w:rPr>
  </w:style>
  <w:style w:type="paragraph" w:styleId="22">
    <w:name w:val="Body Text First Indent"/>
    <w:basedOn w:val="11"/>
    <w:next w:val="1"/>
    <w:link w:val="61"/>
    <w:qFormat/>
    <w:locked/>
    <w:uiPriority w:val="0"/>
    <w:pPr>
      <w:ind w:firstLine="420" w:firstLineChars="100"/>
    </w:pPr>
    <w:rPr>
      <w:szCs w:val="24"/>
    </w:r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locked/>
    <w:uiPriority w:val="0"/>
    <w:rPr>
      <w:b/>
    </w:rPr>
  </w:style>
  <w:style w:type="character" w:styleId="27">
    <w:name w:val="page number"/>
    <w:basedOn w:val="25"/>
    <w:qFormat/>
    <w:locked/>
    <w:uiPriority w:val="0"/>
  </w:style>
  <w:style w:type="character" w:styleId="28">
    <w:name w:val="Emphasis"/>
    <w:basedOn w:val="25"/>
    <w:qFormat/>
    <w:locked/>
    <w:uiPriority w:val="0"/>
    <w:rPr>
      <w:i/>
    </w:rPr>
  </w:style>
  <w:style w:type="character" w:styleId="29">
    <w:name w:val="Hyperlink"/>
    <w:basedOn w:val="25"/>
    <w:qFormat/>
    <w:locked/>
    <w:uiPriority w:val="0"/>
    <w:rPr>
      <w:color w:val="0000FF"/>
      <w:u w:val="single"/>
    </w:rPr>
  </w:style>
  <w:style w:type="character" w:styleId="30">
    <w:name w:val="annotation reference"/>
    <w:semiHidden/>
    <w:qFormat/>
    <w:uiPriority w:val="0"/>
    <w:rPr>
      <w:sz w:val="21"/>
    </w:rPr>
  </w:style>
  <w:style w:type="paragraph" w:customStyle="1" w:styleId="31">
    <w:name w:val="Default"/>
    <w:basedOn w:val="32"/>
    <w:qFormat/>
    <w:uiPriority w:val="0"/>
    <w:pPr>
      <w:widowControl w:val="0"/>
      <w:autoSpaceDE w:val="0"/>
      <w:autoSpaceDN w:val="0"/>
      <w:adjustRightInd w:val="0"/>
    </w:pPr>
    <w:rPr>
      <w:rFonts w:ascii="方正小标宋_GBK" w:hAnsi="Times New Roman" w:eastAsia="方正小标宋_GBK" w:cs="方正小标宋_GBK"/>
      <w:color w:val="000000"/>
      <w:sz w:val="24"/>
      <w:szCs w:val="24"/>
      <w:lang w:val="en-US" w:eastAsia="zh-CN" w:bidi="ar-SA"/>
    </w:rPr>
  </w:style>
  <w:style w:type="paragraph" w:customStyle="1" w:styleId="32">
    <w:name w:val="纯文本1"/>
    <w:qFormat/>
    <w:uiPriority w:val="0"/>
    <w:pPr>
      <w:widowControl w:val="0"/>
      <w:adjustRightInd w:val="0"/>
      <w:jc w:val="both"/>
    </w:pPr>
    <w:rPr>
      <w:rFonts w:ascii="宋体" w:hAnsi="Courier New" w:eastAsia="宋体" w:cs="Times New Roman"/>
      <w:kern w:val="2"/>
      <w:sz w:val="21"/>
      <w:lang w:val="en-US" w:eastAsia="zh-CN" w:bidi="ar-SA"/>
    </w:rPr>
  </w:style>
  <w:style w:type="paragraph" w:customStyle="1" w:styleId="33">
    <w:name w:val="xl27"/>
    <w:basedOn w:val="1"/>
    <w:qFormat/>
    <w:uiPriority w:val="0"/>
    <w:pPr>
      <w:widowControl/>
      <w:pBdr>
        <w:top w:val="single" w:color="auto" w:sz="12" w:space="0"/>
        <w:left w:val="single" w:color="auto" w:sz="4" w:space="0"/>
        <w:bottom w:val="single" w:color="auto" w:sz="4" w:space="0"/>
        <w:right w:val="single" w:color="auto" w:sz="4" w:space="0"/>
      </w:pBdr>
      <w:shd w:val="clear" w:color="auto" w:fill="CCCCFF"/>
      <w:spacing w:before="100" w:beforeAutospacing="1" w:after="100" w:afterAutospacing="1"/>
      <w:jc w:val="center"/>
    </w:pPr>
    <w:rPr>
      <w:rFonts w:ascii="宋体" w:hAnsi="宋体"/>
      <w:kern w:val="0"/>
      <w:sz w:val="24"/>
    </w:rPr>
  </w:style>
  <w:style w:type="character" w:customStyle="1" w:styleId="34">
    <w:name w:val="批注文字 字符"/>
    <w:link w:val="10"/>
    <w:qFormat/>
    <w:locked/>
    <w:uiPriority w:val="0"/>
    <w:rPr>
      <w:rFonts w:ascii="Times New Roman" w:hAnsi="Times New Roman" w:eastAsia="宋体"/>
      <w:sz w:val="24"/>
    </w:rPr>
  </w:style>
  <w:style w:type="character" w:customStyle="1" w:styleId="35">
    <w:name w:val="正文文本 字符"/>
    <w:link w:val="11"/>
    <w:qFormat/>
    <w:locked/>
    <w:uiPriority w:val="0"/>
    <w:rPr>
      <w:sz w:val="18"/>
    </w:rPr>
  </w:style>
  <w:style w:type="character" w:customStyle="1" w:styleId="36">
    <w:name w:val="正文文本缩进 字符"/>
    <w:link w:val="3"/>
    <w:semiHidden/>
    <w:qFormat/>
    <w:locked/>
    <w:uiPriority w:val="0"/>
    <w:rPr>
      <w:rFonts w:ascii="Times New Roman" w:hAnsi="Times New Roman" w:eastAsia="宋体"/>
      <w:sz w:val="24"/>
    </w:rPr>
  </w:style>
  <w:style w:type="character" w:customStyle="1" w:styleId="37">
    <w:name w:val="日期 字符1"/>
    <w:link w:val="13"/>
    <w:qFormat/>
    <w:locked/>
    <w:uiPriority w:val="0"/>
    <w:rPr>
      <w:rFonts w:ascii="Times New Roman" w:hAnsi="Times New Roman" w:eastAsia="宋体"/>
      <w:sz w:val="24"/>
    </w:rPr>
  </w:style>
  <w:style w:type="character" w:customStyle="1" w:styleId="38">
    <w:name w:val="批注框文本 字符"/>
    <w:link w:val="14"/>
    <w:semiHidden/>
    <w:qFormat/>
    <w:locked/>
    <w:uiPriority w:val="0"/>
    <w:rPr>
      <w:rFonts w:ascii="Times New Roman" w:hAnsi="Times New Roman" w:eastAsia="宋体"/>
      <w:sz w:val="18"/>
    </w:rPr>
  </w:style>
  <w:style w:type="character" w:customStyle="1" w:styleId="39">
    <w:name w:val="页脚 字符1"/>
    <w:link w:val="15"/>
    <w:qFormat/>
    <w:locked/>
    <w:uiPriority w:val="99"/>
    <w:rPr>
      <w:sz w:val="18"/>
    </w:rPr>
  </w:style>
  <w:style w:type="character" w:customStyle="1" w:styleId="40">
    <w:name w:val="页眉 字符"/>
    <w:link w:val="16"/>
    <w:qFormat/>
    <w:locked/>
    <w:uiPriority w:val="0"/>
    <w:rPr>
      <w:sz w:val="18"/>
    </w:rPr>
  </w:style>
  <w:style w:type="character" w:customStyle="1" w:styleId="41">
    <w:name w:val="普通(网站) 字符"/>
    <w:link w:val="20"/>
    <w:qFormat/>
    <w:locked/>
    <w:uiPriority w:val="0"/>
    <w:rPr>
      <w:rFonts w:ascii="宋体" w:hAnsi="宋体" w:eastAsia="宋体"/>
      <w:sz w:val="24"/>
    </w:rPr>
  </w:style>
  <w:style w:type="character" w:customStyle="1" w:styleId="42">
    <w:name w:val="批注主题 字符"/>
    <w:link w:val="21"/>
    <w:semiHidden/>
    <w:qFormat/>
    <w:locked/>
    <w:uiPriority w:val="0"/>
    <w:rPr>
      <w:rFonts w:ascii="Times New Roman" w:hAnsi="Times New Roman" w:eastAsia="宋体"/>
      <w:b/>
      <w:kern w:val="2"/>
      <w:sz w:val="24"/>
    </w:rPr>
  </w:style>
  <w:style w:type="character" w:customStyle="1" w:styleId="43">
    <w:name w:val="页脚 字符"/>
    <w:basedOn w:val="25"/>
    <w:qFormat/>
    <w:uiPriority w:val="99"/>
  </w:style>
  <w:style w:type="character" w:customStyle="1" w:styleId="44">
    <w:name w:val="正文文本 字符1"/>
    <w:semiHidden/>
    <w:qFormat/>
    <w:uiPriority w:val="0"/>
    <w:rPr>
      <w:rFonts w:ascii="Times New Roman" w:hAnsi="Times New Roman" w:eastAsia="宋体"/>
      <w:sz w:val="24"/>
    </w:rPr>
  </w:style>
  <w:style w:type="character" w:customStyle="1" w:styleId="45">
    <w:name w:val="表格 Char"/>
    <w:link w:val="46"/>
    <w:qFormat/>
    <w:locked/>
    <w:uiPriority w:val="0"/>
    <w:rPr>
      <w:rFonts w:ascii="宋体"/>
      <w:sz w:val="21"/>
    </w:rPr>
  </w:style>
  <w:style w:type="paragraph" w:customStyle="1" w:styleId="46">
    <w:name w:val="表格"/>
    <w:basedOn w:val="1"/>
    <w:next w:val="47"/>
    <w:link w:val="45"/>
    <w:qFormat/>
    <w:uiPriority w:val="0"/>
    <w:pPr>
      <w:adjustRightInd w:val="0"/>
      <w:snapToGrid w:val="0"/>
      <w:spacing w:beforeLines="10" w:afterLines="10" w:line="259" w:lineRule="auto"/>
      <w:jc w:val="center"/>
    </w:pPr>
    <w:rPr>
      <w:rFonts w:ascii="宋体"/>
      <w:kern w:val="0"/>
      <w:szCs w:val="20"/>
    </w:rPr>
  </w:style>
  <w:style w:type="paragraph" w:customStyle="1" w:styleId="47">
    <w:name w:val="正文首行"/>
    <w:basedOn w:val="9"/>
    <w:qFormat/>
    <w:uiPriority w:val="0"/>
    <w:pPr>
      <w:spacing w:line="440" w:lineRule="exact"/>
      <w:ind w:firstLine="361" w:firstLineChars="200"/>
    </w:pPr>
    <w:rPr>
      <w:rFonts w:ascii="Times New Roman" w:hAnsi="Times New Roman"/>
      <w:kern w:val="0"/>
      <w:sz w:val="24"/>
      <w:szCs w:val="20"/>
    </w:rPr>
  </w:style>
  <w:style w:type="character" w:customStyle="1" w:styleId="48">
    <w:name w:val="日期 字符"/>
    <w:semiHidden/>
    <w:qFormat/>
    <w:uiPriority w:val="0"/>
    <w:rPr>
      <w:rFonts w:ascii="Times New Roman" w:hAnsi="Times New Roman" w:eastAsia="宋体"/>
      <w:sz w:val="24"/>
    </w:rPr>
  </w:style>
  <w:style w:type="character" w:customStyle="1" w:styleId="49">
    <w:name w:val="批注文字 字符1"/>
    <w:semiHidden/>
    <w:qFormat/>
    <w:uiPriority w:val="0"/>
    <w:rPr>
      <w:rFonts w:ascii="Times New Roman" w:hAnsi="Times New Roman" w:eastAsia="宋体"/>
      <w:sz w:val="24"/>
    </w:rPr>
  </w:style>
  <w:style w:type="paragraph" w:customStyle="1" w:styleId="50">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1">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52">
    <w:name w:val="Table Paragraph"/>
    <w:basedOn w:val="1"/>
    <w:qFormat/>
    <w:uiPriority w:val="1"/>
  </w:style>
  <w:style w:type="paragraph" w:customStyle="1" w:styleId="53">
    <w:name w:val="表格正文"/>
    <w:basedOn w:val="54"/>
    <w:next w:val="1"/>
    <w:qFormat/>
    <w:uiPriority w:val="0"/>
    <w:pPr>
      <w:spacing w:before="20" w:beforeLines="20" w:after="20" w:afterLines="20"/>
    </w:pPr>
    <w:rPr>
      <w:kern w:val="2"/>
    </w:rPr>
  </w:style>
  <w:style w:type="paragraph" w:customStyle="1" w:styleId="54">
    <w:name w:val="表格格式"/>
    <w:basedOn w:val="1"/>
    <w:qFormat/>
    <w:uiPriority w:val="0"/>
    <w:pPr>
      <w:jc w:val="center"/>
    </w:pPr>
    <w:rPr>
      <w:b/>
      <w:kern w:val="0"/>
      <w:szCs w:val="21"/>
    </w:rPr>
  </w:style>
  <w:style w:type="paragraph" w:customStyle="1" w:styleId="55">
    <w:name w:val="报告正文"/>
    <w:basedOn w:val="1"/>
    <w:qFormat/>
    <w:uiPriority w:val="0"/>
    <w:pPr>
      <w:adjustRightInd w:val="0"/>
      <w:spacing w:after="120" w:line="360" w:lineRule="auto"/>
      <w:ind w:firstLine="510"/>
    </w:pPr>
    <w:rPr>
      <w:rFonts w:ascii="宋体" w:hAnsi="Courier New"/>
      <w:kern w:val="0"/>
      <w:sz w:val="24"/>
      <w:szCs w:val="20"/>
    </w:rPr>
  </w:style>
  <w:style w:type="paragraph" w:customStyle="1" w:styleId="56">
    <w:name w:val="A正文1"/>
    <w:basedOn w:val="1"/>
    <w:qFormat/>
    <w:uiPriority w:val="0"/>
    <w:pPr>
      <w:ind w:firstLine="480" w:firstLineChars="200"/>
    </w:pPr>
  </w:style>
  <w:style w:type="paragraph" w:customStyle="1" w:styleId="57">
    <w:name w:val="表格文字"/>
    <w:basedOn w:val="22"/>
    <w:next w:val="1"/>
    <w:qFormat/>
    <w:uiPriority w:val="0"/>
    <w:pPr>
      <w:adjustRightInd w:val="0"/>
      <w:spacing w:before="20" w:beforeLines="20" w:after="20" w:afterLines="20" w:line="240" w:lineRule="auto"/>
      <w:ind w:firstLine="0" w:firstLineChars="0"/>
      <w:jc w:val="center"/>
    </w:pPr>
    <w:rPr>
      <w:sz w:val="21"/>
    </w:rPr>
  </w:style>
  <w:style w:type="paragraph" w:customStyle="1" w:styleId="58">
    <w:name w:val="表格内容居中"/>
    <w:qFormat/>
    <w:uiPriority w:val="0"/>
    <w:pPr>
      <w:adjustRightInd w:val="0"/>
      <w:snapToGrid w:val="0"/>
      <w:jc w:val="center"/>
    </w:pPr>
    <w:rPr>
      <w:rFonts w:ascii="Times New Roman" w:hAnsi="Times New Roman" w:eastAsia="宋体" w:cs="Times New Roman"/>
      <w:snapToGrid w:val="0"/>
      <w:sz w:val="21"/>
      <w:lang w:val="en-US" w:eastAsia="zh-CN" w:bidi="ar-SA"/>
    </w:rPr>
  </w:style>
  <w:style w:type="paragraph" w:customStyle="1" w:styleId="59">
    <w:name w:val="样式 报告 + 首行缩进:  2 字符"/>
    <w:basedOn w:val="1"/>
    <w:unhideWhenUsed/>
    <w:qFormat/>
    <w:uiPriority w:val="0"/>
    <w:pPr>
      <w:widowControl/>
      <w:overflowPunct w:val="0"/>
      <w:autoSpaceDE w:val="0"/>
      <w:autoSpaceDN w:val="0"/>
      <w:adjustRightInd w:val="0"/>
      <w:spacing w:before="120" w:after="120" w:line="400" w:lineRule="atLeast"/>
      <w:ind w:firstLine="480"/>
      <w:textAlignment w:val="baseline"/>
    </w:pPr>
    <w:rPr>
      <w:kern w:val="0"/>
      <w:sz w:val="24"/>
    </w:rPr>
  </w:style>
  <w:style w:type="paragraph" w:customStyle="1" w:styleId="60">
    <w:name w:val="卓龙正文"/>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customStyle="1" w:styleId="61">
    <w:name w:val="正文文本首行缩进 字符"/>
    <w:link w:val="22"/>
    <w:qFormat/>
    <w:uiPriority w:val="0"/>
    <w:rPr>
      <w:kern w:val="2"/>
      <w:sz w:val="24"/>
      <w:szCs w:val="24"/>
    </w:rPr>
  </w:style>
  <w:style w:type="paragraph" w:styleId="62">
    <w:name w:val="List Paragraph"/>
    <w:basedOn w:val="1"/>
    <w:qFormat/>
    <w:uiPriority w:val="99"/>
    <w:pPr>
      <w:ind w:firstLine="420" w:firstLineChars="200"/>
    </w:pPr>
  </w:style>
  <w:style w:type="paragraph" w:customStyle="1" w:styleId="63">
    <w:name w:val="报告表格"/>
    <w:qFormat/>
    <w:uiPriority w:val="0"/>
    <w:pPr>
      <w:widowControl w:val="0"/>
      <w:autoSpaceDE w:val="0"/>
      <w:autoSpaceDN w:val="0"/>
      <w:adjustRightInd w:val="0"/>
      <w:spacing w:before="40" w:after="40" w:line="360" w:lineRule="auto"/>
      <w:ind w:firstLine="640" w:firstLineChars="200"/>
      <w:jc w:val="center"/>
    </w:pPr>
    <w:rPr>
      <w:rFonts w:ascii="Times New Roman" w:hAnsi="Times New Roman" w:eastAsia="宋体" w:cs="Times New Roman"/>
      <w:sz w:val="21"/>
      <w:szCs w:val="24"/>
      <w:lang w:val="en-US" w:eastAsia="zh-CN" w:bidi="ar-SA"/>
    </w:rPr>
  </w:style>
  <w:style w:type="paragraph" w:customStyle="1" w:styleId="64">
    <w:name w:val="1正文"/>
    <w:qFormat/>
    <w:uiPriority w:val="0"/>
    <w:pPr>
      <w:adjustRightInd w:val="0"/>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65">
    <w:name w:val="1表格内容"/>
    <w:basedOn w:val="1"/>
    <w:qFormat/>
    <w:uiPriority w:val="0"/>
    <w:pPr>
      <w:widowControl/>
      <w:spacing w:line="240" w:lineRule="exact"/>
      <w:jc w:val="center"/>
    </w:pPr>
    <w:rPr>
      <w:color w:val="000000"/>
      <w:sz w:val="18"/>
      <w:szCs w:val="22"/>
    </w:rPr>
  </w:style>
  <w:style w:type="paragraph" w:customStyle="1" w:styleId="66">
    <w:name w:val="M-表头"/>
    <w:basedOn w:val="1"/>
    <w:qFormat/>
    <w:uiPriority w:val="0"/>
    <w:pPr>
      <w:widowControl/>
      <w:spacing w:line="240" w:lineRule="auto"/>
      <w:ind w:firstLine="200" w:firstLineChars="200"/>
      <w:jc w:val="center"/>
    </w:pPr>
    <w:rPr>
      <w:szCs w:val="21"/>
    </w:rPr>
  </w:style>
  <w:style w:type="paragraph" w:customStyle="1" w:styleId="67">
    <w:name w:val="表标题"/>
    <w:basedOn w:val="1"/>
    <w:qFormat/>
    <w:uiPriority w:val="0"/>
    <w:pPr>
      <w:adjustRightInd w:val="0"/>
      <w:snapToGrid w:val="0"/>
      <w:jc w:val="center"/>
    </w:pPr>
    <w:rPr>
      <w:b/>
    </w:rPr>
  </w:style>
  <w:style w:type="paragraph" w:customStyle="1" w:styleId="68">
    <w:name w:val="正文-易恒"/>
    <w:basedOn w:val="1"/>
    <w:qFormat/>
    <w:uiPriority w:val="0"/>
    <w:pPr>
      <w:spacing w:line="360" w:lineRule="auto"/>
      <w:ind w:firstLine="200" w:firstLineChars="200"/>
    </w:pPr>
    <w:rPr>
      <w:rFonts w:ascii="Times New Roman" w:hAnsi="Times New Roman" w:eastAsia="宋体" w:cs="Times New Roman"/>
      <w:sz w:val="24"/>
      <w:szCs w:val="24"/>
    </w:rPr>
  </w:style>
  <w:style w:type="paragraph" w:customStyle="1" w:styleId="69">
    <w:name w:val="表头-易恒"/>
    <w:basedOn w:val="68"/>
    <w:next w:val="68"/>
    <w:qFormat/>
    <w:uiPriority w:val="0"/>
    <w:pPr>
      <w:spacing w:beforeLines="50" w:line="240" w:lineRule="auto"/>
      <w:ind w:firstLine="0" w:firstLineChars="0"/>
      <w:jc w:val="center"/>
    </w:pPr>
    <w:rPr>
      <w:b/>
    </w:rPr>
  </w:style>
  <w:style w:type="paragraph" w:customStyle="1" w:styleId="70">
    <w:name w:val="表格-易恒"/>
    <w:basedOn w:val="68"/>
    <w:qFormat/>
    <w:uiPriority w:val="0"/>
    <w:pPr>
      <w:spacing w:line="240" w:lineRule="auto"/>
      <w:ind w:firstLine="0" w:firstLineChars="0"/>
      <w:jc w:val="center"/>
    </w:pPr>
    <w:rPr>
      <w:sz w:val="21"/>
    </w:rPr>
  </w:style>
  <w:style w:type="paragraph" w:customStyle="1" w:styleId="71">
    <w:name w:val="正文内容"/>
    <w:basedOn w:val="1"/>
    <w:qFormat/>
    <w:uiPriority w:val="0"/>
    <w:pPr>
      <w:spacing w:line="360" w:lineRule="auto"/>
      <w:ind w:firstLine="200" w:firstLineChars="200"/>
    </w:pPr>
    <w:rPr>
      <w:kern w:val="0"/>
      <w:sz w:val="24"/>
      <w:szCs w:val="21"/>
    </w:rPr>
  </w:style>
  <w:style w:type="table" w:customStyle="1" w:styleId="72">
    <w:name w:val="Table Normal"/>
    <w:basedOn w:val="23"/>
    <w:qFormat/>
    <w:uiPriority w:val="0"/>
    <w:rPr>
      <w:rFonts w:eastAsia="Times New Roman"/>
    </w:rPr>
    <w:tblPr>
      <w:tblCellMar>
        <w:top w:w="0" w:type="dxa"/>
        <w:left w:w="0" w:type="dxa"/>
        <w:bottom w:w="0" w:type="dxa"/>
        <w:right w:w="0" w:type="dxa"/>
      </w:tblCellMar>
    </w:tblPr>
  </w:style>
  <w:style w:type="paragraph" w:customStyle="1" w:styleId="73">
    <w:name w:val="Normal"/>
    <w:qFormat/>
    <w:uiPriority w:val="0"/>
    <w:pPr>
      <w:jc w:val="both"/>
    </w:pPr>
    <w:rPr>
      <w:rFonts w:ascii="宋体" w:hAnsi="宋体" w:eastAsia="等线" w:cs="宋体"/>
      <w:kern w:val="2"/>
      <w:sz w:val="21"/>
      <w:szCs w:val="21"/>
      <w:lang w:val="en-US" w:eastAsia="zh-CN" w:bidi="ar-SA"/>
    </w:rPr>
  </w:style>
  <w:style w:type="paragraph" w:customStyle="1" w:styleId="74">
    <w:name w:val="5、正文"/>
    <w:basedOn w:val="12"/>
    <w:qFormat/>
    <w:uiPriority w:val="0"/>
    <w:rPr>
      <w:szCs w:val="21"/>
    </w:rPr>
  </w:style>
  <w:style w:type="paragraph" w:customStyle="1" w:styleId="75">
    <w:name w:val="正文2"/>
    <w:basedOn w:val="1"/>
    <w:qFormat/>
    <w:uiPriority w:val="0"/>
    <w:pPr>
      <w:spacing w:line="240" w:lineRule="auto"/>
      <w:ind w:firstLine="0" w:firstLineChars="0"/>
      <w:jc w:val="center"/>
    </w:pPr>
  </w:style>
  <w:style w:type="paragraph" w:customStyle="1" w:styleId="76">
    <w:name w:val="样式 样式 行距: 1.5 倍行距 + 首行缩进:  2 字符"/>
    <w:basedOn w:val="77"/>
    <w:qFormat/>
    <w:uiPriority w:val="0"/>
    <w:pPr>
      <w:ind w:firstLine="480"/>
    </w:pPr>
    <w:rPr>
      <w:kern w:val="2"/>
      <w:sz w:val="24"/>
    </w:rPr>
  </w:style>
  <w:style w:type="paragraph" w:customStyle="1" w:styleId="77">
    <w:name w:val="样式 行距: 1.5 倍行距"/>
    <w:basedOn w:val="1"/>
    <w:qFormat/>
    <w:uiPriority w:val="0"/>
    <w:pPr>
      <w:snapToGrid w:val="0"/>
      <w:spacing w:after="0" w:afterLines="0" w:line="360" w:lineRule="auto"/>
      <w:ind w:firstLine="200"/>
      <w:jc w:val="both"/>
      <w:textAlignment w:val="auto"/>
    </w:pPr>
    <w:rPr>
      <w:rFonts w:ascii="Times New Roman" w:cs="宋体"/>
      <w:kern w:val="2"/>
      <w:sz w:val="21"/>
      <w:szCs w:val="21"/>
    </w:rPr>
  </w:style>
  <w:style w:type="character" w:customStyle="1" w:styleId="78">
    <w:name w:val="样式 小四"/>
    <w:qFormat/>
    <w:uiPriority w:val="0"/>
    <w:rPr>
      <w:rFonts w:ascii="Times New Roman" w:hAnsi="Times New Roman" w:eastAsia="宋体"/>
      <w:kern w:val="2"/>
      <w:sz w:val="24"/>
      <w:szCs w:val="24"/>
      <w:lang w:val="en-US" w:eastAsia="zh-CN" w:bidi="ar-SA"/>
    </w:rPr>
  </w:style>
  <w:style w:type="paragraph" w:customStyle="1" w:styleId="79">
    <w:name w:val="表格名称"/>
    <w:basedOn w:val="1"/>
    <w:qFormat/>
    <w:uiPriority w:val="0"/>
    <w:pPr>
      <w:keepNext/>
      <w:keepLines/>
      <w:wordWrap w:val="0"/>
      <w:topLinePunct/>
      <w:adjustRightInd w:val="0"/>
      <w:spacing w:line="240" w:lineRule="auto"/>
      <w:ind w:firstLine="0" w:firstLineChars="0"/>
      <w:jc w:val="center"/>
    </w:pPr>
    <w:rPr>
      <w:b/>
    </w:rPr>
  </w:style>
  <w:style w:type="paragraph" w:customStyle="1" w:styleId="80">
    <w:name w:val="表格的字"/>
    <w:basedOn w:val="1"/>
    <w:qFormat/>
    <w:uiPriority w:val="0"/>
    <w:pPr>
      <w:spacing w:before="0" w:beforeLines="0" w:after="0" w:afterLines="0" w:line="312" w:lineRule="auto"/>
      <w:ind w:left="51" w:right="51" w:firstLine="0" w:firstLineChars="0"/>
      <w:jc w:val="center"/>
    </w:pPr>
    <w:rPr>
      <w:sz w:val="21"/>
      <w:szCs w:val="21"/>
    </w:rPr>
  </w:style>
  <w:style w:type="paragraph" w:customStyle="1" w:styleId="81">
    <w:name w:val="列出段落1"/>
    <w:basedOn w:val="1"/>
    <w:qFormat/>
    <w:uiPriority w:val="34"/>
    <w:pPr>
      <w:ind w:firstLine="420"/>
    </w:pPr>
  </w:style>
  <w:style w:type="paragraph" w:customStyle="1" w:styleId="82">
    <w:name w:val="表文字"/>
    <w:basedOn w:val="1"/>
    <w:qFormat/>
    <w:uiPriority w:val="0"/>
    <w:pPr>
      <w:spacing w:line="240" w:lineRule="auto"/>
      <w:ind w:firstLine="0" w:firstLineChars="0"/>
      <w:jc w:val="center"/>
    </w:pPr>
    <w:rPr>
      <w:b/>
      <w:bCs/>
      <w:kern w:val="10"/>
    </w:rPr>
  </w:style>
  <w:style w:type="paragraph" w:customStyle="1" w:styleId="83">
    <w:name w:val="青峰桥正文"/>
    <w:basedOn w:val="1"/>
    <w:qFormat/>
    <w:uiPriority w:val="0"/>
    <w:pPr>
      <w:autoSpaceDE w:val="0"/>
      <w:autoSpaceDN w:val="0"/>
      <w:adjustRightInd/>
      <w:snapToGrid/>
      <w:spacing w:line="360" w:lineRule="auto"/>
      <w:ind w:firstLine="720" w:firstLineChars="200"/>
    </w:pPr>
    <w:rPr>
      <w:rFonts w:ascii="宋体" w:hAnsi="宋体" w:eastAsia="宋体" w:cs="宋体"/>
      <w:kern w:val="0"/>
      <w:sz w:val="24"/>
      <w:szCs w:val="21"/>
    </w:rPr>
  </w:style>
  <w:style w:type="paragraph" w:customStyle="1" w:styleId="84">
    <w:name w:val="表格内文字"/>
    <w:qFormat/>
    <w:uiPriority w:val="0"/>
    <w:pPr>
      <w:jc w:val="center"/>
    </w:pPr>
    <w:rPr>
      <w:rFonts w:ascii="Times New Roman" w:hAnsi="Times New Roman" w:eastAsia="宋体" w:cs="宋体"/>
      <w:kern w:val="2"/>
      <w:sz w:val="21"/>
      <w:szCs w:val="21"/>
      <w:lang w:val="en-US" w:eastAsia="zh-CN" w:bidi="ar-SA"/>
    </w:rPr>
  </w:style>
  <w:style w:type="paragraph" w:customStyle="1" w:styleId="85">
    <w:name w:val="Table Text"/>
    <w:basedOn w:val="1"/>
    <w:semiHidden/>
    <w:qFormat/>
    <w:uiPriority w:val="0"/>
    <w:rPr>
      <w:rFonts w:ascii="Arial" w:hAnsi="Arial" w:eastAsia="Arial" w:cs="Arial"/>
      <w:sz w:val="21"/>
      <w:szCs w:val="21"/>
      <w:lang w:val="en-US" w:eastAsia="en-US" w:bidi="ar-SA"/>
    </w:rPr>
  </w:style>
  <w:style w:type="paragraph" w:customStyle="1" w:styleId="86">
    <w:name w:val="表格标题"/>
    <w:basedOn w:val="46"/>
    <w:next w:val="87"/>
    <w:qFormat/>
    <w:uiPriority w:val="0"/>
    <w:pPr>
      <w:spacing w:before="120" w:beforeLines="0"/>
      <w:jc w:val="center"/>
    </w:pPr>
    <w:rPr>
      <w:sz w:val="24"/>
      <w:szCs w:val="20"/>
    </w:rPr>
  </w:style>
  <w:style w:type="paragraph" w:customStyle="1" w:styleId="87">
    <w:name w:val="表格内容"/>
    <w:basedOn w:val="1"/>
    <w:qFormat/>
    <w:uiPriority w:val="0"/>
    <w:pPr>
      <w:overflowPunct w:val="0"/>
      <w:adjustRightInd w:val="0"/>
      <w:spacing w:line="240" w:lineRule="auto"/>
      <w:ind w:firstLine="0" w:firstLineChars="0"/>
      <w:jc w:val="center"/>
      <w:textAlignment w:val="baseline"/>
    </w:pPr>
    <w:rPr>
      <w:rFonts w:ascii="Arial" w:hAnsi="Arial"/>
      <w:kern w:val="0"/>
      <w:sz w:val="21"/>
      <w:szCs w:val="20"/>
    </w:rPr>
  </w:style>
  <w:style w:type="paragraph" w:customStyle="1" w:styleId="88">
    <w:name w:val="表格文字1"/>
    <w:basedOn w:val="1"/>
    <w:qFormat/>
    <w:uiPriority w:val="0"/>
    <w:pPr>
      <w:tabs>
        <w:tab w:val="left" w:pos="0"/>
      </w:tabs>
      <w:autoSpaceDE w:val="0"/>
      <w:autoSpaceDN w:val="0"/>
      <w:adjustRightInd w:val="0"/>
      <w:spacing w:before="60"/>
      <w:ind w:left="57" w:right="57"/>
      <w:jc w:val="center"/>
      <w:textAlignment w:val="baseline"/>
    </w:pPr>
    <w:rPr>
      <w:rFonts w:ascii="Times New Roman" w:hAnsi="Times New Roman" w:eastAsia="宋体" w:cs="Times New Roman"/>
      <w:szCs w:val="24"/>
    </w:rPr>
  </w:style>
  <w:style w:type="character" w:customStyle="1" w:styleId="89">
    <w:name w:val="font11"/>
    <w:basedOn w:val="25"/>
    <w:qFormat/>
    <w:uiPriority w:val="0"/>
    <w:rPr>
      <w:rFonts w:hint="default" w:ascii="Times New Roman" w:hAnsi="Times New Roman" w:cs="Times New Roman"/>
      <w:color w:val="000000"/>
      <w:sz w:val="21"/>
      <w:szCs w:val="21"/>
      <w:u w:val="none"/>
    </w:rPr>
  </w:style>
  <w:style w:type="paragraph" w:customStyle="1" w:styleId="90">
    <w:name w:val="cs-正文"/>
    <w:basedOn w:val="11"/>
    <w:qFormat/>
    <w:uiPriority w:val="0"/>
    <w:pPr>
      <w:adjustRightInd w:val="0"/>
      <w:snapToGrid w:val="0"/>
      <w:spacing w:after="0"/>
      <w:ind w:firstLine="200"/>
    </w:pPr>
    <w:rPr>
      <w:spacing w:val="-5"/>
      <w:kern w:val="0"/>
      <w:szCs w:val="20"/>
    </w:rPr>
  </w:style>
  <w:style w:type="paragraph" w:customStyle="1" w:styleId="91">
    <w:name w:val="图表标题"/>
    <w:basedOn w:val="18"/>
    <w:next w:val="46"/>
    <w:qFormat/>
    <w:uiPriority w:val="0"/>
    <w:pPr>
      <w:adjustRightInd w:val="0"/>
      <w:snapToGrid w:val="0"/>
      <w:spacing w:line="240" w:lineRule="auto"/>
      <w:ind w:firstLine="0" w:firstLineChars="0"/>
      <w:jc w:val="center"/>
      <w:outlineLvl w:val="4"/>
    </w:pPr>
    <w:rPr>
      <w:b/>
      <w:kern w:val="0"/>
      <w:sz w:val="21"/>
    </w:rPr>
  </w:style>
  <w:style w:type="paragraph" w:customStyle="1" w:styleId="92">
    <w:name w:val="空格7"/>
    <w:basedOn w:val="1"/>
    <w:qFormat/>
    <w:uiPriority w:val="0"/>
    <w:pPr>
      <w:spacing w:line="0" w:lineRule="atLeast"/>
      <w:ind w:firstLine="0" w:firstLineChars="0"/>
      <w:jc w:val="left"/>
    </w:pPr>
    <w:rPr>
      <w:sz w:val="21"/>
      <w:szCs w:val="20"/>
    </w:rPr>
  </w:style>
  <w:style w:type="paragraph" w:customStyle="1" w:styleId="93">
    <w:name w:val="Char11"/>
    <w:basedOn w:val="1"/>
    <w:qFormat/>
    <w:uiPriority w:val="0"/>
    <w:pPr>
      <w:spacing w:line="360" w:lineRule="auto"/>
      <w:ind w:firstLine="200" w:firstLineChars="200"/>
    </w:pPr>
    <w:rPr>
      <w:rFonts w:ascii="宋体" w:hAnsi="宋体"/>
      <w:kern w:val="0"/>
      <w:sz w:val="24"/>
      <w:szCs w:val="20"/>
    </w:rPr>
  </w:style>
  <w:style w:type="paragraph" w:customStyle="1" w:styleId="94">
    <w:name w:val="表文"/>
    <w:basedOn w:val="1"/>
    <w:qFormat/>
    <w:uiPriority w:val="0"/>
    <w:pPr>
      <w:overflowPunct w:val="0"/>
      <w:autoSpaceDE w:val="0"/>
      <w:autoSpaceDN w:val="0"/>
      <w:adjustRightInd w:val="0"/>
      <w:jc w:val="center"/>
      <w:textAlignment w:val="baseline"/>
    </w:pPr>
    <w:rPr>
      <w:kern w:val="0"/>
      <w:szCs w:val="21"/>
      <w:lang w:val="zh-CN"/>
    </w:rPr>
  </w:style>
  <w:style w:type="paragraph" w:customStyle="1" w:styleId="95">
    <w:name w:val="环评正文"/>
    <w:basedOn w:val="1"/>
    <w:qFormat/>
    <w:uiPriority w:val="0"/>
    <w:pPr>
      <w:spacing w:before="93" w:beforeLines="30"/>
      <w:ind w:firstLine="480" w:firstLineChars="200"/>
    </w:pPr>
    <w:rPr>
      <w:kern w:val="0"/>
      <w:sz w:val="24"/>
      <w:szCs w:val="20"/>
    </w:rPr>
  </w:style>
  <w:style w:type="paragraph" w:customStyle="1" w:styleId="96">
    <w:name w:val="报告表正文"/>
    <w:basedOn w:val="1"/>
    <w:qFormat/>
    <w:uiPriority w:val="0"/>
    <w:pPr>
      <w:adjustRightInd w:val="0"/>
      <w:spacing w:line="312" w:lineRule="auto"/>
      <w:ind w:left="113" w:right="113" w:firstLine="482"/>
      <w:jc w:val="left"/>
    </w:pPr>
    <w:rPr>
      <w:kern w:val="0"/>
      <w:sz w:val="24"/>
      <w:szCs w:val="20"/>
    </w:rPr>
  </w:style>
</w:styles>
</file>

<file path=word/_rels/document.xml.rels><?xml version="1.0" encoding="UTF-8" standalone="yes"?>
<Relationships xmlns="http://schemas.openxmlformats.org/package/2006/relationships"><Relationship Id="rId92" Type="http://schemas.openxmlformats.org/officeDocument/2006/relationships/fontTable" Target="fontTable.xml"/><Relationship Id="rId91" Type="http://schemas.openxmlformats.org/officeDocument/2006/relationships/numbering" Target="numbering.xml"/><Relationship Id="rId90" Type="http://schemas.openxmlformats.org/officeDocument/2006/relationships/customXml" Target="../customXml/item1.xml"/><Relationship Id="rId9" Type="http://schemas.openxmlformats.org/officeDocument/2006/relationships/header" Target="header1.xml"/><Relationship Id="rId89" Type="http://schemas.openxmlformats.org/officeDocument/2006/relationships/image" Target="media/image75.png"/><Relationship Id="rId88" Type="http://schemas.openxmlformats.org/officeDocument/2006/relationships/image" Target="media/image74.png"/><Relationship Id="rId87" Type="http://schemas.openxmlformats.org/officeDocument/2006/relationships/image" Target="media/image73.png"/><Relationship Id="rId86" Type="http://schemas.openxmlformats.org/officeDocument/2006/relationships/image" Target="media/image72.png"/><Relationship Id="rId85" Type="http://schemas.openxmlformats.org/officeDocument/2006/relationships/image" Target="media/image71.png"/><Relationship Id="rId84" Type="http://schemas.openxmlformats.org/officeDocument/2006/relationships/image" Target="media/image70.png"/><Relationship Id="rId83" Type="http://schemas.openxmlformats.org/officeDocument/2006/relationships/image" Target="media/image69.png"/><Relationship Id="rId82" Type="http://schemas.openxmlformats.org/officeDocument/2006/relationships/image" Target="media/image68.png"/><Relationship Id="rId81" Type="http://schemas.openxmlformats.org/officeDocument/2006/relationships/image" Target="media/image67.png"/><Relationship Id="rId80" Type="http://schemas.openxmlformats.org/officeDocument/2006/relationships/image" Target="media/image66.png"/><Relationship Id="rId8" Type="http://schemas.openxmlformats.org/officeDocument/2006/relationships/footer" Target="footer6.xml"/><Relationship Id="rId79" Type="http://schemas.openxmlformats.org/officeDocument/2006/relationships/image" Target="media/image65.png"/><Relationship Id="rId78" Type="http://schemas.openxmlformats.org/officeDocument/2006/relationships/image" Target="media/image64.png"/><Relationship Id="rId77" Type="http://schemas.openxmlformats.org/officeDocument/2006/relationships/image" Target="media/image63.png"/><Relationship Id="rId76" Type="http://schemas.openxmlformats.org/officeDocument/2006/relationships/image" Target="media/image62.png"/><Relationship Id="rId75" Type="http://schemas.openxmlformats.org/officeDocument/2006/relationships/image" Target="media/image61.png"/><Relationship Id="rId74" Type="http://schemas.openxmlformats.org/officeDocument/2006/relationships/image" Target="media/image60.jpeg"/><Relationship Id="rId73" Type="http://schemas.openxmlformats.org/officeDocument/2006/relationships/image" Target="media/image59.jpeg"/><Relationship Id="rId72" Type="http://schemas.openxmlformats.org/officeDocument/2006/relationships/image" Target="media/image58.png"/><Relationship Id="rId71" Type="http://schemas.openxmlformats.org/officeDocument/2006/relationships/image" Target="media/image57.png"/><Relationship Id="rId70" Type="http://schemas.openxmlformats.org/officeDocument/2006/relationships/image" Target="media/image56.png"/><Relationship Id="rId7" Type="http://schemas.openxmlformats.org/officeDocument/2006/relationships/footer" Target="footer5.xml"/><Relationship Id="rId69" Type="http://schemas.openxmlformats.org/officeDocument/2006/relationships/image" Target="media/image55.png"/><Relationship Id="rId68" Type="http://schemas.openxmlformats.org/officeDocument/2006/relationships/image" Target="media/image54.png"/><Relationship Id="rId67" Type="http://schemas.openxmlformats.org/officeDocument/2006/relationships/image" Target="media/image53.png"/><Relationship Id="rId66" Type="http://schemas.openxmlformats.org/officeDocument/2006/relationships/image" Target="media/image52.png"/><Relationship Id="rId65" Type="http://schemas.openxmlformats.org/officeDocument/2006/relationships/image" Target="media/image51.png"/><Relationship Id="rId64" Type="http://schemas.openxmlformats.org/officeDocument/2006/relationships/image" Target="media/image50.png"/><Relationship Id="rId63" Type="http://schemas.openxmlformats.org/officeDocument/2006/relationships/image" Target="media/image49.png"/><Relationship Id="rId62" Type="http://schemas.openxmlformats.org/officeDocument/2006/relationships/image" Target="media/image48.png"/><Relationship Id="rId61" Type="http://schemas.openxmlformats.org/officeDocument/2006/relationships/image" Target="media/image47.png"/><Relationship Id="rId60" Type="http://schemas.openxmlformats.org/officeDocument/2006/relationships/image" Target="media/image46.png"/><Relationship Id="rId6" Type="http://schemas.openxmlformats.org/officeDocument/2006/relationships/footer" Target="footer4.xml"/><Relationship Id="rId59" Type="http://schemas.openxmlformats.org/officeDocument/2006/relationships/image" Target="media/image45.png"/><Relationship Id="rId58" Type="http://schemas.openxmlformats.org/officeDocument/2006/relationships/image" Target="media/image44.png"/><Relationship Id="rId57" Type="http://schemas.openxmlformats.org/officeDocument/2006/relationships/image" Target="media/image43.png"/><Relationship Id="rId56" Type="http://schemas.openxmlformats.org/officeDocument/2006/relationships/image" Target="media/image42.png"/><Relationship Id="rId55" Type="http://schemas.openxmlformats.org/officeDocument/2006/relationships/image" Target="media/image41.png"/><Relationship Id="rId54" Type="http://schemas.openxmlformats.org/officeDocument/2006/relationships/image" Target="media/image40.png"/><Relationship Id="rId53" Type="http://schemas.openxmlformats.org/officeDocument/2006/relationships/image" Target="media/image39.png"/><Relationship Id="rId52" Type="http://schemas.openxmlformats.org/officeDocument/2006/relationships/image" Target="media/image38.png"/><Relationship Id="rId51" Type="http://schemas.openxmlformats.org/officeDocument/2006/relationships/image" Target="media/image37.png"/><Relationship Id="rId50" Type="http://schemas.openxmlformats.org/officeDocument/2006/relationships/image" Target="media/image36.png"/><Relationship Id="rId5" Type="http://schemas.openxmlformats.org/officeDocument/2006/relationships/footer" Target="footer3.xml"/><Relationship Id="rId49" Type="http://schemas.openxmlformats.org/officeDocument/2006/relationships/image" Target="media/image35.png"/><Relationship Id="rId48" Type="http://schemas.openxmlformats.org/officeDocument/2006/relationships/image" Target="media/image34.png"/><Relationship Id="rId47" Type="http://schemas.openxmlformats.org/officeDocument/2006/relationships/image" Target="media/image33.png"/><Relationship Id="rId46" Type="http://schemas.openxmlformats.org/officeDocument/2006/relationships/image" Target="media/image32.png"/><Relationship Id="rId45" Type="http://schemas.openxmlformats.org/officeDocument/2006/relationships/image" Target="media/image31.png"/><Relationship Id="rId44" Type="http://schemas.openxmlformats.org/officeDocument/2006/relationships/image" Target="media/image30.png"/><Relationship Id="rId43" Type="http://schemas.openxmlformats.org/officeDocument/2006/relationships/image" Target="media/image29.jpeg"/><Relationship Id="rId42" Type="http://schemas.openxmlformats.org/officeDocument/2006/relationships/image" Target="media/image28.jpeg"/><Relationship Id="rId41" Type="http://schemas.openxmlformats.org/officeDocument/2006/relationships/image" Target="media/image27.png"/><Relationship Id="rId40" Type="http://schemas.openxmlformats.org/officeDocument/2006/relationships/image" Target="media/image26.png"/><Relationship Id="rId4" Type="http://schemas.openxmlformats.org/officeDocument/2006/relationships/footer" Target="footer2.xml"/><Relationship Id="rId39" Type="http://schemas.openxmlformats.org/officeDocument/2006/relationships/image" Target="media/image25.png"/><Relationship Id="rId38" Type="http://schemas.openxmlformats.org/officeDocument/2006/relationships/image" Target="media/image24.png"/><Relationship Id="rId37" Type="http://schemas.openxmlformats.org/officeDocument/2006/relationships/image" Target="media/image23.png"/><Relationship Id="rId36" Type="http://schemas.openxmlformats.org/officeDocument/2006/relationships/image" Target="media/image22.png"/><Relationship Id="rId35" Type="http://schemas.openxmlformats.org/officeDocument/2006/relationships/image" Target="media/image21.png"/><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footer" Target="foot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jpe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163</Pages>
  <Words>64735</Words>
  <Characters>70932</Characters>
  <Lines>271</Lines>
  <Paragraphs>76</Paragraphs>
  <TotalTime>6</TotalTime>
  <ScaleCrop>false</ScaleCrop>
  <LinksUpToDate>false</LinksUpToDate>
  <CharactersWithSpaces>71785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2022-02-25T06:39:00Z</dcterms:created>
  <dc:creator>lhj</dc:creator>
  <cp:lastModifiedBy>Administrator</cp:lastModifiedBy>
  <cp:lastPrinted>2022-03-07T13:07:00Z</cp:lastPrinted>
  <dcterms:modified xsi:type="dcterms:W3CDTF">2025-05-13T06:11:20Z</dcterms:modified>
  <dc:title>附件2</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4BFCD3CF5E5A4ACB884760D35CCB0250_13</vt:lpwstr>
  </property>
  <property fmtid="{D5CDD505-2E9C-101B-9397-08002B2CF9AE}" pid="4" name="KSOTemplateDocerSaveRecord">
    <vt:lpwstr>eyJoZGlkIjoiMDk5ZWJhM2NhNjkxMGU4NWM0YTZmOGRjMmMyYmE0NzEiLCJ1c2VySWQiOiIzODM4NjE4MjkifQ==</vt:lpwstr>
  </property>
</Properties>
</file>