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pacing w:val="-13"/>
          <w:sz w:val="22"/>
          <w:szCs w:val="2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default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3</w:t>
      </w:r>
    </w:p>
    <w:p>
      <w:pPr>
        <w:spacing w:line="251" w:lineRule="auto"/>
        <w:rPr>
          <w:rFonts w:ascii="Arial"/>
          <w:sz w:val="21"/>
        </w:rPr>
      </w:pPr>
    </w:p>
    <w:p>
      <w:pPr>
        <w:spacing w:line="251" w:lineRule="auto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7"/>
      </w:pPr>
    </w:p>
    <w:p/>
    <w:p>
      <w:pPr>
        <w:spacing w:before="223" w:line="218" w:lineRule="auto"/>
        <w:ind w:left="1384"/>
        <w:rPr>
          <w:rFonts w:hint="eastAsia" w:ascii="方正小标宋简体" w:hAnsi="方正小标宋简体" w:eastAsia="方正小标宋简体" w:cs="方正小标宋简体"/>
          <w:sz w:val="52"/>
          <w:szCs w:val="52"/>
        </w:rPr>
      </w:pPr>
      <w:r>
        <w:rPr>
          <w:rFonts w:hint="eastAsia" w:ascii="方正小标宋简体" w:hAnsi="方正小标宋简体" w:eastAsia="方正小标宋简体" w:cs="方正小标宋简体"/>
          <w:spacing w:val="-1"/>
          <w:sz w:val="52"/>
          <w:szCs w:val="52"/>
        </w:rPr>
        <w:t>2023年度</w:t>
      </w:r>
      <w:r>
        <w:rPr>
          <w:rFonts w:hint="eastAsia" w:ascii="方正小标宋简体" w:hAnsi="方正小标宋简体" w:eastAsia="方正小标宋简体" w:cs="方正小标宋简体"/>
          <w:b/>
          <w:bCs/>
          <w:spacing w:val="-1"/>
          <w:sz w:val="52"/>
          <w:szCs w:val="52"/>
          <w:lang w:eastAsia="zh-CN"/>
        </w:rPr>
        <w:t>华容县不动产登记中</w:t>
      </w:r>
      <w:r>
        <w:rPr>
          <w:rFonts w:hint="eastAsia" w:ascii="方正小标宋简体" w:hAnsi="方正小标宋简体" w:eastAsia="方正小标宋简体" w:cs="方正小标宋简体"/>
          <w:spacing w:val="-1"/>
          <w:sz w:val="52"/>
          <w:szCs w:val="52"/>
          <w:lang w:eastAsia="zh-CN"/>
        </w:rPr>
        <w:t>心</w:t>
      </w:r>
      <w:r>
        <w:rPr>
          <w:rFonts w:hint="eastAsia" w:ascii="方正小标宋简体" w:hAnsi="方正小标宋简体" w:eastAsia="方正小标宋简体" w:cs="方正小标宋简体"/>
          <w:spacing w:val="-1"/>
          <w:sz w:val="52"/>
          <w:szCs w:val="52"/>
        </w:rPr>
        <w:t>部门整体支出</w:t>
      </w:r>
      <w:r>
        <w:rPr>
          <w:rFonts w:hint="eastAsia" w:ascii="方正小标宋简体" w:hAnsi="方正小标宋简体" w:eastAsia="方正小标宋简体" w:cs="方正小标宋简体"/>
          <w:spacing w:val="-3"/>
          <w:sz w:val="52"/>
          <w:szCs w:val="52"/>
        </w:rPr>
        <w:t>绩效自评报告</w:t>
      </w: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pStyle w:val="7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spacing w:before="228" w:line="222" w:lineRule="auto"/>
        <w:ind w:firstLine="4560" w:firstLineChars="15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2"/>
        <w:spacing w:before="102" w:line="224" w:lineRule="auto"/>
        <w:ind w:left="3216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r>
        <w:br w:type="page"/>
      </w:r>
    </w:p>
    <w:p>
      <w:pPr>
        <w:pStyle w:val="7"/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 w:start="7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</w:p>
    <w:p>
      <w:pPr>
        <w:pStyle w:val="7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2023年</w:t>
      </w:r>
      <w:r>
        <w:rPr>
          <w:rFonts w:hint="eastAsia" w:ascii="方正小标宋简体" w:hAnsi="方正小标宋简体" w:eastAsia="方正小标宋简体" w:cs="方正小标宋简体"/>
          <w:b/>
          <w:bCs/>
          <w:spacing w:val="6"/>
          <w:sz w:val="44"/>
          <w:szCs w:val="44"/>
        </w:rPr>
        <w:t>度</w:t>
      </w:r>
      <w:r>
        <w:rPr>
          <w:rFonts w:hint="eastAsia" w:ascii="方正小标宋简体" w:hAnsi="方正小标宋简体" w:eastAsia="方正小标宋简体" w:cs="方正小标宋简体"/>
          <w:b/>
          <w:bCs/>
          <w:spacing w:val="6"/>
          <w:sz w:val="44"/>
          <w:szCs w:val="44"/>
          <w:lang w:eastAsia="zh-CN"/>
        </w:rPr>
        <w:t>华容县不动产登记中心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部门整体支出</w:t>
      </w: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绩效自评报告</w:t>
      </w:r>
    </w:p>
    <w:p>
      <w:pPr>
        <w:spacing w:line="283" w:lineRule="auto"/>
        <w:rPr>
          <w:rFonts w:ascii="Arial"/>
          <w:sz w:val="21"/>
        </w:rPr>
      </w:pPr>
    </w:p>
    <w:p>
      <w:pPr>
        <w:spacing w:line="284" w:lineRule="auto"/>
        <w:rPr>
          <w:rFonts w:ascii="Arial"/>
          <w:sz w:val="21"/>
        </w:rPr>
      </w:pPr>
    </w:p>
    <w:p>
      <w:pPr>
        <w:pStyle w:val="7"/>
      </w:pPr>
    </w:p>
    <w:p>
      <w:pPr>
        <w:numPr>
          <w:ilvl w:val="0"/>
          <w:numId w:val="1"/>
        </w:numPr>
        <w:spacing w:before="101" w:line="228" w:lineRule="auto"/>
        <w:ind w:left="648"/>
        <w:rPr>
          <w:rFonts w:hint="eastAsia" w:ascii="黑体" w:hAnsi="黑体" w:eastAsia="黑体" w:cs="黑体"/>
          <w:spacing w:val="5"/>
          <w:sz w:val="32"/>
          <w:szCs w:val="32"/>
        </w:rPr>
      </w:pPr>
      <w:r>
        <w:rPr>
          <w:rFonts w:hint="eastAsia" w:ascii="黑体" w:hAnsi="黑体" w:eastAsia="黑体" w:cs="黑体"/>
          <w:spacing w:val="5"/>
          <w:sz w:val="32"/>
          <w:szCs w:val="32"/>
        </w:rPr>
        <w:t>部门基本情况</w:t>
      </w:r>
    </w:p>
    <w:p>
      <w:pPr>
        <w:pStyle w:val="7"/>
        <w:numPr>
          <w:numId w:val="0"/>
        </w:numPr>
        <w:ind w:firstLine="960" w:firstLineChars="300"/>
        <w:rPr>
          <w:rFonts w:hint="eastAsia" w:ascii="宋体" w:hAnsi="宋体" w:cs="Calibri"/>
          <w:sz w:val="32"/>
          <w:szCs w:val="32"/>
        </w:rPr>
      </w:pPr>
      <w:r>
        <w:rPr>
          <w:rFonts w:hint="eastAsia" w:ascii="宋体" w:hAnsi="宋体"/>
          <w:sz w:val="32"/>
          <w:szCs w:val="32"/>
          <w:lang w:val="en-US" w:eastAsia="zh-CN"/>
        </w:rPr>
        <w:t>1、基本职能：</w:t>
      </w:r>
      <w:r>
        <w:rPr>
          <w:rFonts w:hint="eastAsia" w:ascii="宋体" w:hAnsi="宋体"/>
          <w:sz w:val="32"/>
          <w:szCs w:val="32"/>
        </w:rPr>
        <w:t>①宣传贯彻实施《物权法》、《不动产登记暂行条例》</w:t>
      </w:r>
      <w:r>
        <w:rPr>
          <w:rFonts w:hint="eastAsia" w:ascii="宋体" w:hAnsi="宋体"/>
          <w:sz w:val="32"/>
          <w:szCs w:val="32"/>
        </w:rPr>
        <w:t>以及国家、省、市关于不动产登记有关法律、法规和政策。</w:t>
      </w:r>
      <w:r>
        <w:rPr>
          <w:rFonts w:ascii="宋体" w:hAnsi="宋体" w:cs="Calibri"/>
          <w:sz w:val="32"/>
          <w:szCs w:val="32"/>
        </w:rPr>
        <w:t>②</w:t>
      </w:r>
      <w:r>
        <w:rPr>
          <w:rFonts w:hint="eastAsia" w:ascii="宋体" w:hAnsi="宋体" w:cs="Calibri"/>
          <w:sz w:val="32"/>
          <w:szCs w:val="32"/>
        </w:rPr>
        <w:t>承办县本级土地登记、房屋登记、林权登记、水域滩涂养殖权登记等不动产登记工作。</w:t>
      </w:r>
      <w:r>
        <w:rPr>
          <w:rFonts w:ascii="宋体" w:hAnsi="宋体" w:cs="Calibri"/>
          <w:sz w:val="32"/>
          <w:szCs w:val="32"/>
        </w:rPr>
        <w:t>③</w:t>
      </w:r>
      <w:r>
        <w:rPr>
          <w:rFonts w:hint="eastAsia" w:ascii="宋体" w:hAnsi="宋体" w:cs="Calibri"/>
          <w:sz w:val="32"/>
          <w:szCs w:val="32"/>
        </w:rPr>
        <w:t>承担县本级不动产登记、审核、发证、信息平台维护等事务性、技术性工作。</w:t>
      </w:r>
      <w:r>
        <w:rPr>
          <w:rFonts w:ascii="宋体" w:hAnsi="宋体" w:cs="Calibri"/>
          <w:sz w:val="32"/>
          <w:szCs w:val="32"/>
        </w:rPr>
        <w:fldChar w:fldCharType="begin"/>
      </w:r>
      <w:r>
        <w:rPr>
          <w:rFonts w:ascii="宋体" w:hAnsi="宋体" w:cs="Calibri"/>
          <w:sz w:val="32"/>
          <w:szCs w:val="32"/>
        </w:rPr>
        <w:instrText xml:space="preserve"> = 4 \* GB3 \* MERGEFORMAT </w:instrText>
      </w:r>
      <w:r>
        <w:rPr>
          <w:rFonts w:ascii="宋体" w:hAnsi="宋体" w:cs="Calibri"/>
          <w:sz w:val="32"/>
          <w:szCs w:val="32"/>
        </w:rPr>
        <w:fldChar w:fldCharType="separate"/>
      </w:r>
      <w:r>
        <w:rPr>
          <w:rFonts w:ascii="宋体" w:hAnsi="宋体"/>
          <w:sz w:val="32"/>
          <w:szCs w:val="32"/>
        </w:rPr>
        <w:t>④</w:t>
      </w:r>
      <w:r>
        <w:rPr>
          <w:rFonts w:ascii="宋体" w:hAnsi="宋体" w:cs="Calibri"/>
          <w:sz w:val="32"/>
          <w:szCs w:val="32"/>
        </w:rPr>
        <w:fldChar w:fldCharType="end"/>
      </w:r>
      <w:r>
        <w:rPr>
          <w:rFonts w:hint="eastAsia" w:ascii="宋体" w:hAnsi="宋体" w:cs="Calibri"/>
          <w:sz w:val="32"/>
          <w:szCs w:val="32"/>
        </w:rPr>
        <w:t xml:space="preserve"> 负责拟定县本级不动产登记业务规范和工作流程。</w:t>
      </w:r>
      <w:r>
        <w:rPr>
          <w:rFonts w:ascii="宋体" w:hAnsi="宋体" w:cs="Calibri"/>
          <w:sz w:val="32"/>
          <w:szCs w:val="32"/>
        </w:rPr>
        <w:fldChar w:fldCharType="begin"/>
      </w:r>
      <w:r>
        <w:rPr>
          <w:rFonts w:ascii="宋体" w:hAnsi="宋体" w:cs="Calibri"/>
          <w:sz w:val="32"/>
          <w:szCs w:val="32"/>
        </w:rPr>
        <w:instrText xml:space="preserve"> = 5 \* GB3 \* MERGEFORMAT </w:instrText>
      </w:r>
      <w:r>
        <w:rPr>
          <w:rFonts w:ascii="宋体" w:hAnsi="宋体" w:cs="Calibri"/>
          <w:sz w:val="32"/>
          <w:szCs w:val="32"/>
        </w:rPr>
        <w:fldChar w:fldCharType="separate"/>
      </w:r>
      <w:r>
        <w:rPr>
          <w:rFonts w:ascii="宋体" w:hAnsi="宋体"/>
          <w:sz w:val="32"/>
          <w:szCs w:val="32"/>
        </w:rPr>
        <w:t>⑤</w:t>
      </w:r>
      <w:r>
        <w:rPr>
          <w:rFonts w:ascii="宋体" w:hAnsi="宋体" w:cs="Calibri"/>
          <w:sz w:val="32"/>
          <w:szCs w:val="32"/>
        </w:rPr>
        <w:fldChar w:fldCharType="end"/>
      </w:r>
      <w:r>
        <w:rPr>
          <w:rFonts w:hint="eastAsia" w:ascii="宋体" w:hAnsi="宋体" w:cs="Calibri"/>
          <w:sz w:val="32"/>
          <w:szCs w:val="32"/>
        </w:rPr>
        <w:t>负责县本级不动产登记统计、分析，依法提供不动产登记查询服务。</w:t>
      </w:r>
      <w:r>
        <w:rPr>
          <w:rFonts w:ascii="宋体" w:hAnsi="宋体" w:cs="Calibri"/>
          <w:sz w:val="32"/>
          <w:szCs w:val="32"/>
        </w:rPr>
        <w:fldChar w:fldCharType="begin"/>
      </w:r>
      <w:r>
        <w:rPr>
          <w:rFonts w:ascii="宋体" w:hAnsi="宋体" w:cs="Calibri"/>
          <w:sz w:val="32"/>
          <w:szCs w:val="32"/>
        </w:rPr>
        <w:instrText xml:space="preserve"> = 6 \* GB3 \* MERGEFORMAT </w:instrText>
      </w:r>
      <w:r>
        <w:rPr>
          <w:rFonts w:ascii="宋体" w:hAnsi="宋体" w:cs="Calibri"/>
          <w:sz w:val="32"/>
          <w:szCs w:val="32"/>
        </w:rPr>
        <w:fldChar w:fldCharType="separate"/>
      </w:r>
      <w:r>
        <w:rPr>
          <w:rFonts w:ascii="宋体" w:hAnsi="宋体"/>
          <w:sz w:val="32"/>
          <w:szCs w:val="32"/>
        </w:rPr>
        <w:t>⑥</w:t>
      </w:r>
      <w:r>
        <w:rPr>
          <w:rFonts w:ascii="宋体" w:hAnsi="宋体" w:cs="Calibri"/>
          <w:sz w:val="32"/>
          <w:szCs w:val="32"/>
        </w:rPr>
        <w:fldChar w:fldCharType="end"/>
      </w:r>
      <w:r>
        <w:rPr>
          <w:rFonts w:hint="eastAsia" w:ascii="宋体" w:hAnsi="宋体" w:cs="Calibri"/>
          <w:sz w:val="32"/>
          <w:szCs w:val="32"/>
        </w:rPr>
        <w:t>负责县本级不动产登记数据资料的整理、保管和备份，以及不动产档案的收集、整理、归档工作。</w:t>
      </w:r>
      <w:r>
        <w:rPr>
          <w:rFonts w:ascii="宋体" w:hAnsi="宋体" w:cs="Calibri"/>
          <w:sz w:val="32"/>
          <w:szCs w:val="32"/>
        </w:rPr>
        <w:fldChar w:fldCharType="begin"/>
      </w:r>
      <w:r>
        <w:rPr>
          <w:rFonts w:ascii="宋体" w:hAnsi="宋体" w:cs="Calibri"/>
          <w:sz w:val="32"/>
          <w:szCs w:val="32"/>
        </w:rPr>
        <w:instrText xml:space="preserve"> = 7 \* GB3 \* MERGEFORMAT </w:instrText>
      </w:r>
      <w:r>
        <w:rPr>
          <w:rFonts w:ascii="宋体" w:hAnsi="宋体" w:cs="Calibri"/>
          <w:sz w:val="32"/>
          <w:szCs w:val="32"/>
        </w:rPr>
        <w:fldChar w:fldCharType="separate"/>
      </w:r>
      <w:r>
        <w:rPr>
          <w:rFonts w:ascii="宋体" w:hAnsi="宋体"/>
          <w:sz w:val="32"/>
          <w:szCs w:val="32"/>
        </w:rPr>
        <w:t>⑦</w:t>
      </w:r>
      <w:r>
        <w:rPr>
          <w:rFonts w:ascii="宋体" w:hAnsi="宋体" w:cs="Calibri"/>
          <w:sz w:val="32"/>
          <w:szCs w:val="32"/>
        </w:rPr>
        <w:fldChar w:fldCharType="end"/>
      </w:r>
      <w:r>
        <w:rPr>
          <w:rFonts w:hint="eastAsia" w:ascii="宋体" w:hAnsi="宋体" w:cs="Calibri"/>
          <w:sz w:val="32"/>
          <w:szCs w:val="32"/>
        </w:rPr>
        <w:t>完成县政府、县自然资源局交办的其他任务。</w:t>
      </w:r>
    </w:p>
    <w:p>
      <w:pPr>
        <w:ind w:firstLine="960" w:firstLineChars="300"/>
        <w:rPr>
          <w:rFonts w:hint="default" w:eastAsia="宋体"/>
          <w:lang w:val="en-US" w:eastAsia="zh-CN"/>
        </w:rPr>
      </w:pPr>
      <w:r>
        <w:rPr>
          <w:rFonts w:hint="eastAsia" w:ascii="宋体" w:hAnsi="宋体"/>
          <w:sz w:val="32"/>
          <w:szCs w:val="32"/>
          <w:lang w:val="en-US" w:eastAsia="zh-CN"/>
        </w:rPr>
        <w:t>2、</w:t>
      </w:r>
      <w:r>
        <w:rPr>
          <w:rFonts w:hint="eastAsia" w:ascii="宋体" w:hAnsi="宋体"/>
          <w:sz w:val="32"/>
          <w:szCs w:val="32"/>
          <w:lang w:eastAsia="zh-CN"/>
        </w:rPr>
        <w:t>机构情况</w:t>
      </w:r>
      <w:r>
        <w:rPr>
          <w:rFonts w:hint="eastAsia" w:ascii="宋体" w:hAnsi="宋体" w:eastAsia="宋体" w:cs="Times New Roman"/>
          <w:kern w:val="2"/>
          <w:sz w:val="32"/>
          <w:szCs w:val="32"/>
          <w:lang w:val="en-US" w:eastAsia="zh-CN" w:bidi="ar-SA"/>
        </w:rPr>
        <w:t>： 内设综合管理股、登记一股、登记二股、权籍调查股、信息管理股5个股室。设有14个窗口，其中权籍调查窗口3个，受理窗口4个，查询窗口1个，缴费窗口1个，缮证窗口2个，咨询窗口1个，一件事一次办窗口2个，设有扫描工作台2个，归档工作台2个，后台办公室7间。</w:t>
      </w:r>
    </w:p>
    <w:p>
      <w:pPr>
        <w:spacing w:before="216" w:line="226" w:lineRule="auto"/>
        <w:ind w:left="648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-2"/>
          <w:sz w:val="32"/>
          <w:szCs w:val="32"/>
        </w:rPr>
        <w:t>二、一般公共预算支出情况</w:t>
      </w:r>
    </w:p>
    <w:p>
      <w:pPr>
        <w:pStyle w:val="8"/>
        <w:widowControl/>
        <w:wordWrap w:val="0"/>
        <w:spacing w:line="560" w:lineRule="exact"/>
        <w:ind w:firstLine="643" w:firstLineChars="200"/>
        <w:rPr>
          <w:rFonts w:hint="eastAsia" w:ascii="仿宋" w:hAnsi="仿宋" w:eastAsia="仿宋" w:cs="仿宋_GB2312"/>
          <w:sz w:val="30"/>
          <w:szCs w:val="30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（一）基本支出情况</w:t>
      </w:r>
      <w:r>
        <w:rPr>
          <w:rFonts w:hint="eastAsia" w:ascii="楷体_GB2312" w:hAnsi="楷体_GB2312" w:eastAsia="楷体_GB2312" w:cs="楷体_GB2312"/>
          <w:b/>
          <w:bCs/>
          <w:sz w:val="32"/>
          <w:szCs w:val="32"/>
          <w:lang w:eastAsia="zh-CN"/>
        </w:rPr>
        <w:t>：</w:t>
      </w:r>
      <w:r>
        <w:rPr>
          <w:rFonts w:hint="eastAsia" w:ascii="仿宋" w:hAnsi="仿宋" w:eastAsia="仿宋" w:cs="仿宋_GB2312"/>
          <w:sz w:val="30"/>
          <w:szCs w:val="30"/>
        </w:rPr>
        <w:t>202</w:t>
      </w:r>
      <w:r>
        <w:rPr>
          <w:rFonts w:hint="eastAsia" w:ascii="仿宋" w:hAnsi="仿宋" w:eastAsia="仿宋" w:cs="仿宋_GB2312"/>
          <w:sz w:val="30"/>
          <w:szCs w:val="30"/>
          <w:lang w:val="en-US" w:eastAsia="zh-CN"/>
        </w:rPr>
        <w:t>3</w:t>
      </w:r>
      <w:r>
        <w:rPr>
          <w:rFonts w:hint="eastAsia" w:ascii="仿宋" w:hAnsi="仿宋" w:eastAsia="仿宋" w:cs="仿宋_GB2312"/>
          <w:sz w:val="30"/>
          <w:szCs w:val="30"/>
        </w:rPr>
        <w:t>年度财政预算</w:t>
      </w:r>
      <w:r>
        <w:rPr>
          <w:rFonts w:hint="eastAsia" w:ascii="仿宋" w:hAnsi="仿宋" w:eastAsia="仿宋" w:cs="仿宋_GB2312"/>
          <w:sz w:val="30"/>
          <w:szCs w:val="30"/>
          <w:lang w:eastAsia="zh-CN"/>
        </w:rPr>
        <w:t>基本支出</w:t>
      </w:r>
      <w:r>
        <w:rPr>
          <w:rFonts w:hint="eastAsia" w:ascii="仿宋" w:hAnsi="仿宋" w:eastAsia="仿宋" w:cs="仿宋_GB2312"/>
          <w:sz w:val="30"/>
          <w:szCs w:val="30"/>
          <w:lang w:val="en-US" w:eastAsia="zh-CN"/>
        </w:rPr>
        <w:t>624.45</w:t>
      </w:r>
      <w:r>
        <w:rPr>
          <w:rFonts w:hint="eastAsia" w:ascii="仿宋" w:hAnsi="仿宋" w:eastAsia="仿宋" w:cs="仿宋_GB2312"/>
          <w:sz w:val="30"/>
          <w:szCs w:val="30"/>
        </w:rPr>
        <w:t>万元，其中：人员支出</w:t>
      </w:r>
      <w:r>
        <w:rPr>
          <w:rFonts w:hint="eastAsia" w:ascii="仿宋" w:hAnsi="仿宋" w:eastAsia="仿宋" w:cs="仿宋_GB2312"/>
          <w:sz w:val="30"/>
          <w:szCs w:val="30"/>
          <w:lang w:val="en-US" w:eastAsia="zh-CN"/>
        </w:rPr>
        <w:t>508.16</w:t>
      </w:r>
      <w:r>
        <w:rPr>
          <w:rFonts w:hint="eastAsia" w:ascii="仿宋" w:hAnsi="仿宋" w:eastAsia="仿宋" w:cs="仿宋_GB2312"/>
          <w:sz w:val="30"/>
          <w:szCs w:val="30"/>
        </w:rPr>
        <w:t>万元，公用支出</w:t>
      </w:r>
      <w:r>
        <w:rPr>
          <w:rFonts w:hint="eastAsia" w:ascii="仿宋" w:hAnsi="仿宋" w:eastAsia="仿宋" w:cs="仿宋_GB2312"/>
          <w:sz w:val="30"/>
          <w:szCs w:val="30"/>
          <w:lang w:val="en-US" w:eastAsia="zh-CN"/>
        </w:rPr>
        <w:t>116.29</w:t>
      </w:r>
      <w:r>
        <w:rPr>
          <w:rFonts w:hint="eastAsia" w:ascii="仿宋" w:hAnsi="仿宋" w:eastAsia="仿宋" w:cs="仿宋_GB2312"/>
          <w:sz w:val="30"/>
          <w:szCs w:val="30"/>
        </w:rPr>
        <w:t>万元。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  <w:lang w:eastAsia="zh-CN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（二）项目支出情况</w:t>
      </w:r>
      <w:r>
        <w:rPr>
          <w:rFonts w:hint="eastAsia" w:ascii="楷体_GB2312" w:hAnsi="楷体_GB2312" w:eastAsia="楷体_GB2312" w:cs="楷体_GB2312"/>
          <w:b/>
          <w:bCs/>
          <w:sz w:val="32"/>
          <w:szCs w:val="32"/>
          <w:lang w:eastAsia="zh-CN"/>
        </w:rPr>
        <w:t>：无。</w:t>
      </w:r>
    </w:p>
    <w:p>
      <w:pPr>
        <w:spacing w:before="224" w:line="227" w:lineRule="auto"/>
        <w:ind w:left="649"/>
        <w:rPr>
          <w:rFonts w:hint="eastAsia" w:ascii="黑体" w:hAnsi="黑体" w:eastAsia="黑体" w:cs="黑体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三、政府性基金预算支出情况</w:t>
      </w:r>
      <w:r>
        <w:rPr>
          <w:rFonts w:hint="eastAsia" w:ascii="黑体" w:hAnsi="黑体" w:eastAsia="黑体" w:cs="黑体"/>
          <w:spacing w:val="8"/>
          <w:sz w:val="32"/>
          <w:szCs w:val="32"/>
          <w:lang w:eastAsia="zh-CN"/>
        </w:rPr>
        <w:t>：无</w:t>
      </w:r>
    </w:p>
    <w:p>
      <w:pPr>
        <w:spacing w:before="219" w:line="600" w:lineRule="exact"/>
        <w:ind w:left="662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pacing w:val="7"/>
          <w:position w:val="21"/>
          <w:sz w:val="32"/>
          <w:szCs w:val="32"/>
        </w:rPr>
        <w:t>四、国有资本经营预算支出情况</w:t>
      </w:r>
      <w:r>
        <w:rPr>
          <w:rFonts w:hint="eastAsia" w:ascii="黑体" w:hAnsi="黑体" w:eastAsia="黑体" w:cs="黑体"/>
          <w:spacing w:val="7"/>
          <w:position w:val="21"/>
          <w:sz w:val="32"/>
          <w:szCs w:val="32"/>
          <w:lang w:val="en-US" w:eastAsia="zh-CN"/>
        </w:rPr>
        <w:t>:无</w:t>
      </w:r>
    </w:p>
    <w:p>
      <w:pPr>
        <w:spacing w:line="227" w:lineRule="auto"/>
        <w:ind w:left="651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五、社会保险基金预算支出情况</w:t>
      </w:r>
      <w:r>
        <w:rPr>
          <w:rFonts w:hint="eastAsia" w:ascii="黑体" w:hAnsi="黑体" w:eastAsia="黑体" w:cs="黑体"/>
          <w:spacing w:val="8"/>
          <w:sz w:val="32"/>
          <w:szCs w:val="32"/>
          <w:lang w:val="en-US" w:eastAsia="zh-CN"/>
        </w:rPr>
        <w:t>:无</w:t>
      </w:r>
    </w:p>
    <w:p>
      <w:pPr>
        <w:spacing w:before="219" w:line="226" w:lineRule="auto"/>
        <w:ind w:left="653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六、部门整体支出绩效情况</w:t>
      </w:r>
    </w:p>
    <w:p>
      <w:pPr>
        <w:ind w:firstLine="640" w:firstLineChars="200"/>
        <w:rPr>
          <w:rFonts w:ascii="宋体" w:hAnsi="宋体"/>
          <w:sz w:val="32"/>
          <w:szCs w:val="32"/>
        </w:rPr>
      </w:pP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为贯彻执行国家预算法，加强预算绩效管理，我单位严格按预算绩效管理的相关要求开展绩效评价工作，2023年总支出为</w:t>
      </w:r>
      <w:r>
        <w:rPr>
          <w:rFonts w:hint="eastAsia" w:eastAsia="仿宋_GB2312" w:cs="Times New Roman"/>
          <w:color w:val="000000"/>
          <w:sz w:val="32"/>
          <w:szCs w:val="32"/>
          <w:lang w:val="en-US" w:eastAsia="zh-CN"/>
        </w:rPr>
        <w:t>624.45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万元。其中：基本支出</w:t>
      </w:r>
      <w:r>
        <w:rPr>
          <w:rFonts w:hint="eastAsia" w:eastAsia="仿宋_GB2312" w:cs="Times New Roman"/>
          <w:color w:val="000000"/>
          <w:sz w:val="32"/>
          <w:szCs w:val="32"/>
          <w:lang w:val="en-US" w:eastAsia="zh-CN"/>
        </w:rPr>
        <w:t>624.45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万元,占总支出的</w:t>
      </w:r>
      <w:r>
        <w:rPr>
          <w:rFonts w:hint="eastAsia" w:eastAsia="仿宋_GB2312" w:cs="Times New Roman"/>
          <w:color w:val="000000"/>
          <w:sz w:val="32"/>
          <w:szCs w:val="32"/>
          <w:lang w:val="en-US" w:eastAsia="zh-CN"/>
        </w:rPr>
        <w:t>100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%。我单位切实以绩效管理为目标，健全单位绩效管理工作机制，明确责任，努力提高绩效管理工作水平；加强单位制度建设，提升预算管理质量。</w:t>
      </w:r>
      <w:r>
        <w:rPr>
          <w:rFonts w:hint="eastAsia" w:ascii="宋体" w:hAnsi="宋体" w:eastAsia="仿宋_GB2312"/>
          <w:sz w:val="32"/>
          <w:szCs w:val="32"/>
          <w:lang w:val="en-US" w:eastAsia="zh-CN"/>
        </w:rPr>
        <w:t>2023年</w:t>
      </w:r>
      <w:r>
        <w:rPr>
          <w:rFonts w:hint="eastAsia" w:ascii="宋体" w:hAnsi="宋体"/>
          <w:sz w:val="32"/>
          <w:szCs w:val="32"/>
        </w:rPr>
        <w:t>登记业务开展正常</w:t>
      </w:r>
      <w:r>
        <w:rPr>
          <w:rFonts w:hint="eastAsia" w:ascii="宋体" w:hAnsi="宋体"/>
          <w:sz w:val="32"/>
          <w:szCs w:val="32"/>
          <w:lang w:eastAsia="zh-CN"/>
        </w:rPr>
        <w:t>，</w:t>
      </w:r>
      <w:r>
        <w:rPr>
          <w:rFonts w:hint="eastAsia" w:ascii="宋体" w:hAnsi="宋体"/>
          <w:sz w:val="32"/>
          <w:szCs w:val="32"/>
        </w:rPr>
        <w:t>便民利民措施落实到时位</w:t>
      </w:r>
      <w:r>
        <w:rPr>
          <w:rFonts w:hint="eastAsia" w:ascii="宋体" w:hAnsi="宋体"/>
          <w:sz w:val="32"/>
          <w:szCs w:val="32"/>
          <w:lang w:eastAsia="zh-CN"/>
        </w:rPr>
        <w:t>，</w:t>
      </w:r>
      <w:r>
        <w:rPr>
          <w:rFonts w:hint="eastAsia" w:ascii="宋体" w:hAnsi="宋体"/>
          <w:sz w:val="32"/>
          <w:szCs w:val="32"/>
        </w:rPr>
        <w:t>农村宅基地房地一体登记进展顺利</w:t>
      </w:r>
      <w:r>
        <w:rPr>
          <w:rFonts w:hint="eastAsia" w:ascii="宋体" w:hAnsi="宋体"/>
          <w:sz w:val="32"/>
          <w:szCs w:val="32"/>
          <w:lang w:eastAsia="zh-CN"/>
        </w:rPr>
        <w:t>，</w:t>
      </w:r>
      <w:r>
        <w:rPr>
          <w:rFonts w:hint="eastAsia" w:ascii="宋体" w:hAnsi="宋体"/>
          <w:sz w:val="32"/>
          <w:szCs w:val="32"/>
        </w:rPr>
        <w:t>5、业务学习培训效果显著。</w:t>
      </w:r>
    </w:p>
    <w:p>
      <w:pPr>
        <w:pStyle w:val="2"/>
        <w:rPr>
          <w:rFonts w:hint="eastAsia"/>
        </w:rPr>
      </w:pPr>
    </w:p>
    <w:p>
      <w:pPr>
        <w:numPr>
          <w:ilvl w:val="0"/>
          <w:numId w:val="2"/>
        </w:numPr>
        <w:spacing w:before="220" w:line="600" w:lineRule="exact"/>
        <w:ind w:left="641"/>
        <w:rPr>
          <w:rFonts w:hint="eastAsia" w:ascii="黑体" w:hAnsi="黑体" w:eastAsia="黑体" w:cs="黑体"/>
          <w:spacing w:val="9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存在的问题及原因分析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560" w:firstLineChars="200"/>
        <w:textAlignment w:val="auto"/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一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）</w:t>
      </w:r>
      <w:r>
        <w:rPr>
          <w:rFonts w:hint="eastAsia" w:ascii="黑体" w:hAnsi="黑体" w:eastAsia="黑体" w:cs="黑体"/>
          <w:sz w:val="30"/>
          <w:szCs w:val="30"/>
        </w:rPr>
        <w:t>主要经验及做法</w:t>
      </w:r>
      <w:r>
        <w:rPr>
          <w:rFonts w:hint="eastAsia" w:ascii="黑体" w:hAnsi="黑体" w:eastAsia="黑体" w:cs="黑体"/>
          <w:sz w:val="30"/>
          <w:szCs w:val="30"/>
          <w:lang w:eastAsia="zh-CN"/>
        </w:rPr>
        <w:t>。</w:t>
      </w: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内控牵头部门负责制定、完善相关制度,健全绩效评估机制，严格执行学习制度，不断提高全体职工财政政策知晓度和覆盖率，不断提高业务技能水平，进一步提高资金使用绩效。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560" w:firstLineChars="200"/>
        <w:textAlignment w:val="auto"/>
        <w:rPr>
          <w:rFonts w:hint="eastAsia" w:ascii="仿宋" w:hAnsi="仿宋" w:eastAsia="仿宋" w:cs="仿宋"/>
          <w:sz w:val="28"/>
          <w:szCs w:val="28"/>
          <w:lang w:eastAsia="zh-CN"/>
        </w:rPr>
      </w:pPr>
      <w:r>
        <w:rPr>
          <w:rFonts w:hint="eastAsia" w:ascii="仿宋" w:hAnsi="仿宋" w:eastAsia="仿宋" w:cs="仿宋"/>
          <w:sz w:val="28"/>
          <w:szCs w:val="28"/>
          <w:lang w:eastAsia="zh-CN"/>
        </w:rPr>
        <w:t>（二）</w:t>
      </w:r>
      <w:r>
        <w:rPr>
          <w:rFonts w:hint="eastAsia" w:ascii="黑体" w:hAnsi="黑体" w:eastAsia="黑体" w:cs="黑体"/>
          <w:sz w:val="30"/>
          <w:szCs w:val="30"/>
        </w:rPr>
        <w:t>存在的问题及原因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1、资金预算刚性不够，预算编制与实际支出项目有的存在差异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color w:val="000000"/>
          <w:sz w:val="32"/>
          <w:szCs w:val="32"/>
          <w:lang w:val="en-US" w:eastAsia="zh-CN"/>
        </w:rPr>
        <w:t>2、资金预算量与事业发展需求增加存在矛盾</w:t>
      </w:r>
    </w:p>
    <w:p>
      <w:pPr>
        <w:pStyle w:val="4"/>
        <w:numPr>
          <w:numId w:val="0"/>
        </w:numPr>
        <w:rPr>
          <w:rFonts w:hint="eastAsia"/>
        </w:rPr>
      </w:pPr>
    </w:p>
    <w:p>
      <w:pPr>
        <w:pStyle w:val="4"/>
        <w:numPr>
          <w:numId w:val="0"/>
        </w:numPr>
        <w:rPr>
          <w:rFonts w:hint="eastAsia"/>
        </w:rPr>
      </w:pPr>
    </w:p>
    <w:p>
      <w:pPr>
        <w:numPr>
          <w:ilvl w:val="0"/>
          <w:numId w:val="2"/>
        </w:numPr>
        <w:spacing w:line="227" w:lineRule="auto"/>
        <w:ind w:left="641" w:leftChars="0" w:firstLine="0" w:firstLineChars="0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下一步改进措施</w:t>
      </w:r>
    </w:p>
    <w:p>
      <w:pPr>
        <w:pStyle w:val="2"/>
        <w:ind w:firstLine="640" w:firstLineChars="200"/>
        <w:rPr>
          <w:rFonts w:hint="eastAsia" w:ascii="Times New Roman" w:hAnsi="Times New Roman" w:eastAsia="仿宋_GB2312" w:cs="Times New Roman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color w:val="000000"/>
          <w:kern w:val="2"/>
          <w:sz w:val="32"/>
          <w:szCs w:val="32"/>
          <w:lang w:val="en-US" w:eastAsia="zh-CN" w:bidi="ar-SA"/>
        </w:rPr>
        <w:t>1、严格按预算安排支出，压缩非必要的机构运行经费、</w:t>
      </w:r>
    </w:p>
    <w:p>
      <w:pPr>
        <w:pStyle w:val="2"/>
        <w:numPr>
          <w:numId w:val="0"/>
        </w:numPr>
        <w:ind w:left="641" w:leftChars="0"/>
        <w:rPr>
          <w:rFonts w:hint="eastAsia"/>
        </w:rPr>
      </w:pPr>
      <w:r>
        <w:rPr>
          <w:rFonts w:hint="eastAsia" w:ascii="Times New Roman" w:hAnsi="Times New Roman" w:eastAsia="仿宋_GB2312" w:cs="Times New Roman"/>
          <w:color w:val="000000"/>
          <w:kern w:val="2"/>
          <w:sz w:val="32"/>
          <w:szCs w:val="32"/>
          <w:lang w:val="en-US" w:eastAsia="zh-CN" w:bidi="ar-SA"/>
        </w:rPr>
        <w:t>2、有效运用绩效评价结果，逐步增加预算资金，缓解资金不足与民政事业发展需求的矛盾。</w:t>
      </w:r>
    </w:p>
    <w:p>
      <w:pPr>
        <w:spacing w:before="219" w:line="600" w:lineRule="exact"/>
        <w:ind w:left="650"/>
        <w:rPr>
          <w:rFonts w:hint="eastAsia" w:ascii="黑体" w:hAnsi="黑体" w:eastAsia="黑体" w:cs="黑体"/>
          <w:spacing w:val="8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hint="eastAsia" w:ascii="黑体" w:hAnsi="黑体" w:eastAsia="黑体" w:cs="黑体"/>
          <w:spacing w:val="8"/>
          <w:position w:val="21"/>
          <w:sz w:val="32"/>
          <w:szCs w:val="32"/>
        </w:rPr>
        <w:t>情况</w:t>
      </w:r>
    </w:p>
    <w:p>
      <w:pPr>
        <w:pStyle w:val="2"/>
        <w:ind w:firstLine="640" w:firstLineChars="200"/>
        <w:rPr>
          <w:rFonts w:hint="eastAsia" w:ascii="Times New Roman" w:hAnsi="Times New Roman" w:eastAsia="仿宋_GB2312" w:cs="Times New Roman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eastAsia="仿宋_GB2312" w:cs="Times New Roman"/>
          <w:color w:val="000000"/>
          <w:kern w:val="2"/>
          <w:sz w:val="32"/>
          <w:szCs w:val="32"/>
          <w:lang w:val="en-US" w:eastAsia="zh-CN" w:bidi="ar-SA"/>
        </w:rPr>
        <w:t>以评价结果为导向，健全绩效评估与绩效评价结果挂钩机制，我单位将针对绩效评价发现的问题，采取有力措施进行整改，并将绩效评价结果作为年度绩效考核和下年资金安排的依据，持续提高财政资金使用效益。本报告将在政府门户网站上公开。</w:t>
      </w:r>
    </w:p>
    <w:p>
      <w:pPr>
        <w:spacing w:line="226" w:lineRule="auto"/>
        <w:ind w:left="647"/>
        <w:rPr>
          <w:rFonts w:hint="eastAsia" w:ascii="黑体" w:hAnsi="黑体" w:eastAsia="黑体" w:cs="黑体"/>
          <w:spacing w:val="-3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pacing w:val="-3"/>
          <w:sz w:val="32"/>
          <w:szCs w:val="32"/>
        </w:rPr>
        <w:t>十、其他需要说明的情况</w:t>
      </w:r>
      <w:r>
        <w:rPr>
          <w:rFonts w:hint="eastAsia" w:ascii="黑体" w:hAnsi="黑体" w:eastAsia="黑体" w:cs="黑体"/>
          <w:spacing w:val="-3"/>
          <w:sz w:val="32"/>
          <w:szCs w:val="32"/>
          <w:lang w:val="en-US" w:eastAsia="zh-CN"/>
        </w:rPr>
        <w:t>:无。</w:t>
      </w:r>
    </w:p>
    <w:p>
      <w:pPr>
        <w:rPr>
          <w:rFonts w:ascii="黑体" w:hAnsi="黑体" w:eastAsia="黑体" w:cs="黑体"/>
          <w:spacing w:val="-3"/>
          <w:sz w:val="31"/>
          <w:szCs w:val="31"/>
        </w:rPr>
      </w:pPr>
      <w:r>
        <w:rPr>
          <w:rFonts w:ascii="黑体" w:hAnsi="黑体" w:eastAsia="黑体" w:cs="黑体"/>
          <w:spacing w:val="-3"/>
          <w:sz w:val="31"/>
          <w:szCs w:val="31"/>
        </w:rPr>
        <w:br w:type="page"/>
      </w:r>
    </w:p>
    <w:p>
      <w:pPr>
        <w:jc w:val="both"/>
        <w:rPr>
          <w:rFonts w:hint="default" w:ascii="Times New Roman" w:hAnsi="Times New Roman" w:eastAsia="方正小标宋_GBK" w:cs="Times New Roman"/>
          <w:sz w:val="52"/>
          <w:szCs w:val="52"/>
        </w:rPr>
        <w:sectPr>
          <w:footerReference r:id="rId4" w:type="default"/>
          <w:pgSz w:w="11905" w:h="16838"/>
          <w:pgMar w:top="1984" w:right="1701" w:bottom="1984" w:left="1701" w:header="850" w:footer="992" w:gutter="0"/>
          <w:pgNumType w:fmt="numberInDash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both"/>
        <w:textAlignment w:val="auto"/>
        <w:rPr>
          <w:rFonts w:hint="eastAsia" w:ascii="黑体" w:hAnsi="黑体" w:eastAsia="黑体" w:cs="黑体"/>
          <w:sz w:val="21"/>
          <w:szCs w:val="21"/>
          <w:lang w:val="en-US" w:eastAsia="zh-CN"/>
        </w:rPr>
      </w:pPr>
      <w:bookmarkStart w:id="0" w:name="_GoBack"/>
      <w:bookmarkEnd w:id="0"/>
    </w:p>
    <w:sectPr>
      <w:footerReference r:id="rId5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01AE7741-F80E-48DF-887C-4003D2A1C41B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6CAC0E3E-0D28-4D00-A772-1374400D5930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65508262-0DDA-4EED-904C-28AD4E5C220E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F0372D2A-97CF-4437-B681-19FC15D4BB23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AE91E24C-D460-4BA0-9D12-D210D337460B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C5F02910-76D2-4A57-9FDF-940CBB6E3025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7" w:fontKey="{98201C84-3384-49A5-8B15-59FC311107A7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8" w:fontKey="{A0299682-1748-44C1-B23D-0BAA326F439E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9" w:fontKey="{ED95B709-11E4-4521-8104-3E76F6E14A7A}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0" w:fontKey="{74583164-E380-49EA-84D5-9638E400CE26}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11" w:fontKey="{7F990679-FCDB-45EE-BCAE-F55C4A0C8437}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12" w:fontKey="{3D0D73AE-0B70-4719-A511-51E374375E72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before="1" w:line="174" w:lineRule="auto"/>
      <w:jc w:val="center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7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7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before="1" w:line="174" w:lineRule="auto"/>
      <w:ind w:left="8576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10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10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78A622F"/>
    <w:multiLevelType w:val="singleLevel"/>
    <w:tmpl w:val="078A622F"/>
    <w:lvl w:ilvl="0" w:tentative="0">
      <w:start w:val="7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499EEECA"/>
    <w:multiLevelType w:val="singleLevel"/>
    <w:tmpl w:val="499EEECA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2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BmM2Q2MjM2YzRhODU2N2Y3OTViOWY2NWNjYzVjMDcifQ=="/>
    <w:docVar w:name="KSO_WPS_MARK_KEY" w:val="7fa32103-dccb-42df-9beb-d93604dce9e2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48304B7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1F63B7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F22F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7E2A85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3AF28EB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7024F9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371577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1">
    <w:name w:val="Default Paragraph Font"/>
    <w:semiHidden/>
    <w:qFormat/>
    <w:uiPriority w:val="99"/>
  </w:style>
  <w:style w:type="table" w:default="1" w:styleId="9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4">
    <w:name w:val="Normal Indent"/>
    <w:basedOn w:val="1"/>
    <w:qFormat/>
    <w:uiPriority w:val="0"/>
    <w:pPr>
      <w:ind w:firstLine="420" w:firstLineChars="200"/>
    </w:pPr>
  </w:style>
  <w:style w:type="paragraph" w:styleId="5">
    <w:name w:val="footer"/>
    <w:basedOn w:val="1"/>
    <w:link w:val="13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4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7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8">
    <w:name w:val="Normal (Web)"/>
    <w:basedOn w:val="1"/>
    <w:qFormat/>
    <w:uiPriority w:val="99"/>
    <w:rPr>
      <w:sz w:val="24"/>
    </w:rPr>
  </w:style>
  <w:style w:type="table" w:styleId="10">
    <w:name w:val="Table Grid"/>
    <w:basedOn w:val="9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2">
    <w:name w:val="page number"/>
    <w:basedOn w:val="11"/>
    <w:qFormat/>
    <w:uiPriority w:val="99"/>
    <w:rPr>
      <w:rFonts w:cs="Times New Roman"/>
    </w:rPr>
  </w:style>
  <w:style w:type="character" w:customStyle="1" w:styleId="13">
    <w:name w:val="Footer Char"/>
    <w:basedOn w:val="11"/>
    <w:link w:val="5"/>
    <w:semiHidden/>
    <w:qFormat/>
    <w:uiPriority w:val="99"/>
    <w:rPr>
      <w:sz w:val="18"/>
      <w:szCs w:val="18"/>
    </w:rPr>
  </w:style>
  <w:style w:type="character" w:customStyle="1" w:styleId="14">
    <w:name w:val="Header Char"/>
    <w:basedOn w:val="11"/>
    <w:link w:val="6"/>
    <w:semiHidden/>
    <w:qFormat/>
    <w:uiPriority w:val="99"/>
    <w:rPr>
      <w:sz w:val="18"/>
      <w:szCs w:val="18"/>
    </w:rPr>
  </w:style>
  <w:style w:type="paragraph" w:styleId="15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6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7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12</Pages>
  <Words>2429</Words>
  <Characters>2504</Characters>
  <Lines>0</Lines>
  <Paragraphs>0</Paragraphs>
  <TotalTime>12</TotalTime>
  <ScaleCrop>false</ScaleCrop>
  <LinksUpToDate>false</LinksUpToDate>
  <CharactersWithSpaces>2653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Administrator</cp:lastModifiedBy>
  <cp:lastPrinted>2024-05-20T07:59:00Z</cp:lastPrinted>
  <dcterms:modified xsi:type="dcterms:W3CDTF">2024-05-29T04:56:14Z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KSOSaveFontToCloudKey">
    <vt:lpwstr>386772509_embed</vt:lpwstr>
  </property>
  <property fmtid="{D5CDD505-2E9C-101B-9397-08002B2CF9AE}" pid="4" name="ICV">
    <vt:lpwstr>03128FA2D3524FC6884A988A331DB030</vt:lpwstr>
  </property>
</Properties>
</file>