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4"/>
        <w:tblW w:w="9277" w:type="dxa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14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116.67%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1.13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0.27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0.27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1.13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0.27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0.27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XX项目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XX项目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3、专项资金（每个专项一行）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16.27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21.57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21.57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0.2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1.48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1.48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2.36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16.42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16.42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2.78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2.78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8.5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出台相关制度，加强经费支出审核</w:t>
            </w: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r>
        <w:rPr>
          <w:rFonts w:hint="eastAsia"/>
        </w:rPr>
        <w:t>填表人：</w:t>
      </w:r>
      <w:r>
        <w:rPr>
          <w:rFonts w:hint="eastAsia"/>
          <w:lang w:eastAsia="zh-CN"/>
        </w:rPr>
        <w:t>熊亮</w:t>
      </w:r>
      <w:r>
        <w:rPr>
          <w:rFonts w:hint="eastAsia"/>
        </w:rPr>
        <w:t xml:space="preserve">  填报日期：</w:t>
      </w:r>
      <w:r>
        <w:rPr>
          <w:rFonts w:hint="eastAsia"/>
          <w:lang w:val="en-US" w:eastAsia="zh-CN"/>
        </w:rPr>
        <w:t xml:space="preserve">2024年5月28日 </w:t>
      </w:r>
      <w:r>
        <w:rPr>
          <w:rFonts w:hint="eastAsia"/>
        </w:rPr>
        <w:t xml:space="preserve"> 联系电话：</w:t>
      </w:r>
      <w:r>
        <w:rPr>
          <w:rFonts w:hint="eastAsia"/>
          <w:lang w:val="en-US" w:eastAsia="zh-CN"/>
        </w:rPr>
        <w:t>15274098666</w:t>
      </w:r>
      <w:r>
        <w:rPr>
          <w:rFonts w:hint="eastAsia"/>
        </w:rPr>
        <w:t xml:space="preserve"> 单位负责人签字：</w:t>
      </w:r>
    </w:p>
    <w:p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</w:pPr>
    </w:p>
    <w:p/>
    <w:p>
      <w:pPr>
        <w:spacing w:before="223" w:line="218" w:lineRule="auto"/>
        <w:jc w:val="center"/>
        <w:rPr>
          <w:rFonts w:hint="default" w:ascii="方正小标宋简体" w:hAnsi="方正小标宋简体" w:eastAsia="方正小标宋简体" w:cs="方正小标宋简体"/>
          <w:sz w:val="52"/>
          <w:szCs w:val="52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</w:rPr>
        <w:t>2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52"/>
          <w:szCs w:val="52"/>
        </w:rPr>
        <w:t>023年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52"/>
          <w:szCs w:val="52"/>
          <w:lang w:eastAsia="zh-CN"/>
        </w:rPr>
        <w:t>度华容县土地综合整治中心部门整体支出绩效自评报告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28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2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6"/>
          <w:sz w:val="44"/>
          <w:szCs w:val="44"/>
        </w:rPr>
        <w:t>2023年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7"/>
          <w:sz w:val="44"/>
          <w:szCs w:val="44"/>
        </w:rPr>
        <w:t>度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7"/>
          <w:sz w:val="44"/>
          <w:szCs w:val="44"/>
          <w:lang w:eastAsia="zh-CN"/>
        </w:rPr>
        <w:t>华容县土地综合整治中心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7"/>
          <w:sz w:val="44"/>
          <w:szCs w:val="44"/>
        </w:rPr>
        <w:t>部门整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6"/>
          <w:sz w:val="44"/>
          <w:szCs w:val="44"/>
        </w:rPr>
        <w:t>体支出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2"/>
      </w:pPr>
    </w:p>
    <w:p>
      <w:pPr>
        <w:numPr>
          <w:ilvl w:val="0"/>
          <w:numId w:val="1"/>
        </w:numPr>
        <w:spacing w:before="101" w:line="228" w:lineRule="auto"/>
        <w:ind w:left="648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部门基本情况</w:t>
      </w:r>
    </w:p>
    <w:p>
      <w:pPr>
        <w:keepNext/>
        <w:keepLines/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华容县土地综合整治中心隶属华容县自然资源局，属全额拨款事业单位。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  <w:t>负责全县土地项目的争取和组织实施工作；保护和合理利用土地、提供土地整改技术服务；土地开发整理经费的管理和使用以及土地管理信息的服务等工作。</w:t>
      </w:r>
    </w:p>
    <w:p>
      <w:pPr>
        <w:pStyle w:val="2"/>
        <w:numPr>
          <w:ilvl w:val="0"/>
          <w:numId w:val="0"/>
        </w:numPr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spacing w:line="560" w:lineRule="exact"/>
        <w:ind w:firstLine="560" w:firstLineChars="200"/>
        <w:rPr>
          <w:rFonts w:hint="default" w:eastAsia="楷体_GB231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zh-CN"/>
        </w:rPr>
        <w:t>2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val="zh-CN" w:eastAsia="zh-CN"/>
        </w:rPr>
        <w:t>02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val="zh-CN" w:eastAsia="zh-CN"/>
        </w:rPr>
        <w:t>年度单位整体基本支出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182.5万元，其中工资福利支出160.54万元、商品和服务支出21.57万元、对个人和家庭的补助支出0.39万元。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（二）项目支出情况</w:t>
      </w:r>
    </w:p>
    <w:p>
      <w:pPr>
        <w:pStyle w:val="2"/>
        <w:rPr>
          <w:rFonts w:hint="default" w:eastAsia="楷体_GB2312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 xml:space="preserve"> 无</w:t>
      </w:r>
    </w:p>
    <w:p>
      <w:pPr>
        <w:numPr>
          <w:ilvl w:val="0"/>
          <w:numId w:val="1"/>
        </w:numPr>
        <w:spacing w:before="224" w:line="227" w:lineRule="auto"/>
        <w:ind w:left="648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政府性基金预算支出情况</w:t>
      </w:r>
    </w:p>
    <w:p>
      <w:pPr>
        <w:pStyle w:val="2"/>
        <w:ind w:firstLine="840" w:firstLineChars="30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无</w:t>
      </w:r>
    </w:p>
    <w:p>
      <w:pPr>
        <w:pStyle w:val="2"/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1"/>
        </w:numPr>
        <w:spacing w:before="219" w:line="600" w:lineRule="exact"/>
        <w:ind w:left="648" w:leftChars="0" w:firstLine="0" w:firstLineChars="0"/>
        <w:rPr>
          <w:rFonts w:hint="eastAsia" w:ascii="黑体" w:hAnsi="黑体" w:eastAsia="黑体" w:cs="黑体"/>
          <w:spacing w:val="7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国有资本经营预算支出情况</w:t>
      </w:r>
    </w:p>
    <w:p>
      <w:pPr>
        <w:pStyle w:val="2"/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 xml:space="preserve"> 无</w:t>
      </w:r>
    </w:p>
    <w:p>
      <w:pPr>
        <w:numPr>
          <w:ilvl w:val="0"/>
          <w:numId w:val="1"/>
        </w:numPr>
        <w:spacing w:line="227" w:lineRule="auto"/>
        <w:ind w:left="648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社会保险基金预算支出情况</w:t>
      </w:r>
    </w:p>
    <w:p>
      <w:pPr>
        <w:pStyle w:val="2"/>
        <w:numPr>
          <w:ilvl w:val="0"/>
          <w:numId w:val="0"/>
        </w:numPr>
        <w:ind w:left="648" w:leftChars="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zh-CN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zh-CN" w:eastAsia="zh-CN" w:bidi="ar-SA"/>
        </w:rPr>
        <w:t>无</w:t>
      </w:r>
    </w:p>
    <w:p>
      <w:pPr>
        <w:numPr>
          <w:ilvl w:val="0"/>
          <w:numId w:val="1"/>
        </w:numPr>
        <w:spacing w:before="219" w:line="226" w:lineRule="auto"/>
        <w:ind w:left="648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部门整体支出绩效情况</w:t>
      </w:r>
    </w:p>
    <w:p>
      <w:pPr>
        <w:numPr>
          <w:ilvl w:val="0"/>
          <w:numId w:val="0"/>
        </w:numPr>
        <w:spacing w:line="560" w:lineRule="exact"/>
        <w:ind w:firstLine="560" w:firstLineChars="200"/>
        <w:rPr>
          <w:rFonts w:hint="eastAsia" w:eastAsia="宋体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考评组认为华容县土地综合整治中心2023年整体支出，严格按照国家的相关财务管理制度规定，财务制度健全、会计核算规范，依照计划管理使用，整体支出对保障部门工作的正常运行、建设和维护、贯彻执行国家和省办方针、政策、法律法规，发挥了重要作用。按照部门整体支出绩效评价指标体系对照打分得出结果</w:t>
      </w:r>
      <w:r>
        <w:rPr>
          <w:rFonts w:hint="eastAsia" w:ascii="仿宋_GB2312" w:hAnsi="仿宋_GB2312" w:eastAsia="仿宋_GB2312" w:cs="仿宋_GB2312"/>
          <w:bCs/>
          <w:color w:val="auto"/>
          <w:sz w:val="28"/>
          <w:szCs w:val="28"/>
          <w:highlight w:val="none"/>
          <w:lang w:val="en-US" w:eastAsia="zh-CN"/>
        </w:rPr>
        <w:t>为96分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，等级为优秀。</w:t>
      </w:r>
    </w:p>
    <w:p>
      <w:pPr>
        <w:numPr>
          <w:ilvl w:val="0"/>
          <w:numId w:val="1"/>
        </w:numPr>
        <w:spacing w:before="220" w:line="600" w:lineRule="exact"/>
        <w:ind w:left="648" w:leftChars="0" w:firstLine="0" w:firstLineChars="0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存在的问题及原因分析</w:t>
      </w:r>
    </w:p>
    <w:p>
      <w:pPr>
        <w:numPr>
          <w:ilvl w:val="0"/>
          <w:numId w:val="0"/>
        </w:numPr>
        <w:spacing w:line="560" w:lineRule="exact"/>
        <w:ind w:firstLine="560" w:firstLineChars="200"/>
        <w:rPr>
          <w:rFonts w:hint="eastAsia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预算编制有待更严格执行。预算编制与实际由于年中调整，有微小差异。</w:t>
      </w:r>
    </w:p>
    <w:p>
      <w:pPr>
        <w:numPr>
          <w:ilvl w:val="0"/>
          <w:numId w:val="1"/>
        </w:numPr>
        <w:spacing w:line="227" w:lineRule="auto"/>
        <w:ind w:left="648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下一步改进措施</w:t>
      </w:r>
    </w:p>
    <w:p>
      <w:pPr>
        <w:numPr>
          <w:ilvl w:val="0"/>
          <w:numId w:val="0"/>
        </w:numPr>
        <w:spacing w:line="560" w:lineRule="exact"/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按照预算规定的项目和用途严格财务审核，经费支出严格按预算规定项目的财务支出内容进行财务核算，在预算金额内严格控制费用的支出。</w:t>
      </w:r>
    </w:p>
    <w:p>
      <w:pPr>
        <w:numPr>
          <w:ilvl w:val="0"/>
          <w:numId w:val="1"/>
        </w:numPr>
        <w:spacing w:before="219" w:line="600" w:lineRule="exact"/>
        <w:ind w:left="648" w:leftChars="0" w:firstLine="0" w:firstLineChars="0"/>
        <w:rPr>
          <w:rFonts w:hint="eastAsia" w:ascii="黑体" w:hAnsi="黑体" w:eastAsia="黑体" w:cs="黑体"/>
          <w:spacing w:val="8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pStyle w:val="2"/>
        <w:numPr>
          <w:ilvl w:val="0"/>
          <w:numId w:val="0"/>
        </w:numPr>
        <w:ind w:left="648" w:leftChars="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结果应用具体方式按照《华容县县级预算支出绩效评价结果应用</w:t>
      </w:r>
    </w:p>
    <w:p>
      <w:pPr>
        <w:pStyle w:val="2"/>
        <w:numPr>
          <w:ilvl w:val="0"/>
          <w:numId w:val="0"/>
        </w:numPr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管理办法》（华财函【2022】38号实施）</w:t>
      </w:r>
    </w:p>
    <w:p>
      <w:pPr>
        <w:numPr>
          <w:ilvl w:val="0"/>
          <w:numId w:val="1"/>
        </w:numPr>
        <w:spacing w:line="226" w:lineRule="auto"/>
        <w:ind w:left="648" w:leftChars="0" w:firstLine="0" w:firstLineChars="0"/>
        <w:rPr>
          <w:rFonts w:hint="eastAsia"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其他需要说明的情况</w:t>
      </w:r>
    </w:p>
    <w:p>
      <w:pPr>
        <w:pStyle w:val="2"/>
        <w:numPr>
          <w:ilvl w:val="0"/>
          <w:numId w:val="0"/>
        </w:numPr>
        <w:ind w:left="648" w:leftChars="0"/>
        <w:rPr>
          <w:rFonts w:hint="default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无</w:t>
      </w:r>
    </w:p>
    <w:p>
      <w:pPr>
        <w:pStyle w:val="2"/>
        <w:numPr>
          <w:ilvl w:val="0"/>
          <w:numId w:val="0"/>
        </w:numPr>
        <w:ind w:left="648" w:leftChars="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</w:p>
    <w:p>
      <w:pPr>
        <w:jc w:val="both"/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4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2023年度部门整体支出绩效自评表</w:t>
      </w:r>
    </w:p>
    <w:p>
      <w:pPr>
        <w:spacing w:line="132" w:lineRule="exact"/>
      </w:pPr>
    </w:p>
    <w:tbl>
      <w:tblPr>
        <w:tblStyle w:val="14"/>
        <w:tblW w:w="5032" w:type="pct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27"/>
        <w:gridCol w:w="990"/>
        <w:gridCol w:w="951"/>
        <w:gridCol w:w="46"/>
        <w:gridCol w:w="978"/>
        <w:gridCol w:w="70"/>
        <w:gridCol w:w="973"/>
        <w:gridCol w:w="978"/>
        <w:gridCol w:w="697"/>
        <w:gridCol w:w="721"/>
        <w:gridCol w:w="1332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1" w:hRule="atLeast"/>
          <w:jc w:val="center"/>
        </w:trPr>
        <w:tc>
          <w:tcPr>
            <w:tcW w:w="1616" w:type="pct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省级预算部门、单位名称</w:t>
            </w:r>
          </w:p>
        </w:tc>
        <w:tc>
          <w:tcPr>
            <w:tcW w:w="3383" w:type="pct"/>
            <w:gridSpan w:val="8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华容县土地综合整治中心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  <w:jc w:val="center"/>
        </w:trPr>
        <w:tc>
          <w:tcPr>
            <w:tcW w:w="483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年度预算申请（万元）</w:t>
            </w:r>
          </w:p>
        </w:tc>
        <w:tc>
          <w:tcPr>
            <w:tcW w:w="113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09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13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年度资金总额</w:t>
            </w:r>
          </w:p>
        </w:tc>
        <w:tc>
          <w:tcPr>
            <w:tcW w:w="598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174</w:t>
            </w:r>
          </w:p>
        </w:tc>
        <w:tc>
          <w:tcPr>
            <w:tcW w:w="609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182.5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182.5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0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按收入性质分：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182.5</w:t>
            </w:r>
          </w:p>
        </w:tc>
        <w:tc>
          <w:tcPr>
            <w:tcW w:w="2175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按支出性质分：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182.5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0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其中：一般公共预算：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182.5</w:t>
            </w:r>
          </w:p>
        </w:tc>
        <w:tc>
          <w:tcPr>
            <w:tcW w:w="2175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其中：基本支出：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182.5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0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政府性基金拨款：</w:t>
            </w:r>
          </w:p>
        </w:tc>
        <w:tc>
          <w:tcPr>
            <w:tcW w:w="2175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0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纳入专户管理的非税收入拨款：</w:t>
            </w:r>
          </w:p>
        </w:tc>
        <w:tc>
          <w:tcPr>
            <w:tcW w:w="2175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3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0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其他资金：</w:t>
            </w:r>
          </w:p>
        </w:tc>
        <w:tc>
          <w:tcPr>
            <w:tcW w:w="2175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3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体目标</w:t>
            </w:r>
          </w:p>
        </w:tc>
        <w:tc>
          <w:tcPr>
            <w:tcW w:w="2340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75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83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40" w:type="pct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/>
                <w:kern w:val="0"/>
                <w:sz w:val="24"/>
                <w:lang w:eastAsia="zh-CN"/>
              </w:rPr>
              <w:t>负责全县土地项目的争取和组织实施工作；保护和合理利用土地、提供土地整改技术服务；土地开发整理经费的管理和使用以及土地管理信息的服务等工作。</w:t>
            </w:r>
          </w:p>
        </w:tc>
        <w:tc>
          <w:tcPr>
            <w:tcW w:w="2175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/>
                <w:kern w:val="0"/>
                <w:sz w:val="24"/>
                <w:lang w:eastAsia="zh-CN"/>
              </w:rPr>
              <w:t>良好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  <w:jc w:val="center"/>
        </w:trPr>
        <w:tc>
          <w:tcPr>
            <w:tcW w:w="483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78" w:type="pct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参保人数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14人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14人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参保率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社保及时缴纳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7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工资福利稳步提升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符合条件的晋升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符合条件的晋升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加强绩效考评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稳定职工队伍、提升职工素质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完成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完成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职工素质有待提高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加强公共节能管理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水电费同比上年不增加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水电费同比上年不增加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提高职工业务能力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业务培训</w:t>
            </w:r>
            <w:r>
              <w:rPr>
                <w:rFonts w:hint="default" w:ascii="Arial" w:hAnsi="Arial" w:cs="Arial" w:eastAsiaTheme="minorEastAsia"/>
                <w:sz w:val="21"/>
                <w:szCs w:val="21"/>
                <w:lang w:eastAsia="zh-CN"/>
              </w:rPr>
              <w:t>≥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4次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业务培训</w:t>
            </w:r>
            <w:r>
              <w:rPr>
                <w:rFonts w:hint="default" w:ascii="Arial" w:hAnsi="Arial" w:cs="Arial" w:eastAsiaTheme="minorEastAsia"/>
                <w:sz w:val="21"/>
                <w:szCs w:val="21"/>
                <w:lang w:eastAsia="zh-CN"/>
              </w:rPr>
              <w:t>≥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4次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nil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1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群众满意度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/>
              </w:rPr>
            </w:pPr>
            <w:r>
              <w:rPr>
                <w:rFonts w:hint="default" w:ascii="Arial" w:hAnsi="Arial" w:cs="Arial" w:eastAsiaTheme="minorEastAsia"/>
                <w:sz w:val="21"/>
                <w:szCs w:val="21"/>
                <w:lang w:eastAsia="zh-CN"/>
              </w:rPr>
              <w:t>≥</w:t>
            </w:r>
            <w:r>
              <w:rPr>
                <w:rFonts w:hint="eastAsia" w:ascii="Arial" w:hAnsi="Arial" w:cs="Arial" w:eastAsiaTheme="minorEastAsia"/>
                <w:sz w:val="21"/>
                <w:szCs w:val="21"/>
                <w:lang w:val="en-US" w:eastAsia="zh-CN"/>
              </w:rPr>
              <w:t>90%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default" w:ascii="Arial" w:hAnsi="Arial" w:cs="Arial" w:eastAsiaTheme="minorEastAsia"/>
                <w:sz w:val="21"/>
                <w:szCs w:val="21"/>
                <w:lang w:eastAsia="zh-CN"/>
              </w:rPr>
              <w:t>≥</w:t>
            </w:r>
            <w:r>
              <w:rPr>
                <w:rFonts w:hint="eastAsia" w:ascii="Arial" w:hAnsi="Arial" w:cs="Arial" w:eastAsiaTheme="minorEastAsia"/>
                <w:sz w:val="21"/>
                <w:szCs w:val="21"/>
                <w:lang w:val="en-US" w:eastAsia="zh-CN"/>
              </w:rPr>
              <w:t>90%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61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预算执行差异率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Arial" w:hAnsi="Arial" w:cs="Arial" w:eastAsiaTheme="minorEastAsia"/>
                <w:sz w:val="21"/>
                <w:szCs w:val="21"/>
              </w:rPr>
              <w:t>≤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5%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default" w:ascii="Arial" w:hAnsi="Arial" w:cs="Arial" w:eastAsiaTheme="minorEastAsia"/>
                <w:sz w:val="21"/>
                <w:szCs w:val="21"/>
              </w:rPr>
              <w:t>≤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5%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61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缩减工作经费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下降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10%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不降反升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由于调入新增了工作人员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</w:p>
        </w:tc>
        <w:tc>
          <w:tcPr>
            <w:tcW w:w="61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61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减少资源浪费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完成</w:t>
            </w: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完成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83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8" w:type="pct"/>
            <w:vMerge w:val="continue"/>
            <w:tcBorders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2" w:type="pct"/>
            <w:gridSpan w:val="2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12" w:type="pct"/>
            <w:gridSpan w:val="2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66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3394" w:type="pct"/>
            <w:gridSpan w:val="8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40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2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96</w:t>
            </w:r>
          </w:p>
        </w:tc>
        <w:tc>
          <w:tcPr>
            <w:tcW w:w="7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熊亮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填报日期：</w:t>
      </w:r>
      <w:r>
        <w:rPr>
          <w:rFonts w:hint="eastAsia"/>
          <w:lang w:val="en-US" w:eastAsia="zh-CN"/>
        </w:rPr>
        <w:t>2024年5月28日</w:t>
      </w:r>
      <w:r>
        <w:rPr>
          <w:rFonts w:hint="eastAsia"/>
        </w:rPr>
        <w:t xml:space="preserve"> 联系电话：</w:t>
      </w:r>
      <w:r>
        <w:rPr>
          <w:rFonts w:hint="eastAsia"/>
          <w:lang w:val="en-US" w:eastAsia="zh-CN"/>
        </w:rPr>
        <w:t>15274098666</w:t>
      </w:r>
      <w:r>
        <w:rPr>
          <w:rFonts w:hint="eastAsia"/>
        </w:rPr>
        <w:t xml:space="preserve"> 单位负责人签字：</w:t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5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年度××部门（单位）××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项目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支出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2"/>
        <w:rPr>
          <w:rFonts w:hint="default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both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年度××部门（单位）××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项目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一、基本情况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项目概况。包括项目背景、主要内容及实施情况、资金投入和使用情况等。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项目绩效目标。包括总体目标和阶段性目标。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二、绩效评价工作开展情况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绩效评价目的、对象和范围。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绩效评价原则、评价指标体系</w:t>
      </w: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附表说明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、评价方法、评价标准等。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三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绩效评价工作过程。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 xml:space="preserve">三、综合评价情况及评价结论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四、绩效评价指标分析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项目决策情况。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项目过程情况。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三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项目产出情况。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四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项目效益情况。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五、主要经验及做法、存在的问题及原因分析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六</w:t>
      </w:r>
      <w:r>
        <w:rPr>
          <w:rFonts w:hint="eastAsia" w:ascii="黑体" w:hAnsi="黑体" w:eastAsia="黑体" w:cs="黑体"/>
          <w:sz w:val="32"/>
          <w:szCs w:val="32"/>
        </w:rPr>
        <w:t>、其他需要说明的问题</w:t>
      </w:r>
    </w:p>
    <w:p>
      <w:pPr>
        <w:rPr>
          <w:rFonts w:hint="eastAsia" w:ascii="黑体" w:hAnsi="黑体" w:eastAsia="黑体" w:cs="黑体"/>
          <w:sz w:val="30"/>
          <w:szCs w:val="30"/>
        </w:rPr>
      </w:pPr>
      <w:r>
        <w:rPr>
          <w:rFonts w:hint="eastAsia" w:ascii="黑体" w:hAnsi="黑体" w:eastAsia="黑体" w:cs="黑体"/>
          <w:sz w:val="30"/>
          <w:szCs w:val="30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4"/>
        <w:tblW w:w="5020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904"/>
        <w:gridCol w:w="900"/>
        <w:gridCol w:w="1104"/>
        <w:gridCol w:w="941"/>
        <w:gridCol w:w="976"/>
        <w:gridCol w:w="1102"/>
        <w:gridCol w:w="598"/>
        <w:gridCol w:w="702"/>
        <w:gridCol w:w="1316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1702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3297" w:type="pct"/>
            <w:gridSpan w:val="6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2295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1531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2295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74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29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295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174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529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64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4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27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645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645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645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51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51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51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29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27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5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1" w:type="pct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3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468" w:type="pct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350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11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69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        填报日期：            联系电话：      单位负责人签字：</w:t>
      </w:r>
    </w:p>
    <w:p>
      <w:pPr>
        <w:rPr>
          <w:sz w:val="22"/>
          <w:szCs w:val="22"/>
        </w:rPr>
      </w:pPr>
      <w:r>
        <w:rPr>
          <w:sz w:val="22"/>
          <w:szCs w:val="22"/>
        </w:rPr>
        <w:br w:type="page"/>
      </w:r>
    </w:p>
    <w:p>
      <w:pPr>
        <w:pStyle w:val="2"/>
        <w:sectPr>
          <w:footerReference r:id="rId5" w:type="default"/>
          <w:pgSz w:w="11905" w:h="16838"/>
          <w:pgMar w:top="1984" w:right="1701" w:bottom="1984" w:left="1701" w:header="850" w:footer="1587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7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rFonts w:eastAsia="方正小标宋_GBK"/>
          <w:sz w:val="36"/>
          <w:szCs w:val="36"/>
        </w:rPr>
      </w:pPr>
      <w:r>
        <w:rPr>
          <w:rFonts w:eastAsia="方正小标宋_GBK"/>
          <w:sz w:val="36"/>
          <w:szCs w:val="36"/>
        </w:rPr>
        <w:t>绩效评价结果征求意见的反馈函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（重点绩效评价项目用）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rPr>
          <w:rFonts w:eastAsia="仿宋_GB2312"/>
          <w:sz w:val="28"/>
          <w:szCs w:val="28"/>
        </w:rPr>
      </w:pPr>
      <w:r>
        <w:rPr>
          <w:rFonts w:eastAsia="仿宋_GB2312"/>
          <w:sz w:val="28"/>
          <w:szCs w:val="28"/>
          <w:u w:val="single"/>
        </w:rPr>
        <w:t xml:space="preserve">    </w:t>
      </w:r>
      <w:r>
        <w:rPr>
          <w:rFonts w:hint="eastAsia" w:eastAsia="仿宋_GB2312"/>
          <w:sz w:val="28"/>
          <w:szCs w:val="28"/>
          <w:u w:val="single"/>
          <w:lang w:val="en-US" w:eastAsia="zh-CN"/>
        </w:rPr>
        <w:t xml:space="preserve">    </w:t>
      </w:r>
      <w:r>
        <w:rPr>
          <w:rFonts w:eastAsia="仿宋_GB2312"/>
          <w:sz w:val="28"/>
          <w:szCs w:val="28"/>
          <w:u w:val="single"/>
        </w:rPr>
        <w:t xml:space="preserve">    </w:t>
      </w:r>
      <w:r>
        <w:rPr>
          <w:rFonts w:hint="eastAsia" w:eastAsia="仿宋_GB2312"/>
          <w:sz w:val="28"/>
          <w:szCs w:val="28"/>
          <w:u w:val="single"/>
          <w:lang w:val="en-US" w:eastAsia="zh-CN"/>
        </w:rPr>
        <w:t xml:space="preserve">   </w:t>
      </w:r>
      <w:r>
        <w:rPr>
          <w:rFonts w:eastAsia="仿宋_GB2312"/>
          <w:sz w:val="28"/>
          <w:szCs w:val="28"/>
          <w:u w:val="single"/>
        </w:rPr>
        <w:t xml:space="preserve">   </w:t>
      </w:r>
      <w:r>
        <w:rPr>
          <w:rFonts w:eastAsia="仿宋_GB2312"/>
          <w:sz w:val="28"/>
          <w:szCs w:val="28"/>
        </w:rPr>
        <w:t>：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ind w:firstLine="640" w:firstLineChars="200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按照相关规定和绩效评价要求，根据贵单位的绩效自评报告和绩效评价工作组的现场评价情况，形成绩效评价报告。现将《×××绩效评价报告》反馈贵单位，请于    年     月   日前提出书面意见或说明，逾期未复，视为无异议。</w:t>
      </w:r>
    </w:p>
    <w:tbl>
      <w:tblPr>
        <w:tblStyle w:val="7"/>
        <w:tblW w:w="892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892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jc w:val="center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楷体_GB2312"/>
                <w:sz w:val="28"/>
                <w:szCs w:val="28"/>
              </w:rPr>
              <w:t>项目实施单位意见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3" w:hRule="atLeast"/>
          <w:jc w:val="center"/>
        </w:trPr>
        <w:tc>
          <w:tcPr>
            <w:tcW w:w="892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140" w:firstLineChars="50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黑体"/>
                <w:sz w:val="28"/>
                <w:szCs w:val="28"/>
              </w:rPr>
              <w:t>一、对报告中“评价结论”的意见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140" w:firstLineChars="50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黑体"/>
                <w:sz w:val="28"/>
                <w:szCs w:val="28"/>
              </w:rPr>
              <w:t>二、对报告中“问题”和“建议”的意见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140" w:firstLineChars="50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黑体"/>
                <w:sz w:val="28"/>
                <w:szCs w:val="28"/>
              </w:rPr>
              <w:t>三、</w:t>
            </w:r>
            <w:r>
              <w:rPr>
                <w:rFonts w:hint="eastAsia" w:eastAsia="黑体"/>
                <w:sz w:val="28"/>
                <w:szCs w:val="28"/>
                <w:lang w:eastAsia="zh-CN"/>
              </w:rPr>
              <w:t>其他意见</w:t>
            </w:r>
            <w:r>
              <w:rPr>
                <w:rFonts w:hint="default" w:eastAsia="黑体"/>
                <w:sz w:val="28"/>
                <w:szCs w:val="28"/>
              </w:rPr>
              <w:t>或建议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wordWrap w:val="0"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1280"/>
              <w:jc w:val="right"/>
              <w:rPr>
                <w:rFonts w:hint="default" w:eastAsia="仿宋_GB2312"/>
                <w:sz w:val="28"/>
                <w:szCs w:val="28"/>
              </w:rPr>
            </w:pPr>
          </w:p>
          <w:p>
            <w:pPr>
              <w:pStyle w:val="2"/>
              <w:keepNext w:val="0"/>
              <w:keepLines w:val="0"/>
              <w:suppressLineNumbers w:val="0"/>
              <w:wordWrap/>
              <w:spacing w:before="0" w:beforeAutospacing="0" w:after="0" w:afterAutospacing="0"/>
              <w:ind w:left="0" w:right="0"/>
              <w:rPr>
                <w:rFonts w:hint="default" w:eastAsia="仿宋_GB2312"/>
                <w:sz w:val="28"/>
                <w:szCs w:val="28"/>
              </w:rPr>
            </w:pP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eastAsia="仿宋_GB2312"/>
                <w:sz w:val="28"/>
                <w:szCs w:val="28"/>
              </w:rPr>
            </w:pPr>
          </w:p>
          <w:p>
            <w:pPr>
              <w:pStyle w:val="2"/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wordWrap w:val="0"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1280"/>
              <w:jc w:val="right"/>
              <w:rPr>
                <w:rFonts w:hint="default" w:eastAsia="仿宋_GB2312"/>
                <w:sz w:val="28"/>
                <w:szCs w:val="28"/>
              </w:rPr>
            </w:pPr>
            <w:r>
              <w:rPr>
                <w:rFonts w:hint="eastAsia" w:eastAsia="仿宋_GB2312"/>
                <w:sz w:val="28"/>
                <w:szCs w:val="28"/>
                <w:lang w:eastAsia="zh-CN"/>
              </w:rPr>
              <w:t>单</w:t>
            </w:r>
            <w:r>
              <w:rPr>
                <w:rFonts w:hint="default" w:eastAsia="仿宋_GB2312"/>
                <w:sz w:val="28"/>
                <w:szCs w:val="28"/>
              </w:rPr>
              <w:t>位（盖章）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wordWrap w:val="0"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1280"/>
              <w:jc w:val="right"/>
              <w:rPr>
                <w:rFonts w:hint="default"/>
                <w:sz w:val="28"/>
                <w:szCs w:val="28"/>
              </w:rPr>
            </w:pPr>
            <w:r>
              <w:rPr>
                <w:rFonts w:hint="default" w:eastAsia="仿宋_GB2312"/>
                <w:sz w:val="28"/>
                <w:szCs w:val="28"/>
              </w:rPr>
              <w:t>年   月   日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黑体" w:hAnsi="宋体" w:eastAsia="黑体" w:cs="黑体"/>
          <w:color w:val="000000"/>
          <w:kern w:val="0"/>
          <w:sz w:val="32"/>
          <w:szCs w:val="32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32"/>
          <w:szCs w:val="32"/>
          <w:lang w:bidi="ar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rFonts w:eastAsia="方正小标宋_GBK"/>
          <w:sz w:val="36"/>
          <w:szCs w:val="36"/>
        </w:rPr>
      </w:pPr>
      <w:r>
        <w:rPr>
          <w:rFonts w:eastAsia="方正小标宋_GBK"/>
          <w:sz w:val="36"/>
          <w:szCs w:val="36"/>
        </w:rPr>
        <w:t>绩效评价结果整改报告书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sz w:val="28"/>
          <w:szCs w:val="28"/>
        </w:rPr>
      </w:pPr>
      <w:r>
        <w:rPr>
          <w:rFonts w:eastAsia="楷体_GB2312"/>
          <w:sz w:val="32"/>
          <w:szCs w:val="32"/>
        </w:rPr>
        <w:t>（参考格式）</w:t>
      </w:r>
    </w:p>
    <w:tbl>
      <w:tblPr>
        <w:tblStyle w:val="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27"/>
        <w:gridCol w:w="67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/>
              <w:jc w:val="center"/>
              <w:rPr>
                <w:rFonts w:hint="default" w:ascii="黑体" w:hAnsi="黑体" w:eastAsia="黑体"/>
                <w:sz w:val="24"/>
                <w:szCs w:val="24"/>
              </w:rPr>
            </w:pPr>
            <w:r>
              <w:rPr>
                <w:rFonts w:hint="default" w:ascii="黑体" w:hAnsi="黑体" w:eastAsia="黑体"/>
                <w:sz w:val="24"/>
                <w:szCs w:val="24"/>
              </w:rPr>
              <w:t>预算支出名称</w:t>
            </w:r>
          </w:p>
        </w:tc>
        <w:tc>
          <w:tcPr>
            <w:tcW w:w="6773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/>
              <w:jc w:val="center"/>
              <w:rPr>
                <w:rFonts w:hint="default" w:ascii="黑体" w:hAnsi="黑体" w:eastAsia="黑体"/>
                <w:sz w:val="24"/>
                <w:szCs w:val="24"/>
              </w:rPr>
            </w:pPr>
            <w:r>
              <w:rPr>
                <w:rFonts w:hint="default" w:ascii="黑体" w:hAnsi="黑体" w:eastAsia="黑体"/>
                <w:sz w:val="24"/>
                <w:szCs w:val="24"/>
              </w:rPr>
              <w:t>评价内容</w:t>
            </w:r>
          </w:p>
        </w:tc>
        <w:tc>
          <w:tcPr>
            <w:tcW w:w="6773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/>
              <w:jc w:val="center"/>
              <w:rPr>
                <w:rFonts w:hint="default" w:ascii="黑体" w:hAnsi="黑体" w:eastAsia="黑体"/>
                <w:sz w:val="24"/>
                <w:szCs w:val="24"/>
              </w:rPr>
            </w:pPr>
            <w:r>
              <w:rPr>
                <w:rFonts w:hint="default" w:ascii="黑体" w:hAnsi="黑体" w:eastAsia="黑体"/>
                <w:sz w:val="24"/>
                <w:szCs w:val="24"/>
              </w:rPr>
              <w:t>联系人及电话</w:t>
            </w:r>
          </w:p>
        </w:tc>
        <w:tc>
          <w:tcPr>
            <w:tcW w:w="6773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9" w:hRule="atLeast"/>
          <w:jc w:val="center"/>
        </w:trPr>
        <w:tc>
          <w:tcPr>
            <w:tcW w:w="8600" w:type="dxa"/>
            <w:gridSpan w:val="2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center"/>
              <w:rPr>
                <w:rFonts w:hint="default"/>
                <w:sz w:val="24"/>
                <w:szCs w:val="24"/>
              </w:rPr>
            </w:pPr>
            <w:r>
              <w:rPr>
                <w:rFonts w:hint="default"/>
                <w:sz w:val="32"/>
                <w:szCs w:val="32"/>
              </w:rPr>
              <w:t>整改情况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0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center"/>
              <w:rPr>
                <w:rFonts w:hint="eastAsia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单位意见</w:t>
            </w:r>
          </w:p>
        </w:tc>
        <w:tc>
          <w:tcPr>
            <w:tcW w:w="6773" w:type="dxa"/>
            <w:noWrap w:val="0"/>
            <w:vAlign w:val="bottom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center"/>
              <w:rPr>
                <w:rFonts w:hint="eastAsia" w:ascii="Times New Roman" w:hAnsi="Times New Roman" w:eastAsia="宋体" w:cs="Times New Roman"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both"/>
              <w:rPr>
                <w:rFonts w:hint="eastAsia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 xml:space="preserve">单位负责人签名：   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 xml:space="preserve">单位（盖章）：  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 xml:space="preserve"> 年    月    日</w:t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sz w:val="21"/>
          <w:szCs w:val="21"/>
        </w:rPr>
        <w:t>注</w:t>
      </w:r>
      <w:r>
        <w:rPr>
          <w:rFonts w:hint="eastAsia" w:ascii="宋体" w:hAnsi="宋体" w:cs="宋体"/>
          <w:bCs/>
          <w:sz w:val="21"/>
          <w:szCs w:val="21"/>
        </w:rPr>
        <w:t>：绩效评价结果整改报告书应在收到绩效评价结果反馈意见后</w:t>
      </w:r>
      <w:r>
        <w:rPr>
          <w:rFonts w:hint="eastAsia" w:ascii="宋体" w:hAnsi="宋体" w:cs="宋体"/>
          <w:bCs/>
          <w:sz w:val="21"/>
          <w:szCs w:val="21"/>
          <w:lang w:val="en-US" w:eastAsia="zh-CN"/>
        </w:rPr>
        <w:t>30</w:t>
      </w:r>
      <w:r>
        <w:rPr>
          <w:rFonts w:hint="eastAsia" w:ascii="宋体" w:hAnsi="宋体" w:cs="宋体"/>
          <w:bCs/>
          <w:sz w:val="21"/>
          <w:szCs w:val="21"/>
        </w:rPr>
        <w:t>天</w:t>
      </w:r>
      <w:r>
        <w:rPr>
          <w:rFonts w:hint="eastAsia" w:ascii="宋体" w:hAnsi="宋体" w:cs="宋体"/>
          <w:bCs/>
          <w:sz w:val="21"/>
          <w:szCs w:val="21"/>
          <w:lang w:eastAsia="zh-CN"/>
        </w:rPr>
        <w:t>内</w:t>
      </w:r>
      <w:r>
        <w:rPr>
          <w:rFonts w:hint="eastAsia" w:ascii="宋体" w:hAnsi="宋体" w:cs="宋体"/>
          <w:bCs/>
          <w:sz w:val="21"/>
          <w:szCs w:val="21"/>
        </w:rPr>
        <w:t>交</w:t>
      </w:r>
      <w:r>
        <w:rPr>
          <w:rFonts w:hint="eastAsia" w:ascii="宋体" w:hAnsi="宋体" w:cs="宋体"/>
          <w:bCs/>
          <w:sz w:val="21"/>
          <w:szCs w:val="21"/>
          <w:lang w:eastAsia="zh-CN"/>
        </w:rPr>
        <w:t>县</w:t>
      </w:r>
      <w:r>
        <w:rPr>
          <w:rFonts w:hint="eastAsia" w:ascii="宋体" w:hAnsi="宋体" w:cs="宋体"/>
          <w:bCs/>
          <w:sz w:val="21"/>
          <w:szCs w:val="21"/>
        </w:rPr>
        <w:t>财政局绩效管理股。</w:t>
      </w:r>
    </w:p>
    <w:sectPr>
      <w:footerReference r:id="rId6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A508A4E-0FA9-4A6A-B1E3-E549B61310C9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886AF576-A52C-4FB6-BED8-23CBCEA4BCE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E5D53936-A491-475E-A103-E720B929EDB9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D8B1E5DB-AFDF-4F40-88C0-6FF0F36990A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7C7AE5BB-E34C-46F6-BA39-06968F589417}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6" w:fontKey="{E9256231-F138-439E-AD60-5E93B6BB7926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7" w:fontKey="{6170A45B-C327-45F9-8458-A4CDF48578AA}"/>
  </w:font>
  <w:font w:name="方正小标宋简体">
    <w:panose1 w:val="03000509000000000000"/>
    <w:charset w:val="86"/>
    <w:family w:val="auto"/>
    <w:pitch w:val="default"/>
    <w:sig w:usb0="00000000" w:usb1="00000000" w:usb2="00000000" w:usb3="00000000" w:csb0="00000000" w:csb1="00000000"/>
    <w:embedRegular r:id="rId8" w:fontKey="{311D5D72-CD79-4A98-86A5-949E2B35F04E}"/>
  </w:font>
  <w:font w:name="楷体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9" w:fontKey="{BA2555CF-0C13-4CBF-9FDF-5979A7EF6A6E}"/>
  </w:font>
  <w:font w:name="方正小标宋_GBK">
    <w:panose1 w:val="03000509000000000000"/>
    <w:charset w:val="86"/>
    <w:family w:val="script"/>
    <w:pitch w:val="default"/>
    <w:sig w:usb0="00000000" w:usb1="00000000" w:usb2="00000000" w:usb3="00000000" w:csb0="00000000" w:csb1="00000000"/>
    <w:embedRegular r:id="rId10" w:fontKey="{DAEE54FC-2BC6-480C-B66D-F2C36897E56C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1" w:fontKey="{19BD44AF-EE64-4440-952E-F16D07F9255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8576"/>
      <w:rPr>
        <w:sz w:val="28"/>
        <w:szCs w:val="28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7CE46CE"/>
    <w:multiLevelType w:val="singleLevel"/>
    <w:tmpl w:val="C7CE46CE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QzZjc5NTllMGFiYmY5NmVhMTllZTJlYTQ3YTVjMjg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AD00A1D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0A3736E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1C551E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C03581"/>
    <w:rsid w:val="4CD520DA"/>
    <w:rsid w:val="4CE74BC3"/>
    <w:rsid w:val="4CEEB85C"/>
    <w:rsid w:val="4CF5000E"/>
    <w:rsid w:val="4D6D6EEB"/>
    <w:rsid w:val="4DB17672"/>
    <w:rsid w:val="4DB27F04"/>
    <w:rsid w:val="4DC2569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9B272E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3EF5714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9">
    <w:name w:val="Default Paragraph Font"/>
    <w:semiHidden/>
    <w:qFormat/>
    <w:uiPriority w:val="99"/>
  </w:style>
  <w:style w:type="table" w:default="1" w:styleId="7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8">
    <w:name w:val="Table Grid"/>
    <w:basedOn w:val="7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99"/>
    <w:rPr>
      <w:rFonts w:cs="Times New Roman"/>
    </w:rPr>
  </w:style>
  <w:style w:type="character" w:customStyle="1" w:styleId="11">
    <w:name w:val="Footer Char"/>
    <w:basedOn w:val="9"/>
    <w:link w:val="5"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9"/>
    <w:link w:val="6"/>
    <w:semiHidden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4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4354</Words>
  <Characters>4599</Characters>
  <Lines>0</Lines>
  <Paragraphs>0</Paragraphs>
  <TotalTime>31</TotalTime>
  <ScaleCrop>false</ScaleCrop>
  <LinksUpToDate>false</LinksUpToDate>
  <CharactersWithSpaces>4995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愤怒的蜗牛</cp:lastModifiedBy>
  <cp:lastPrinted>2024-05-30T00:31:00Z</cp:lastPrinted>
  <dcterms:modified xsi:type="dcterms:W3CDTF">2024-05-30T00:42:35Z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