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spacing w:val="-13"/>
          <w:sz w:val="22"/>
          <w:szCs w:val="22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jc w:val="left"/>
        <w:textAlignment w:val="auto"/>
        <w:rPr>
          <w:rFonts w:hint="default" w:ascii="仿宋_GB2312" w:hAnsi="仿宋_GB2312" w:eastAsia="仿宋_GB2312" w:cs="仿宋_GB2312"/>
          <w:spacing w:val="-4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pacing w:val="-4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  <w:t>3</w:t>
      </w: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jc w:val="center"/>
        <w:rPr>
          <w:rFonts w:hint="eastAsia" w:ascii="Arial"/>
          <w:b/>
          <w:bCs/>
          <w:sz w:val="52"/>
          <w:szCs w:val="52"/>
          <w:lang w:val="en-US" w:eastAsia="zh-CN"/>
        </w:rPr>
      </w:pPr>
      <w:r>
        <w:rPr>
          <w:rFonts w:hint="eastAsia" w:ascii="Arial"/>
          <w:b/>
          <w:bCs/>
          <w:sz w:val="52"/>
          <w:szCs w:val="52"/>
          <w:lang w:val="en-US" w:eastAsia="zh-CN"/>
        </w:rPr>
        <w:t>2023年度华容县胜峰国有林场</w:t>
      </w:r>
    </w:p>
    <w:p>
      <w:pPr>
        <w:spacing w:line="243" w:lineRule="auto"/>
        <w:jc w:val="center"/>
        <w:rPr>
          <w:rFonts w:hint="default" w:ascii="Arial" w:eastAsia="宋体"/>
          <w:b/>
          <w:bCs/>
          <w:sz w:val="52"/>
          <w:szCs w:val="52"/>
          <w:lang w:val="en-US" w:eastAsia="zh-CN"/>
        </w:rPr>
      </w:pPr>
      <w:r>
        <w:rPr>
          <w:rFonts w:hint="eastAsia" w:ascii="Arial"/>
          <w:b/>
          <w:bCs/>
          <w:sz w:val="52"/>
          <w:szCs w:val="52"/>
          <w:lang w:val="en-US" w:eastAsia="zh-CN"/>
        </w:rPr>
        <w:t>整体支出绩效自评报告</w:t>
      </w:r>
    </w:p>
    <w:p>
      <w:pPr>
        <w:spacing w:line="243" w:lineRule="auto"/>
        <w:rPr>
          <w:rFonts w:ascii="Arial"/>
          <w:sz w:val="21"/>
        </w:rPr>
      </w:pPr>
    </w:p>
    <w:p>
      <w:pPr>
        <w:pStyle w:val="2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pStyle w:val="2"/>
        <w:rPr>
          <w:rFonts w:ascii="Arial"/>
          <w:sz w:val="21"/>
        </w:rPr>
      </w:pPr>
    </w:p>
    <w:p>
      <w:pPr>
        <w:rPr>
          <w:rFonts w:ascii="Arial"/>
          <w:sz w:val="21"/>
        </w:rPr>
      </w:pPr>
    </w:p>
    <w:p>
      <w:pPr>
        <w:pStyle w:val="2"/>
        <w:rPr>
          <w:rFonts w:ascii="Arial"/>
          <w:sz w:val="21"/>
        </w:rPr>
      </w:pPr>
    </w:p>
    <w:p>
      <w:pPr>
        <w:rPr>
          <w:rFonts w:ascii="Arial"/>
          <w:sz w:val="21"/>
        </w:rPr>
      </w:pPr>
    </w:p>
    <w:p>
      <w:pPr>
        <w:pStyle w:val="2"/>
        <w:rPr>
          <w:rFonts w:ascii="Arial"/>
          <w:sz w:val="21"/>
        </w:rPr>
      </w:pPr>
    </w:p>
    <w:p>
      <w:pPr>
        <w:rPr>
          <w:rFonts w:ascii="Arial"/>
          <w:sz w:val="21"/>
        </w:rPr>
      </w:pPr>
    </w:p>
    <w:p>
      <w:pPr>
        <w:pStyle w:val="2"/>
        <w:rPr>
          <w:rFonts w:ascii="Arial"/>
          <w:sz w:val="21"/>
        </w:rPr>
      </w:pPr>
    </w:p>
    <w:p>
      <w:pPr>
        <w:rPr>
          <w:rFonts w:ascii="Arial"/>
          <w:sz w:val="21"/>
        </w:rPr>
      </w:pPr>
    </w:p>
    <w:p>
      <w:pPr>
        <w:pStyle w:val="2"/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4" w:lineRule="auto"/>
        <w:rPr>
          <w:rFonts w:ascii="Arial"/>
          <w:sz w:val="21"/>
        </w:rPr>
      </w:pPr>
    </w:p>
    <w:p>
      <w:pPr>
        <w:spacing w:line="244" w:lineRule="auto"/>
        <w:rPr>
          <w:rFonts w:ascii="Arial"/>
          <w:sz w:val="21"/>
        </w:rPr>
      </w:pPr>
    </w:p>
    <w:p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0" w:line="221" w:lineRule="auto"/>
        <w:ind w:firstLine="1500" w:firstLineChars="5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10"/>
          <w:sz w:val="32"/>
          <w:szCs w:val="32"/>
        </w:rPr>
        <w:t>单位名称</w:t>
      </w:r>
      <w:r>
        <w:rPr>
          <w:rFonts w:hint="eastAsia" w:ascii="仿宋_GB2312" w:hAnsi="仿宋_GB2312" w:eastAsia="仿宋_GB2312" w:cs="仿宋_GB2312"/>
          <w:spacing w:val="4"/>
          <w:sz w:val="32"/>
          <w:szCs w:val="32"/>
        </w:rPr>
        <w:t>：</w:t>
      </w:r>
      <w:r>
        <w:rPr>
          <w:rFonts w:hint="eastAsia" w:ascii="仿宋_GB2312" w:hAnsi="仿宋_GB2312" w:eastAsia="仿宋_GB2312" w:cs="仿宋_GB2312"/>
          <w:spacing w:val="4"/>
          <w:sz w:val="32"/>
          <w:szCs w:val="32"/>
          <w:u w:val="single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pacing w:val="4"/>
          <w:sz w:val="32"/>
          <w:szCs w:val="32"/>
          <w:u w:val="single" w:color="auto"/>
          <w:lang w:val="en-US" w:eastAsia="zh-CN"/>
        </w:rPr>
        <w:t>华容县胜峰国有林场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</w:rPr>
        <w:t xml:space="preserve">   </w:t>
      </w:r>
    </w:p>
    <w:p>
      <w:pPr>
        <w:spacing w:before="228" w:line="222" w:lineRule="auto"/>
        <w:ind w:firstLine="1824" w:firstLineChars="6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8"/>
          <w:sz w:val="32"/>
          <w:szCs w:val="32"/>
          <w:lang w:val="en-US" w:eastAsia="zh-CN"/>
        </w:rPr>
        <w:t xml:space="preserve">2024  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年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  <w:lang w:val="en-US" w:eastAsia="zh-CN"/>
        </w:rPr>
        <w:t>5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月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  <w:lang w:val="en-US" w:eastAsia="zh-CN"/>
        </w:rPr>
        <w:t>22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日</w:t>
      </w:r>
    </w:p>
    <w:p>
      <w:pPr>
        <w:spacing w:line="335" w:lineRule="auto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pStyle w:val="4"/>
        <w:spacing w:before="102" w:line="224" w:lineRule="auto"/>
        <w:ind w:left="3216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8"/>
          <w:sz w:val="32"/>
          <w:szCs w:val="32"/>
        </w:rPr>
        <w:t>（此页为封面）</w:t>
      </w:r>
    </w:p>
    <w:p>
      <w:r>
        <w:br w:type="page"/>
      </w:r>
    </w:p>
    <w:p>
      <w:pPr>
        <w:pStyle w:val="2"/>
        <w:sectPr>
          <w:footerReference r:id="rId3" w:type="default"/>
          <w:pgSz w:w="11905" w:h="16838"/>
          <w:pgMar w:top="1984" w:right="1701" w:bottom="1984" w:left="1701" w:header="850" w:footer="1587" w:gutter="0"/>
          <w:pgNumType w:fmt="numberInDash" w:start="7"/>
          <w:cols w:space="0" w:num="1"/>
          <w:rtlGutter w:val="0"/>
          <w:docGrid w:type="lines" w:linePitch="314" w:charSpace="0"/>
        </w:sect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left="0" w:firstLine="0" w:firstLineChars="0"/>
        <w:jc w:val="center"/>
        <w:textAlignment w:val="auto"/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</w:rPr>
      </w:pPr>
    </w:p>
    <w:p>
      <w:pPr>
        <w:pStyle w:val="2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left="0" w:firstLine="0" w:firstLineChars="0"/>
        <w:jc w:val="center"/>
        <w:textAlignment w:val="auto"/>
        <w:rPr>
          <w:rFonts w:hint="eastAsia" w:ascii="方正小标宋简体" w:hAnsi="方正小标宋简体" w:eastAsia="方正小标宋简体" w:cs="方正小标宋简体"/>
          <w:b/>
          <w:bCs/>
          <w:spacing w:val="6"/>
          <w:sz w:val="44"/>
          <w:szCs w:val="44"/>
          <w:lang w:eastAsia="zh-CN"/>
        </w:rPr>
      </w:pPr>
      <w:r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</w:rPr>
        <w:t>2023年度</w:t>
      </w:r>
      <w:r>
        <w:rPr>
          <w:rFonts w:hint="eastAsia" w:ascii="方正小标宋简体" w:hAnsi="方正小标宋简体" w:eastAsia="方正小标宋简体" w:cs="方正小标宋简体"/>
          <w:b/>
          <w:bCs/>
          <w:spacing w:val="6"/>
          <w:sz w:val="44"/>
          <w:szCs w:val="44"/>
          <w:lang w:eastAsia="zh-CN"/>
        </w:rPr>
        <w:t>华容县胜峰国有林场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left="0" w:firstLine="0" w:firstLineChars="0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</w:rPr>
        <w:t>部门整体支出</w:t>
      </w:r>
      <w:r>
        <w:rPr>
          <w:rFonts w:hint="eastAsia" w:ascii="方正小标宋简体" w:hAnsi="方正小标宋简体" w:eastAsia="方正小标宋简体" w:cs="方正小标宋简体"/>
          <w:spacing w:val="7"/>
          <w:sz w:val="44"/>
          <w:szCs w:val="44"/>
        </w:rPr>
        <w:t>绩效自评报告</w:t>
      </w:r>
    </w:p>
    <w:p>
      <w:pPr>
        <w:spacing w:line="283" w:lineRule="auto"/>
        <w:rPr>
          <w:rFonts w:ascii="Arial"/>
          <w:sz w:val="21"/>
        </w:rPr>
      </w:pPr>
    </w:p>
    <w:p>
      <w:pPr>
        <w:spacing w:line="284" w:lineRule="auto"/>
        <w:rPr>
          <w:rFonts w:ascii="Arial"/>
          <w:sz w:val="21"/>
        </w:rPr>
      </w:pPr>
    </w:p>
    <w:p>
      <w:pPr>
        <w:pStyle w:val="2"/>
      </w:pPr>
    </w:p>
    <w:p>
      <w:pPr>
        <w:numPr>
          <w:ilvl w:val="0"/>
          <w:numId w:val="1"/>
        </w:numPr>
        <w:spacing w:before="101" w:line="228" w:lineRule="auto"/>
        <w:ind w:left="648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pacing w:val="5"/>
          <w:sz w:val="32"/>
          <w:szCs w:val="32"/>
        </w:rPr>
        <w:t>部门基本情况</w:t>
      </w:r>
    </w:p>
    <w:p>
      <w:pPr>
        <w:numPr>
          <w:numId w:val="0"/>
        </w:numPr>
        <w:spacing w:before="101" w:line="228" w:lineRule="auto"/>
        <w:ind w:firstLine="560" w:firstLineChars="200"/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湖南省华容县胜峰国有林场始建于1958年，2010年12月与华容县桃花山省级森林公园管理处合署办公，实行两块牌子，一套人马。林场性质属公益性一类事业单位。主要职能是保护培育森林资源；维护生态安全；负责桃花山省级森林公园管理。内设办公室、计财股、营林森工股、林调队、综治办、计生办等机构，内含一个桃花山省级森林公园，鼎山、七女峰两个工区和一个种养分场。在册职工</w:t>
      </w:r>
      <w:r>
        <w:rPr>
          <w:rFonts w:hint="default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2</w:t>
      </w:r>
      <w:r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04人，其中在职职工39人，退休职工165人。在职人员中有技术干部6名，其中工程师1名，助理工程师5名。</w:t>
      </w:r>
    </w:p>
    <w:p>
      <w:pPr>
        <w:numPr>
          <w:ilvl w:val="0"/>
          <w:numId w:val="1"/>
        </w:numPr>
        <w:spacing w:before="101" w:line="228" w:lineRule="auto"/>
        <w:ind w:left="648" w:leftChars="0" w:firstLine="0" w:firstLineChars="0"/>
        <w:rPr>
          <w:rFonts w:hint="eastAsia" w:ascii="黑体" w:hAnsi="黑体" w:eastAsia="黑体" w:cs="黑体"/>
          <w:spacing w:val="-2"/>
          <w:sz w:val="32"/>
          <w:szCs w:val="32"/>
        </w:rPr>
      </w:pPr>
      <w:r>
        <w:rPr>
          <w:rFonts w:hint="eastAsia" w:ascii="黑体" w:hAnsi="黑体" w:eastAsia="黑体" w:cs="黑体"/>
          <w:spacing w:val="-2"/>
          <w:sz w:val="32"/>
          <w:szCs w:val="32"/>
        </w:rPr>
        <w:t>一般公共预算支出情况</w:t>
      </w:r>
    </w:p>
    <w:p>
      <w:pPr>
        <w:numPr>
          <w:ilvl w:val="0"/>
          <w:numId w:val="2"/>
        </w:numPr>
        <w:spacing w:before="101" w:line="228" w:lineRule="auto"/>
        <w:ind w:firstLine="643" w:firstLineChars="200"/>
        <w:rPr>
          <w:rFonts w:hint="eastAsia" w:ascii="楷体_GB2312" w:hAnsi="楷体_GB2312" w:eastAsia="楷体_GB2312" w:cs="楷体_GB2312"/>
          <w:b/>
          <w:bCs/>
          <w:sz w:val="32"/>
          <w:szCs w:val="32"/>
        </w:rPr>
      </w:pPr>
      <w:r>
        <w:rPr>
          <w:rFonts w:hint="eastAsia" w:ascii="楷体_GB2312" w:hAnsi="楷体_GB2312" w:eastAsia="楷体_GB2312" w:cs="楷体_GB2312"/>
          <w:b/>
          <w:bCs/>
          <w:sz w:val="32"/>
          <w:szCs w:val="32"/>
        </w:rPr>
        <w:t>基本支出情况</w:t>
      </w:r>
    </w:p>
    <w:p>
      <w:pPr>
        <w:numPr>
          <w:numId w:val="0"/>
        </w:numPr>
        <w:spacing w:before="101" w:line="228" w:lineRule="auto"/>
        <w:ind w:firstLine="840" w:firstLineChars="300"/>
        <w:rPr>
          <w:rFonts w:hint="default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全年的</w:t>
      </w:r>
      <w:r>
        <w:rPr>
          <w:rFonts w:hint="default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基本支出</w:t>
      </w:r>
      <w:r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291.61</w:t>
      </w:r>
      <w:r>
        <w:rPr>
          <w:rFonts w:hint="default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万元，其中人员经费</w:t>
      </w:r>
      <w:r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252.55</w:t>
      </w:r>
      <w:r>
        <w:rPr>
          <w:rFonts w:hint="default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万元，主要用于人员工资及社保缴纳等</w:t>
      </w:r>
      <w:r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；</w:t>
      </w:r>
      <w:r>
        <w:rPr>
          <w:rFonts w:hint="default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一般商品服务支出</w:t>
      </w:r>
      <w:r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39.06</w:t>
      </w:r>
      <w:r>
        <w:rPr>
          <w:rFonts w:hint="default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万元，主要用于日常办公开支</w:t>
      </w:r>
      <w:r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。</w:t>
      </w:r>
    </w:p>
    <w:p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3" w:firstLineChars="200"/>
        <w:textAlignment w:val="auto"/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ascii="楷体_GB2312" w:hAnsi="楷体_GB2312" w:eastAsia="楷体_GB2312" w:cs="楷体_GB2312"/>
          <w:b/>
          <w:bCs/>
          <w:sz w:val="32"/>
          <w:szCs w:val="32"/>
        </w:rPr>
        <w:t>项目支出情况</w:t>
      </w:r>
    </w:p>
    <w:p>
      <w:pPr>
        <w:numPr>
          <w:ilvl w:val="0"/>
          <w:numId w:val="4"/>
        </w:numPr>
        <w:spacing w:before="101" w:line="228" w:lineRule="auto"/>
        <w:ind w:left="735" w:leftChars="0" w:firstLine="0" w:firstLineChars="0"/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专项资金安排落实、总投入等情况分析</w:t>
      </w:r>
    </w:p>
    <w:p>
      <w:pPr>
        <w:numPr>
          <w:numId w:val="0"/>
        </w:numPr>
        <w:spacing w:before="101" w:line="228" w:lineRule="auto"/>
        <w:ind w:firstLine="560" w:firstLineChars="200"/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</w:pPr>
      <w:r>
        <w:rPr>
          <w:rFonts w:hint="default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20</w:t>
      </w:r>
      <w:r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23</w:t>
      </w:r>
      <w:r>
        <w:rPr>
          <w:rFonts w:hint="default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年专项资金</w:t>
      </w:r>
      <w:r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计划安排307.74万元，实际</w:t>
      </w:r>
      <w:r>
        <w:rPr>
          <w:rFonts w:hint="default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共投入</w:t>
      </w:r>
      <w:r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307.74</w:t>
      </w:r>
      <w:r>
        <w:rPr>
          <w:rFonts w:hint="default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万元</w:t>
      </w:r>
      <w:r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。</w:t>
      </w:r>
    </w:p>
    <w:p>
      <w:pPr>
        <w:numPr>
          <w:ilvl w:val="0"/>
          <w:numId w:val="4"/>
        </w:numPr>
        <w:spacing w:before="101" w:line="228" w:lineRule="auto"/>
        <w:ind w:left="735" w:leftChars="0" w:firstLine="0" w:firstLineChars="0"/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专项资金实际使用情况分析</w:t>
      </w:r>
    </w:p>
    <w:p>
      <w:pPr>
        <w:numPr>
          <w:numId w:val="0"/>
        </w:numPr>
        <w:spacing w:before="101" w:line="228" w:lineRule="auto"/>
        <w:ind w:firstLine="560" w:firstLineChars="200"/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</w:pPr>
      <w:r>
        <w:rPr>
          <w:rFonts w:hint="default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20</w:t>
      </w:r>
      <w:r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23</w:t>
      </w:r>
      <w:r>
        <w:rPr>
          <w:rFonts w:hint="default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年专项资金</w:t>
      </w:r>
      <w:r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实际</w:t>
      </w:r>
      <w:r>
        <w:rPr>
          <w:rFonts w:hint="default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支出为</w:t>
      </w:r>
      <w:r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307.74</w:t>
      </w:r>
      <w:r>
        <w:rPr>
          <w:rFonts w:hint="default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万元，主要用于</w:t>
      </w:r>
      <w:r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营林生产、基础建设等</w:t>
      </w:r>
      <w:r>
        <w:rPr>
          <w:rFonts w:hint="default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工作</w:t>
      </w:r>
      <w:r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，年末无结余。</w:t>
      </w:r>
    </w:p>
    <w:p>
      <w:pPr>
        <w:numPr>
          <w:ilvl w:val="0"/>
          <w:numId w:val="4"/>
        </w:numPr>
        <w:spacing w:before="101" w:line="228" w:lineRule="auto"/>
        <w:ind w:left="735" w:leftChars="0" w:firstLine="0" w:firstLineChars="0"/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专项资金管理情况分析</w:t>
      </w:r>
    </w:p>
    <w:p>
      <w:pPr>
        <w:pStyle w:val="8"/>
        <w:keepNext w:val="0"/>
        <w:keepLines w:val="0"/>
        <w:widowControl/>
        <w:suppressLineNumbers w:val="0"/>
        <w:pBdr>
          <w:bottom w:val="none" w:color="auto" w:sz="0" w:space="0"/>
        </w:pBdr>
        <w:spacing w:before="0" w:beforeAutospacing="0" w:after="0" w:afterAutospacing="0" w:line="33" w:lineRule="atLeast"/>
        <w:ind w:firstLine="560" w:firstLineChars="200"/>
        <w:jc w:val="both"/>
        <w:rPr>
          <w:rFonts w:hint="default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</w:pPr>
      <w:r>
        <w:rPr>
          <w:rFonts w:hint="default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各项资金本着专款专用的原则，严格执行项目资金批准的使用计划和项目批复内容，不擅自调项、扩项、缩项，不拆借、挪用、挤占。资金拨付动向按不同专项资金的要求执行</w:t>
      </w:r>
      <w:r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，</w:t>
      </w:r>
      <w:r>
        <w:rPr>
          <w:rFonts w:hint="default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同时对每笔专项资金的支付，严格执行财务制度，落实专项资金审核程序。</w:t>
      </w:r>
    </w:p>
    <w:p>
      <w:pPr>
        <w:spacing w:before="216" w:line="226" w:lineRule="auto"/>
        <w:ind w:left="648"/>
        <w:rPr>
          <w:rFonts w:hint="eastAsia" w:ascii="黑体" w:hAnsi="黑体" w:eastAsia="黑体" w:cs="黑体"/>
          <w:spacing w:val="-2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pacing w:val="-2"/>
          <w:sz w:val="32"/>
          <w:szCs w:val="32"/>
          <w:lang w:val="en-US" w:eastAsia="zh-CN"/>
        </w:rPr>
        <w:t>三、政府性基金预算支出情况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600" w:lineRule="atLeast"/>
        <w:ind w:left="0" w:right="0" w:firstLine="642"/>
        <w:jc w:val="both"/>
        <w:textAlignment w:val="center"/>
        <w:rPr>
          <w:rFonts w:hint="default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2023年本单位无政府性基金预算支出。</w:t>
      </w:r>
    </w:p>
    <w:p>
      <w:pPr>
        <w:spacing w:before="216" w:line="226" w:lineRule="auto"/>
        <w:ind w:left="648"/>
        <w:rPr>
          <w:rFonts w:hint="eastAsia" w:ascii="黑体" w:hAnsi="黑体" w:eastAsia="黑体" w:cs="黑体"/>
          <w:spacing w:val="-2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pacing w:val="-2"/>
          <w:sz w:val="32"/>
          <w:szCs w:val="32"/>
          <w:lang w:val="en-US" w:eastAsia="zh-CN"/>
        </w:rPr>
        <w:t>四、国有资本经营预算支出情况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600" w:lineRule="atLeast"/>
        <w:ind w:left="0" w:right="0" w:firstLine="642"/>
        <w:jc w:val="both"/>
        <w:textAlignment w:val="center"/>
        <w:rPr>
          <w:rFonts w:hint="default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2023年本单位无国有资本经营预算支出。</w:t>
      </w:r>
    </w:p>
    <w:p>
      <w:pPr>
        <w:spacing w:before="216" w:line="226" w:lineRule="auto"/>
        <w:ind w:left="648"/>
        <w:rPr>
          <w:rFonts w:hint="eastAsia" w:ascii="黑体" w:hAnsi="黑体" w:eastAsia="黑体" w:cs="黑体"/>
          <w:spacing w:val="-2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pacing w:val="-2"/>
          <w:sz w:val="32"/>
          <w:szCs w:val="32"/>
          <w:lang w:val="en-US" w:eastAsia="zh-CN"/>
        </w:rPr>
        <w:t>五、社会保险基金预算支出情况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600" w:lineRule="atLeast"/>
        <w:ind w:left="0" w:right="0" w:firstLine="642"/>
        <w:jc w:val="both"/>
        <w:textAlignment w:val="center"/>
        <w:rPr>
          <w:rFonts w:hint="default"/>
          <w:lang w:val="en-US" w:eastAsia="zh-CN"/>
        </w:rPr>
      </w:pPr>
      <w:r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2023年本单位无社会保险基金预算支出。</w:t>
      </w:r>
    </w:p>
    <w:p>
      <w:pPr>
        <w:numPr>
          <w:ilvl w:val="0"/>
          <w:numId w:val="5"/>
        </w:numPr>
        <w:spacing w:before="219" w:line="226" w:lineRule="auto"/>
        <w:ind w:left="653"/>
        <w:rPr>
          <w:rFonts w:hint="eastAsia" w:ascii="黑体" w:hAnsi="黑体" w:eastAsia="黑体" w:cs="黑体"/>
          <w:spacing w:val="8"/>
          <w:sz w:val="32"/>
          <w:szCs w:val="32"/>
        </w:rPr>
      </w:pPr>
      <w:r>
        <w:rPr>
          <w:rFonts w:hint="eastAsia" w:ascii="黑体" w:hAnsi="黑体" w:eastAsia="黑体" w:cs="黑体"/>
          <w:spacing w:val="8"/>
          <w:sz w:val="32"/>
          <w:szCs w:val="32"/>
        </w:rPr>
        <w:t>部门整体支出绩效情况</w:t>
      </w:r>
    </w:p>
    <w:p>
      <w:pPr>
        <w:pStyle w:val="8"/>
        <w:keepNext w:val="0"/>
        <w:keepLines w:val="0"/>
        <w:widowControl/>
        <w:suppressLineNumbers w:val="0"/>
        <w:pBdr>
          <w:bottom w:val="none" w:color="auto" w:sz="0" w:space="0"/>
        </w:pBdr>
        <w:spacing w:before="0" w:beforeAutospacing="0" w:after="0" w:afterAutospacing="0" w:line="33" w:lineRule="atLeast"/>
        <w:ind w:firstLine="560" w:firstLineChars="200"/>
        <w:jc w:val="both"/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2023年，根据年初工作规划和重点工作，围绕县委、县政府的工作部署，积极履行职责，强化管理，较好地完成了年度工作目标，同时加强预算收支的管理，建立健全内部管理制度，严格内部管理流程，部门整体支出管理得到了提升。2023年度部门整体支出绩效情况如下：</w:t>
      </w:r>
    </w:p>
    <w:p>
      <w:pPr>
        <w:keepNext w:val="0"/>
        <w:keepLines w:val="0"/>
        <w:widowControl/>
        <w:numPr>
          <w:ilvl w:val="0"/>
          <w:numId w:val="6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600" w:lineRule="atLeast"/>
        <w:ind w:right="0" w:firstLine="560" w:firstLineChars="200"/>
        <w:jc w:val="both"/>
        <w:textAlignment w:val="center"/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本年预算配置控制较好，财政供养人员控制在预算编制以内，实际在职人员数少于编制数；“三公”经费支出总额较上年没有增加。</w:t>
      </w:r>
    </w:p>
    <w:p>
      <w:pPr>
        <w:pStyle w:val="8"/>
        <w:keepNext w:val="0"/>
        <w:keepLines w:val="0"/>
        <w:widowControl/>
        <w:numPr>
          <w:ilvl w:val="0"/>
          <w:numId w:val="6"/>
        </w:numPr>
        <w:suppressLineNumbers w:val="0"/>
        <w:pBdr>
          <w:bottom w:val="none" w:color="auto" w:sz="0" w:space="0"/>
        </w:pBdr>
        <w:spacing w:before="0" w:beforeAutospacing="0" w:after="0" w:afterAutospacing="0" w:line="33" w:lineRule="atLeast"/>
        <w:ind w:left="0" w:leftChars="0" w:firstLine="560" w:firstLineChars="200"/>
        <w:jc w:val="both"/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预算执行方面，支出总额控制在预算总额以内，其他专项工程建设资金按时拨付资金，较好的完成了当年任务目标，财政拨款支出总体控制较好。</w:t>
      </w:r>
    </w:p>
    <w:p>
      <w:pPr>
        <w:pStyle w:val="8"/>
        <w:keepNext w:val="0"/>
        <w:keepLines w:val="0"/>
        <w:widowControl/>
        <w:numPr>
          <w:ilvl w:val="0"/>
          <w:numId w:val="0"/>
        </w:numPr>
        <w:suppressLineNumbers w:val="0"/>
        <w:pBdr>
          <w:bottom w:val="none" w:color="auto" w:sz="0" w:space="0"/>
        </w:pBdr>
        <w:spacing w:before="0" w:beforeAutospacing="0" w:after="0" w:afterAutospacing="0" w:line="33" w:lineRule="atLeast"/>
        <w:ind w:right="0" w:rightChars="0" w:firstLine="560" w:firstLineChars="200"/>
        <w:jc w:val="both"/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( 三）资金使用方面，资金使用效益高。具体表现在:保障了职工工资,津补贴的及时足额发放,没有出现拖欠职工工资、离退休费用等现象；资金使用无虚列支出及随意使用现象,无大额现金支付现象；保障了单位的正常运转,各项工作开展顺利,林业各项指标得到了增长,林农收入得到了提高。</w:t>
      </w:r>
    </w:p>
    <w:p>
      <w:pPr>
        <w:pStyle w:val="8"/>
        <w:keepNext w:val="0"/>
        <w:keepLines w:val="0"/>
        <w:widowControl/>
        <w:suppressLineNumbers w:val="0"/>
        <w:pBdr>
          <w:bottom w:val="none" w:color="auto" w:sz="0" w:space="0"/>
        </w:pBdr>
        <w:spacing w:before="0" w:beforeAutospacing="0" w:after="0" w:afterAutospacing="0" w:line="33" w:lineRule="atLeast"/>
        <w:ind w:firstLine="560" w:firstLineChars="200"/>
        <w:jc w:val="both"/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（四）预算管理方面，制定了切实有效的财务、车辆、资产内部管理制度，执行总体较为有效。</w:t>
      </w:r>
      <w:bookmarkStart w:id="0" w:name="_GoBack"/>
      <w:bookmarkEnd w:id="0"/>
    </w:p>
    <w:p>
      <w:pPr>
        <w:pStyle w:val="8"/>
        <w:keepNext w:val="0"/>
        <w:keepLines w:val="0"/>
        <w:widowControl/>
        <w:numPr>
          <w:ilvl w:val="0"/>
          <w:numId w:val="0"/>
        </w:numPr>
        <w:suppressLineNumbers w:val="0"/>
        <w:pBdr>
          <w:bottom w:val="none" w:color="auto" w:sz="0" w:space="0"/>
        </w:pBdr>
        <w:spacing w:before="0" w:beforeAutospacing="0" w:after="0" w:afterAutospacing="0" w:line="33" w:lineRule="atLeast"/>
        <w:ind w:right="0" w:rightChars="0" w:firstLine="676" w:firstLineChars="200"/>
        <w:jc w:val="both"/>
        <w:rPr>
          <w:rFonts w:hint="eastAsia" w:ascii="黑体" w:hAnsi="黑体" w:eastAsia="黑体" w:cs="黑体"/>
          <w:spacing w:val="9"/>
          <w:position w:val="21"/>
          <w:sz w:val="32"/>
          <w:szCs w:val="32"/>
        </w:rPr>
      </w:pPr>
      <w:r>
        <w:rPr>
          <w:rFonts w:hint="eastAsia" w:ascii="黑体" w:hAnsi="黑体" w:eastAsia="黑体" w:cs="黑体"/>
          <w:spacing w:val="9"/>
          <w:position w:val="21"/>
          <w:sz w:val="32"/>
          <w:szCs w:val="32"/>
        </w:rPr>
        <w:t>七、存在的问题及原因分析</w:t>
      </w:r>
    </w:p>
    <w:p>
      <w:pPr>
        <w:pStyle w:val="8"/>
        <w:keepNext w:val="0"/>
        <w:keepLines w:val="0"/>
        <w:widowControl/>
        <w:suppressLineNumbers w:val="0"/>
        <w:pBdr>
          <w:bottom w:val="none" w:color="auto" w:sz="0" w:space="0"/>
        </w:pBdr>
        <w:spacing w:before="0" w:beforeAutospacing="0" w:after="0" w:afterAutospacing="0" w:line="33" w:lineRule="atLeast"/>
        <w:ind w:firstLine="560" w:firstLineChars="200"/>
        <w:jc w:val="both"/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（一）由于上级交办林业调查监测任务的突发性，一些无法预计和列入年初预算的项目支出，需要在年度中间进行预算追加和调整。</w:t>
      </w:r>
    </w:p>
    <w:p>
      <w:pPr>
        <w:pStyle w:val="8"/>
        <w:keepNext w:val="0"/>
        <w:keepLines w:val="0"/>
        <w:widowControl/>
        <w:suppressLineNumbers w:val="0"/>
        <w:pBdr>
          <w:bottom w:val="none" w:color="auto" w:sz="0" w:space="0"/>
        </w:pBdr>
        <w:spacing w:before="0" w:beforeAutospacing="0" w:after="0" w:afterAutospacing="0" w:line="33" w:lineRule="atLeast"/>
        <w:ind w:firstLine="560" w:firstLineChars="200"/>
        <w:jc w:val="both"/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（二）非税收入执收项目无法事先控制，如部门收费标准和依据临时调整，非税收入预算编制难以准确编制。</w:t>
      </w:r>
    </w:p>
    <w:p>
      <w:pPr>
        <w:numPr>
          <w:ilvl w:val="0"/>
          <w:numId w:val="0"/>
        </w:numPr>
        <w:spacing w:line="227" w:lineRule="auto"/>
        <w:ind w:left="653" w:leftChars="0"/>
        <w:rPr>
          <w:rFonts w:hint="eastAsia" w:ascii="黑体" w:hAnsi="黑体" w:eastAsia="黑体" w:cs="黑体"/>
          <w:spacing w:val="8"/>
          <w:sz w:val="32"/>
          <w:szCs w:val="32"/>
        </w:rPr>
      </w:pPr>
      <w:r>
        <w:rPr>
          <w:rFonts w:hint="eastAsia" w:ascii="黑体" w:hAnsi="黑体" w:eastAsia="黑体" w:cs="黑体"/>
          <w:spacing w:val="8"/>
          <w:sz w:val="32"/>
          <w:szCs w:val="32"/>
          <w:lang w:eastAsia="zh-CN"/>
        </w:rPr>
        <w:t>八、</w:t>
      </w:r>
      <w:r>
        <w:rPr>
          <w:rFonts w:hint="eastAsia" w:ascii="黑体" w:hAnsi="黑体" w:eastAsia="黑体" w:cs="黑体"/>
          <w:spacing w:val="8"/>
          <w:sz w:val="32"/>
          <w:szCs w:val="32"/>
        </w:rPr>
        <w:t>下一步改进措施</w:t>
      </w:r>
    </w:p>
    <w:p>
      <w:pPr>
        <w:pStyle w:val="8"/>
        <w:keepNext w:val="0"/>
        <w:keepLines w:val="0"/>
        <w:widowControl/>
        <w:suppressLineNumbers w:val="0"/>
        <w:pBdr>
          <w:bottom w:val="none" w:color="auto" w:sz="0" w:space="0"/>
        </w:pBdr>
        <w:spacing w:before="0" w:beforeAutospacing="0" w:after="0" w:afterAutospacing="0" w:line="33" w:lineRule="atLeast"/>
        <w:ind w:firstLine="560" w:firstLineChars="200"/>
        <w:jc w:val="both"/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（一）是按照预算规定的项目和用途严格财务审核，经费支出严格按预算规定项目的财务支出内容进行财务核算，在预算金额内严格控制费用的支出。</w:t>
      </w:r>
    </w:p>
    <w:p>
      <w:pPr>
        <w:pStyle w:val="8"/>
        <w:keepNext w:val="0"/>
        <w:keepLines w:val="0"/>
        <w:widowControl/>
        <w:suppressLineNumbers w:val="0"/>
        <w:pBdr>
          <w:bottom w:val="none" w:color="auto" w:sz="0" w:space="0"/>
        </w:pBdr>
        <w:spacing w:before="0" w:beforeAutospacing="0" w:after="0" w:afterAutospacing="0" w:line="33" w:lineRule="atLeast"/>
        <w:ind w:firstLine="560" w:firstLineChars="200"/>
        <w:jc w:val="both"/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（二）是严格控制“三公经费”支出，杜绝挪用和挤占其他预算资金；进一步细化“三公经费”管理，压缩“三公经费”支出。</w:t>
      </w:r>
    </w:p>
    <w:p>
      <w:pPr>
        <w:pStyle w:val="8"/>
        <w:keepNext w:val="0"/>
        <w:keepLines w:val="0"/>
        <w:widowControl/>
        <w:suppressLineNumbers w:val="0"/>
        <w:pBdr>
          <w:bottom w:val="none" w:color="auto" w:sz="0" w:space="0"/>
        </w:pBdr>
        <w:spacing w:before="0" w:beforeAutospacing="0" w:after="0" w:afterAutospacing="0" w:line="33" w:lineRule="atLeast"/>
        <w:ind w:firstLine="560" w:firstLineChars="200"/>
        <w:jc w:val="both"/>
        <w:rPr>
          <w:rFonts w:hint="eastAsia"/>
        </w:rPr>
      </w:pPr>
      <w:r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（三）是加强项目资金的使用管理，充分发挥财政专项资金的使用效益。同时，强化项目资金的监督，主动接受相关职能部门的检查和审计监督，并加强项目建设指导和检查验收。</w:t>
      </w:r>
    </w:p>
    <w:p>
      <w:pPr>
        <w:numPr>
          <w:ilvl w:val="0"/>
          <w:numId w:val="7"/>
        </w:numPr>
        <w:spacing w:before="219" w:line="600" w:lineRule="exact"/>
        <w:ind w:left="650"/>
        <w:rPr>
          <w:rFonts w:hint="eastAsia" w:ascii="黑体" w:hAnsi="黑体" w:eastAsia="黑体" w:cs="黑体"/>
          <w:spacing w:val="8"/>
          <w:position w:val="21"/>
          <w:sz w:val="32"/>
          <w:szCs w:val="32"/>
        </w:rPr>
      </w:pPr>
      <w:r>
        <w:rPr>
          <w:rFonts w:hint="eastAsia" w:ascii="黑体" w:hAnsi="黑体" w:eastAsia="黑体" w:cs="黑体"/>
          <w:spacing w:val="9"/>
          <w:position w:val="21"/>
          <w:sz w:val="32"/>
          <w:szCs w:val="32"/>
        </w:rPr>
        <w:t>部门整体支出绩效自评结果拟应用和公开</w:t>
      </w:r>
      <w:r>
        <w:rPr>
          <w:rFonts w:hint="eastAsia" w:ascii="黑体" w:hAnsi="黑体" w:eastAsia="黑体" w:cs="黑体"/>
          <w:spacing w:val="8"/>
          <w:position w:val="21"/>
          <w:sz w:val="32"/>
          <w:szCs w:val="32"/>
        </w:rPr>
        <w:t>情况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600" w:lineRule="atLeast"/>
        <w:ind w:left="0" w:right="0" w:firstLine="640"/>
        <w:jc w:val="both"/>
        <w:textAlignment w:val="center"/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（一）结果应用情况。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600" w:lineRule="atLeast"/>
        <w:ind w:left="0" w:right="0" w:firstLine="640"/>
        <w:jc w:val="both"/>
        <w:textAlignment w:val="center"/>
        <w:rPr>
          <w:rFonts w:hint="default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1．深化绩效评价工作，不断提高部门预算整体绩效目标管理水平。按照《预算法》按时完成预决算编制。在执行过程中有计划进行资金申报、使用，完善资金管理及内部控制制度，确保资金安全，做到账款、账账、账实相符。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600" w:lineRule="atLeast"/>
        <w:ind w:left="0" w:right="0" w:firstLine="640"/>
        <w:jc w:val="both"/>
        <w:textAlignment w:val="center"/>
        <w:rPr>
          <w:rFonts w:hint="default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2.通过绩效自评建立节约型机关。严格执行中央八项规定，严格管控三公经费支出，厉行节约，“三公经费”支出按时在“湖南互联网+”平台上公示。扎实抓好机关节能降耗，一是严格用电管理。倡导在自然光照较好的条件下不使用照明灯具，使用照明工具时保证人走灯灭，杜绝"长明灯"等能耗空放现象。二是严格用水管理。人走时及时关闭关紧水龙头，杜绝"长流水"和"跑、冒、滴、漏"现象。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600" w:lineRule="atLeast"/>
        <w:ind w:left="0" w:right="0" w:firstLine="640"/>
        <w:jc w:val="both"/>
        <w:textAlignment w:val="center"/>
        <w:rPr>
          <w:rFonts w:hint="default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3.强化单位财务管理工作，提高资金使用效率。在资金的管理和使用上，严格遵守财经纪律，严格执行机关财务管理制度，及时进行会计核算，对预决算情况进行公开公示，接受群众监督。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600" w:lineRule="atLeast"/>
        <w:ind w:left="0" w:right="0" w:firstLine="640"/>
        <w:jc w:val="both"/>
        <w:textAlignment w:val="center"/>
        <w:rPr>
          <w:rFonts w:hint="default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（二）公开公示情况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600" w:lineRule="atLeast"/>
        <w:ind w:left="0" w:right="0" w:firstLine="640"/>
        <w:jc w:val="both"/>
        <w:textAlignment w:val="center"/>
        <w:rPr>
          <w:rFonts w:hint="default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为进一步深化事后绩效评价工作，不断提高部门预算整体绩效目标管理水平，每年按时在“华容县政府网”政务公开版块进行公开公示。</w:t>
      </w:r>
    </w:p>
    <w:p>
      <w:pPr>
        <w:pStyle w:val="2"/>
        <w:numPr>
          <w:ilvl w:val="0"/>
          <w:numId w:val="0"/>
        </w:numPr>
        <w:rPr>
          <w:rFonts w:hint="eastAsia"/>
        </w:rPr>
      </w:pPr>
    </w:p>
    <w:p>
      <w:pPr>
        <w:spacing w:line="226" w:lineRule="auto"/>
        <w:ind w:left="647"/>
        <w:rPr>
          <w:rFonts w:hint="eastAsia" w:ascii="黑体" w:hAnsi="黑体" w:eastAsia="黑体" w:cs="黑体"/>
          <w:spacing w:val="-3"/>
          <w:sz w:val="32"/>
          <w:szCs w:val="32"/>
        </w:rPr>
      </w:pPr>
      <w:r>
        <w:rPr>
          <w:rFonts w:hint="eastAsia" w:ascii="黑体" w:hAnsi="黑体" w:eastAsia="黑体" w:cs="黑体"/>
          <w:spacing w:val="-3"/>
          <w:sz w:val="32"/>
          <w:szCs w:val="32"/>
        </w:rPr>
        <w:t>十、其他需要说明的情况</w:t>
      </w:r>
    </w:p>
    <w:p>
      <w:pPr>
        <w:ind w:firstLine="560" w:firstLineChars="200"/>
        <w:rPr>
          <w:rFonts w:hint="default" w:ascii="Times New Roman" w:hAnsi="Times New Roman" w:eastAsia="方正小标宋_GBK" w:cs="Times New Roman"/>
          <w:sz w:val="52"/>
          <w:szCs w:val="52"/>
        </w:rPr>
        <w:sectPr>
          <w:footerReference r:id="rId4" w:type="default"/>
          <w:pgSz w:w="11905" w:h="16838"/>
          <w:pgMar w:top="1984" w:right="1701" w:bottom="1984" w:left="1701" w:header="850" w:footer="992" w:gutter="0"/>
          <w:pgNumType w:fmt="numberInDash"/>
          <w:cols w:space="0" w:num="1"/>
          <w:rtlGutter w:val="0"/>
          <w:docGrid w:type="lines" w:linePitch="314" w:charSpace="0"/>
        </w:sectPr>
      </w:pPr>
      <w:r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无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jc w:val="both"/>
        <w:textAlignment w:val="auto"/>
        <w:rPr>
          <w:rFonts w:hint="eastAsia" w:ascii="黑体" w:hAnsi="黑体" w:eastAsia="黑体" w:cs="黑体"/>
          <w:sz w:val="21"/>
          <w:szCs w:val="21"/>
          <w:lang w:val="en-US" w:eastAsia="zh-CN"/>
        </w:rPr>
      </w:pPr>
    </w:p>
    <w:sectPr>
      <w:footerReference r:id="rId5" w:type="default"/>
      <w:pgSz w:w="11905" w:h="16838"/>
      <w:pgMar w:top="1984" w:right="1701" w:bottom="1984" w:left="1701" w:header="850" w:footer="1587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numberInDash"/>
      <w:cols w:space="0" w:num="1"/>
      <w:rtlGutter w:val="0"/>
      <w:docGrid w:type="lines" w:linePitch="314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F43EA587-E931-49F1-BF66-4EC34F6BDDFF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2" w:fontKey="{F0468F96-F574-440F-9420-4FA6BB714943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F0D90199-AE39-4D12-84CA-BD2AE77FDEE9}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4" w:fontKey="{A1A000B8-41E7-4A9A-8BA9-F1F2DFBAB279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CD47C417-54DE-40D7-AADF-2456EC058F16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6" w:fontKey="{013C03A0-8A3B-4EF3-B0D7-7EF88FD6D28E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7" w:fontKey="{604576E9-2C55-4FBD-8803-4D10D57520BC}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  <w:embedRegular r:id="rId8" w:fontKey="{4D5A536D-A3C4-48A6-917F-4C13C8D4FD02}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9" w:fontKey="{7C2D16D9-5192-448B-87CE-3652311AC864}"/>
  </w:font>
  <w:font w:name="楷体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10" w:fontKey="{DF714922-16D4-4160-8D90-96CF64BA5D6E}"/>
  </w:font>
  <w:font w:name="方正小标宋_GBK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11" w:fontKey="{7C467888-AB6C-4E30-9C77-091A0DD4CB76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spacing w:before="1" w:line="174" w:lineRule="auto"/>
      <w:jc w:val="center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0" name="文本框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6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 w:val="0"/>
                            <w:ind w:left="525" w:leftChars="250" w:right="525" w:rightChars="250"/>
                            <w:textAlignment w:val="auto"/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begin"/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separate"/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t>7</w:t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CpqK+VMQIAAGM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bidi w:val="0"/>
                      <w:adjustRightInd/>
                      <w:snapToGrid w:val="0"/>
                      <w:ind w:left="525" w:leftChars="250" w:right="525" w:rightChars="250"/>
                      <w:textAlignment w:val="auto"/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</w:pP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begin"/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instrText xml:space="preserve"> PAGE  \* MERGEFORMAT </w:instrText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separate"/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t>7</w:t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spacing w:before="1" w:line="174" w:lineRule="auto"/>
      <w:ind w:left="8576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1" name="文本框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6"/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t>10</w: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DrADh6MQIAAGM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</w:pP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t>10</w: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spacing w:before="1" w:line="174" w:lineRule="auto"/>
      <w:ind w:left="574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4" name="文本框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6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 w:val="0"/>
                            <w:ind w:left="525" w:leftChars="250" w:right="525" w:rightChars="250"/>
                            <w:textAlignment w:val="auto"/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t>15</w: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MFE50yAgAAYwQAAA4AAABkcnMvZTJvRG9jLnhtbK1UzY7TMBC+I/EO&#10;lu80aYFV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IwUTnT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bidi w:val="0"/>
                      <w:adjustRightInd/>
                      <w:snapToGrid w:val="0"/>
                      <w:ind w:left="525" w:leftChars="250" w:right="525" w:rightChars="250"/>
                      <w:textAlignment w:val="auto"/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</w:pP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t>15</w: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36B00F8"/>
    <w:multiLevelType w:val="singleLevel"/>
    <w:tmpl w:val="B36B00F8"/>
    <w:lvl w:ilvl="0" w:tentative="0">
      <w:start w:val="1"/>
      <w:numFmt w:val="chineseCounting"/>
      <w:suff w:val="nothing"/>
      <w:lvlText w:val="（%1）"/>
      <w:lvlJc w:val="left"/>
      <w:rPr>
        <w:rFonts w:hint="eastAsia"/>
      </w:rPr>
    </w:lvl>
  </w:abstractNum>
  <w:abstractNum w:abstractNumId="1">
    <w:nsid w:val="D0F7F57B"/>
    <w:multiLevelType w:val="singleLevel"/>
    <w:tmpl w:val="D0F7F57B"/>
    <w:lvl w:ilvl="0" w:tentative="0">
      <w:start w:val="9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D315B25F"/>
    <w:multiLevelType w:val="singleLevel"/>
    <w:tmpl w:val="D315B25F"/>
    <w:lvl w:ilvl="0" w:tentative="0">
      <w:start w:val="1"/>
      <w:numFmt w:val="decimal"/>
      <w:suff w:val="nothing"/>
      <w:lvlText w:val="%1、"/>
      <w:lvlJc w:val="left"/>
      <w:pPr>
        <w:ind w:left="735" w:leftChars="0" w:firstLine="0" w:firstLineChars="0"/>
      </w:pPr>
    </w:lvl>
  </w:abstractNum>
  <w:abstractNum w:abstractNumId="3">
    <w:nsid w:val="EE7E1BD6"/>
    <w:multiLevelType w:val="singleLevel"/>
    <w:tmpl w:val="EE7E1BD6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4">
    <w:nsid w:val="F5A2F5B7"/>
    <w:multiLevelType w:val="singleLevel"/>
    <w:tmpl w:val="F5A2F5B7"/>
    <w:lvl w:ilvl="0" w:tentative="0">
      <w:start w:val="6"/>
      <w:numFmt w:val="chineseCounting"/>
      <w:suff w:val="nothing"/>
      <w:lvlText w:val="%1、"/>
      <w:lvlJc w:val="left"/>
      <w:rPr>
        <w:rFonts w:hint="eastAsia"/>
      </w:rPr>
    </w:lvl>
  </w:abstractNum>
  <w:abstractNum w:abstractNumId="5">
    <w:nsid w:val="F6A00294"/>
    <w:multiLevelType w:val="singleLevel"/>
    <w:tmpl w:val="F6A00294"/>
    <w:lvl w:ilvl="0" w:tentative="0">
      <w:start w:val="1"/>
      <w:numFmt w:val="chineseCounting"/>
      <w:suff w:val="nothing"/>
      <w:lvlText w:val="（%1）"/>
      <w:lvlJc w:val="left"/>
      <w:rPr>
        <w:rFonts w:hint="eastAsia"/>
      </w:rPr>
    </w:lvl>
  </w:abstractNum>
  <w:abstractNum w:abstractNumId="6">
    <w:nsid w:val="77F039E6"/>
    <w:multiLevelType w:val="singleLevel"/>
    <w:tmpl w:val="77F039E6"/>
    <w:lvl w:ilvl="0" w:tentative="0">
      <w:start w:val="2"/>
      <w:numFmt w:val="chineseCounting"/>
      <w:suff w:val="nothing"/>
      <w:lvlText w:val="（%1）"/>
      <w:lvlJc w:val="left"/>
      <w:rPr>
        <w:rFonts w:hint="eastAsia"/>
      </w:rPr>
    </w:lvl>
  </w:abstractNum>
  <w:num w:numId="1">
    <w:abstractNumId w:val="3"/>
  </w:num>
  <w:num w:numId="2">
    <w:abstractNumId w:val="0"/>
  </w:num>
  <w:num w:numId="3">
    <w:abstractNumId w:val="6"/>
  </w:num>
  <w:num w:numId="4">
    <w:abstractNumId w:val="2"/>
  </w:num>
  <w:num w:numId="5">
    <w:abstractNumId w:val="4"/>
  </w:num>
  <w:num w:numId="6">
    <w:abstractNumId w:val="5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bordersDoNotSurroundHeader w:val="0"/>
  <w:bordersDoNotSurroundFooter w:val="0"/>
  <w:documentProtection w:enforcement="0"/>
  <w:defaultTabStop w:val="420"/>
  <w:drawingGridHorizontalSpacing w:val="210"/>
  <w:drawingGridVerticalSpacing w:val="157"/>
  <w:displayHorizontalDrawingGridEvery w:val="1"/>
  <w:displayVerticalDrawingGridEvery w:val="1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3,4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DE3M2FmMjA4NzEwNWRjNDEwODY5YmI4YmVmMTdkMjQifQ=="/>
    <w:docVar w:name="KSO_WPS_MARK_KEY" w:val="ba787d4d-52d8-4b21-a56d-b9a2efbecc95"/>
  </w:docVars>
  <w:rsids>
    <w:rsidRoot w:val="0CCB7736"/>
    <w:rsid w:val="00047FEF"/>
    <w:rsid w:val="000A3906"/>
    <w:rsid w:val="001776F1"/>
    <w:rsid w:val="006F0A16"/>
    <w:rsid w:val="00773328"/>
    <w:rsid w:val="00821883"/>
    <w:rsid w:val="00917857"/>
    <w:rsid w:val="00951882"/>
    <w:rsid w:val="00A755C2"/>
    <w:rsid w:val="00D06DD6"/>
    <w:rsid w:val="011D2710"/>
    <w:rsid w:val="016A347B"/>
    <w:rsid w:val="01B42948"/>
    <w:rsid w:val="01BF20E7"/>
    <w:rsid w:val="01E4322D"/>
    <w:rsid w:val="021138F7"/>
    <w:rsid w:val="02B50488"/>
    <w:rsid w:val="0338470A"/>
    <w:rsid w:val="034822A9"/>
    <w:rsid w:val="03D86621"/>
    <w:rsid w:val="04EE6171"/>
    <w:rsid w:val="05315F6B"/>
    <w:rsid w:val="05395EA9"/>
    <w:rsid w:val="0616597F"/>
    <w:rsid w:val="06426ACC"/>
    <w:rsid w:val="07A62D33"/>
    <w:rsid w:val="086B5F82"/>
    <w:rsid w:val="09E6794E"/>
    <w:rsid w:val="0A067AB9"/>
    <w:rsid w:val="0ABD557B"/>
    <w:rsid w:val="0BBB5A8D"/>
    <w:rsid w:val="0C104906"/>
    <w:rsid w:val="0C607C21"/>
    <w:rsid w:val="0CCB7736"/>
    <w:rsid w:val="0D9E0E8D"/>
    <w:rsid w:val="0E1F65D3"/>
    <w:rsid w:val="0E3E5716"/>
    <w:rsid w:val="0E6B257C"/>
    <w:rsid w:val="0EAB7397"/>
    <w:rsid w:val="0EF755B3"/>
    <w:rsid w:val="0F17035E"/>
    <w:rsid w:val="0F4E168D"/>
    <w:rsid w:val="0F7A0392"/>
    <w:rsid w:val="0FAF3959"/>
    <w:rsid w:val="0FD26E31"/>
    <w:rsid w:val="1020625B"/>
    <w:rsid w:val="11404466"/>
    <w:rsid w:val="11837AA9"/>
    <w:rsid w:val="11963ADD"/>
    <w:rsid w:val="11EB0F5C"/>
    <w:rsid w:val="11F20483"/>
    <w:rsid w:val="12123C76"/>
    <w:rsid w:val="12831010"/>
    <w:rsid w:val="129038DB"/>
    <w:rsid w:val="13441D7E"/>
    <w:rsid w:val="136F31F8"/>
    <w:rsid w:val="138750E0"/>
    <w:rsid w:val="1396506E"/>
    <w:rsid w:val="13D82A59"/>
    <w:rsid w:val="140E6961"/>
    <w:rsid w:val="15604228"/>
    <w:rsid w:val="15A620D3"/>
    <w:rsid w:val="16A3369E"/>
    <w:rsid w:val="17114A8B"/>
    <w:rsid w:val="176B77A7"/>
    <w:rsid w:val="178536BD"/>
    <w:rsid w:val="19516372"/>
    <w:rsid w:val="19575CC2"/>
    <w:rsid w:val="19A80228"/>
    <w:rsid w:val="19AF68C7"/>
    <w:rsid w:val="19E85A53"/>
    <w:rsid w:val="1A101464"/>
    <w:rsid w:val="1A4C1518"/>
    <w:rsid w:val="1AB71087"/>
    <w:rsid w:val="1AB74849"/>
    <w:rsid w:val="1AC52FF2"/>
    <w:rsid w:val="1AE6175D"/>
    <w:rsid w:val="1B742AA7"/>
    <w:rsid w:val="1BD5498B"/>
    <w:rsid w:val="1BEC0813"/>
    <w:rsid w:val="1BF15B4E"/>
    <w:rsid w:val="1CA34935"/>
    <w:rsid w:val="1D5A640E"/>
    <w:rsid w:val="1E9351E5"/>
    <w:rsid w:val="1F7640EC"/>
    <w:rsid w:val="20176B8B"/>
    <w:rsid w:val="20D30097"/>
    <w:rsid w:val="20D76C5F"/>
    <w:rsid w:val="20E55C2B"/>
    <w:rsid w:val="21057490"/>
    <w:rsid w:val="214A230E"/>
    <w:rsid w:val="21B052C4"/>
    <w:rsid w:val="22B43877"/>
    <w:rsid w:val="22CA430C"/>
    <w:rsid w:val="22DF2F05"/>
    <w:rsid w:val="22F8223D"/>
    <w:rsid w:val="22FF5445"/>
    <w:rsid w:val="23201E3D"/>
    <w:rsid w:val="2342170A"/>
    <w:rsid w:val="238D0E57"/>
    <w:rsid w:val="24256710"/>
    <w:rsid w:val="251E7983"/>
    <w:rsid w:val="25FE2B31"/>
    <w:rsid w:val="260D5D83"/>
    <w:rsid w:val="260E1D77"/>
    <w:rsid w:val="277A77CA"/>
    <w:rsid w:val="28043432"/>
    <w:rsid w:val="284A2254"/>
    <w:rsid w:val="28AD5878"/>
    <w:rsid w:val="29165294"/>
    <w:rsid w:val="292F1467"/>
    <w:rsid w:val="29786927"/>
    <w:rsid w:val="297B51B4"/>
    <w:rsid w:val="29E40467"/>
    <w:rsid w:val="29F527E2"/>
    <w:rsid w:val="2A9A1E2C"/>
    <w:rsid w:val="2BF35971"/>
    <w:rsid w:val="2C487650"/>
    <w:rsid w:val="2C5A7AC4"/>
    <w:rsid w:val="2E4F43C0"/>
    <w:rsid w:val="2EC7368E"/>
    <w:rsid w:val="2EDC05D9"/>
    <w:rsid w:val="2F240CAA"/>
    <w:rsid w:val="2F5137B6"/>
    <w:rsid w:val="2FF62815"/>
    <w:rsid w:val="30FB4B41"/>
    <w:rsid w:val="31621165"/>
    <w:rsid w:val="322E1E8E"/>
    <w:rsid w:val="323C5548"/>
    <w:rsid w:val="33235CE2"/>
    <w:rsid w:val="33CB47FE"/>
    <w:rsid w:val="33F22F3B"/>
    <w:rsid w:val="359F2200"/>
    <w:rsid w:val="35A42962"/>
    <w:rsid w:val="36AD0EA9"/>
    <w:rsid w:val="36FF783F"/>
    <w:rsid w:val="37450F88"/>
    <w:rsid w:val="375F1A7E"/>
    <w:rsid w:val="378B026E"/>
    <w:rsid w:val="37B47BE4"/>
    <w:rsid w:val="37D6106F"/>
    <w:rsid w:val="37F52D97"/>
    <w:rsid w:val="38241593"/>
    <w:rsid w:val="38856E40"/>
    <w:rsid w:val="38BE1DF3"/>
    <w:rsid w:val="38F862EB"/>
    <w:rsid w:val="39343807"/>
    <w:rsid w:val="39887BBC"/>
    <w:rsid w:val="3A0F7AD4"/>
    <w:rsid w:val="3A53023B"/>
    <w:rsid w:val="3AF42D2D"/>
    <w:rsid w:val="3B062751"/>
    <w:rsid w:val="3B3A041F"/>
    <w:rsid w:val="3BAE6BF9"/>
    <w:rsid w:val="3BEE0229"/>
    <w:rsid w:val="3C3568D7"/>
    <w:rsid w:val="3CCA47F2"/>
    <w:rsid w:val="3CDE0708"/>
    <w:rsid w:val="3D33006A"/>
    <w:rsid w:val="3D3954D4"/>
    <w:rsid w:val="3D5877DF"/>
    <w:rsid w:val="3DAE53BC"/>
    <w:rsid w:val="3DC55CAA"/>
    <w:rsid w:val="3DD556CA"/>
    <w:rsid w:val="3DFE271A"/>
    <w:rsid w:val="3E5F4AE1"/>
    <w:rsid w:val="3E964A09"/>
    <w:rsid w:val="3F450429"/>
    <w:rsid w:val="3FB6105E"/>
    <w:rsid w:val="3FBF3F86"/>
    <w:rsid w:val="3FF70715"/>
    <w:rsid w:val="3FFD550C"/>
    <w:rsid w:val="4021030A"/>
    <w:rsid w:val="40226C80"/>
    <w:rsid w:val="40C451A5"/>
    <w:rsid w:val="40C671E5"/>
    <w:rsid w:val="41051ABE"/>
    <w:rsid w:val="4156470B"/>
    <w:rsid w:val="41943ACE"/>
    <w:rsid w:val="42521D88"/>
    <w:rsid w:val="425D4066"/>
    <w:rsid w:val="430118BA"/>
    <w:rsid w:val="43173FD4"/>
    <w:rsid w:val="43B27D8E"/>
    <w:rsid w:val="44143822"/>
    <w:rsid w:val="44654A12"/>
    <w:rsid w:val="44E421C9"/>
    <w:rsid w:val="45320384"/>
    <w:rsid w:val="457C5F26"/>
    <w:rsid w:val="4716830A"/>
    <w:rsid w:val="47BF53CA"/>
    <w:rsid w:val="47C166C6"/>
    <w:rsid w:val="48B126BB"/>
    <w:rsid w:val="49CF255F"/>
    <w:rsid w:val="4A3239D7"/>
    <w:rsid w:val="4B2C5DCD"/>
    <w:rsid w:val="4B46D032"/>
    <w:rsid w:val="4B7D1173"/>
    <w:rsid w:val="4BBDFBDE"/>
    <w:rsid w:val="4BCF5C41"/>
    <w:rsid w:val="4C150E22"/>
    <w:rsid w:val="4C6A38FC"/>
    <w:rsid w:val="4CD520DA"/>
    <w:rsid w:val="4CE74BC3"/>
    <w:rsid w:val="4CEEB85C"/>
    <w:rsid w:val="4CF5000E"/>
    <w:rsid w:val="4D6D6EEB"/>
    <w:rsid w:val="4DB17672"/>
    <w:rsid w:val="4DB27F04"/>
    <w:rsid w:val="4F5D15A2"/>
    <w:rsid w:val="4FCB46B2"/>
    <w:rsid w:val="4FFE57BD"/>
    <w:rsid w:val="50AC44C4"/>
    <w:rsid w:val="50EA6DB9"/>
    <w:rsid w:val="51453FF0"/>
    <w:rsid w:val="515661FD"/>
    <w:rsid w:val="51714DE5"/>
    <w:rsid w:val="51CA7471"/>
    <w:rsid w:val="521C2FA3"/>
    <w:rsid w:val="522529B2"/>
    <w:rsid w:val="524806C4"/>
    <w:rsid w:val="5301082D"/>
    <w:rsid w:val="5387476B"/>
    <w:rsid w:val="53910AF4"/>
    <w:rsid w:val="53FBDA3F"/>
    <w:rsid w:val="54F63F7F"/>
    <w:rsid w:val="555952B3"/>
    <w:rsid w:val="555E65E4"/>
    <w:rsid w:val="556B5A36"/>
    <w:rsid w:val="5599697B"/>
    <w:rsid w:val="55AF40BB"/>
    <w:rsid w:val="55E65FDC"/>
    <w:rsid w:val="5613734A"/>
    <w:rsid w:val="562D7E5B"/>
    <w:rsid w:val="564F3D12"/>
    <w:rsid w:val="56F72F7C"/>
    <w:rsid w:val="5717642E"/>
    <w:rsid w:val="57946554"/>
    <w:rsid w:val="57D80A00"/>
    <w:rsid w:val="586243BF"/>
    <w:rsid w:val="58FD3402"/>
    <w:rsid w:val="5968027A"/>
    <w:rsid w:val="5AAF7799"/>
    <w:rsid w:val="5AB04BD0"/>
    <w:rsid w:val="5B5C1753"/>
    <w:rsid w:val="5BE211F7"/>
    <w:rsid w:val="5BF510BE"/>
    <w:rsid w:val="5C6C4B26"/>
    <w:rsid w:val="5D03DFF6"/>
    <w:rsid w:val="5D9C3D56"/>
    <w:rsid w:val="5DD775C7"/>
    <w:rsid w:val="5E134100"/>
    <w:rsid w:val="5F7A1C50"/>
    <w:rsid w:val="5FC69000"/>
    <w:rsid w:val="601C4AB5"/>
    <w:rsid w:val="604F2F3E"/>
    <w:rsid w:val="60BE691E"/>
    <w:rsid w:val="60F838FC"/>
    <w:rsid w:val="61444403"/>
    <w:rsid w:val="62265BDF"/>
    <w:rsid w:val="62E1699A"/>
    <w:rsid w:val="62FBC294"/>
    <w:rsid w:val="63123C13"/>
    <w:rsid w:val="637D5875"/>
    <w:rsid w:val="64147F0D"/>
    <w:rsid w:val="64B713E7"/>
    <w:rsid w:val="64D66362"/>
    <w:rsid w:val="65860217"/>
    <w:rsid w:val="659D5052"/>
    <w:rsid w:val="667E0AA1"/>
    <w:rsid w:val="66AE5CE5"/>
    <w:rsid w:val="66D4191C"/>
    <w:rsid w:val="677027A4"/>
    <w:rsid w:val="67B37C7A"/>
    <w:rsid w:val="67F20A94"/>
    <w:rsid w:val="68CF4314"/>
    <w:rsid w:val="68FB17C3"/>
    <w:rsid w:val="695F12F9"/>
    <w:rsid w:val="69636C3A"/>
    <w:rsid w:val="696D83E8"/>
    <w:rsid w:val="69C60A20"/>
    <w:rsid w:val="69CF7B2C"/>
    <w:rsid w:val="69EE4FDB"/>
    <w:rsid w:val="69FEC155"/>
    <w:rsid w:val="6A0B0004"/>
    <w:rsid w:val="6A3273AF"/>
    <w:rsid w:val="6AC56475"/>
    <w:rsid w:val="6AD35263"/>
    <w:rsid w:val="6B8D38AE"/>
    <w:rsid w:val="6BA1010E"/>
    <w:rsid w:val="6BC80F42"/>
    <w:rsid w:val="6CE47E41"/>
    <w:rsid w:val="6CED5810"/>
    <w:rsid w:val="6CF92413"/>
    <w:rsid w:val="6DFE5E04"/>
    <w:rsid w:val="6E0D1F7B"/>
    <w:rsid w:val="6E796921"/>
    <w:rsid w:val="6E87203D"/>
    <w:rsid w:val="6F9278BB"/>
    <w:rsid w:val="6FB7D4E3"/>
    <w:rsid w:val="6FBE0EF0"/>
    <w:rsid w:val="6FEA4288"/>
    <w:rsid w:val="6FFF1C22"/>
    <w:rsid w:val="70EC5DDE"/>
    <w:rsid w:val="71572F19"/>
    <w:rsid w:val="719B7427"/>
    <w:rsid w:val="71E33685"/>
    <w:rsid w:val="71F326B3"/>
    <w:rsid w:val="724A6793"/>
    <w:rsid w:val="72640322"/>
    <w:rsid w:val="72647B59"/>
    <w:rsid w:val="7372FC32"/>
    <w:rsid w:val="73A56E44"/>
    <w:rsid w:val="73B12A87"/>
    <w:rsid w:val="741F26FA"/>
    <w:rsid w:val="74470DF8"/>
    <w:rsid w:val="744E1D52"/>
    <w:rsid w:val="74BD60BB"/>
    <w:rsid w:val="74CF0052"/>
    <w:rsid w:val="74FA3C0D"/>
    <w:rsid w:val="751D6EAE"/>
    <w:rsid w:val="75FD1676"/>
    <w:rsid w:val="7687113B"/>
    <w:rsid w:val="76C3247D"/>
    <w:rsid w:val="76EFC8B0"/>
    <w:rsid w:val="776ACBF9"/>
    <w:rsid w:val="77FF7A21"/>
    <w:rsid w:val="7951325E"/>
    <w:rsid w:val="799536BA"/>
    <w:rsid w:val="7B170752"/>
    <w:rsid w:val="7B382425"/>
    <w:rsid w:val="7B8F681B"/>
    <w:rsid w:val="7BC55225"/>
    <w:rsid w:val="7BFF9B5C"/>
    <w:rsid w:val="7C3B673F"/>
    <w:rsid w:val="7CED5089"/>
    <w:rsid w:val="7D8636B9"/>
    <w:rsid w:val="7DD96C0E"/>
    <w:rsid w:val="7E352599"/>
    <w:rsid w:val="7E474F7B"/>
    <w:rsid w:val="7E7F4A49"/>
    <w:rsid w:val="7E8F7AC1"/>
    <w:rsid w:val="7F2BE2DA"/>
    <w:rsid w:val="7F7F87CE"/>
    <w:rsid w:val="7FB79B09"/>
    <w:rsid w:val="7FE97AB9"/>
    <w:rsid w:val="7FF13FB3"/>
    <w:rsid w:val="7FF31D0E"/>
    <w:rsid w:val="7FFDD6B3"/>
    <w:rsid w:val="7FFFB476"/>
    <w:rsid w:val="8BDF47C4"/>
    <w:rsid w:val="97BCC380"/>
    <w:rsid w:val="9FFF52D8"/>
    <w:rsid w:val="AEB56B76"/>
    <w:rsid w:val="AF9DF110"/>
    <w:rsid w:val="AFABB544"/>
    <w:rsid w:val="B8EB831F"/>
    <w:rsid w:val="B97CA8A2"/>
    <w:rsid w:val="BDEC0853"/>
    <w:rsid w:val="BEDF2C93"/>
    <w:rsid w:val="BFCF8B12"/>
    <w:rsid w:val="BFDE3C5E"/>
    <w:rsid w:val="BFF98747"/>
    <w:rsid w:val="BFFBFE8B"/>
    <w:rsid w:val="CD1D59DB"/>
    <w:rsid w:val="D8BFEB7A"/>
    <w:rsid w:val="DA7C7C00"/>
    <w:rsid w:val="DBBAFFF2"/>
    <w:rsid w:val="DCEDDEBC"/>
    <w:rsid w:val="DD7F0B52"/>
    <w:rsid w:val="DF2D0D8F"/>
    <w:rsid w:val="DF5FFD2E"/>
    <w:rsid w:val="DF7CB467"/>
    <w:rsid w:val="DFD16BC5"/>
    <w:rsid w:val="E7C7ECFD"/>
    <w:rsid w:val="E993F613"/>
    <w:rsid w:val="EAF02C80"/>
    <w:rsid w:val="EAFDC676"/>
    <w:rsid w:val="EC7CC44F"/>
    <w:rsid w:val="EDFFCE85"/>
    <w:rsid w:val="EFFEB24D"/>
    <w:rsid w:val="EFFFEA89"/>
    <w:rsid w:val="F67CDAB7"/>
    <w:rsid w:val="F7FFE2AA"/>
    <w:rsid w:val="FA96002D"/>
    <w:rsid w:val="FAFB27C0"/>
    <w:rsid w:val="FAFD7633"/>
    <w:rsid w:val="FB1719BC"/>
    <w:rsid w:val="FB2CBFEE"/>
    <w:rsid w:val="FBF58250"/>
    <w:rsid w:val="FCABCEC9"/>
    <w:rsid w:val="FD2B24D7"/>
    <w:rsid w:val="FDB340CE"/>
    <w:rsid w:val="FDFF90A7"/>
    <w:rsid w:val="FECB43AA"/>
    <w:rsid w:val="FEF02C5D"/>
    <w:rsid w:val="FEF9D4A3"/>
    <w:rsid w:val="FF5F60DE"/>
    <w:rsid w:val="FF5FC66C"/>
    <w:rsid w:val="FF9F4BB4"/>
    <w:rsid w:val="FFBB7CF0"/>
    <w:rsid w:val="FFDD4AC6"/>
    <w:rsid w:val="FFDEE716"/>
    <w:rsid w:val="FFF927C6"/>
    <w:rsid w:val="FFFB44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qFormat="1" w:unhideWhenUsed="0" w:uiPriority="0" w:semiHidden="0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qFormat="1" w:unhideWhenUsed="0" w:uiPriority="0" w:semiHidden="0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99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qFormat="1" w:unhideWhenUsed="0" w:uiPriority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qFormat/>
    <w:locked/>
    <w:uiPriority w:val="0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11">
    <w:name w:val="Default Paragraph Font"/>
    <w:semiHidden/>
    <w:qFormat/>
    <w:uiPriority w:val="99"/>
  </w:style>
  <w:style w:type="table" w:default="1" w:styleId="9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eastAsia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note text"/>
    <w:basedOn w:val="1"/>
    <w:next w:val="1"/>
    <w:qFormat/>
    <w:uiPriority w:val="0"/>
    <w:pPr>
      <w:snapToGrid w:val="0"/>
      <w:jc w:val="left"/>
    </w:pPr>
    <w:rPr>
      <w:sz w:val="18"/>
      <w:szCs w:val="18"/>
    </w:rPr>
  </w:style>
  <w:style w:type="paragraph" w:styleId="4">
    <w:name w:val="Body Text"/>
    <w:basedOn w:val="1"/>
    <w:next w:val="5"/>
    <w:semiHidden/>
    <w:qFormat/>
    <w:uiPriority w:val="0"/>
    <w:rPr>
      <w:rFonts w:ascii="仿宋" w:hAnsi="仿宋" w:eastAsia="仿宋" w:cs="仿宋"/>
      <w:sz w:val="31"/>
      <w:szCs w:val="31"/>
      <w:lang w:val="en-US" w:eastAsia="en-US" w:bidi="ar-SA"/>
    </w:rPr>
  </w:style>
  <w:style w:type="paragraph" w:styleId="5">
    <w:name w:val="toc 5"/>
    <w:basedOn w:val="1"/>
    <w:next w:val="1"/>
    <w:qFormat/>
    <w:uiPriority w:val="0"/>
    <w:pPr>
      <w:ind w:left="1680" w:leftChars="800"/>
    </w:pPr>
  </w:style>
  <w:style w:type="paragraph" w:styleId="6">
    <w:name w:val="footer"/>
    <w:basedOn w:val="1"/>
    <w:link w:val="13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4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8">
    <w:name w:val="Normal (Web)"/>
    <w:basedOn w:val="1"/>
    <w:qFormat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pBdr>
      <w:spacing w:before="0" w:beforeAutospacing="0" w:after="0" w:afterAutospacing="0"/>
      <w:ind w:left="0" w:right="0"/>
      <w:jc w:val="left"/>
    </w:pPr>
    <w:rPr>
      <w:kern w:val="0"/>
      <w:sz w:val="24"/>
      <w:lang w:val="en-US" w:eastAsia="zh-CN" w:bidi="ar"/>
    </w:rPr>
  </w:style>
  <w:style w:type="table" w:styleId="10">
    <w:name w:val="Table Grid"/>
    <w:basedOn w:val="9"/>
    <w:qFormat/>
    <w:uiPriority w:val="99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2">
    <w:name w:val="page number"/>
    <w:basedOn w:val="11"/>
    <w:qFormat/>
    <w:uiPriority w:val="99"/>
    <w:rPr>
      <w:rFonts w:cs="Times New Roman"/>
    </w:rPr>
  </w:style>
  <w:style w:type="character" w:customStyle="1" w:styleId="13">
    <w:name w:val="Footer Char"/>
    <w:basedOn w:val="11"/>
    <w:link w:val="6"/>
    <w:semiHidden/>
    <w:qFormat/>
    <w:uiPriority w:val="99"/>
    <w:rPr>
      <w:sz w:val="18"/>
      <w:szCs w:val="18"/>
    </w:rPr>
  </w:style>
  <w:style w:type="character" w:customStyle="1" w:styleId="14">
    <w:name w:val="Header Char"/>
    <w:basedOn w:val="11"/>
    <w:link w:val="7"/>
    <w:semiHidden/>
    <w:qFormat/>
    <w:uiPriority w:val="99"/>
    <w:rPr>
      <w:sz w:val="18"/>
      <w:szCs w:val="18"/>
    </w:rPr>
  </w:style>
  <w:style w:type="paragraph" w:styleId="15">
    <w:name w:val="List Paragraph"/>
    <w:basedOn w:val="1"/>
    <w:qFormat/>
    <w:uiPriority w:val="99"/>
    <w:pPr>
      <w:ind w:firstLine="420" w:firstLineChars="200"/>
    </w:pPr>
    <w:rPr>
      <w:rFonts w:ascii="Calibri" w:hAnsi="Calibri"/>
      <w:szCs w:val="22"/>
    </w:rPr>
  </w:style>
  <w:style w:type="table" w:customStyle="1" w:styleId="16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7">
    <w:name w:val="Table Text"/>
    <w:basedOn w:val="1"/>
    <w:semiHidden/>
    <w:qFormat/>
    <w:uiPriority w:val="0"/>
    <w:rPr>
      <w:rFonts w:ascii="Arial" w:hAnsi="Arial" w:eastAsia="Arial" w:cs="Arial"/>
      <w:sz w:val="21"/>
      <w:szCs w:val="21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numbering" Target="numbering.xml"/><Relationship Id="rId7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oter" Target="footer3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Pages>6</Pages>
  <Words>1374</Words>
  <Characters>1420</Characters>
  <Lines>0</Lines>
  <Paragraphs>0</Paragraphs>
  <TotalTime>14</TotalTime>
  <ScaleCrop>false</ScaleCrop>
  <LinksUpToDate>false</LinksUpToDate>
  <CharactersWithSpaces>1439</CharactersWithSpaces>
  <Application>WPS Office_11.1.0.12980_F1E327BC-269C-435d-A152-05C5408002CA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2020-06-06T01:07:00Z</dcterms:created>
  <dc:creator>Administrator</dc:creator>
  <cp:lastModifiedBy>李红</cp:lastModifiedBy>
  <cp:lastPrinted>2024-05-20T07:59:00Z</cp:lastPrinted>
  <dcterms:modified xsi:type="dcterms:W3CDTF">2024-05-28T04:37:31Z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2052-11.1.0.12980</vt:lpwstr>
  </property>
  <property fmtid="{D5CDD505-2E9C-101B-9397-08002B2CF9AE}" pid="3" name="KSOSaveFontToCloudKey">
    <vt:lpwstr>386772509_embed</vt:lpwstr>
  </property>
  <property fmtid="{D5CDD505-2E9C-101B-9397-08002B2CF9AE}" pid="4" name="ICV">
    <vt:lpwstr>F96CC6F13C934D6E834055B675BCA8AB_13</vt:lpwstr>
  </property>
</Properties>
</file>