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left="-28" w:right="95" w:firstLine="496"/>
      </w:pPr>
    </w:p>
    <w:p>
      <w:pPr>
        <w:ind w:left="-28" w:right="95" w:firstLine="496"/>
      </w:pPr>
    </w:p>
    <w:p>
      <w:pPr>
        <w:ind w:left="-28" w:right="95" w:firstLine="552"/>
      </w:pPr>
      <w:r>
        <w:rPr>
          <w:rFonts w:hint="eastAsia" w:ascii="仿宋_GB2312" w:hAnsi="仿宋_GB2312" w:eastAsia="仿宋_GB2312" w:cs="仿宋_GB2312"/>
          <w:spacing w:val="-4"/>
          <w:sz w:val="32"/>
          <w:szCs w:val="32"/>
        </w:rPr>
        <w:t>附件</w:t>
      </w:r>
      <w:r>
        <w:rPr>
          <w:rFonts w:ascii="仿宋_GB2312" w:hAnsi="仿宋_GB2312" w:eastAsia="仿宋_GB2312" w:cs="仿宋_GB2312"/>
          <w:spacing w:val="-4"/>
          <w:sz w:val="32"/>
          <w:szCs w:val="32"/>
        </w:rPr>
        <w:t>3</w:t>
      </w:r>
    </w:p>
    <w:p>
      <w:pPr>
        <w:spacing w:line="251" w:lineRule="auto"/>
        <w:ind w:left="-28" w:right="95" w:firstLine="496"/>
        <w:rPr>
          <w:rFonts w:ascii="Arial"/>
        </w:rPr>
      </w:pPr>
    </w:p>
    <w:p>
      <w:pPr>
        <w:spacing w:line="251" w:lineRule="auto"/>
        <w:ind w:left="-28" w:right="95" w:firstLine="496"/>
        <w:rPr>
          <w:rFonts w:ascii="Arial"/>
        </w:rPr>
      </w:pPr>
    </w:p>
    <w:p>
      <w:pPr>
        <w:ind w:left="-28" w:right="95" w:firstLine="496"/>
        <w:rPr>
          <w:rFonts w:ascii="Arial"/>
        </w:rPr>
      </w:pPr>
    </w:p>
    <w:p>
      <w:pPr>
        <w:pStyle w:val="2"/>
        <w:ind w:left="-28" w:right="95"/>
      </w:pPr>
    </w:p>
    <w:p>
      <w:pPr>
        <w:ind w:left="-28" w:right="95" w:firstLine="496"/>
      </w:pPr>
    </w:p>
    <w:p>
      <w:pPr>
        <w:spacing w:before="223" w:line="218" w:lineRule="auto"/>
        <w:ind w:left="2072" w:right="95" w:hanging="2072" w:hangingChars="400"/>
        <w:jc w:val="center"/>
        <w:rPr>
          <w:rFonts w:ascii="方正小标宋简体" w:hAnsi="方正小标宋简体" w:eastAsia="方正小标宋简体" w:cs="方正小标宋简体"/>
          <w:spacing w:val="-1"/>
          <w:sz w:val="52"/>
          <w:szCs w:val="52"/>
        </w:rPr>
      </w:pPr>
      <w:r>
        <w:rPr>
          <w:rFonts w:ascii="方正小标宋简体" w:hAnsi="方正小标宋简体" w:eastAsia="方正小标宋简体" w:cs="方正小标宋简体"/>
          <w:spacing w:val="-1"/>
          <w:sz w:val="52"/>
          <w:szCs w:val="52"/>
        </w:rPr>
        <w:t>2023</w:t>
      </w:r>
      <w:r>
        <w:rPr>
          <w:rFonts w:hint="eastAsia" w:ascii="方正小标宋简体" w:hAnsi="方正小标宋简体" w:eastAsia="方正小标宋简体" w:cs="方正小标宋简体"/>
          <w:spacing w:val="-1"/>
          <w:sz w:val="52"/>
          <w:szCs w:val="52"/>
        </w:rPr>
        <w:t>年度农业综合行政执法大队</w:t>
      </w:r>
    </w:p>
    <w:p>
      <w:pPr>
        <w:spacing w:before="223" w:line="218" w:lineRule="auto"/>
        <w:ind w:left="2072" w:right="95" w:hanging="2072" w:hangingChars="400"/>
        <w:jc w:val="center"/>
        <w:rPr>
          <w:rFonts w:ascii="方正小标宋简体" w:hAnsi="方正小标宋简体" w:eastAsia="方正小标宋简体" w:cs="方正小标宋简体"/>
          <w:sz w:val="52"/>
          <w:szCs w:val="52"/>
        </w:rPr>
      </w:pPr>
      <w:r>
        <w:rPr>
          <w:rFonts w:hint="eastAsia" w:ascii="方正小标宋简体" w:hAnsi="方正小标宋简体" w:eastAsia="方正小标宋简体" w:cs="方正小标宋简体"/>
          <w:spacing w:val="-1"/>
          <w:sz w:val="52"/>
          <w:szCs w:val="52"/>
        </w:rPr>
        <w:t>整体支出</w:t>
      </w:r>
      <w:r>
        <w:rPr>
          <w:rFonts w:hint="eastAsia" w:ascii="方正小标宋简体" w:hAnsi="方正小标宋简体" w:eastAsia="方正小标宋简体" w:cs="方正小标宋简体"/>
          <w:spacing w:val="-3"/>
          <w:sz w:val="52"/>
          <w:szCs w:val="52"/>
        </w:rPr>
        <w:t>绩效自评报告</w:t>
      </w:r>
    </w:p>
    <w:p>
      <w:pPr>
        <w:spacing w:line="243" w:lineRule="auto"/>
        <w:ind w:left="-28" w:right="95" w:firstLine="496"/>
        <w:rPr>
          <w:rFonts w:ascii="Arial"/>
        </w:rPr>
      </w:pPr>
    </w:p>
    <w:p>
      <w:pPr>
        <w:spacing w:line="243" w:lineRule="auto"/>
        <w:ind w:left="-28" w:right="95" w:firstLine="496"/>
        <w:rPr>
          <w:rFonts w:ascii="Arial"/>
        </w:rPr>
      </w:pPr>
    </w:p>
    <w:p>
      <w:pPr>
        <w:spacing w:line="243" w:lineRule="auto"/>
        <w:ind w:left="-28" w:right="95" w:firstLine="496"/>
        <w:rPr>
          <w:rFonts w:ascii="Arial"/>
        </w:rPr>
      </w:pPr>
    </w:p>
    <w:p>
      <w:pPr>
        <w:spacing w:line="243" w:lineRule="auto"/>
        <w:ind w:left="-28" w:right="95" w:firstLine="496"/>
        <w:rPr>
          <w:rFonts w:ascii="Arial"/>
        </w:rPr>
      </w:pPr>
    </w:p>
    <w:p>
      <w:pPr>
        <w:spacing w:line="243" w:lineRule="auto"/>
        <w:ind w:left="-28" w:right="95" w:firstLine="496"/>
        <w:rPr>
          <w:rFonts w:ascii="Arial"/>
        </w:rPr>
      </w:pPr>
    </w:p>
    <w:p>
      <w:pPr>
        <w:spacing w:line="243" w:lineRule="auto"/>
        <w:ind w:left="-28" w:right="95" w:firstLine="496"/>
        <w:rPr>
          <w:rFonts w:ascii="Arial"/>
        </w:rPr>
      </w:pPr>
    </w:p>
    <w:p>
      <w:pPr>
        <w:pStyle w:val="2"/>
        <w:ind w:left="-28" w:right="95"/>
      </w:pPr>
    </w:p>
    <w:p>
      <w:pPr>
        <w:spacing w:line="243" w:lineRule="auto"/>
        <w:ind w:left="-28" w:right="95" w:firstLine="496"/>
        <w:rPr>
          <w:rFonts w:ascii="Arial"/>
        </w:rPr>
      </w:pPr>
    </w:p>
    <w:p>
      <w:pPr>
        <w:spacing w:line="243" w:lineRule="auto"/>
        <w:ind w:left="-28" w:right="95" w:firstLine="496"/>
        <w:rPr>
          <w:rFonts w:ascii="Arial"/>
        </w:rPr>
      </w:pPr>
    </w:p>
    <w:p>
      <w:pPr>
        <w:spacing w:line="243" w:lineRule="auto"/>
        <w:ind w:left="-28" w:right="95" w:firstLine="496"/>
        <w:rPr>
          <w:rFonts w:ascii="Arial"/>
        </w:rPr>
      </w:pPr>
    </w:p>
    <w:p>
      <w:pPr>
        <w:spacing w:line="243" w:lineRule="auto"/>
        <w:ind w:left="-28" w:right="95" w:firstLine="496"/>
        <w:rPr>
          <w:rFonts w:ascii="Arial"/>
        </w:rPr>
      </w:pPr>
    </w:p>
    <w:p>
      <w:pPr>
        <w:spacing w:line="243" w:lineRule="auto"/>
        <w:ind w:left="-28" w:right="95" w:firstLine="496"/>
        <w:rPr>
          <w:rFonts w:ascii="Arial"/>
        </w:rPr>
      </w:pPr>
    </w:p>
    <w:p>
      <w:pPr>
        <w:spacing w:line="243" w:lineRule="auto"/>
        <w:ind w:left="-28" w:right="95" w:firstLine="496"/>
        <w:rPr>
          <w:rFonts w:ascii="Arial"/>
        </w:rPr>
      </w:pPr>
    </w:p>
    <w:p>
      <w:pPr>
        <w:spacing w:line="244" w:lineRule="auto"/>
        <w:ind w:left="-28" w:right="95" w:firstLine="496"/>
        <w:rPr>
          <w:rFonts w:ascii="Arial"/>
        </w:rPr>
      </w:pPr>
    </w:p>
    <w:p>
      <w:pPr>
        <w:spacing w:line="244" w:lineRule="auto"/>
        <w:ind w:left="-28" w:right="95" w:firstLine="496"/>
        <w:rPr>
          <w:rFonts w:ascii="Arial"/>
        </w:rPr>
      </w:pPr>
    </w:p>
    <w:p>
      <w:pPr>
        <w:pStyle w:val="4"/>
        <w:spacing w:before="100" w:line="221" w:lineRule="auto"/>
        <w:ind w:left="-28" w:right="95" w:firstLine="600" w:firstLineChars="200"/>
        <w:rPr>
          <w:rFonts w:ascii="仿宋_GB2312" w:hAnsi="仿宋_GB2312" w:eastAsia="仿宋_GB2312" w:cs="仿宋_GB2312"/>
          <w:sz w:val="32"/>
          <w:szCs w:val="32"/>
        </w:rPr>
      </w:pPr>
      <w:r>
        <w:rPr>
          <w:rFonts w:hint="eastAsia" w:ascii="仿宋_GB2312" w:hAnsi="仿宋_GB2312" w:eastAsia="仿宋_GB2312" w:cs="仿宋_GB2312"/>
          <w:spacing w:val="-10"/>
          <w:sz w:val="32"/>
          <w:szCs w:val="32"/>
        </w:rPr>
        <w:t>部门（单位）名称</w:t>
      </w:r>
      <w:r>
        <w:rPr>
          <w:rFonts w:hint="eastAsia" w:ascii="仿宋_GB2312" w:hAnsi="仿宋_GB2312" w:eastAsia="仿宋_GB2312" w:cs="仿宋_GB2312"/>
          <w:spacing w:val="4"/>
          <w:sz w:val="32"/>
          <w:szCs w:val="32"/>
        </w:rPr>
        <w:t>：</w:t>
      </w:r>
      <w:r>
        <w:rPr>
          <w:rFonts w:ascii="仿宋_GB2312" w:hAnsi="仿宋_GB2312" w:eastAsia="仿宋_GB2312" w:cs="仿宋_GB2312"/>
          <w:spacing w:val="4"/>
          <w:sz w:val="32"/>
          <w:szCs w:val="32"/>
          <w:u w:val="single"/>
          <w:lang w:eastAsia="zh-CN"/>
        </w:rPr>
        <w:t>(</w:t>
      </w:r>
      <w:r>
        <w:rPr>
          <w:rFonts w:ascii="仿宋_GB2312" w:hAnsi="仿宋_GB2312" w:eastAsia="仿宋_GB2312" w:cs="仿宋_GB2312"/>
          <w:spacing w:val="-118"/>
          <w:sz w:val="32"/>
          <w:szCs w:val="32"/>
          <w:u w:val="single"/>
        </w:rPr>
        <w:t xml:space="preserve"> </w:t>
      </w:r>
      <w:r>
        <w:rPr>
          <w:rFonts w:ascii="仿宋_GB2312" w:hAnsi="仿宋_GB2312" w:eastAsia="仿宋_GB2312" w:cs="仿宋_GB2312"/>
          <w:spacing w:val="-75"/>
          <w:sz w:val="32"/>
          <w:szCs w:val="32"/>
          <w:u w:val="single"/>
        </w:rPr>
        <w:t xml:space="preserve"> </w:t>
      </w:r>
      <w:r>
        <w:rPr>
          <w:rFonts w:hint="eastAsia" w:ascii="仿宋_GB2312" w:hAnsi="仿宋_GB2312" w:eastAsia="仿宋_GB2312" w:cs="仿宋_GB2312"/>
          <w:spacing w:val="-10"/>
          <w:sz w:val="32"/>
          <w:szCs w:val="32"/>
          <w:u w:val="single"/>
        </w:rPr>
        <w:t>盖章）</w:t>
      </w:r>
      <w:r>
        <w:rPr>
          <w:rFonts w:ascii="仿宋_GB2312" w:hAnsi="仿宋_GB2312" w:eastAsia="仿宋_GB2312" w:cs="仿宋_GB2312"/>
          <w:sz w:val="32"/>
          <w:szCs w:val="32"/>
          <w:u w:val="single"/>
        </w:rPr>
        <w:t xml:space="preserve">       </w:t>
      </w:r>
      <w:r>
        <w:rPr>
          <w:rFonts w:ascii="仿宋_GB2312" w:hAnsi="仿宋_GB2312" w:eastAsia="仿宋_GB2312" w:cs="仿宋_GB2312"/>
          <w:sz w:val="32"/>
          <w:szCs w:val="32"/>
          <w:u w:val="single"/>
          <w:lang w:eastAsia="zh-CN"/>
        </w:rPr>
        <w:t xml:space="preserve">     </w:t>
      </w:r>
      <w:r>
        <w:rPr>
          <w:rFonts w:ascii="仿宋_GB2312" w:hAnsi="仿宋_GB2312" w:eastAsia="仿宋_GB2312" w:cs="仿宋_GB2312"/>
          <w:sz w:val="32"/>
          <w:szCs w:val="32"/>
          <w:u w:val="single"/>
        </w:rPr>
        <w:t xml:space="preserve">  </w:t>
      </w:r>
    </w:p>
    <w:p>
      <w:pPr>
        <w:spacing w:before="228" w:line="222" w:lineRule="auto"/>
        <w:ind w:left="-28" w:right="95" w:firstLine="4560" w:firstLineChars="1500"/>
        <w:rPr>
          <w:rFonts w:ascii="仿宋_GB2312" w:hAnsi="仿宋_GB2312" w:eastAsia="仿宋_GB2312" w:cs="仿宋_GB2312"/>
          <w:sz w:val="32"/>
          <w:szCs w:val="32"/>
        </w:rPr>
      </w:pPr>
      <w:r>
        <w:rPr>
          <w:rFonts w:ascii="仿宋_GB2312" w:hAnsi="仿宋_GB2312" w:eastAsia="仿宋_GB2312" w:cs="仿宋_GB2312"/>
          <w:spacing w:val="-8"/>
          <w:sz w:val="32"/>
          <w:szCs w:val="32"/>
        </w:rPr>
        <w:t>2024</w:t>
      </w:r>
      <w:r>
        <w:rPr>
          <w:rFonts w:hint="eastAsia" w:ascii="仿宋_GB2312" w:hAnsi="仿宋_GB2312" w:eastAsia="仿宋_GB2312" w:cs="仿宋_GB2312"/>
          <w:spacing w:val="-8"/>
          <w:sz w:val="32"/>
          <w:szCs w:val="32"/>
        </w:rPr>
        <w:t>年</w:t>
      </w:r>
      <w:r>
        <w:rPr>
          <w:rFonts w:ascii="仿宋_GB2312" w:hAnsi="仿宋_GB2312" w:eastAsia="仿宋_GB2312" w:cs="仿宋_GB2312"/>
          <w:spacing w:val="21"/>
          <w:sz w:val="32"/>
          <w:szCs w:val="32"/>
        </w:rPr>
        <w:t xml:space="preserve"> 5 </w:t>
      </w:r>
      <w:r>
        <w:rPr>
          <w:rFonts w:hint="eastAsia" w:ascii="仿宋_GB2312" w:hAnsi="仿宋_GB2312" w:eastAsia="仿宋_GB2312" w:cs="仿宋_GB2312"/>
          <w:spacing w:val="-8"/>
          <w:sz w:val="32"/>
          <w:szCs w:val="32"/>
        </w:rPr>
        <w:t>月</w:t>
      </w:r>
      <w:r>
        <w:rPr>
          <w:rFonts w:ascii="仿宋_GB2312" w:hAnsi="仿宋_GB2312" w:eastAsia="仿宋_GB2312" w:cs="仿宋_GB2312"/>
          <w:spacing w:val="43"/>
          <w:sz w:val="32"/>
          <w:szCs w:val="32"/>
        </w:rPr>
        <w:t xml:space="preserve"> 28 </w:t>
      </w:r>
      <w:r>
        <w:rPr>
          <w:rFonts w:hint="eastAsia" w:ascii="仿宋_GB2312" w:hAnsi="仿宋_GB2312" w:eastAsia="仿宋_GB2312" w:cs="仿宋_GB2312"/>
          <w:spacing w:val="-8"/>
          <w:sz w:val="32"/>
          <w:szCs w:val="32"/>
        </w:rPr>
        <w:t>日</w:t>
      </w:r>
    </w:p>
    <w:p>
      <w:pPr>
        <w:spacing w:line="335" w:lineRule="auto"/>
        <w:ind w:left="-28" w:right="95" w:firstLine="566"/>
        <w:rPr>
          <w:rFonts w:ascii="仿宋_GB2312" w:hAnsi="仿宋_GB2312" w:eastAsia="仿宋_GB2312" w:cs="仿宋_GB2312"/>
          <w:sz w:val="32"/>
          <w:szCs w:val="32"/>
        </w:rPr>
      </w:pPr>
    </w:p>
    <w:p>
      <w:pPr>
        <w:pStyle w:val="4"/>
        <w:spacing w:before="102" w:line="224" w:lineRule="auto"/>
        <w:ind w:left="-28" w:right="95" w:firstLine="595"/>
        <w:rPr>
          <w:rFonts w:ascii="仿宋_GB2312" w:hAnsi="仿宋_GB2312" w:eastAsia="仿宋_GB2312" w:cs="仿宋_GB2312"/>
          <w:sz w:val="32"/>
          <w:szCs w:val="32"/>
        </w:rPr>
      </w:pPr>
      <w:r>
        <w:rPr>
          <w:rFonts w:hint="eastAsia" w:ascii="仿宋_GB2312" w:hAnsi="仿宋_GB2312" w:eastAsia="仿宋_GB2312" w:cs="仿宋_GB2312"/>
          <w:spacing w:val="8"/>
          <w:sz w:val="32"/>
          <w:szCs w:val="32"/>
        </w:rPr>
        <w:t>（此页为封面）</w:t>
      </w:r>
    </w:p>
    <w:p>
      <w:pPr>
        <w:ind w:left="-28" w:right="95" w:firstLine="496"/>
        <w:sectPr>
          <w:footerReference r:id="rId3" w:type="default"/>
          <w:pgSz w:w="11905" w:h="16838"/>
          <w:pgMar w:top="157" w:right="1701" w:bottom="1984" w:left="1701" w:header="850" w:footer="0" w:gutter="0"/>
          <w:pgNumType w:fmt="numberInDash" w:start="7"/>
          <w:cols w:space="0" w:num="1"/>
          <w:docGrid w:type="lines" w:linePitch="314" w:charSpace="0"/>
        </w:sectPr>
      </w:pPr>
    </w:p>
    <w:p>
      <w:pPr>
        <w:spacing w:line="580" w:lineRule="exact"/>
        <w:ind w:left="-28" w:right="95" w:firstLine="800"/>
        <w:jc w:val="center"/>
        <w:rPr>
          <w:rFonts w:ascii="方正小标宋简体" w:hAnsi="方正小标宋简体" w:eastAsia="方正小标宋简体" w:cs="方正小标宋简体"/>
          <w:spacing w:val="6"/>
          <w:sz w:val="44"/>
          <w:szCs w:val="44"/>
        </w:rPr>
      </w:pPr>
    </w:p>
    <w:p>
      <w:pPr>
        <w:pStyle w:val="2"/>
        <w:ind w:left="-28" w:right="95"/>
      </w:pPr>
    </w:p>
    <w:p>
      <w:pPr>
        <w:spacing w:line="580" w:lineRule="exact"/>
        <w:ind w:left="-28" w:right="95" w:firstLine="800"/>
        <w:jc w:val="center"/>
        <w:rPr>
          <w:rFonts w:ascii="方正小标宋简体" w:hAnsi="方正小标宋简体" w:eastAsia="方正小标宋简体" w:cs="方正小标宋简体"/>
          <w:spacing w:val="6"/>
          <w:sz w:val="44"/>
          <w:szCs w:val="44"/>
        </w:rPr>
      </w:pPr>
      <w:r>
        <w:rPr>
          <w:rFonts w:ascii="方正小标宋简体" w:hAnsi="方正小标宋简体" w:eastAsia="方正小标宋简体" w:cs="方正小标宋简体"/>
          <w:spacing w:val="6"/>
          <w:sz w:val="44"/>
          <w:szCs w:val="44"/>
        </w:rPr>
        <w:t>2023</w:t>
      </w:r>
      <w:r>
        <w:rPr>
          <w:rFonts w:hint="eastAsia" w:ascii="方正小标宋简体" w:hAnsi="方正小标宋简体" w:eastAsia="方正小标宋简体" w:cs="方正小标宋简体"/>
          <w:spacing w:val="6"/>
          <w:sz w:val="44"/>
          <w:szCs w:val="44"/>
        </w:rPr>
        <w:t>年度农业综合行政执法大队</w:t>
      </w:r>
    </w:p>
    <w:p>
      <w:pPr>
        <w:spacing w:line="580" w:lineRule="exact"/>
        <w:ind w:left="-28" w:right="95" w:firstLine="800"/>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pacing w:val="6"/>
          <w:sz w:val="44"/>
          <w:szCs w:val="44"/>
        </w:rPr>
        <w:t>整体支出</w:t>
      </w:r>
      <w:r>
        <w:rPr>
          <w:rFonts w:hint="eastAsia" w:ascii="方正小标宋简体" w:hAnsi="方正小标宋简体" w:eastAsia="方正小标宋简体" w:cs="方正小标宋简体"/>
          <w:spacing w:val="7"/>
          <w:sz w:val="44"/>
          <w:szCs w:val="44"/>
        </w:rPr>
        <w:t>绩效自评报告</w:t>
      </w:r>
    </w:p>
    <w:p>
      <w:pPr>
        <w:spacing w:line="283" w:lineRule="auto"/>
        <w:ind w:left="-28" w:right="95" w:firstLine="496"/>
        <w:rPr>
          <w:rFonts w:ascii="Arial"/>
        </w:rPr>
      </w:pPr>
    </w:p>
    <w:p>
      <w:pPr>
        <w:spacing w:line="284" w:lineRule="auto"/>
        <w:ind w:left="-28" w:right="95" w:firstLine="496"/>
        <w:rPr>
          <w:rFonts w:ascii="Arial"/>
        </w:rPr>
      </w:pPr>
    </w:p>
    <w:p>
      <w:pPr>
        <w:pStyle w:val="2"/>
        <w:ind w:left="-28" w:right="95"/>
      </w:pPr>
    </w:p>
    <w:p>
      <w:pPr>
        <w:spacing w:before="101" w:line="228" w:lineRule="auto"/>
        <w:ind w:left="-28" w:right="95" w:firstLine="584"/>
        <w:rPr>
          <w:rFonts w:ascii="黑体" w:hAnsi="黑体" w:eastAsia="黑体" w:cs="黑体"/>
          <w:spacing w:val="5"/>
          <w:sz w:val="32"/>
          <w:szCs w:val="32"/>
        </w:rPr>
      </w:pPr>
      <w:r>
        <w:rPr>
          <w:rFonts w:hint="eastAsia" w:ascii="黑体" w:hAnsi="黑体" w:eastAsia="黑体" w:cs="黑体"/>
          <w:spacing w:val="5"/>
          <w:sz w:val="32"/>
          <w:szCs w:val="32"/>
        </w:rPr>
        <w:t>一、部门基本情况</w:t>
      </w:r>
    </w:p>
    <w:p>
      <w:pPr>
        <w:keepNext/>
        <w:keepLines/>
        <w:autoSpaceDE w:val="0"/>
        <w:autoSpaceDN w:val="0"/>
        <w:adjustRightInd w:val="0"/>
        <w:spacing w:line="600" w:lineRule="exact"/>
        <w:ind w:left="-28" w:right="95" w:firstLine="496"/>
        <w:rPr>
          <w:rFonts w:ascii="宋体" w:cs="宋体"/>
          <w:sz w:val="28"/>
          <w:szCs w:val="28"/>
        </w:rPr>
      </w:pPr>
      <w:r>
        <w:rPr>
          <w:rFonts w:hint="eastAsia" w:ascii="宋体" w:cs="宋体"/>
          <w:sz w:val="28"/>
          <w:szCs w:val="28"/>
        </w:rPr>
        <w:t>一、</w:t>
      </w:r>
      <w:r>
        <w:rPr>
          <w:rFonts w:hint="eastAsia" w:ascii="宋体" w:cs="宋体"/>
          <w:sz w:val="28"/>
          <w:szCs w:val="28"/>
          <w:lang w:val="zh-CN"/>
        </w:rPr>
        <w:t>部门职责</w:t>
      </w:r>
    </w:p>
    <w:p>
      <w:pPr>
        <w:tabs>
          <w:tab w:val="center" w:pos="4951"/>
        </w:tabs>
        <w:spacing w:line="600" w:lineRule="exact"/>
        <w:ind w:left="-28" w:right="95" w:firstLine="480" w:firstLineChars="200"/>
        <w:rPr>
          <w:rFonts w:ascii="宋体" w:cs="宋体"/>
          <w:sz w:val="24"/>
        </w:rPr>
      </w:pPr>
      <w:r>
        <w:rPr>
          <w:rFonts w:ascii="宋体" w:cs="宋体"/>
          <w:sz w:val="24"/>
        </w:rPr>
        <w:t>1</w:t>
      </w:r>
      <w:r>
        <w:rPr>
          <w:rFonts w:hint="eastAsia" w:ascii="宋体" w:cs="宋体"/>
          <w:sz w:val="24"/>
        </w:rPr>
        <w:t>、贯彻执行国家有关农业方面的法律、法规、规章和政策规定；</w:t>
      </w:r>
      <w:r>
        <w:rPr>
          <w:rFonts w:ascii="宋体" w:cs="宋体"/>
          <w:sz w:val="24"/>
        </w:rPr>
        <w:t>2</w:t>
      </w:r>
      <w:r>
        <w:rPr>
          <w:rFonts w:hint="eastAsia" w:ascii="宋体" w:cs="宋体"/>
          <w:sz w:val="24"/>
        </w:rPr>
        <w:t>、依法行使法律、法规、规章赋予的农业行政处罚权以及与行政处罚相关的行政检查、行政强制权等行政执法职能；</w:t>
      </w:r>
      <w:r>
        <w:rPr>
          <w:rFonts w:ascii="宋体" w:cs="宋体"/>
          <w:sz w:val="24"/>
        </w:rPr>
        <w:t>3</w:t>
      </w:r>
      <w:r>
        <w:rPr>
          <w:rFonts w:hint="eastAsia" w:ascii="宋体" w:cs="宋体"/>
          <w:sz w:val="24"/>
        </w:rPr>
        <w:t>、负责对乡镇农业综合行政执法工作的指导、协调、监督和考核；</w:t>
      </w:r>
      <w:r>
        <w:rPr>
          <w:rFonts w:ascii="宋体" w:cs="宋体"/>
          <w:sz w:val="24"/>
        </w:rPr>
        <w:t>4</w:t>
      </w:r>
      <w:r>
        <w:rPr>
          <w:rFonts w:hint="eastAsia" w:ascii="宋体" w:cs="宋体"/>
          <w:sz w:val="24"/>
        </w:rPr>
        <w:t>、负责组织或配合农业农村联合执法行政和农资市场经济秩序专项整治工作；依法查处上级交办、相关部门移交、乡镇移送及群众投诉举报的农业违法案件；</w:t>
      </w:r>
      <w:r>
        <w:rPr>
          <w:rFonts w:ascii="宋体" w:cs="宋体"/>
          <w:sz w:val="24"/>
        </w:rPr>
        <w:t>5</w:t>
      </w:r>
      <w:r>
        <w:rPr>
          <w:rFonts w:hint="eastAsia" w:ascii="宋体" w:cs="宋体"/>
          <w:sz w:val="24"/>
        </w:rPr>
        <w:t>、负责农业农村行政执法和刑事司法工作衔接，移送涉嫌犯罪案件；</w:t>
      </w:r>
      <w:r>
        <w:rPr>
          <w:rFonts w:ascii="宋体" w:cs="宋体"/>
          <w:sz w:val="24"/>
        </w:rPr>
        <w:t> 6</w:t>
      </w:r>
      <w:r>
        <w:rPr>
          <w:rFonts w:hint="eastAsia" w:ascii="宋体" w:cs="宋体"/>
          <w:sz w:val="24"/>
        </w:rPr>
        <w:t>、承担全县农业投入品市场诚信体系建设工作；负责组织全县农业综合行政执法方面法律法规宣传和培训工作；</w:t>
      </w:r>
      <w:r>
        <w:rPr>
          <w:rFonts w:ascii="宋体" w:cs="宋体"/>
          <w:sz w:val="24"/>
        </w:rPr>
        <w:t>7</w:t>
      </w:r>
      <w:r>
        <w:rPr>
          <w:rFonts w:hint="eastAsia" w:ascii="宋体" w:cs="宋体"/>
          <w:sz w:val="24"/>
        </w:rPr>
        <w:t>、承担上级交办的其他工作。</w:t>
      </w:r>
    </w:p>
    <w:p>
      <w:pPr>
        <w:tabs>
          <w:tab w:val="center" w:pos="4951"/>
        </w:tabs>
        <w:spacing w:line="600" w:lineRule="exact"/>
        <w:ind w:left="-28" w:right="95" w:firstLine="480" w:firstLineChars="200"/>
        <w:rPr>
          <w:rFonts w:ascii="宋体" w:cs="宋体"/>
          <w:sz w:val="24"/>
        </w:rPr>
      </w:pPr>
      <w:r>
        <w:rPr>
          <w:rFonts w:hint="eastAsia" w:ascii="宋体" w:cs="宋体"/>
          <w:sz w:val="24"/>
        </w:rPr>
        <w:t>二、机构设置</w:t>
      </w:r>
    </w:p>
    <w:p>
      <w:pPr>
        <w:tabs>
          <w:tab w:val="center" w:pos="4951"/>
        </w:tabs>
        <w:spacing w:line="600" w:lineRule="exact"/>
        <w:ind w:left="-28" w:right="95" w:firstLine="420" w:firstLineChars="200"/>
        <w:rPr>
          <w:rFonts w:ascii="宋体" w:cs="宋体"/>
          <w:sz w:val="24"/>
        </w:rPr>
      </w:pPr>
      <w:r>
        <w:rPr>
          <w:rFonts w:hint="eastAsia"/>
          <w:lang w:val="zh-CN"/>
        </w:rPr>
        <w:t>华容县农业综合行政执法大队单位内设机构包括：综合股、法制股、财务股、工会、渔业渔政执法中队、农机监理执法中队、畜牧兽医执法中队、农业投入品执法中队、农产品质量安全执法中队、农业资源保护与利用中队。</w:t>
      </w:r>
    </w:p>
    <w:p>
      <w:pPr>
        <w:spacing w:before="216" w:line="226" w:lineRule="auto"/>
        <w:ind w:left="-28" w:right="95" w:firstLine="559"/>
        <w:rPr>
          <w:rFonts w:ascii="黑体" w:hAnsi="黑体" w:eastAsia="黑体" w:cs="黑体"/>
          <w:sz w:val="32"/>
          <w:szCs w:val="32"/>
        </w:rPr>
      </w:pPr>
      <w:r>
        <w:rPr>
          <w:rFonts w:hint="eastAsia" w:ascii="黑体" w:hAnsi="黑体" w:eastAsia="黑体" w:cs="黑体"/>
          <w:spacing w:val="-2"/>
          <w:sz w:val="32"/>
          <w:szCs w:val="32"/>
        </w:rPr>
        <w:t>二、一般公共预算支出情况</w:t>
      </w:r>
    </w:p>
    <w:p>
      <w:pPr>
        <w:ind w:left="-28" w:right="95" w:firstLine="643" w:firstLineChars="200"/>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（一）基本支出情况</w:t>
      </w:r>
    </w:p>
    <w:p>
      <w:pPr>
        <w:spacing w:line="600" w:lineRule="exact"/>
        <w:ind w:left="-28" w:right="95" w:firstLine="420" w:firstLineChars="200"/>
        <w:rPr>
          <w:rFonts w:eastAsia="黑体"/>
          <w:sz w:val="24"/>
        </w:rPr>
      </w:pPr>
      <w:r>
        <w:t>2023</w:t>
      </w:r>
      <w:r>
        <w:rPr>
          <w:rFonts w:hint="eastAsia"/>
        </w:rPr>
        <w:t>年农业执法大队基本支出</w:t>
      </w:r>
      <w:r>
        <w:t>507.38</w:t>
      </w:r>
      <w:r>
        <w:rPr>
          <w:rFonts w:hint="eastAsia"/>
        </w:rPr>
        <w:t>万元，其中人员支出</w:t>
      </w:r>
      <w:r>
        <w:t>450.29</w:t>
      </w:r>
      <w:r>
        <w:rPr>
          <w:rFonts w:hint="eastAsia"/>
        </w:rPr>
        <w:t>万元，公用经费支出</w:t>
      </w:r>
      <w:r>
        <w:t>57.09</w:t>
      </w:r>
      <w:r>
        <w:rPr>
          <w:rFonts w:hint="eastAsia"/>
        </w:rPr>
        <w:t>万元。</w:t>
      </w:r>
    </w:p>
    <w:p>
      <w:pPr>
        <w:ind w:left="-28" w:right="95" w:firstLine="643" w:firstLineChars="200"/>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（二）项目支出情况</w:t>
      </w:r>
    </w:p>
    <w:p>
      <w:pPr>
        <w:pStyle w:val="16"/>
        <w:ind w:left="-28" w:right="95"/>
      </w:pPr>
      <w:r>
        <w:t>2023</w:t>
      </w:r>
      <w:r>
        <w:rPr>
          <w:rFonts w:hint="eastAsia"/>
        </w:rPr>
        <w:t>年农业执法大队项目支出</w:t>
      </w:r>
      <w:r>
        <w:t>819.46</w:t>
      </w:r>
      <w:r>
        <w:rPr>
          <w:rFonts w:hint="eastAsia"/>
        </w:rPr>
        <w:t>万元，全部资金完成投入。</w:t>
      </w:r>
    </w:p>
    <w:p>
      <w:pPr>
        <w:pStyle w:val="16"/>
        <w:ind w:left="-28" w:right="95"/>
      </w:pPr>
      <w:r>
        <w:t xml:space="preserve">1. </w:t>
      </w:r>
      <w:r>
        <w:rPr>
          <w:rFonts w:hint="eastAsia"/>
        </w:rPr>
        <w:t>资源保护修复与利用（包含</w:t>
      </w:r>
      <w:r>
        <w:t>2021</w:t>
      </w:r>
      <w:r>
        <w:rPr>
          <w:rFonts w:hint="eastAsia"/>
        </w:rPr>
        <w:t>年长江禁捕退捕资金（退捕渔民遗留问题资金）</w:t>
      </w:r>
      <w:r>
        <w:t>3.18</w:t>
      </w:r>
      <w:r>
        <w:rPr>
          <w:rFonts w:hint="eastAsia"/>
        </w:rPr>
        <w:t>万元、长江禁捕退捕资金（退捕渔民遗留问题资金）</w:t>
      </w:r>
      <w:r>
        <w:t>11.04</w:t>
      </w:r>
      <w:r>
        <w:rPr>
          <w:rFonts w:hint="eastAsia"/>
        </w:rPr>
        <w:t>万元、渔政执法能力建设所需资金</w:t>
      </w:r>
      <w:r>
        <w:t>11.54</w:t>
      </w:r>
      <w:r>
        <w:rPr>
          <w:rFonts w:hint="eastAsia"/>
        </w:rPr>
        <w:t>万元、</w:t>
      </w:r>
      <w:r>
        <w:t>2023</w:t>
      </w:r>
      <w:r>
        <w:rPr>
          <w:rFonts w:hint="eastAsia"/>
        </w:rPr>
        <w:t>年中央渔业资源保护资金</w:t>
      </w:r>
      <w:r>
        <w:t>20</w:t>
      </w:r>
      <w:r>
        <w:rPr>
          <w:rFonts w:hint="eastAsia"/>
        </w:rPr>
        <w:t>万元）共计</w:t>
      </w:r>
      <w:r>
        <w:t>45.76</w:t>
      </w:r>
      <w:r>
        <w:rPr>
          <w:rFonts w:hint="eastAsia"/>
        </w:rPr>
        <w:t>万元。</w:t>
      </w:r>
    </w:p>
    <w:p>
      <w:pPr>
        <w:pStyle w:val="16"/>
        <w:ind w:left="-28" w:right="95"/>
      </w:pPr>
      <w:r>
        <w:t xml:space="preserve">2. </w:t>
      </w:r>
      <w:r>
        <w:rPr>
          <w:rFonts w:hint="eastAsia"/>
        </w:rPr>
        <w:t>政府性基金安排的支出（包含</w:t>
      </w:r>
      <w:r>
        <w:t>2021</w:t>
      </w:r>
      <w:r>
        <w:rPr>
          <w:rFonts w:hint="eastAsia"/>
        </w:rPr>
        <w:t>年渔政执法装备建设项目启动资金</w:t>
      </w:r>
      <w:r>
        <w:t>390.51</w:t>
      </w:r>
      <w:r>
        <w:rPr>
          <w:rFonts w:hint="eastAsia"/>
        </w:rPr>
        <w:t>万元、</w:t>
      </w:r>
      <w:r>
        <w:t>2022</w:t>
      </w:r>
      <w:r>
        <w:rPr>
          <w:rFonts w:hint="eastAsia"/>
        </w:rPr>
        <w:t>年中央成品油价格调整对渔业补助和渔业增殖放流资金</w:t>
      </w:r>
      <w:r>
        <w:t>65</w:t>
      </w:r>
      <w:r>
        <w:rPr>
          <w:rFonts w:hint="eastAsia"/>
        </w:rPr>
        <w:t>万元）共计</w:t>
      </w:r>
      <w:r>
        <w:t>455.51</w:t>
      </w:r>
      <w:r>
        <w:rPr>
          <w:rFonts w:hint="eastAsia"/>
        </w:rPr>
        <w:t>万元。</w:t>
      </w:r>
    </w:p>
    <w:p>
      <w:pPr>
        <w:pStyle w:val="16"/>
        <w:ind w:left="-28" w:right="95"/>
      </w:pPr>
      <w:r>
        <w:t xml:space="preserve">3. </w:t>
      </w:r>
      <w:r>
        <w:rPr>
          <w:rFonts w:hint="eastAsia"/>
        </w:rPr>
        <w:t>其他自然生态保护支出（包含农业执法工作经费</w:t>
      </w:r>
      <w:r>
        <w:t>35</w:t>
      </w:r>
      <w:r>
        <w:rPr>
          <w:rFonts w:hint="eastAsia"/>
        </w:rPr>
        <w:t>万元、洞庭湖矮围拆除工程项目资金</w:t>
      </w:r>
      <w:r>
        <w:t>220</w:t>
      </w:r>
      <w:r>
        <w:rPr>
          <w:rFonts w:hint="eastAsia"/>
        </w:rPr>
        <w:t>万元）共计</w:t>
      </w:r>
      <w:r>
        <w:t>255</w:t>
      </w:r>
      <w:r>
        <w:rPr>
          <w:rFonts w:hint="eastAsia"/>
        </w:rPr>
        <w:t>万元。</w:t>
      </w:r>
    </w:p>
    <w:p>
      <w:pPr>
        <w:pStyle w:val="16"/>
        <w:ind w:left="-28" w:right="95"/>
      </w:pPr>
      <w:r>
        <w:t xml:space="preserve">4. </w:t>
      </w:r>
      <w:r>
        <w:rPr>
          <w:rFonts w:hint="eastAsia"/>
        </w:rPr>
        <w:t>禁捕执法管理工作经费</w:t>
      </w:r>
      <w:r>
        <w:t>50</w:t>
      </w:r>
      <w:r>
        <w:rPr>
          <w:rFonts w:hint="eastAsia"/>
        </w:rPr>
        <w:t>万元。</w:t>
      </w:r>
    </w:p>
    <w:p>
      <w:pPr>
        <w:pStyle w:val="16"/>
        <w:ind w:left="-28" w:right="95"/>
      </w:pPr>
      <w:r>
        <w:t xml:space="preserve">5. </w:t>
      </w:r>
      <w:r>
        <w:rPr>
          <w:rFonts w:hint="eastAsia"/>
        </w:rPr>
        <w:t>农机科技转化与推广服务</w:t>
      </w:r>
      <w:r>
        <w:t>12</w:t>
      </w:r>
      <w:r>
        <w:rPr>
          <w:rFonts w:hint="eastAsia"/>
        </w:rPr>
        <w:t>万元。</w:t>
      </w:r>
    </w:p>
    <w:p>
      <w:pPr>
        <w:pStyle w:val="16"/>
        <w:ind w:left="-28" w:right="95"/>
      </w:pPr>
      <w:r>
        <w:t xml:space="preserve">6. </w:t>
      </w:r>
      <w:r>
        <w:rPr>
          <w:rFonts w:hint="eastAsia"/>
        </w:rPr>
        <w:t>三性人员公益性岗位补贴</w:t>
      </w:r>
      <w:r>
        <w:t>1.19</w:t>
      </w:r>
      <w:r>
        <w:rPr>
          <w:rFonts w:hint="eastAsia"/>
        </w:rPr>
        <w:t>万元。</w:t>
      </w:r>
    </w:p>
    <w:p>
      <w:pPr>
        <w:pStyle w:val="16"/>
        <w:ind w:left="-28" w:right="95" w:firstLine="672"/>
      </w:pPr>
      <w:r>
        <w:rPr>
          <w:rFonts w:hint="eastAsia" w:ascii="黑体" w:hAnsi="黑体" w:eastAsia="黑体" w:cs="黑体"/>
          <w:spacing w:val="8"/>
          <w:sz w:val="32"/>
          <w:szCs w:val="32"/>
        </w:rPr>
        <w:t>三、政府性基金预算支出情况</w:t>
      </w:r>
    </w:p>
    <w:p>
      <w:pPr>
        <w:spacing w:before="224" w:line="227" w:lineRule="auto"/>
        <w:ind w:right="95" w:firstLine="480" w:firstLineChars="200"/>
        <w:rPr>
          <w:rFonts w:ascii="黑体" w:hAnsi="黑体" w:eastAsia="黑体" w:cs="黑体"/>
          <w:spacing w:val="8"/>
          <w:sz w:val="24"/>
        </w:rPr>
      </w:pPr>
      <w:r>
        <w:rPr>
          <w:rFonts w:hint="eastAsia"/>
          <w:sz w:val="24"/>
        </w:rPr>
        <w:t>政府性基金安排的支出（包含</w:t>
      </w:r>
      <w:r>
        <w:rPr>
          <w:sz w:val="24"/>
        </w:rPr>
        <w:t>2021</w:t>
      </w:r>
      <w:r>
        <w:rPr>
          <w:rFonts w:hint="eastAsia"/>
          <w:sz w:val="24"/>
        </w:rPr>
        <w:t>年渔政执法装备建设项目启动资金</w:t>
      </w:r>
      <w:r>
        <w:rPr>
          <w:sz w:val="24"/>
        </w:rPr>
        <w:t>390.51</w:t>
      </w:r>
      <w:r>
        <w:rPr>
          <w:rFonts w:hint="eastAsia"/>
          <w:sz w:val="24"/>
        </w:rPr>
        <w:t>万元、</w:t>
      </w:r>
      <w:r>
        <w:rPr>
          <w:sz w:val="24"/>
        </w:rPr>
        <w:t>2022</w:t>
      </w:r>
      <w:r>
        <w:rPr>
          <w:rFonts w:hint="eastAsia"/>
          <w:sz w:val="24"/>
        </w:rPr>
        <w:t>年中央成品油价格调整对渔业补助和渔业增殖放流资金</w:t>
      </w:r>
      <w:r>
        <w:rPr>
          <w:sz w:val="24"/>
        </w:rPr>
        <w:t>65</w:t>
      </w:r>
      <w:r>
        <w:rPr>
          <w:rFonts w:hint="eastAsia"/>
          <w:sz w:val="24"/>
        </w:rPr>
        <w:t>万元）共计</w:t>
      </w:r>
      <w:r>
        <w:rPr>
          <w:sz w:val="24"/>
        </w:rPr>
        <w:t>455.51</w:t>
      </w:r>
      <w:r>
        <w:rPr>
          <w:rFonts w:hint="eastAsia"/>
          <w:sz w:val="24"/>
        </w:rPr>
        <w:t>万元</w:t>
      </w:r>
      <w:r>
        <w:rPr>
          <w:rFonts w:hint="eastAsia"/>
        </w:rPr>
        <w:t>。</w:t>
      </w:r>
    </w:p>
    <w:p>
      <w:pPr>
        <w:spacing w:before="219" w:line="600" w:lineRule="exact"/>
        <w:ind w:left="-28" w:right="95" w:firstLine="591"/>
        <w:rPr>
          <w:rFonts w:ascii="黑体" w:hAnsi="黑体" w:eastAsia="黑体" w:cs="黑体"/>
          <w:spacing w:val="7"/>
          <w:position w:val="21"/>
          <w:sz w:val="32"/>
          <w:szCs w:val="32"/>
        </w:rPr>
      </w:pPr>
      <w:r>
        <w:rPr>
          <w:rFonts w:hint="eastAsia" w:ascii="黑体" w:hAnsi="黑体" w:eastAsia="黑体" w:cs="黑体"/>
          <w:spacing w:val="7"/>
          <w:position w:val="21"/>
          <w:sz w:val="32"/>
          <w:szCs w:val="32"/>
        </w:rPr>
        <w:t>四、国有资本经营预算支出情况</w:t>
      </w:r>
    </w:p>
    <w:p>
      <w:pPr>
        <w:pStyle w:val="2"/>
        <w:ind w:left="-28" w:right="95"/>
      </w:pPr>
      <w:r>
        <w:t xml:space="preserve">      </w:t>
      </w:r>
      <w:r>
        <w:rPr>
          <w:rFonts w:hint="eastAsia"/>
        </w:rPr>
        <w:t>无</w:t>
      </w:r>
    </w:p>
    <w:p>
      <w:pPr>
        <w:spacing w:line="227" w:lineRule="auto"/>
        <w:ind w:left="-28" w:right="95" w:firstLine="595"/>
        <w:rPr>
          <w:rFonts w:ascii="黑体" w:hAnsi="黑体" w:eastAsia="黑体" w:cs="黑体"/>
          <w:spacing w:val="8"/>
          <w:sz w:val="32"/>
          <w:szCs w:val="32"/>
        </w:rPr>
      </w:pPr>
      <w:r>
        <w:rPr>
          <w:rFonts w:hint="eastAsia" w:ascii="黑体" w:hAnsi="黑体" w:eastAsia="黑体" w:cs="黑体"/>
          <w:spacing w:val="8"/>
          <w:sz w:val="32"/>
          <w:szCs w:val="32"/>
        </w:rPr>
        <w:t>五、社会保险基金预算支出情况</w:t>
      </w:r>
    </w:p>
    <w:p>
      <w:pPr>
        <w:pStyle w:val="2"/>
        <w:ind w:left="-28" w:right="95"/>
      </w:pPr>
      <w:r>
        <w:t xml:space="preserve">      </w:t>
      </w:r>
      <w:r>
        <w:rPr>
          <w:rFonts w:hint="eastAsia"/>
        </w:rPr>
        <w:t>无</w:t>
      </w:r>
      <w:r>
        <w:t xml:space="preserve"> </w:t>
      </w:r>
    </w:p>
    <w:p>
      <w:pPr>
        <w:spacing w:before="219" w:line="226" w:lineRule="auto"/>
        <w:ind w:right="95" w:firstLine="672" w:firstLineChars="200"/>
        <w:rPr>
          <w:rFonts w:ascii="黑体" w:hAnsi="黑体" w:eastAsia="黑体" w:cs="黑体"/>
          <w:spacing w:val="8"/>
          <w:sz w:val="32"/>
          <w:szCs w:val="32"/>
        </w:rPr>
      </w:pPr>
      <w:r>
        <w:rPr>
          <w:rFonts w:hint="eastAsia" w:ascii="黑体" w:hAnsi="黑体" w:eastAsia="黑体" w:cs="黑体"/>
          <w:spacing w:val="8"/>
          <w:sz w:val="32"/>
          <w:szCs w:val="32"/>
        </w:rPr>
        <w:t>六、部门整体支出绩效情况</w:t>
      </w:r>
    </w:p>
    <w:p>
      <w:pPr>
        <w:pStyle w:val="16"/>
        <w:ind w:left="-28" w:right="95"/>
        <w:rPr>
          <w:rFonts w:ascii="新宋体" w:hAnsi="新宋体" w:eastAsia="新宋体" w:cs="新宋体"/>
        </w:rPr>
      </w:pPr>
      <w:r>
        <w:rPr>
          <w:rFonts w:hint="eastAsia"/>
        </w:rPr>
        <w:t>通过对</w:t>
      </w:r>
      <w:r>
        <w:t>2023</w:t>
      </w:r>
      <w:r>
        <w:rPr>
          <w:rFonts w:hint="eastAsia"/>
        </w:rPr>
        <w:t>年的预算配置、预算管理、资产管理、职责履行、履职效益等内容的绩效考评，提高财政资金的使用效率，为财政部门预算管理提供决策依据。</w:t>
      </w:r>
      <w:r>
        <w:t>2023</w:t>
      </w:r>
      <w:r>
        <w:rPr>
          <w:rFonts w:hint="eastAsia"/>
        </w:rPr>
        <w:t>年，较好地完成了年度工作目标，部门整体支出绩效评价为优。</w:t>
      </w:r>
    </w:p>
    <w:p>
      <w:pPr>
        <w:spacing w:before="220" w:line="600" w:lineRule="exact"/>
        <w:ind w:left="-28" w:right="95" w:firstLine="598"/>
        <w:rPr>
          <w:rFonts w:ascii="黑体" w:hAnsi="黑体" w:eastAsia="黑体" w:cs="黑体"/>
          <w:spacing w:val="9"/>
          <w:position w:val="21"/>
          <w:sz w:val="32"/>
          <w:szCs w:val="32"/>
        </w:rPr>
      </w:pPr>
      <w:r>
        <w:rPr>
          <w:rFonts w:hint="eastAsia" w:ascii="黑体" w:hAnsi="黑体" w:eastAsia="黑体" w:cs="黑体"/>
          <w:spacing w:val="9"/>
          <w:position w:val="21"/>
          <w:sz w:val="32"/>
          <w:szCs w:val="32"/>
        </w:rPr>
        <w:t>七、存在的问题及原因分析</w:t>
      </w:r>
    </w:p>
    <w:p>
      <w:pPr>
        <w:spacing w:line="600" w:lineRule="exact"/>
        <w:ind w:left="-28" w:right="95" w:firstLine="480" w:firstLineChars="200"/>
        <w:rPr>
          <w:sz w:val="24"/>
        </w:rPr>
      </w:pPr>
      <w:r>
        <w:rPr>
          <w:sz w:val="24"/>
        </w:rPr>
        <w:t>1</w:t>
      </w:r>
      <w:r>
        <w:rPr>
          <w:rFonts w:hint="eastAsia"/>
          <w:sz w:val="24"/>
        </w:rPr>
        <w:t>．我县是农业大县，农产品质量安全是我县农业健康发展的关键，由于经费不足，工作作力度受到了限制。</w:t>
      </w:r>
    </w:p>
    <w:p>
      <w:pPr>
        <w:spacing w:line="600" w:lineRule="exact"/>
        <w:ind w:left="-28" w:right="95" w:firstLine="480" w:firstLineChars="200"/>
        <w:rPr>
          <w:sz w:val="24"/>
        </w:rPr>
      </w:pPr>
      <w:r>
        <w:rPr>
          <w:sz w:val="24"/>
        </w:rPr>
        <w:t>2</w:t>
      </w:r>
      <w:r>
        <w:rPr>
          <w:rFonts w:hint="eastAsia"/>
          <w:sz w:val="24"/>
        </w:rPr>
        <w:t>．我县渔业水域分布广泛，对突发渔业事件不能及时现场处置，导致违法捕捞现象时有发生。加强对水产品质量的督查和渔业生态环境的保护，确保水产业健康发展。</w:t>
      </w:r>
    </w:p>
    <w:p>
      <w:pPr>
        <w:spacing w:line="227" w:lineRule="auto"/>
        <w:ind w:right="95" w:firstLine="672" w:firstLineChars="200"/>
        <w:rPr>
          <w:rFonts w:ascii="黑体" w:hAnsi="黑体" w:eastAsia="黑体" w:cs="黑体"/>
          <w:spacing w:val="8"/>
          <w:sz w:val="32"/>
          <w:szCs w:val="32"/>
        </w:rPr>
      </w:pPr>
      <w:r>
        <w:rPr>
          <w:rFonts w:hint="eastAsia" w:ascii="黑体" w:hAnsi="黑体" w:eastAsia="黑体" w:cs="黑体"/>
          <w:spacing w:val="8"/>
          <w:sz w:val="32"/>
          <w:szCs w:val="32"/>
        </w:rPr>
        <w:t>八、下一步改进措施</w:t>
      </w:r>
    </w:p>
    <w:p>
      <w:pPr>
        <w:pStyle w:val="2"/>
        <w:ind w:left="-28" w:right="95"/>
      </w:pPr>
      <w:r>
        <w:rPr>
          <w:rFonts w:hint="eastAsia"/>
        </w:rPr>
        <w:t>执法进一步高效开展，进一步加大查处力度，做到事先强化干预、事中加强监管、事后加大查处，把影响降到最低</w:t>
      </w:r>
    </w:p>
    <w:p>
      <w:pPr>
        <w:spacing w:before="219" w:line="600" w:lineRule="exact"/>
        <w:ind w:left="-28" w:right="95" w:firstLine="598"/>
        <w:rPr>
          <w:rFonts w:ascii="黑体" w:hAnsi="黑体" w:eastAsia="黑体" w:cs="黑体"/>
          <w:spacing w:val="8"/>
          <w:position w:val="21"/>
          <w:sz w:val="32"/>
          <w:szCs w:val="32"/>
        </w:rPr>
      </w:pPr>
      <w:r>
        <w:rPr>
          <w:rFonts w:hint="eastAsia" w:ascii="黑体" w:hAnsi="黑体" w:eastAsia="黑体" w:cs="黑体"/>
          <w:spacing w:val="9"/>
          <w:position w:val="21"/>
          <w:sz w:val="32"/>
          <w:szCs w:val="32"/>
        </w:rPr>
        <w:t>九、部门整体支出绩效自评结果拟应用和公开</w:t>
      </w:r>
      <w:r>
        <w:rPr>
          <w:rFonts w:hint="eastAsia" w:ascii="黑体" w:hAnsi="黑体" w:eastAsia="黑体" w:cs="黑体"/>
          <w:spacing w:val="8"/>
          <w:position w:val="21"/>
          <w:sz w:val="32"/>
          <w:szCs w:val="32"/>
        </w:rPr>
        <w:t>情况</w:t>
      </w:r>
    </w:p>
    <w:p>
      <w:pPr>
        <w:pStyle w:val="2"/>
        <w:ind w:left="-28" w:right="95"/>
      </w:pPr>
      <w:r>
        <w:t xml:space="preserve">   </w:t>
      </w:r>
      <w:r>
        <w:rPr>
          <w:rFonts w:hint="eastAsia"/>
        </w:rPr>
        <w:t>好</w:t>
      </w:r>
    </w:p>
    <w:p>
      <w:pPr>
        <w:spacing w:line="226" w:lineRule="auto"/>
        <w:ind w:left="-28" w:right="95" w:firstLine="556"/>
        <w:rPr>
          <w:rFonts w:ascii="黑体" w:hAnsi="黑体" w:eastAsia="黑体" w:cs="黑体"/>
          <w:spacing w:val="-3"/>
          <w:sz w:val="32"/>
          <w:szCs w:val="32"/>
        </w:rPr>
      </w:pPr>
      <w:r>
        <w:rPr>
          <w:rFonts w:hint="eastAsia" w:ascii="黑体" w:hAnsi="黑体" w:eastAsia="黑体" w:cs="黑体"/>
          <w:spacing w:val="-3"/>
          <w:sz w:val="32"/>
          <w:szCs w:val="32"/>
        </w:rPr>
        <w:t>十、其他需要说明的情况</w:t>
      </w:r>
    </w:p>
    <w:p>
      <w:pPr>
        <w:pStyle w:val="2"/>
        <w:ind w:left="-28" w:right="95"/>
        <w:sectPr>
          <w:footerReference r:id="rId4" w:type="default"/>
          <w:pgSz w:w="11905" w:h="16838"/>
          <w:pgMar w:top="1984" w:right="1701" w:bottom="1984" w:left="1701" w:header="850" w:footer="992" w:gutter="0"/>
          <w:pgNumType w:fmt="numberInDash"/>
          <w:cols w:space="0" w:num="1"/>
          <w:docGrid w:type="lines" w:linePitch="314" w:charSpace="0"/>
        </w:sectPr>
      </w:pPr>
      <w:r>
        <w:rPr>
          <w:rFonts w:hint="eastAsia"/>
        </w:rPr>
        <w:t>无</w:t>
      </w:r>
    </w:p>
    <w:p>
      <w:pPr>
        <w:widowControl/>
        <w:spacing w:line="400" w:lineRule="exact"/>
        <w:ind w:right="95"/>
        <w:rPr>
          <w:rFonts w:ascii="黑体" w:hAnsi="黑体" w:eastAsia="黑体" w:cs="黑体"/>
          <w:szCs w:val="21"/>
        </w:rPr>
      </w:pPr>
      <w:bookmarkStart w:id="0" w:name="_GoBack"/>
      <w:bookmarkEnd w:id="0"/>
    </w:p>
    <w:sectPr>
      <w:footerReference r:id="rId6" w:type="default"/>
      <w:headerReference r:id="rId5" w:type="even"/>
      <w:pgSz w:w="11905" w:h="16838"/>
      <w:pgMar w:top="75" w:right="1701" w:bottom="1984" w:left="1701" w:header="850" w:footer="116" w:gutter="0"/>
      <w:pgNumType w:fmt="numberInDash"/>
      <w:cols w:space="0" w:num="1"/>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5CA104EA-499D-4BA4-A9B4-326A34BD5FA8}"/>
  </w:font>
  <w:font w:name="Arial">
    <w:panose1 w:val="020B0604020202020204"/>
    <w:charset w:val="01"/>
    <w:family w:val="swiss"/>
    <w:pitch w:val="default"/>
    <w:sig w:usb0="E0002EFF" w:usb1="C000785B" w:usb2="00000009" w:usb3="00000000" w:csb0="400001FF" w:csb1="FFFF0000"/>
    <w:embedRegular r:id="rId2" w:fontKey="{9877B53A-0C31-4ACC-9BA5-186ADFDB5C02}"/>
  </w:font>
  <w:font w:name="黑体">
    <w:panose1 w:val="02010609060101010101"/>
    <w:charset w:val="86"/>
    <w:family w:val="auto"/>
    <w:pitch w:val="default"/>
    <w:sig w:usb0="800002BF" w:usb1="38CF7CFA" w:usb2="00000016" w:usb3="00000000" w:csb0="00040001" w:csb1="00000000"/>
    <w:embedRegular r:id="rId3" w:fontKey="{23619FEA-B7BD-4F09-9A8A-1F43F14E10CC}"/>
  </w:font>
  <w:font w:name="Courier New">
    <w:panose1 w:val="02070309020205020404"/>
    <w:charset w:val="01"/>
    <w:family w:val="modern"/>
    <w:pitch w:val="default"/>
    <w:sig w:usb0="E0002EFF" w:usb1="C0007843" w:usb2="00000009" w:usb3="00000000" w:csb0="400001FF" w:csb1="FFFF0000"/>
    <w:embedRegular r:id="rId4" w:fontKey="{01EBA63B-EF29-4272-A330-7BB386432376}"/>
  </w:font>
  <w:font w:name="Symbol">
    <w:panose1 w:val="05050102010706020507"/>
    <w:charset w:val="02"/>
    <w:family w:val="roman"/>
    <w:pitch w:val="default"/>
    <w:sig w:usb0="00000000" w:usb1="00000000" w:usb2="00000000" w:usb3="00000000" w:csb0="80000000" w:csb1="00000000"/>
    <w:embedRegular r:id="rId5" w:fontKey="{E64CF8BC-268C-4FEA-938B-7B5F1D1EF57D}"/>
  </w:font>
  <w:font w:name="Calibri">
    <w:panose1 w:val="020F0502020204030204"/>
    <w:charset w:val="00"/>
    <w:family w:val="swiss"/>
    <w:pitch w:val="default"/>
    <w:sig w:usb0="E4002EFF" w:usb1="C000247B" w:usb2="00000009" w:usb3="00000000" w:csb0="200001FF" w:csb1="00000000"/>
    <w:embedRegular r:id="rId6" w:fontKey="{9FC848FB-BF9F-4244-A450-AA828C0F1227}"/>
  </w:font>
  <w:font w:name="楷体_GB2312">
    <w:panose1 w:val="02010609030101010101"/>
    <w:charset w:val="86"/>
    <w:family w:val="modern"/>
    <w:pitch w:val="default"/>
    <w:sig w:usb0="00000001" w:usb1="080E0000" w:usb2="00000000" w:usb3="00000000" w:csb0="00040000" w:csb1="00000000"/>
    <w:embedRegular r:id="rId7" w:fontKey="{C4FC058A-9F1B-4764-8612-68461508DE95}"/>
  </w:font>
  <w:font w:name="新宋体">
    <w:panose1 w:val="02010609030101010101"/>
    <w:charset w:val="86"/>
    <w:family w:val="modern"/>
    <w:pitch w:val="default"/>
    <w:sig w:usb0="00000203" w:usb1="288F0000" w:usb2="00000006" w:usb3="00000000" w:csb0="00040001" w:csb1="00000000"/>
    <w:embedRegular r:id="rId8" w:fontKey="{B24CD172-203D-400E-A868-84D0B8C01E6A}"/>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embedRegular r:id="rId9" w:fontKey="{F5EE650D-0A39-44DC-9811-85C829D1C5E3}"/>
  </w:font>
  <w:font w:name="方正小标宋简体">
    <w:panose1 w:val="03000509000000000000"/>
    <w:charset w:val="86"/>
    <w:family w:val="script"/>
    <w:pitch w:val="default"/>
    <w:sig w:usb0="00000001" w:usb1="080E0000" w:usb2="00000000" w:usb3="00000000" w:csb0="00040000" w:csb1="00000000"/>
    <w:embedRegular r:id="rId10" w:fontKey="{ABF1C765-3A5C-47E6-BC0F-7B6C766E9C85}"/>
  </w:font>
  <w:font w:name="华文仿宋">
    <w:panose1 w:val="02010600040101010101"/>
    <w:charset w:val="86"/>
    <w:family w:val="auto"/>
    <w:pitch w:val="default"/>
    <w:sig w:usb0="00000287" w:usb1="080F0000" w:usb2="00000000" w:usb3="00000000" w:csb0="0004009F" w:csb1="DFD70000"/>
    <w:embedRegular r:id="rId11" w:fontKey="{5F53FC1F-DA04-46B6-A400-FCA82FE51344}"/>
  </w:font>
  <w:font w:name="Î¢ÈíÑÅºÚ Western">
    <w:altName w:val="Segoe Print"/>
    <w:panose1 w:val="00000000000000000000"/>
    <w:charset w:val="00"/>
    <w:family w:val="swiss"/>
    <w:pitch w:val="default"/>
    <w:sig w:usb0="00000000" w:usb1="00000000" w:usb2="00000000" w:usb3="00000000" w:csb0="00000001" w:csb1="00000000"/>
  </w:font>
  <w:font w:name="微软雅黑">
    <w:panose1 w:val="020B0503020204020204"/>
    <w:charset w:val="86"/>
    <w:family w:val="swiss"/>
    <w:pitch w:val="default"/>
    <w:sig w:usb0="80000287" w:usb1="2ACF3C50" w:usb2="00000016" w:usb3="00000000" w:csb0="0004001F" w:csb1="00000000"/>
  </w:font>
  <w:font w:name="方正小标宋_GBK">
    <w:altName w:val="微软雅黑"/>
    <w:panose1 w:val="00000000000000000000"/>
    <w:charset w:val="86"/>
    <w:family w:val="script"/>
    <w:pitch w:val="default"/>
    <w:sig w:usb0="00000000" w:usb1="00000000" w:usb2="00000010" w:usb3="00000000" w:csb0="00040000" w:csb1="00000000"/>
  </w:font>
  <w:font w:name="楷体">
    <w:panose1 w:val="02010609060101010101"/>
    <w:charset w:val="86"/>
    <w:family w:val="modern"/>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embedRegular r:id="rId12" w:fontKey="{FA8CA70D-36EE-4274-A480-44660F8C809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jc w:val="center"/>
      <w:rPr>
        <w:sz w:val="28"/>
        <w:szCs w:val="28"/>
      </w:rPr>
    </w:pPr>
    <w:r>
      <w:rPr>
        <w:lang w:eastAsia="zh-CN"/>
      </w:rPr>
      <w:pict>
        <v:shape id="_x0000_s4097" o:spid="_x0000_s4097"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path/>
          <v:fill on="f" focussize="0,0"/>
          <v:stroke on="f" weight="0.5pt" joinstyle="miter"/>
          <v:imagedata o:title=""/>
          <o:lock v:ext="edit"/>
          <v:textbox inset="0mm,0mm,0mm,0mm" style="mso-fit-shape-to-text:t;">
            <w:txbxContent>
              <w:p>
                <w:pPr>
                  <w:pStyle w:val="5"/>
                  <w:ind w:left="525" w:leftChars="250" w:right="525" w:rightChars="250"/>
                  <w:rPr>
                    <w:rFonts w:eastAsia="华文仿宋"/>
                    <w:sz w:val="32"/>
                    <w:szCs w:val="32"/>
                  </w:rPr>
                </w:pPr>
              </w:p>
              <w:p>
                <w:pPr>
                  <w:pStyle w:val="5"/>
                  <w:ind w:left="525" w:leftChars="250" w:right="525" w:rightChars="250"/>
                  <w:rPr>
                    <w:rFonts w:eastAsia="华文仿宋"/>
                    <w:sz w:val="32"/>
                    <w:szCs w:val="32"/>
                  </w:rPr>
                </w:pPr>
              </w:p>
            </w:txbxContent>
          </v:textbox>
        </v:shape>
      </w:pict>
    </w:r>
  </w:p>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rPr>
        <w:sz w:val="28"/>
        <w:szCs w:val="28"/>
      </w:rPr>
    </w:pPr>
    <w:r>
      <w:rPr>
        <w:lang w:eastAsia="zh-CN"/>
      </w:rPr>
      <w:pict>
        <v:shape id="_x0000_s4098" o:spid="_x0000_s4098"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path/>
          <v:fill on="f" focussize="0,0"/>
          <v:stroke on="f" weight="0.5pt" joinstyle="miter"/>
          <v:imagedata o:title=""/>
          <o:lock v:ext="edit"/>
          <v:textbox inset="0mm,0mm,0mm,0mm" style="mso-fit-shape-to-text:t;">
            <w:txbxContent>
              <w:p>
                <w:pPr>
                  <w:pStyle w:val="5"/>
                  <w:rPr>
                    <w:rFonts w:ascii="华文仿宋" w:hAnsi="华文仿宋" w:eastAsia="华文仿宋" w:cs="华文仿宋"/>
                    <w:sz w:val="28"/>
                    <w:szCs w:val="28"/>
                  </w:rPr>
                </w:pPr>
              </w:p>
            </w:txbxContent>
          </v:textbox>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ind w:left="-28" w:right="95" w:firstLine="549"/>
      <w:rPr>
        <w:sz w:val="28"/>
        <w:szCs w:val="28"/>
        <w:lang w:eastAsia="zh-CN"/>
      </w:rPr>
    </w:pPr>
    <w:r>
      <w:rPr>
        <w:lang w:eastAsia="zh-CN"/>
      </w:rPr>
      <w:pict>
        <v:shape id="_x0000_s4101" o:spid="_x0000_s4101" o:spt="202" type="#_x0000_t202" style="position:absolute;left:0pt;margin-left:0pt;margin-top:14.2pt;height:24pt;width:35.3pt;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path/>
          <v:fill on="f" focussize="0,0"/>
          <v:stroke on="f" weight="0.5pt" joinstyle="miter"/>
          <v:imagedata o:title=""/>
          <o:lock v:ext="edit"/>
          <v:textbox inset="0mm,0mm,0mm,0mm" style="mso-fit-shape-to-text:t;">
            <w:txbxContent>
              <w:p>
                <w:pPr>
                  <w:pStyle w:val="5"/>
                  <w:ind w:right="525" w:rightChars="250"/>
                  <w:rPr>
                    <w:rFonts w:ascii="华文仿宋" w:hAnsi="华文仿宋" w:eastAsia="华文仿宋" w:cs="华文仿宋"/>
                    <w:sz w:val="28"/>
                    <w:szCs w:val="28"/>
                  </w:rPr>
                </w:pPr>
              </w:p>
            </w:txbxContent>
          </v:textbox>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28" w:right="95"/>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documentProtection w:enforcement="0"/>
  <w:defaultTabStop w:val="420"/>
  <w:drawingGridHorizontalSpacing w:val="210"/>
  <w:drawingGridVerticalSpacing w:val="157"/>
  <w:displayVerticalDrawingGridEvery w:val="2"/>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MjJkMWNjOTdmZWQxZDJmMDc1NzhmN2I2NzVkOGY1NzMifQ=="/>
  </w:docVars>
  <w:rsids>
    <w:rsidRoot w:val="0CCB7736"/>
    <w:rsid w:val="00045F7B"/>
    <w:rsid w:val="00047FEF"/>
    <w:rsid w:val="00095777"/>
    <w:rsid w:val="000A3265"/>
    <w:rsid w:val="000A3906"/>
    <w:rsid w:val="000D5F98"/>
    <w:rsid w:val="00136FD6"/>
    <w:rsid w:val="00153897"/>
    <w:rsid w:val="001635E6"/>
    <w:rsid w:val="00171BEF"/>
    <w:rsid w:val="001776F1"/>
    <w:rsid w:val="002263DD"/>
    <w:rsid w:val="002B30E9"/>
    <w:rsid w:val="002D0A8A"/>
    <w:rsid w:val="003474B8"/>
    <w:rsid w:val="0036610D"/>
    <w:rsid w:val="003708A3"/>
    <w:rsid w:val="0037587A"/>
    <w:rsid w:val="003D1D3F"/>
    <w:rsid w:val="003F66C1"/>
    <w:rsid w:val="004106DC"/>
    <w:rsid w:val="0042750F"/>
    <w:rsid w:val="00446956"/>
    <w:rsid w:val="004C378F"/>
    <w:rsid w:val="0053481B"/>
    <w:rsid w:val="00551BF9"/>
    <w:rsid w:val="005A52FA"/>
    <w:rsid w:val="005B4459"/>
    <w:rsid w:val="00685D5F"/>
    <w:rsid w:val="006F0A16"/>
    <w:rsid w:val="00773328"/>
    <w:rsid w:val="007B3190"/>
    <w:rsid w:val="007C1EE4"/>
    <w:rsid w:val="007C260D"/>
    <w:rsid w:val="007F44E5"/>
    <w:rsid w:val="00800DAF"/>
    <w:rsid w:val="008158BE"/>
    <w:rsid w:val="00820E5A"/>
    <w:rsid w:val="00821883"/>
    <w:rsid w:val="00830F69"/>
    <w:rsid w:val="00834148"/>
    <w:rsid w:val="008473FE"/>
    <w:rsid w:val="008501BB"/>
    <w:rsid w:val="00864D4D"/>
    <w:rsid w:val="008663E1"/>
    <w:rsid w:val="00903446"/>
    <w:rsid w:val="00917857"/>
    <w:rsid w:val="00951882"/>
    <w:rsid w:val="009D1B7A"/>
    <w:rsid w:val="009E5AE1"/>
    <w:rsid w:val="00A2201C"/>
    <w:rsid w:val="00A755C2"/>
    <w:rsid w:val="00A8112E"/>
    <w:rsid w:val="00AB049D"/>
    <w:rsid w:val="00B334F1"/>
    <w:rsid w:val="00B608A2"/>
    <w:rsid w:val="00C214B9"/>
    <w:rsid w:val="00C80D7E"/>
    <w:rsid w:val="00CA68AF"/>
    <w:rsid w:val="00D06DD6"/>
    <w:rsid w:val="00DA2C05"/>
    <w:rsid w:val="00DC7655"/>
    <w:rsid w:val="00DE07FE"/>
    <w:rsid w:val="00EC7ADC"/>
    <w:rsid w:val="00F00C54"/>
    <w:rsid w:val="00FC08DF"/>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386E9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0D65D8"/>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2AF2069"/>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nhideWhenUsed="0" w:uiPriority="99" w:semiHidden="0" w:name="footnote text"/>
    <w:lsdException w:uiPriority="99" w:name="annotation text"/>
    <w:lsdException w:qFormat="1" w:unhideWhenUsed="0" w:uiPriority="99" w:semiHidden="0" w:name="header"/>
    <w:lsdException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unhideWhenUsed="0" w:uiPriority="99" w:name="Default Paragraph Font"/>
    <w:lsdException w:unhideWhenUsed="0"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11"/>
    <w:autoRedefine/>
    <w:qFormat/>
    <w:locked/>
    <w:uiPriority w:val="99"/>
    <w:pPr>
      <w:keepNext/>
      <w:keepLines/>
      <w:outlineLvl w:val="0"/>
    </w:pPr>
    <w:rPr>
      <w:rFonts w:eastAsia="黑体"/>
      <w:bCs/>
      <w:kern w:val="44"/>
      <w:szCs w:val="44"/>
    </w:rPr>
  </w:style>
  <w:style w:type="character" w:default="1" w:styleId="9">
    <w:name w:val="Default Paragraph Font"/>
    <w:semiHidden/>
    <w:uiPriority w:val="99"/>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footnote text"/>
    <w:basedOn w:val="1"/>
    <w:next w:val="1"/>
    <w:link w:val="12"/>
    <w:autoRedefine/>
    <w:uiPriority w:val="99"/>
    <w:pPr>
      <w:snapToGrid w:val="0"/>
      <w:ind w:firstLine="700" w:firstLineChars="250"/>
      <w:jc w:val="left"/>
    </w:pPr>
    <w:rPr>
      <w:rFonts w:ascii="楷体_GB2312" w:hAnsi="新宋体" w:eastAsia="楷体_GB2312" w:cs="新宋体"/>
      <w:sz w:val="28"/>
      <w:szCs w:val="28"/>
    </w:rPr>
  </w:style>
  <w:style w:type="paragraph" w:styleId="4">
    <w:name w:val="Body Text"/>
    <w:basedOn w:val="1"/>
    <w:link w:val="13"/>
    <w:autoRedefine/>
    <w:semiHidden/>
    <w:uiPriority w:val="99"/>
    <w:rPr>
      <w:rFonts w:ascii="仿宋" w:hAnsi="仿宋" w:eastAsia="仿宋" w:cs="仿宋"/>
      <w:sz w:val="31"/>
      <w:szCs w:val="31"/>
      <w:lang w:eastAsia="en-US"/>
    </w:rPr>
  </w:style>
  <w:style w:type="paragraph" w:styleId="5">
    <w:name w:val="footer"/>
    <w:basedOn w:val="1"/>
    <w:link w:val="14"/>
    <w:autoRedefine/>
    <w:uiPriority w:val="99"/>
    <w:pPr>
      <w:tabs>
        <w:tab w:val="center" w:pos="4153"/>
        <w:tab w:val="right" w:pos="8306"/>
      </w:tabs>
      <w:snapToGrid w:val="0"/>
      <w:jc w:val="left"/>
    </w:pPr>
    <w:rPr>
      <w:sz w:val="18"/>
      <w:szCs w:val="18"/>
    </w:rPr>
  </w:style>
  <w:style w:type="paragraph" w:styleId="6">
    <w:name w:val="header"/>
    <w:basedOn w:val="1"/>
    <w:link w:val="15"/>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table" w:styleId="8">
    <w:name w:val="Table Grid"/>
    <w:basedOn w:val="7"/>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0">
    <w:name w:val="page number"/>
    <w:basedOn w:val="9"/>
    <w:qFormat/>
    <w:uiPriority w:val="99"/>
    <w:rPr>
      <w:rFonts w:cs="Times New Roman"/>
    </w:rPr>
  </w:style>
  <w:style w:type="character" w:customStyle="1" w:styleId="11">
    <w:name w:val="Heading 1 Char"/>
    <w:basedOn w:val="9"/>
    <w:link w:val="3"/>
    <w:locked/>
    <w:uiPriority w:val="99"/>
    <w:rPr>
      <w:rFonts w:eastAsia="黑体" w:cs="Times New Roman"/>
      <w:bCs/>
      <w:kern w:val="44"/>
      <w:sz w:val="44"/>
      <w:szCs w:val="44"/>
      <w:lang w:val="en-US" w:eastAsia="zh-CN" w:bidi="ar-SA"/>
    </w:rPr>
  </w:style>
  <w:style w:type="character" w:customStyle="1" w:styleId="12">
    <w:name w:val="Footnote Text Char"/>
    <w:basedOn w:val="9"/>
    <w:link w:val="2"/>
    <w:semiHidden/>
    <w:locked/>
    <w:uiPriority w:val="99"/>
    <w:rPr>
      <w:rFonts w:ascii="楷体_GB2312" w:hAnsi="新宋体" w:eastAsia="楷体_GB2312" w:cs="新宋体"/>
      <w:kern w:val="2"/>
      <w:sz w:val="28"/>
      <w:szCs w:val="28"/>
      <w:lang w:val="en-US" w:eastAsia="zh-CN" w:bidi="ar-SA"/>
    </w:rPr>
  </w:style>
  <w:style w:type="character" w:customStyle="1" w:styleId="13">
    <w:name w:val="Body Text Char"/>
    <w:basedOn w:val="9"/>
    <w:link w:val="4"/>
    <w:semiHidden/>
    <w:uiPriority w:val="99"/>
    <w:rPr>
      <w:szCs w:val="24"/>
    </w:rPr>
  </w:style>
  <w:style w:type="character" w:customStyle="1" w:styleId="14">
    <w:name w:val="Footer Char"/>
    <w:basedOn w:val="9"/>
    <w:link w:val="5"/>
    <w:semiHidden/>
    <w:locked/>
    <w:uiPriority w:val="99"/>
    <w:rPr>
      <w:rFonts w:cs="Times New Roman"/>
      <w:sz w:val="18"/>
      <w:szCs w:val="18"/>
    </w:rPr>
  </w:style>
  <w:style w:type="character" w:customStyle="1" w:styleId="15">
    <w:name w:val="Header Char"/>
    <w:basedOn w:val="9"/>
    <w:link w:val="6"/>
    <w:semiHidden/>
    <w:qFormat/>
    <w:locked/>
    <w:uiPriority w:val="99"/>
    <w:rPr>
      <w:rFonts w:cs="Times New Roman"/>
      <w:sz w:val="18"/>
      <w:szCs w:val="18"/>
    </w:rPr>
  </w:style>
  <w:style w:type="paragraph" w:styleId="16">
    <w:name w:val="List Paragraph"/>
    <w:basedOn w:val="1"/>
    <w:autoRedefine/>
    <w:qFormat/>
    <w:uiPriority w:val="99"/>
    <w:pPr>
      <w:widowControl/>
      <w:spacing w:line="600" w:lineRule="exact"/>
      <w:ind w:firstLine="480" w:firstLineChars="200"/>
    </w:pPr>
    <w:rPr>
      <w:rFonts w:ascii="Calibri" w:hAnsi="Calibri"/>
      <w:sz w:val="24"/>
    </w:rPr>
  </w:style>
  <w:style w:type="table" w:customStyle="1" w:styleId="17">
    <w:name w:val="Table Normal1"/>
    <w:semiHidden/>
    <w:qFormat/>
    <w:uiPriority w:val="99"/>
    <w:rPr>
      <w:kern w:val="0"/>
      <w:sz w:val="20"/>
      <w:szCs w:val="20"/>
    </w:rPr>
    <w:tblPr>
      <w:tblCellMar>
        <w:top w:w="0" w:type="dxa"/>
        <w:left w:w="0" w:type="dxa"/>
        <w:bottom w:w="0" w:type="dxa"/>
        <w:right w:w="0" w:type="dxa"/>
      </w:tblCellMar>
    </w:tblPr>
  </w:style>
  <w:style w:type="paragraph" w:customStyle="1" w:styleId="18">
    <w:name w:val="Table Text"/>
    <w:basedOn w:val="1"/>
    <w:autoRedefine/>
    <w:semiHidden/>
    <w:uiPriority w:val="99"/>
    <w:rPr>
      <w:rFonts w:ascii="Arial" w:hAnsi="Arial" w:cs="Arial"/>
      <w:szCs w:val="21"/>
      <w:lang w:eastAsia="en-US"/>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4097"/>
    <customShpInfo spid="_x0000_s4098"/>
    <customShpInfo spid="_x0000_s410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Normal_Wordconv.dotm</Template>
  <Pages>5</Pages>
  <Words>10742</Words>
  <Characters>11905</Characters>
  <Lines>0</Lines>
  <Paragraphs>0</Paragraphs>
  <TotalTime>310</TotalTime>
  <ScaleCrop>false</ScaleCrop>
  <LinksUpToDate>false</LinksUpToDate>
  <CharactersWithSpaces>12165</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2020-06-06T01:07:00Z</dcterms:created>
  <dc:creator>Administrator</dc:creator>
  <cp:lastModifiedBy>依。</cp:lastModifiedBy>
  <cp:lastPrinted>2024-05-28T07:26:00Z</cp:lastPrinted>
  <dcterms:modified xsi:type="dcterms:W3CDTF">2024-05-28T07:56:18Z</dcterms:modified>
  <cp:revision>47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KSOSaveFontToCloudKey">
    <vt:lpwstr>386772509_embed</vt:lpwstr>
  </property>
  <property fmtid="{D5CDD505-2E9C-101B-9397-08002B2CF9AE}" pid="4" name="ICV">
    <vt:lpwstr>F96CC6F13C934D6E834055B675BCA8AB_13</vt:lpwstr>
  </property>
</Properties>
</file>