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right="95"/>
        <w:jc w:val="left"/>
        <w:rPr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pacing w:val="-4"/>
          <w:sz w:val="32"/>
          <w:szCs w:val="32"/>
        </w:rPr>
        <w:t>5</w:t>
      </w:r>
    </w:p>
    <w:p>
      <w:pPr>
        <w:ind w:left="-28" w:right="95" w:firstLine="77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ind w:left="-28" w:right="95" w:firstLine="77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ind w:left="-28" w:right="95" w:firstLine="77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2023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年度农业综合行政执法大队</w:t>
      </w:r>
      <w:bookmarkStart w:id="0" w:name="_GoBack"/>
      <w:r>
        <w:rPr>
          <w:rFonts w:ascii="Î¢ÈíÑÅºÚ Western" w:hAnsi="Î¢ÈíÑÅºÚ Western" w:eastAsia="微软雅黑"/>
          <w:color w:val="000000"/>
          <w:szCs w:val="21"/>
          <w:shd w:val="clear" w:color="auto" w:fill="FFFFFF"/>
        </w:rPr>
        <w:t> 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>洞庭湖矮围拆除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项目支出绩效自评报告</w:t>
      </w:r>
    </w:p>
    <w:p>
      <w:pPr>
        <w:ind w:left="-28" w:right="95" w:firstLine="920"/>
        <w:jc w:val="center"/>
        <w:rPr>
          <w:rFonts w:eastAsia="方正小标宋_GBK"/>
          <w:b/>
          <w:sz w:val="52"/>
          <w:szCs w:val="52"/>
        </w:rPr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pStyle w:val="2"/>
        <w:ind w:left="-28" w:right="95"/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ind w:left="-28" w:right="95" w:firstLine="566"/>
        <w:rPr>
          <w:rFonts w:eastAsia="黑体"/>
          <w:sz w:val="32"/>
          <w:szCs w:val="32"/>
        </w:rPr>
      </w:pPr>
    </w:p>
    <w:p>
      <w:pPr>
        <w:pStyle w:val="3"/>
        <w:spacing w:before="100" w:line="221" w:lineRule="auto"/>
        <w:ind w:left="-28" w:right="95"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部门（单位）名称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：</w:t>
      </w:r>
      <w:r>
        <w:rPr>
          <w:rFonts w:ascii="仿宋_GB2312" w:hAnsi="仿宋_GB2312" w:eastAsia="仿宋_GB2312" w:cs="仿宋_GB2312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hAnsi="仿宋_GB2312" w:eastAsia="仿宋_GB2312" w:cs="仿宋_GB2312"/>
          <w:spacing w:val="-118"/>
          <w:sz w:val="32"/>
          <w:szCs w:val="32"/>
          <w:u w:val="single"/>
        </w:rPr>
        <w:t xml:space="preserve"> </w:t>
      </w:r>
      <w:r>
        <w:rPr>
          <w:rFonts w:ascii="仿宋_GB2312" w:hAnsi="仿宋_GB2312" w:eastAsia="仿宋_GB2312" w:cs="仿宋_GB2312"/>
          <w:spacing w:val="-75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u w:val="single"/>
        </w:rPr>
        <w:t>盖章）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</w:t>
      </w:r>
    </w:p>
    <w:p>
      <w:pPr>
        <w:spacing w:before="228" w:line="222" w:lineRule="auto"/>
        <w:ind w:left="-28" w:right="95" w:firstLine="456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pacing w:val="-8"/>
          <w:sz w:val="32"/>
          <w:szCs w:val="32"/>
        </w:rPr>
        <w:t>2024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年</w:t>
      </w:r>
      <w:r>
        <w:rPr>
          <w:rFonts w:ascii="仿宋_GB2312" w:hAnsi="仿宋_GB2312" w:eastAsia="仿宋_GB2312" w:cs="仿宋_GB2312"/>
          <w:spacing w:val="21"/>
          <w:sz w:val="32"/>
          <w:szCs w:val="32"/>
        </w:rPr>
        <w:t xml:space="preserve"> 5 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月</w:t>
      </w:r>
      <w:r>
        <w:rPr>
          <w:rFonts w:ascii="仿宋_GB2312" w:hAnsi="仿宋_GB2312" w:eastAsia="仿宋_GB2312" w:cs="仿宋_GB2312"/>
          <w:spacing w:val="43"/>
          <w:sz w:val="32"/>
          <w:szCs w:val="32"/>
        </w:rPr>
        <w:t xml:space="preserve"> 28 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日</w:t>
      </w:r>
    </w:p>
    <w:p>
      <w:pPr>
        <w:spacing w:line="335" w:lineRule="auto"/>
        <w:ind w:left="-28" w:right="95" w:firstLine="566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spacing w:before="102" w:line="224" w:lineRule="auto"/>
        <w:ind w:left="-28" w:right="95" w:firstLine="595"/>
        <w:rPr>
          <w:rFonts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（此页为封面）</w:t>
      </w:r>
    </w:p>
    <w:p>
      <w:pPr>
        <w:ind w:left="-28" w:right="95" w:firstLine="595"/>
        <w:rPr>
          <w:rFonts w:ascii="仿宋_GB2312" w:hAnsi="仿宋_GB2312" w:eastAsia="仿宋_GB2312" w:cs="仿宋_GB2312"/>
          <w:spacing w:val="8"/>
          <w:sz w:val="32"/>
          <w:szCs w:val="32"/>
        </w:rPr>
      </w:pPr>
      <w:r>
        <w:rPr>
          <w:rFonts w:ascii="仿宋_GB2312" w:hAnsi="仿宋_GB2312" w:eastAsia="仿宋_GB2312" w:cs="仿宋_GB2312"/>
          <w:spacing w:val="8"/>
          <w:sz w:val="32"/>
          <w:szCs w:val="32"/>
        </w:rPr>
        <w:br w:type="page"/>
      </w:r>
    </w:p>
    <w:p>
      <w:pPr>
        <w:spacing w:line="610" w:lineRule="exact"/>
        <w:ind w:left="-28" w:right="95" w:firstLine="77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2023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年度农业综合行政执法大队</w:t>
      </w:r>
      <w:r>
        <w:rPr>
          <w:rFonts w:ascii="Î¢ÈíÑÅºÚ Western" w:hAnsi="Î¢ÈíÑÅºÚ Western" w:eastAsia="微软雅黑"/>
          <w:color w:val="000000"/>
          <w:szCs w:val="21"/>
          <w:shd w:val="clear" w:color="auto" w:fill="FFFFFF"/>
        </w:rPr>
        <w:t> 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>洞庭湖矮围拆除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项目支出绩效自评报告</w:t>
      </w:r>
    </w:p>
    <w:p>
      <w:pPr>
        <w:spacing w:line="610" w:lineRule="exact"/>
        <w:ind w:left="-28" w:right="95" w:firstLine="600" w:firstLineChars="200"/>
        <w:rPr>
          <w:rFonts w:ascii="黑体" w:hAnsi="黑体" w:eastAsia="黑体" w:cs="黑体"/>
          <w:sz w:val="30"/>
          <w:szCs w:val="30"/>
        </w:rPr>
      </w:pPr>
    </w:p>
    <w:p>
      <w:pPr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（一）项目概况。包括项目背景、主要内容及实施情况、资金投入和使用情况等。</w:t>
      </w:r>
    </w:p>
    <w:p>
      <w:pPr>
        <w:pStyle w:val="2"/>
        <w:ind w:right="95" w:firstLine="560" w:firstLineChars="200"/>
      </w:pPr>
      <w:r>
        <w:rPr>
          <w:rFonts w:hint="eastAsia"/>
        </w:rPr>
        <w:t>洞庭湖矮围拆除资金</w:t>
      </w:r>
      <w:r>
        <w:t>220</w:t>
      </w:r>
      <w:r>
        <w:rPr>
          <w:rFonts w:hint="eastAsia"/>
        </w:rPr>
        <w:t>万元。主要用于对洞庭湖矮围拆除进行补贴，资金投入</w:t>
      </w:r>
      <w:r>
        <w:t>220</w:t>
      </w:r>
      <w:r>
        <w:rPr>
          <w:rFonts w:hint="eastAsia"/>
        </w:rPr>
        <w:t>万元，全部使用完成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（二）项目绩效目标。包括总体目标和阶段性目标。</w:t>
      </w:r>
    </w:p>
    <w:p>
      <w:pPr>
        <w:pStyle w:val="2"/>
        <w:snapToGrid/>
        <w:spacing w:line="500" w:lineRule="exact"/>
        <w:ind w:right="71" w:rightChars="34" w:firstLine="560" w:firstLineChars="200"/>
      </w:pPr>
      <w:r>
        <w:t>1.</w:t>
      </w:r>
      <w:r>
        <w:rPr>
          <w:rFonts w:hint="eastAsia"/>
        </w:rPr>
        <w:t>绩效总目标：保护全县渔业生态环境，维护生产秩序</w:t>
      </w:r>
    </w:p>
    <w:p>
      <w:pPr>
        <w:spacing w:line="500" w:lineRule="exact"/>
        <w:ind w:left="-21" w:leftChars="-10" w:right="71" w:rightChars="34" w:firstLine="495" w:firstLineChars="177"/>
        <w:rPr>
          <w:rFonts w:ascii="楷体_GB2312" w:hAnsi="新宋体" w:eastAsia="楷体_GB2312" w:cs="新宋体"/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ascii="楷体_GB2312" w:hAnsi="新宋体" w:eastAsia="楷体_GB2312" w:cs="新宋体"/>
          <w:sz w:val="28"/>
          <w:szCs w:val="28"/>
        </w:rPr>
        <w:t>.</w:t>
      </w:r>
      <w:r>
        <w:rPr>
          <w:rFonts w:hint="eastAsia" w:ascii="楷体_GB2312" w:hAnsi="新宋体" w:eastAsia="楷体_GB2312" w:cs="新宋体"/>
          <w:sz w:val="28"/>
          <w:szCs w:val="28"/>
        </w:rPr>
        <w:t>绩效阶段性目标：禁</w:t>
      </w:r>
      <w:r>
        <w:rPr>
          <w:rFonts w:hint="eastAsia" w:ascii="楷体_GB2312" w:eastAsia="楷体_GB2312"/>
          <w:sz w:val="28"/>
          <w:szCs w:val="28"/>
        </w:rPr>
        <w:t>洞庭湖矮围拆除资金</w:t>
      </w:r>
      <w:r>
        <w:rPr>
          <w:rFonts w:ascii="楷体_GB2312" w:eastAsia="楷体_GB2312"/>
          <w:sz w:val="28"/>
          <w:szCs w:val="28"/>
        </w:rPr>
        <w:t>220</w:t>
      </w:r>
      <w:r>
        <w:rPr>
          <w:rFonts w:hint="eastAsia" w:ascii="楷体_GB2312" w:eastAsia="楷体_GB2312"/>
          <w:sz w:val="28"/>
          <w:szCs w:val="28"/>
        </w:rPr>
        <w:t>万元。主要用于对洞庭湖矮围进行拆除</w:t>
      </w:r>
      <w:r>
        <w:rPr>
          <w:rFonts w:hint="eastAsia" w:ascii="楷体_GB2312" w:hAnsi="新宋体" w:eastAsia="楷体_GB2312" w:cs="新宋体"/>
          <w:sz w:val="28"/>
          <w:szCs w:val="28"/>
        </w:rPr>
        <w:t>。绩效目标为加强对县域渔业资源的保护管理，改善县城渔业生态环境、维护水生生物多样性，促进我县渔业经济健康发展。</w:t>
      </w:r>
    </w:p>
    <w:p>
      <w:pPr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对资金使用的实际产出和效益进行评价，以改进预算决策和管理水平，强化资金使用效益意识，提升资金管理水平。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绩效评价遵循科学规范、公开公正、分级分类、绩效相关的原则。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县级项目评价指标分为</w:t>
      </w:r>
      <w:r>
        <w:rPr>
          <w:rFonts w:ascii="楷体_GB2312" w:hAnsi="新宋体" w:eastAsia="楷体_GB2312" w:cs="新宋体"/>
          <w:sz w:val="28"/>
          <w:szCs w:val="28"/>
        </w:rPr>
        <w:t>3</w:t>
      </w:r>
      <w:r>
        <w:rPr>
          <w:rFonts w:hint="eastAsia" w:ascii="楷体_GB2312" w:hAnsi="新宋体" w:eastAsia="楷体_GB2312" w:cs="新宋体"/>
          <w:sz w:val="28"/>
          <w:szCs w:val="28"/>
        </w:rPr>
        <w:t>级，包括</w:t>
      </w:r>
      <w:r>
        <w:rPr>
          <w:rFonts w:ascii="楷体_GB2312" w:hAnsi="新宋体" w:eastAsia="楷体_GB2312" w:cs="新宋体"/>
          <w:sz w:val="28"/>
          <w:szCs w:val="28"/>
        </w:rPr>
        <w:t>3</w:t>
      </w:r>
      <w:r>
        <w:rPr>
          <w:rFonts w:hint="eastAsia" w:ascii="楷体_GB2312" w:hAnsi="新宋体" w:eastAsia="楷体_GB2312" w:cs="新宋体"/>
          <w:sz w:val="28"/>
          <w:szCs w:val="28"/>
        </w:rPr>
        <w:t>项一级指标、</w:t>
      </w:r>
      <w:r>
        <w:rPr>
          <w:rFonts w:ascii="楷体_GB2312" w:hAnsi="新宋体" w:eastAsia="楷体_GB2312" w:cs="新宋体"/>
          <w:sz w:val="28"/>
          <w:szCs w:val="28"/>
        </w:rPr>
        <w:t>9</w:t>
      </w:r>
      <w:r>
        <w:rPr>
          <w:rFonts w:hint="eastAsia" w:ascii="楷体_GB2312" w:hAnsi="新宋体" w:eastAsia="楷体_GB2312" w:cs="新宋体"/>
          <w:sz w:val="28"/>
          <w:szCs w:val="28"/>
        </w:rPr>
        <w:t>项二级指标、</w:t>
      </w:r>
      <w:r>
        <w:rPr>
          <w:rFonts w:ascii="楷体_GB2312" w:hAnsi="新宋体" w:eastAsia="楷体_GB2312" w:cs="新宋体"/>
          <w:sz w:val="28"/>
          <w:szCs w:val="28"/>
        </w:rPr>
        <w:t>9</w:t>
      </w:r>
      <w:r>
        <w:rPr>
          <w:rFonts w:hint="eastAsia" w:ascii="楷体_GB2312" w:hAnsi="新宋体" w:eastAsia="楷体_GB2312" w:cs="新宋体"/>
          <w:sz w:val="28"/>
          <w:szCs w:val="28"/>
        </w:rPr>
        <w:t>项三级指标，详见附件</w:t>
      </w:r>
      <w:r>
        <w:rPr>
          <w:rFonts w:ascii="楷体_GB2312" w:hAnsi="新宋体" w:eastAsia="楷体_GB2312" w:cs="新宋体"/>
          <w:sz w:val="28"/>
          <w:szCs w:val="28"/>
        </w:rPr>
        <w:t>6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评价方法：采取定量指标与定性指标相结合，以定量为主、定性为辅的方式开展评价工作。</w:t>
      </w:r>
    </w:p>
    <w:p>
      <w:pPr>
        <w:pStyle w:val="2"/>
      </w:pP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ascii="楷体_GB2312" w:hAnsi="新宋体" w:eastAsia="楷体_GB2312" w:cs="新宋体"/>
          <w:sz w:val="28"/>
          <w:szCs w:val="28"/>
        </w:rPr>
        <w:t>1.</w:t>
      </w:r>
      <w:r>
        <w:rPr>
          <w:rFonts w:hint="eastAsia" w:ascii="楷体_GB2312" w:hAnsi="新宋体" w:eastAsia="楷体_GB2312" w:cs="新宋体"/>
          <w:sz w:val="28"/>
          <w:szCs w:val="28"/>
        </w:rPr>
        <w:t>前期准备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为确保项目绩效评价自评工作顺利完成，大队召开专题会议，明确工作重点和任务要求，有序组织开展了</w:t>
      </w:r>
      <w:r>
        <w:rPr>
          <w:rFonts w:ascii="楷体_GB2312" w:hAnsi="新宋体" w:eastAsia="楷体_GB2312" w:cs="新宋体"/>
          <w:sz w:val="28"/>
          <w:szCs w:val="28"/>
        </w:rPr>
        <w:t>2023</w:t>
      </w:r>
      <w:r>
        <w:rPr>
          <w:rFonts w:hint="eastAsia" w:ascii="楷体_GB2312" w:hAnsi="新宋体" w:eastAsia="楷体_GB2312" w:cs="新宋体"/>
          <w:sz w:val="28"/>
          <w:szCs w:val="28"/>
        </w:rPr>
        <w:t>年度专项资金的绩效评价自评工作。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ascii="楷体_GB2312" w:hAnsi="新宋体" w:eastAsia="楷体_GB2312" w:cs="新宋体"/>
          <w:sz w:val="28"/>
          <w:szCs w:val="28"/>
        </w:rPr>
        <w:t>2.</w:t>
      </w:r>
      <w:r>
        <w:rPr>
          <w:rFonts w:hint="eastAsia" w:ascii="楷体_GB2312" w:hAnsi="新宋体" w:eastAsia="楷体_GB2312" w:cs="新宋体"/>
          <w:sz w:val="28"/>
          <w:szCs w:val="28"/>
        </w:rPr>
        <w:t>组织实施</w:t>
      </w:r>
    </w:p>
    <w:p>
      <w:pPr>
        <w:pStyle w:val="2"/>
      </w:pPr>
      <w:r>
        <w:rPr>
          <w:rFonts w:hint="eastAsia"/>
        </w:rPr>
        <w:t>县大队抽调相关业务部门工作人员组成工作组开展绩效评价工作，评价工作组对上报的相关材料进行审查、复核和测评，并按照评价标准和规范，对各项指标进行计算和打分，并撰写评价报告。</w:t>
      </w:r>
    </w:p>
    <w:p>
      <w:pPr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三、综合评价情况及评价结论</w:t>
      </w:r>
      <w:r>
        <w:rPr>
          <w:rFonts w:ascii="黑体" w:hAnsi="黑体" w:eastAsia="黑体" w:cs="黑体"/>
          <w:sz w:val="32"/>
          <w:szCs w:val="32"/>
        </w:rPr>
        <w:t xml:space="preserve"> </w:t>
      </w:r>
    </w:p>
    <w:p>
      <w:pPr>
        <w:pStyle w:val="2"/>
      </w:pPr>
      <w:r>
        <w:rPr>
          <w:rFonts w:hint="eastAsia"/>
        </w:rPr>
        <w:t>执法大队按项目计划的要求支出专项资金，将专项资金及时并有效的用于渔业资源增殖和保护，并严格按项目计划拨付、使用资金，严格按项目申请、批复内容及程序执行，未挤占、截留、挪用专项资金，做到专款专用，审批程序规范，较好的完成了计划目标。经评价小组综合分析，绩效评价自评得分为</w:t>
      </w:r>
      <w:r>
        <w:t>100</w:t>
      </w:r>
      <w:r>
        <w:rPr>
          <w:rFonts w:hint="eastAsia"/>
        </w:rPr>
        <w:t>分，评价结果为优。</w:t>
      </w:r>
    </w:p>
    <w:p>
      <w:pPr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（一）项目决策情况。</w:t>
      </w:r>
    </w:p>
    <w:p>
      <w:pPr>
        <w:spacing w:line="500" w:lineRule="exact"/>
        <w:ind w:left="-357" w:leftChars="-170" w:right="71" w:rightChars="34" w:firstLine="560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项目由大队自行组织实施，实施过程都是按照本单位制定的管理制度来执行</w:t>
      </w:r>
      <w:r>
        <w:rPr>
          <w:rFonts w:hint="eastAsia"/>
          <w:sz w:val="30"/>
          <w:szCs w:val="30"/>
        </w:rPr>
        <w:t>。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（二）项目过程情况。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项目建设符合相关规定，项目支出均按项目实施完成情况进行支付，并建立了相关的管理制度，有专人负责。项目进行前进行集体研究，项目实施过程中有负责人及时跟踪项目实施情况，并及时提出意见和建议，实现了项目管理与过程管理的有机结合。</w:t>
      </w:r>
    </w:p>
    <w:p>
      <w:pPr>
        <w:spacing w:line="610" w:lineRule="exact"/>
        <w:ind w:right="95"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（三）项目产出情况。</w:t>
      </w:r>
    </w:p>
    <w:p>
      <w:pPr>
        <w:spacing w:line="500" w:lineRule="exact"/>
        <w:ind w:left="-21" w:right="71" w:rightChars="34" w:firstLine="359"/>
        <w:rPr>
          <w:rFonts w:ascii="楷体_GB2312" w:eastAsia="楷体_GB2312"/>
          <w:sz w:val="30"/>
          <w:szCs w:val="30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项目按照工作需求稳步推进，现已完成全部工作目标，预算执行进度</w:t>
      </w:r>
      <w:r>
        <w:rPr>
          <w:rFonts w:ascii="楷体_GB2312" w:hAnsi="新宋体" w:eastAsia="楷体_GB2312" w:cs="新宋体"/>
          <w:sz w:val="28"/>
          <w:szCs w:val="28"/>
        </w:rPr>
        <w:t>100%</w:t>
      </w:r>
      <w:r>
        <w:rPr>
          <w:rFonts w:hint="eastAsia" w:ascii="楷体_GB2312" w:hAnsi="新宋体" w:eastAsia="楷体_GB2312" w:cs="新宋体"/>
          <w:sz w:val="28"/>
          <w:szCs w:val="28"/>
        </w:rPr>
        <w:t>，经过充分准备、精心实施，目前为止已完成全部工作计划任务，项目完成质量较高。</w:t>
      </w:r>
    </w:p>
    <w:p>
      <w:pPr>
        <w:spacing w:line="610" w:lineRule="exact"/>
        <w:ind w:right="95"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（四）项目效益情况。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渔业执法与资源保护、渔业资源增殖及保护项目，执行落实、验收建档率均为</w:t>
      </w:r>
      <w:r>
        <w:rPr>
          <w:rFonts w:ascii="楷体_GB2312" w:hAnsi="新宋体" w:eastAsia="楷体_GB2312" w:cs="新宋体"/>
          <w:sz w:val="28"/>
          <w:szCs w:val="28"/>
        </w:rPr>
        <w:t>100%</w:t>
      </w:r>
      <w:r>
        <w:rPr>
          <w:rFonts w:hint="eastAsia" w:ascii="楷体_GB2312" w:hAnsi="新宋体" w:eastAsia="楷体_GB2312" w:cs="新宋体"/>
          <w:sz w:val="28"/>
          <w:szCs w:val="28"/>
        </w:rPr>
        <w:t>。对打击非法捕捞，维护渔业生产秩序，维护我县渔业生态平衡，促进江河渔业经济可持续发展起到了很大的推动作用。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（</w:t>
      </w:r>
      <w:r>
        <w:rPr>
          <w:rFonts w:ascii="楷体_GB2312" w:hAnsi="新宋体" w:eastAsia="楷体_GB2312" w:cs="新宋体"/>
          <w:sz w:val="28"/>
          <w:szCs w:val="28"/>
        </w:rPr>
        <w:t>2</w:t>
      </w:r>
      <w:r>
        <w:rPr>
          <w:rFonts w:hint="eastAsia" w:ascii="楷体_GB2312" w:hAnsi="新宋体" w:eastAsia="楷体_GB2312" w:cs="新宋体"/>
          <w:sz w:val="28"/>
          <w:szCs w:val="28"/>
        </w:rPr>
        <w:t>）对经济和社会等领域影响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项目加强了内部管理，提高了财政资金使用效率和运行质量，强化了监管职能，保障了各项惠农政策贯彻落实和各项资金有效使用，极大的保障了财政资金的安全高效。</w:t>
      </w:r>
    </w:p>
    <w:p>
      <w:pPr>
        <w:spacing w:line="610" w:lineRule="exact"/>
        <w:ind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五、主要经验及做法、存在的问题及原因分析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ascii="楷体_GB2312" w:hAnsi="新宋体" w:eastAsia="楷体_GB2312" w:cs="新宋体"/>
          <w:sz w:val="28"/>
          <w:szCs w:val="28"/>
        </w:rPr>
        <w:t>1.</w:t>
      </w:r>
      <w:r>
        <w:rPr>
          <w:rFonts w:hint="eastAsia" w:ascii="楷体_GB2312" w:hAnsi="新宋体" w:eastAsia="楷体_GB2312" w:cs="新宋体"/>
          <w:sz w:val="28"/>
          <w:szCs w:val="28"/>
        </w:rPr>
        <w:t>组织实施到位。项目按照建设规划，采取有效措施，精心组织，保证了项目的顺利实施。一是在沿江沿湖地段，走村入户开展对全县捕捞渔民渔业法律法规知识的宣讲培训，让广大渔民意识到保护生态环境的重要性。二是做到信息公开，及时公开项目实施地点、资金使用情况。</w:t>
      </w:r>
    </w:p>
    <w:p>
      <w:pPr>
        <w:pStyle w:val="2"/>
      </w:pPr>
      <w:r>
        <w:t>2.</w:t>
      </w:r>
      <w:r>
        <w:rPr>
          <w:rFonts w:hint="eastAsia"/>
        </w:rPr>
        <w:t>资金管理到位。设立了专项资金账户，做到专款专用。在资金操作过程中严格执行财经纪律，建立资金管理和控制体系，接受财政、审计部门监督、审计，杜绝了挪用、串用、截留、挤占等现象。</w:t>
      </w:r>
    </w:p>
    <w:p>
      <w:pPr>
        <w:widowControl/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六、其他需要说明的问题</w:t>
      </w:r>
    </w:p>
    <w:p>
      <w:r>
        <w:rPr>
          <w:rFonts w:ascii="黑体" w:hAnsi="黑体" w:eastAsia="黑体" w:cs="黑体"/>
          <w:sz w:val="30"/>
          <w:szCs w:val="30"/>
        </w:rPr>
        <w:t xml:space="preserve">  </w:t>
      </w:r>
      <w:r>
        <w:rPr>
          <w:rFonts w:hint="eastAsia" w:ascii="楷体_GB2312" w:hAnsi="新宋体" w:eastAsia="楷体_GB2312" w:cs="新宋体"/>
          <w:sz w:val="28"/>
          <w:szCs w:val="28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Î¢ÈíÑÅºÚ Western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kMWNjOTdmZWQxZDJmMDc1NzhmN2I2NzVkOGY1NzMifQ=="/>
  </w:docVars>
  <w:rsids>
    <w:rsidRoot w:val="7BCD3478"/>
    <w:rsid w:val="7BCD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uiPriority w:val="99"/>
    <w:pPr>
      <w:snapToGrid w:val="0"/>
      <w:ind w:firstLine="700" w:firstLineChars="250"/>
      <w:jc w:val="left"/>
    </w:pPr>
    <w:rPr>
      <w:rFonts w:ascii="楷体_GB2312" w:hAnsi="新宋体" w:eastAsia="楷体_GB2312" w:cs="新宋体"/>
      <w:sz w:val="28"/>
      <w:szCs w:val="28"/>
    </w:rPr>
  </w:style>
  <w:style w:type="paragraph" w:styleId="3">
    <w:name w:val="Body Text"/>
    <w:basedOn w:val="1"/>
    <w:semiHidden/>
    <w:qFormat/>
    <w:uiPriority w:val="99"/>
    <w:rPr>
      <w:rFonts w:ascii="仿宋" w:hAnsi="仿宋" w:eastAsia="仿宋" w:cs="仿宋"/>
      <w:sz w:val="31"/>
      <w:szCs w:val="3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2024-05-28T07:51:00Z</dcterms:created>
  <dc:creator>依。</dc:creator>
  <cp:lastModifiedBy>依。</cp:lastModifiedBy>
  <dcterms:modified xsi:type="dcterms:W3CDTF">2024-05-28T07:52:08Z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2B6B18A16702486C92FF95E0BE30C2A3_11</vt:lpwstr>
  </property>
</Properties>
</file>