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jc w:val="center"/>
        <w:rPr>
          <w:rFonts w:eastAsia="方正小标宋_GBK"/>
          <w:sz w:val="52"/>
          <w:szCs w:val="5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年度华容县国有资产管理中心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整体支出绩效自评报告</w:t>
      </w:r>
    </w:p>
    <w:p>
      <w:pPr>
        <w:jc w:val="center"/>
        <w:rPr>
          <w:rFonts w:eastAsia="方正小标宋_GBK"/>
          <w:b/>
          <w:sz w:val="52"/>
          <w:szCs w:val="52"/>
        </w:rPr>
      </w:pPr>
    </w:p>
    <w:p>
      <w:pPr>
        <w:jc w:val="center"/>
        <w:rPr>
          <w:rFonts w:eastAsia="楷体_GB2312"/>
          <w:b/>
          <w:sz w:val="32"/>
          <w:szCs w:val="32"/>
        </w:rPr>
      </w:pPr>
    </w:p>
    <w:p>
      <w:pPr>
        <w:jc w:val="center"/>
        <w:rPr>
          <w:rFonts w:eastAsia="楷体_GB2312"/>
          <w:b/>
          <w:sz w:val="32"/>
          <w:szCs w:val="32"/>
        </w:rPr>
      </w:pPr>
    </w:p>
    <w:p>
      <w:pPr>
        <w:jc w:val="center"/>
        <w:rPr>
          <w:rFonts w:eastAsia="楷体_GB2312"/>
          <w:b/>
          <w:sz w:val="32"/>
          <w:szCs w:val="32"/>
        </w:rPr>
      </w:pPr>
    </w:p>
    <w:p>
      <w:pPr>
        <w:jc w:val="center"/>
        <w:rPr>
          <w:rFonts w:eastAsia="楷体_GB2312"/>
          <w:b/>
          <w:sz w:val="32"/>
          <w:szCs w:val="32"/>
        </w:rPr>
      </w:pPr>
    </w:p>
    <w:p>
      <w:pPr>
        <w:jc w:val="center"/>
        <w:rPr>
          <w:rFonts w:eastAsia="楷体_GB2312"/>
          <w:b/>
          <w:sz w:val="32"/>
          <w:szCs w:val="32"/>
        </w:rPr>
      </w:pPr>
    </w:p>
    <w:p>
      <w:pPr>
        <w:jc w:val="center"/>
        <w:rPr>
          <w:rFonts w:eastAsia="楷体_GB2312"/>
          <w:b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rPr>
          <w:rFonts w:eastAsia="黑体"/>
          <w:sz w:val="32"/>
          <w:szCs w:val="32"/>
        </w:rPr>
      </w:pPr>
    </w:p>
    <w:p>
      <w:pPr>
        <w:spacing w:line="600" w:lineRule="exact"/>
        <w:jc w:val="center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部门（单位）名称：</w:t>
      </w:r>
    </w:p>
    <w:p>
      <w:pPr>
        <w:spacing w:line="600" w:lineRule="exact"/>
        <w:jc w:val="center"/>
        <w:rPr>
          <w:rFonts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  <w:lang w:val="en-US" w:eastAsia="zh-CN"/>
        </w:rPr>
        <w:t>2024</w:t>
      </w:r>
      <w:r>
        <w:rPr>
          <w:rFonts w:eastAsia="楷体_GB2312"/>
          <w:sz w:val="32"/>
          <w:szCs w:val="32"/>
        </w:rPr>
        <w:t>年</w:t>
      </w:r>
      <w:r>
        <w:rPr>
          <w:rFonts w:hint="eastAsia" w:eastAsia="楷体_GB2312"/>
          <w:sz w:val="32"/>
          <w:szCs w:val="32"/>
          <w:lang w:val="en-US" w:eastAsia="zh-CN"/>
        </w:rPr>
        <w:t>5</w:t>
      </w:r>
      <w:r>
        <w:rPr>
          <w:rFonts w:eastAsia="楷体_GB2312"/>
          <w:sz w:val="32"/>
          <w:szCs w:val="32"/>
        </w:rPr>
        <w:t>月</w:t>
      </w:r>
      <w:r>
        <w:rPr>
          <w:rFonts w:hint="eastAsia" w:eastAsia="楷体_GB2312"/>
          <w:sz w:val="32"/>
          <w:szCs w:val="32"/>
          <w:lang w:val="en-US" w:eastAsia="zh-CN"/>
        </w:rPr>
        <w:t>28</w:t>
      </w:r>
      <w:r>
        <w:rPr>
          <w:rFonts w:eastAsia="楷体_GB2312"/>
          <w:sz w:val="32"/>
          <w:szCs w:val="32"/>
        </w:rPr>
        <w:t>日</w:t>
      </w:r>
    </w:p>
    <w:p>
      <w:pPr>
        <w:jc w:val="center"/>
        <w:rPr>
          <w:rFonts w:eastAsia="仿宋_GB2312"/>
          <w:sz w:val="32"/>
          <w:szCs w:val="32"/>
        </w:rPr>
        <w:sectPr>
          <w:footerReference r:id="rId3" w:type="default"/>
          <w:pgSz w:w="11906" w:h="16838"/>
          <w:pgMar w:top="1701" w:right="1417" w:bottom="1417" w:left="1417" w:header="851" w:footer="992" w:gutter="0"/>
          <w:cols w:space="720" w:num="1"/>
          <w:docGrid w:type="lines" w:linePitch="312" w:charSpace="0"/>
        </w:sectPr>
      </w:pPr>
    </w:p>
    <w:p>
      <w:pPr>
        <w:spacing w:line="61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年度华容县国有资产管理中心</w:t>
      </w:r>
    </w:p>
    <w:p>
      <w:pPr>
        <w:spacing w:line="61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整体支出绩效自评报告</w:t>
      </w:r>
    </w:p>
    <w:p>
      <w:pPr>
        <w:spacing w:line="61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61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一、部门（单位）基本情况</w:t>
      </w:r>
    </w:p>
    <w:p>
      <w:pPr>
        <w:widowControl/>
        <w:spacing w:line="61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单位为财政全额预算拨款单位，核定人员编制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eastAsia="仿宋_GB2312"/>
          <w:color w:val="000000"/>
          <w:sz w:val="32"/>
          <w:szCs w:val="32"/>
        </w:rPr>
        <w:t>人，实有人数为1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  <w:szCs w:val="32"/>
        </w:rPr>
        <w:t>人。</w:t>
      </w:r>
    </w:p>
    <w:p>
      <w:pPr>
        <w:widowControl/>
        <w:spacing w:line="61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1、单位职责职能：</w:t>
      </w:r>
    </w:p>
    <w:p>
      <w:pPr>
        <w:widowControl/>
        <w:spacing w:line="61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贯彻执行国家、省、市、县关于政府投融资和企业国有资产管理的法律法规和方针、政策；编制政府年度投融资计划；根据县政府授权，代表县政府对岳阳惠华投资发展有限公司，华容县湘盛农业建设投资有限责任公司、华容县产业引导投资基金公司依照《中华人民共和国公司法》《中华人民共和国企业国有资产法》等法律履行出资人职责依法行使资产收益，参与重大决策和选择管理者等权利；负责授权管理国有企业国有资产的监督管理和保值增值，指导协调授权管理国有企业推进改革；负责审核授权国有企业的章程，绩效考核方案的制定和执行。根据授权范围管理和备案国有企业的一般经营事项。负责授权管理国有企业国有资产产权界定、资产评估监管、清产核资及产权纠纷调处等工作，监督指导国有产权交易。负责组织督促授权管理国有企业上交国有资本收益；负责对授权管理国有企业投资项目建设资金进行监督管理，对资金的投入产出进行财务管理、会计核算和效益分析评价。负责授权</w:t>
      </w:r>
      <w:r>
        <w:rPr>
          <w:rFonts w:hint="eastAsia" w:ascii="___WRD_EMBED_SUB_40" w:hAnsi="___WRD_EMBED_SUB_40" w:eastAsia="___WRD_EMBED_SUB_40" w:cs="___WRD_EMBED_SUB_40"/>
          <w:sz w:val="32"/>
          <w:szCs w:val="32"/>
        </w:rPr>
        <w:t>管理</w:t>
      </w:r>
      <w:r>
        <w:rPr>
          <w:rFonts w:hint="eastAsia" w:ascii="宋体" w:hAnsi="宋体" w:cs="宋体"/>
          <w:sz w:val="32"/>
          <w:szCs w:val="32"/>
        </w:rPr>
        <w:t>国</w:t>
      </w:r>
      <w:r>
        <w:rPr>
          <w:rFonts w:hint="eastAsia" w:ascii="___WRD_EMBED_SUB_40" w:hAnsi="___WRD_EMBED_SUB_40" w:eastAsia="___WRD_EMBED_SUB_40" w:cs="___WRD_EMBED_SUB_40"/>
          <w:sz w:val="32"/>
          <w:szCs w:val="32"/>
        </w:rPr>
        <w:t>有</w:t>
      </w:r>
      <w:r>
        <w:rPr>
          <w:rFonts w:hint="eastAsia" w:eastAsia="仿宋_GB2312"/>
          <w:color w:val="000000"/>
          <w:sz w:val="32"/>
          <w:szCs w:val="32"/>
        </w:rPr>
        <w:t>企业领导班子后备人才队伍建设工作。负责授权管理国有企业人员招录计划和方案的审核；授权管理国有企业招录人员的计划、方案经县国有资产管理中心审核后报县人民政府批准。建立和完善本县行政事业单位国有资产管理信息系统，实行国有资产动态管理；为县财政提供全县国有资产相关数据。</w:t>
      </w:r>
    </w:p>
    <w:p>
      <w:pPr>
        <w:widowControl/>
        <w:spacing w:line="61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2、单位内设机构：</w:t>
      </w:r>
    </w:p>
    <w:p>
      <w:pPr>
        <w:widowControl/>
        <w:spacing w:line="61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内设股室六个，分别是办公室、企业国有资本经营预算股、政工人事部、国有企业资产管理部、行政事业单位资产管理部和企业发展改革指导部。</w:t>
      </w:r>
    </w:p>
    <w:p>
      <w:pPr>
        <w:pStyle w:val="6"/>
        <w:widowControl/>
        <w:spacing w:line="61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二、基本支出情况</w:t>
      </w:r>
    </w:p>
    <w:p>
      <w:pPr>
        <w:widowControl/>
        <w:spacing w:line="61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eastAsia="仿宋_GB2312"/>
          <w:color w:val="000000"/>
          <w:sz w:val="32"/>
          <w:szCs w:val="32"/>
        </w:rPr>
        <w:t>年基本支出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229.37</w:t>
      </w:r>
      <w:r>
        <w:rPr>
          <w:rFonts w:hint="eastAsia" w:eastAsia="仿宋_GB2312"/>
          <w:color w:val="000000"/>
          <w:sz w:val="32"/>
          <w:szCs w:val="32"/>
        </w:rPr>
        <w:t>万元，其中：人员经费支出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157.94</w:t>
      </w:r>
      <w:r>
        <w:rPr>
          <w:rFonts w:hint="eastAsia" w:eastAsia="仿宋_GB2312"/>
          <w:color w:val="000000"/>
          <w:sz w:val="32"/>
          <w:szCs w:val="32"/>
        </w:rPr>
        <w:t>万元，占基本支出的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68.86</w:t>
      </w:r>
      <w:r>
        <w:rPr>
          <w:rFonts w:hint="eastAsia" w:eastAsia="仿宋_GB2312"/>
          <w:color w:val="000000"/>
          <w:sz w:val="32"/>
          <w:szCs w:val="32"/>
        </w:rPr>
        <w:t>%，公用经费支出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71.43</w:t>
      </w:r>
      <w:r>
        <w:rPr>
          <w:rFonts w:hint="eastAsia" w:eastAsia="仿宋_GB2312"/>
          <w:color w:val="000000"/>
          <w:sz w:val="32"/>
          <w:szCs w:val="32"/>
        </w:rPr>
        <w:t>万元，占基本支出的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31.14</w:t>
      </w:r>
      <w:r>
        <w:rPr>
          <w:rFonts w:hint="eastAsia" w:eastAsia="仿宋_GB2312"/>
          <w:color w:val="000000"/>
          <w:sz w:val="32"/>
          <w:szCs w:val="32"/>
        </w:rPr>
        <w:t>%。单位厉行节约，保障了机构人员工资、社保和福利的及时发放，保障了机构的正常运转。</w:t>
      </w:r>
    </w:p>
    <w:p>
      <w:pPr>
        <w:pStyle w:val="6"/>
        <w:widowControl/>
        <w:spacing w:line="61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三、项目支出情况</w:t>
      </w:r>
    </w:p>
    <w:p>
      <w:pPr>
        <w:widowControl/>
        <w:spacing w:line="61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2022年项目支出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9459.86</w:t>
      </w:r>
      <w:r>
        <w:rPr>
          <w:rFonts w:hint="eastAsia" w:eastAsia="仿宋_GB2312"/>
          <w:color w:val="000000"/>
          <w:sz w:val="32"/>
          <w:szCs w:val="32"/>
        </w:rPr>
        <w:t>万元。项目指标下达及时，支付按进度完成，项目资金主要用于资产清查、资产年报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、资产评估</w:t>
      </w:r>
      <w:r>
        <w:rPr>
          <w:rFonts w:hint="eastAsia" w:eastAsia="仿宋_GB2312"/>
          <w:color w:val="000000"/>
          <w:sz w:val="32"/>
          <w:szCs w:val="32"/>
        </w:rPr>
        <w:t>等业务工作专项支出。项目资金支付都是按照预算执行，实行专款专用，项目实施完成后，达到了预期经济效益及社会效益，圆满的完成了各项任务</w:t>
      </w:r>
      <w:r>
        <w:rPr>
          <w:rFonts w:hint="eastAsia" w:eastAsia="仿宋_GB2312"/>
          <w:color w:val="000000"/>
          <w:sz w:val="32"/>
          <w:szCs w:val="32"/>
        </w:rPr>
        <w:t>。</w:t>
      </w:r>
    </w:p>
    <w:p>
      <w:pPr>
        <w:numPr>
          <w:ilvl w:val="0"/>
          <w:numId w:val="1"/>
        </w:numPr>
        <w:spacing w:before="224" w:line="227" w:lineRule="auto"/>
        <w:ind w:left="649"/>
        <w:rPr>
          <w:rFonts w:hint="eastAsia" w:ascii="黑体" w:hAnsi="黑体" w:eastAsia="黑体" w:cs="黑体"/>
          <w:spacing w:val="8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政府性基金预算支出情况</w:t>
      </w:r>
    </w:p>
    <w:p>
      <w:pPr>
        <w:widowControl/>
        <w:spacing w:line="61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无</w:t>
      </w:r>
    </w:p>
    <w:p>
      <w:pPr>
        <w:numPr>
          <w:ilvl w:val="0"/>
          <w:numId w:val="1"/>
        </w:numPr>
        <w:spacing w:before="219" w:line="600" w:lineRule="exact"/>
        <w:ind w:left="649" w:leftChars="0" w:firstLine="0" w:firstLineChars="0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国有资本经营预算支出情况</w:t>
      </w:r>
    </w:p>
    <w:p>
      <w:pPr>
        <w:widowControl/>
        <w:spacing w:line="61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无</w:t>
      </w:r>
    </w:p>
    <w:p>
      <w:pPr>
        <w:numPr>
          <w:ilvl w:val="0"/>
          <w:numId w:val="1"/>
        </w:numPr>
        <w:spacing w:line="227" w:lineRule="auto"/>
        <w:ind w:left="649" w:leftChars="0" w:firstLine="0" w:firstLineChars="0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社会保险基金预算支出情况</w:t>
      </w:r>
    </w:p>
    <w:p>
      <w:pPr>
        <w:widowControl/>
        <w:spacing w:line="61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无</w:t>
      </w:r>
    </w:p>
    <w:p>
      <w:pPr>
        <w:widowControl/>
        <w:spacing w:line="61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六、</w:t>
      </w:r>
      <w:r>
        <w:rPr>
          <w:rFonts w:eastAsia="黑体"/>
          <w:sz w:val="32"/>
          <w:szCs w:val="32"/>
        </w:rPr>
        <w:t>部门整体支出绩效情况</w:t>
      </w:r>
    </w:p>
    <w:p>
      <w:pPr>
        <w:widowControl/>
        <w:spacing w:line="61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eastAsia="仿宋_GB2312"/>
          <w:color w:val="000000"/>
          <w:sz w:val="32"/>
          <w:szCs w:val="32"/>
        </w:rPr>
        <w:t>年，根据年初工作规划和重点工作，围绕县委、县政府的工作部署，积极履行职责，强化管理，较好地完成了年度工作目标，同时加强预算收支的管理，建立健全内部管理制度，严格内部管理流程，部门整体支出管理得到了提升。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eastAsia="仿宋_GB2312"/>
          <w:color w:val="000000"/>
          <w:sz w:val="32"/>
          <w:szCs w:val="32"/>
        </w:rPr>
        <w:t>年度部门整体支出绩效情况如下：</w:t>
      </w:r>
    </w:p>
    <w:p>
      <w:pPr>
        <w:widowControl/>
        <w:spacing w:line="61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hint="eastAsia" w:eastAsia="仿宋_GB2312"/>
          <w:sz w:val="32"/>
          <w:szCs w:val="32"/>
        </w:rPr>
        <w:t>严格预算支出管理。严控行政经费，压缩一般性支出，严格控制“三公”经费，资产的配置严格政府采购，保障机构运行成本。</w:t>
      </w:r>
    </w:p>
    <w:p>
      <w:pPr>
        <w:widowControl/>
        <w:spacing w:line="61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hint="eastAsia" w:eastAsia="仿宋_GB2312"/>
          <w:sz w:val="32"/>
          <w:szCs w:val="32"/>
        </w:rPr>
        <w:t>完善财务控制管理。按照国家相关法律法规，制定完善了单位内部控制制度，并严格按照制度管理和执行，防范风险，保证机构运行管理效率。</w:t>
      </w:r>
    </w:p>
    <w:p>
      <w:pPr>
        <w:widowControl/>
        <w:spacing w:line="61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通过对202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</w:rPr>
        <w:t>年的</w:t>
      </w:r>
      <w:r>
        <w:rPr>
          <w:rFonts w:eastAsia="仿宋_GB2312"/>
          <w:sz w:val="32"/>
          <w:szCs w:val="32"/>
        </w:rPr>
        <w:t>运行成本、管理效率、履职效能、社会效应、可持续发展能力和服务对象满意度等方面</w:t>
      </w:r>
      <w:r>
        <w:rPr>
          <w:rFonts w:hint="eastAsia" w:eastAsia="仿宋_GB2312"/>
          <w:sz w:val="32"/>
          <w:szCs w:val="32"/>
        </w:rPr>
        <w:t>综合考评， 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</w:rPr>
        <w:t>年，较好地完成了年度工作目标，部门整体支出绩效评价为优。</w:t>
      </w:r>
    </w:p>
    <w:p>
      <w:pPr>
        <w:pStyle w:val="6"/>
        <w:widowControl/>
        <w:spacing w:line="61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七</w:t>
      </w:r>
      <w:r>
        <w:rPr>
          <w:rFonts w:ascii="Times New Roman" w:hAnsi="Times New Roman" w:eastAsia="黑体"/>
          <w:sz w:val="32"/>
          <w:szCs w:val="32"/>
        </w:rPr>
        <w:t>、存在的问题及原因分析</w:t>
      </w:r>
    </w:p>
    <w:p>
      <w:pPr>
        <w:widowControl/>
        <w:spacing w:line="61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一是进一步加强厉行节约机制，提高单位三保支出的保障能力。</w:t>
      </w:r>
    </w:p>
    <w:p>
      <w:pPr>
        <w:widowControl/>
        <w:spacing w:line="61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二是预算编制与实际支出项目有的存在差异，有待进一步优化预算，提高预算编制的准确性。</w:t>
      </w:r>
    </w:p>
    <w:p>
      <w:pPr>
        <w:widowControl/>
        <w:spacing w:line="61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八</w:t>
      </w:r>
      <w:r>
        <w:rPr>
          <w:rFonts w:eastAsia="黑体"/>
          <w:sz w:val="32"/>
          <w:szCs w:val="32"/>
        </w:rPr>
        <w:t>、下一步改进措施</w:t>
      </w:r>
    </w:p>
    <w:p>
      <w:pPr>
        <w:widowControl/>
        <w:spacing w:line="61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一是按照预算规定的项目和用途严格财务审核，经费支出严格按预算规定项目的财务支出内容进行财务核算，在预算金额内严格控制费用的支出，先有预算，再有支出。</w:t>
      </w:r>
    </w:p>
    <w:p>
      <w:pPr>
        <w:widowControl/>
        <w:spacing w:line="61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二是预算财务分析常态化，定期做好预算支出财务分析，做好部门整体支出预算评价工作。</w:t>
      </w:r>
    </w:p>
    <w:p>
      <w:pPr>
        <w:widowControl/>
        <w:spacing w:line="61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九、部门整体支出绩效自评结果拟应用和公开情况</w:t>
      </w:r>
    </w:p>
    <w:p>
      <w:pPr>
        <w:widowControl/>
        <w:spacing w:line="61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一、自评结果概述</w:t>
      </w:r>
    </w:p>
    <w:p>
      <w:pPr>
        <w:widowControl/>
        <w:spacing w:line="61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单位在过去一年的整体支出绩效自评中，经过全面、客观、公正的评价，取得了显著成效。自评结果显示，部门在预算编制、执行和监督等各个环节实现了较高的绩效水平，有效保障了各项工作的顺利开展。同时，我们也发现了一些存在的问题和不足，为今后的改进提供了重要参考。</w:t>
      </w:r>
    </w:p>
    <w:p>
      <w:pPr>
        <w:widowControl/>
        <w:spacing w:line="61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二、改进与优化方向</w:t>
      </w:r>
    </w:p>
    <w:p>
      <w:pPr>
        <w:widowControl/>
        <w:spacing w:line="61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针对自评结果中反映出的问题，我们制定了以下改进与优化方向：</w:t>
      </w:r>
    </w:p>
    <w:p>
      <w:pPr>
        <w:widowControl/>
        <w:spacing w:line="61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1.加强预算编制的科学性和合理性，提高预算执行的效率和效果</w:t>
      </w:r>
    </w:p>
    <w:p>
      <w:pPr>
        <w:widowControl/>
        <w:spacing w:line="61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2.优化支出结构，提高资金使用效益，降低不必要的成本</w:t>
      </w:r>
    </w:p>
    <w:p>
      <w:pPr>
        <w:widowControl/>
        <w:spacing w:line="61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3.强化内部控制和风险管理，防范财务风险和违规行为的发生</w:t>
      </w:r>
    </w:p>
    <w:p>
      <w:pPr>
        <w:widowControl/>
        <w:spacing w:line="61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4.加强人员培训和能力提升，提高财务管理金额绩效自评的专业水平</w:t>
      </w:r>
    </w:p>
    <w:p>
      <w:pPr>
        <w:pStyle w:val="2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三、法律法规遵循情况</w:t>
      </w:r>
    </w:p>
    <w:p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eastAsia="仿宋_GB2312"/>
          <w:sz w:val="32"/>
          <w:szCs w:val="32"/>
          <w:lang w:eastAsia="zh-CN"/>
        </w:rPr>
        <w:t>本单位在整体支出绩效自评过程中，严格遵守了国家和地方相关法律法规的规定，确保了自评结果的合法性和有效性。同时，我们也积极推广和宣传相关的法律法规，提高员工的法治意识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和遵法意识。</w:t>
      </w:r>
    </w:p>
    <w:p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公开内容与渠道</w:t>
      </w:r>
    </w:p>
    <w:p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为确保整体支出绩效自评结果的透明度和公信力，我们将按照以下内容和渠道进行公开。</w:t>
      </w:r>
    </w:p>
    <w:p>
      <w:pP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公开内容：包括自评报告、绩效指标和得分情况等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公开渠道：通过单位官方网站和公告栏等方式公开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通过以上措施的实施，我们将不断完善部门整体支出绩效自评工作，提高财务管理水平和绩效水平，为单位发展提供有力保障。</w:t>
      </w:r>
    </w:p>
    <w:p>
      <w:pPr>
        <w:spacing w:line="226" w:lineRule="auto"/>
        <w:ind w:left="647"/>
        <w:rPr>
          <w:rFonts w:hint="eastAsia" w:ascii="黑体" w:hAnsi="黑体" w:eastAsia="黑体" w:cs="黑体"/>
          <w:spacing w:val="-3"/>
          <w:sz w:val="32"/>
          <w:szCs w:val="32"/>
        </w:rPr>
      </w:pPr>
      <w:r>
        <w:rPr>
          <w:rFonts w:hint="eastAsia" w:ascii="黑体" w:hAnsi="黑体" w:eastAsia="黑体" w:cs="黑体"/>
          <w:spacing w:val="-3"/>
          <w:sz w:val="32"/>
          <w:szCs w:val="32"/>
        </w:rPr>
        <w:t>十、其他需要说明的情况</w:t>
      </w:r>
    </w:p>
    <w:p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</w:t>
      </w:r>
    </w:p>
    <w:p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sectPr>
          <w:pgSz w:w="11906" w:h="16838"/>
          <w:pgMar w:top="1984" w:right="1701" w:bottom="1984" w:left="1701" w:header="851" w:footer="992" w:gutter="0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___WRD_EMBED_SUB_40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仿宋_GB2312" w:eastAsia="仿宋_GB2312"/>
        <w:sz w:val="28"/>
        <w:szCs w:val="28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仿宋_GB2312" w:eastAsia="仿宋_GB2312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仿宋_GB2312" w:eastAsia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仿宋_GB2312" w:eastAsia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eastAsia="仿宋_GB2312"/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>
                            <w:rPr>
                              <w:rFonts w:ascii="仿宋_GB2312" w:eastAsia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仿宋_GB2312" w:eastAsia="仿宋_GB2312"/>
                              <w:sz w:val="28"/>
                              <w:szCs w:val="28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Hpww4AgAAb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mMenD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仿宋_GB2312" w:eastAsia="仿宋_GB2312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仿宋_GB2312" w:eastAsia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仿宋_GB2312" w:eastAsia="仿宋_GB2312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仿宋_GB2312" w:eastAsia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eastAsia="仿宋_GB2312"/>
                        <w:sz w:val="28"/>
                        <w:szCs w:val="28"/>
                        <w:lang w:val="zh-CN"/>
                      </w:rPr>
                      <w:t>1</w:t>
                    </w:r>
                    <w:r>
                      <w:rPr>
                        <w:rFonts w:ascii="仿宋_GB2312" w:eastAsia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仿宋_GB2312" w:eastAsia="仿宋_GB2312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AFF17A"/>
    <w:multiLevelType w:val="singleLevel"/>
    <w:tmpl w:val="0EAFF17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Y2ExM2Q5YzMxYzM2ZGY4NjliZTgxNjliNzVmMmYifQ=="/>
  </w:docVars>
  <w:rsids>
    <w:rsidRoot w:val="5A652633"/>
    <w:rsid w:val="0ED71D6D"/>
    <w:rsid w:val="133D5DE8"/>
    <w:rsid w:val="1BC05D1A"/>
    <w:rsid w:val="2ADA68D9"/>
    <w:rsid w:val="3F8A7203"/>
    <w:rsid w:val="55CE2806"/>
    <w:rsid w:val="5A652633"/>
    <w:rsid w:val="645A795A"/>
    <w:rsid w:val="669A7F65"/>
    <w:rsid w:val="6E08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2024-05-28T07:06:00Z</dcterms:created>
  <dc:creator>辣条夫人</dc:creator>
  <cp:lastModifiedBy>辣条夫人</cp:lastModifiedBy>
  <cp:lastPrinted>2024-05-29T02:52:58Z</cp:lastPrinted>
  <dcterms:modified xsi:type="dcterms:W3CDTF">2024-05-29T02:53:05Z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5CC997A0FF6F4CD790139316EBE358EF_11</vt:lpwstr>
  </property>
</Properties>
</file>