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eastAsia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</w:rPr>
        <w:t>2</w:t>
      </w:r>
    </w:p>
    <w:p>
      <w:pPr>
        <w:spacing w:before="156" w:beforeLines="50" w:after="312" w:afterLines="100"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年度部门整体支出绩效自评表</w:t>
      </w:r>
    </w:p>
    <w:tbl>
      <w:tblPr>
        <w:tblStyle w:val="3"/>
        <w:tblW w:w="5073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636"/>
        <w:gridCol w:w="640"/>
        <w:gridCol w:w="807"/>
        <w:gridCol w:w="1772"/>
        <w:gridCol w:w="994"/>
        <w:gridCol w:w="951"/>
        <w:gridCol w:w="216"/>
        <w:gridCol w:w="322"/>
        <w:gridCol w:w="211"/>
        <w:gridCol w:w="453"/>
        <w:gridCol w:w="8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5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县级预算部门名称</w:t>
            </w:r>
          </w:p>
        </w:tc>
        <w:tc>
          <w:tcPr>
            <w:tcW w:w="4499" w:type="pct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华容县国有资产管理中心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50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年度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预算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申请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（万元）</w:t>
            </w:r>
          </w:p>
        </w:tc>
        <w:tc>
          <w:tcPr>
            <w:tcW w:w="76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年初</w:t>
            </w:r>
          </w:p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预算数</w:t>
            </w:r>
          </w:p>
        </w:tc>
        <w:tc>
          <w:tcPr>
            <w:tcW w:w="162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全年</w:t>
            </w:r>
          </w:p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预算数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全年</w:t>
            </w:r>
          </w:p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执行数</w:t>
            </w:r>
          </w:p>
        </w:tc>
        <w:tc>
          <w:tcPr>
            <w:tcW w:w="30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分值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执行率</w:t>
            </w:r>
          </w:p>
        </w:tc>
        <w:tc>
          <w:tcPr>
            <w:tcW w:w="4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76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年度资金</w:t>
            </w:r>
          </w:p>
          <w:p>
            <w:pPr>
              <w:spacing w:line="24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总额</w:t>
            </w:r>
          </w:p>
        </w:tc>
        <w:tc>
          <w:tcPr>
            <w:tcW w:w="4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225</w:t>
            </w:r>
          </w:p>
        </w:tc>
        <w:tc>
          <w:tcPr>
            <w:tcW w:w="162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9689.23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default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9689.23</w:t>
            </w:r>
          </w:p>
        </w:tc>
        <w:tc>
          <w:tcPr>
            <w:tcW w:w="307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10</w:t>
            </w:r>
          </w:p>
        </w:tc>
        <w:tc>
          <w:tcPr>
            <w:tcW w:w="383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100%</w:t>
            </w:r>
          </w:p>
        </w:tc>
        <w:tc>
          <w:tcPr>
            <w:tcW w:w="4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876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按收入性质分：</w:t>
            </w:r>
          </w:p>
        </w:tc>
        <w:tc>
          <w:tcPr>
            <w:tcW w:w="1623" w:type="pct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876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其中：  一般公共预算：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9689.23</w:t>
            </w:r>
          </w:p>
        </w:tc>
        <w:tc>
          <w:tcPr>
            <w:tcW w:w="1623" w:type="pct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其中：基本支出：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229.37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876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firstLine="630" w:firstLineChars="300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政府性基金拨款：</w:t>
            </w:r>
          </w:p>
        </w:tc>
        <w:tc>
          <w:tcPr>
            <w:tcW w:w="1623" w:type="pct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firstLine="630" w:firstLineChars="300"/>
              <w:jc w:val="left"/>
              <w:rPr>
                <w:rFonts w:hint="default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项目支出：</w:t>
            </w: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9459.86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876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纳入专户管理的非税收入拨款：</w:t>
            </w:r>
          </w:p>
        </w:tc>
        <w:tc>
          <w:tcPr>
            <w:tcW w:w="1623" w:type="pct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876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ind w:firstLine="1260" w:firstLineChars="600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其他资金：</w:t>
            </w:r>
          </w:p>
        </w:tc>
        <w:tc>
          <w:tcPr>
            <w:tcW w:w="1623" w:type="pct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年度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总体目标</w:t>
            </w:r>
          </w:p>
        </w:tc>
        <w:tc>
          <w:tcPr>
            <w:tcW w:w="287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预期目标</w:t>
            </w:r>
          </w:p>
        </w:tc>
        <w:tc>
          <w:tcPr>
            <w:tcW w:w="1623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0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87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目标1：保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障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人员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工资福利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正常发放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。</w:t>
            </w:r>
          </w:p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目标2：保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障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单位工作经费正常运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转。</w:t>
            </w:r>
          </w:p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目标3：加强行政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事业单位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国有资产管理，维护国有资产安全和完整。</w:t>
            </w:r>
          </w:p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目标4：进一步优化公共资源配置、强化存量资产盘活、创新资源要素驱动，充分发挥国有资产资源效益,确保资产保值增值。</w:t>
            </w:r>
          </w:p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目标5：加强国有资产信息化管理平台建设，提升信息化管理水平。</w:t>
            </w:r>
          </w:p>
        </w:tc>
        <w:tc>
          <w:tcPr>
            <w:tcW w:w="1623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0" w:lineRule="atLeast"/>
              <w:jc w:val="left"/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人员工资福利、单位经费都得到了有效落实；</w:t>
            </w:r>
          </w:p>
          <w:p>
            <w:pPr>
              <w:widowControl/>
              <w:numPr>
                <w:ilvl w:val="0"/>
                <w:numId w:val="1"/>
              </w:numPr>
              <w:spacing w:line="0" w:lineRule="atLeast"/>
              <w:jc w:val="left"/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落实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创新推进“三资”运作改革（⑴资产底子基本澄清；⑵规范管理意识增强；⑶社会各界普遍认可；⑷资产归集大有作为；⑸处置盘活取得实效；⑹资产配置把关节支；⑺问题得到有效整改。）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3、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有力推进平台公司整合转型；</w:t>
            </w:r>
          </w:p>
          <w:p>
            <w:pPr>
              <w:numPr>
                <w:ilvl w:val="0"/>
                <w:numId w:val="0"/>
              </w:numP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4、积极落实稳市场主体政策；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5、有效管理产业引导基金；</w:t>
            </w:r>
          </w:p>
          <w:p>
            <w:pP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  <w:lang w:val="en-US" w:eastAsia="zh-CN"/>
              </w:rPr>
              <w:t>6、积极开展经营业绩考核。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绩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效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标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一级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二级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三级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年度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指标值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实际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完成值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分值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产出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(50分)</w:t>
            </w:r>
          </w:p>
        </w:tc>
        <w:tc>
          <w:tcPr>
            <w:tcW w:w="3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数量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指标1：全县范围开展国有资产年报工作。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≥1次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20</w:t>
            </w:r>
          </w:p>
        </w:tc>
        <w:tc>
          <w:tcPr>
            <w:tcW w:w="2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20</w:t>
            </w:r>
          </w:p>
        </w:tc>
        <w:tc>
          <w:tcPr>
            <w:tcW w:w="4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  <w:p>
            <w:pPr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指标2：全县范围开展国有资产资源清查处置专项行动。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≥1次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指标3：资产管理信息系统全县范围使用覆盖率。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≥90%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指标4：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对全县资源性资产和特许经营权摸底。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≥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val="en-US" w:eastAsia="zh-CN"/>
              </w:rPr>
              <w:t>1次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质量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指标1：保障机构正常运转。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正常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  <w:p>
            <w:pPr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指标2：完成各项目标任务。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指标3：提升服务水平。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提升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2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4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时效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指标1：年度内完成目标。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2022年12月31日前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成本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指标1：预算内控制成本。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287.98万元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10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绩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效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</w:t>
            </w:r>
          </w:p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标</w:t>
            </w: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一级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二级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三级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年度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指标值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实际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完成值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分值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效益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指标</w:t>
            </w:r>
          </w:p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（30分）</w:t>
            </w:r>
          </w:p>
        </w:tc>
        <w:tc>
          <w:tcPr>
            <w:tcW w:w="3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eastAsia="zh-CN"/>
              </w:rPr>
              <w:t>经济效益指标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指标1：厉行节约，压减一般性支出。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减少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 w:ascii="新宋体" w:hAnsi="新宋体" w:eastAsia="新宋体" w:cs="新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8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进一步压减支出</w:t>
            </w:r>
            <w:r>
              <w:rPr>
                <w:rFonts w:hint="eastAsia" w:ascii="新宋体" w:hAnsi="新宋体" w:eastAsia="新宋体" w:cs="新宋体"/>
                <w:sz w:val="21"/>
                <w:szCs w:val="21"/>
                <w:lang w:eastAsia="zh-CN"/>
              </w:rPr>
              <w:t>、盘活资产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指标2：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边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清理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边处置一体推进，处置盘活取得实效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color w:val="auto"/>
                <w:sz w:val="21"/>
                <w:szCs w:val="21"/>
              </w:rPr>
              <w:t>≥</w:t>
            </w:r>
            <w:r>
              <w:rPr>
                <w:rFonts w:hint="eastAsia" w:ascii="新宋体" w:hAnsi="新宋体" w:eastAsia="新宋体" w:cs="新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1500</w:t>
            </w:r>
            <w:r>
              <w:rPr>
                <w:rFonts w:hint="eastAsia" w:ascii="新宋体" w:hAnsi="新宋体" w:eastAsia="新宋体" w:cs="新宋体"/>
                <w:b w:val="0"/>
                <w:bCs w:val="0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8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指标1：充分发挥国有资产资源效益,确保资产保值增值。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有效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2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指标2：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全面落实惠企政策，为单位经营性资产门面商铺减免租金或实施延期政策。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有效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完成</w:t>
            </w:r>
          </w:p>
        </w:tc>
        <w:tc>
          <w:tcPr>
            <w:tcW w:w="281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2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eastAsia="zh-CN"/>
              </w:rPr>
              <w:t>生态效益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指标1：提高国有资产使用效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有效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可持续影响指标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指标1：科学谋划，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有力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推进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平台公司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整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eastAsia="zh-CN"/>
              </w:rPr>
              <w:t>合转型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。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有效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5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  <w:jc w:val="center"/>
        </w:trPr>
        <w:tc>
          <w:tcPr>
            <w:tcW w:w="50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  <w:tc>
          <w:tcPr>
            <w:tcW w:w="3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18"/>
                <w:szCs w:val="18"/>
                <w:lang w:eastAsia="zh-CN"/>
              </w:rPr>
              <w:t>满意度指标</w:t>
            </w:r>
            <w:r>
              <w:rPr>
                <w:rFonts w:hint="eastAsia" w:ascii="新宋体" w:hAnsi="新宋体" w:eastAsia="新宋体" w:cs="新宋体"/>
                <w:color w:val="000000"/>
                <w:sz w:val="18"/>
                <w:szCs w:val="18"/>
              </w:rPr>
              <w:t>（10分）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18"/>
                <w:szCs w:val="18"/>
                <w:lang w:eastAsia="zh-CN"/>
              </w:rPr>
              <w:t>服务对象满意度指标</w:t>
            </w:r>
          </w:p>
        </w:tc>
        <w:tc>
          <w:tcPr>
            <w:tcW w:w="15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指标1：社会公众或服务对象满意度</w:t>
            </w:r>
          </w:p>
        </w:tc>
        <w:tc>
          <w:tcPr>
            <w:tcW w:w="5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≥9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%</w:t>
            </w:r>
          </w:p>
        </w:tc>
        <w:tc>
          <w:tcPr>
            <w:tcW w:w="58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完成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10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3962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总分</w:t>
            </w:r>
          </w:p>
        </w:tc>
        <w:tc>
          <w:tcPr>
            <w:tcW w:w="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100</w:t>
            </w:r>
          </w:p>
        </w:tc>
        <w:tc>
          <w:tcPr>
            <w:tcW w:w="2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</w:rPr>
              <w:t>9</w:t>
            </w:r>
            <w:r>
              <w:rPr>
                <w:rFonts w:hint="eastAsia" w:ascii="新宋体" w:hAnsi="新宋体" w:eastAsia="新宋体" w:cs="新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ascii="新宋体" w:hAnsi="新宋体" w:eastAsia="新宋体" w:cs="新宋体"/>
                <w:color w:val="000000"/>
                <w:sz w:val="21"/>
                <w:szCs w:val="21"/>
              </w:rPr>
            </w:pPr>
          </w:p>
        </w:tc>
      </w:tr>
    </w:tbl>
    <w:p>
      <w:r>
        <w:rPr>
          <w:rFonts w:hint="eastAsia" w:ascii="新宋体" w:hAnsi="新宋体" w:eastAsia="新宋体" w:cs="新宋体"/>
          <w:sz w:val="21"/>
          <w:szCs w:val="21"/>
        </w:rPr>
        <w:t>填表人</w:t>
      </w:r>
      <w:r>
        <w:rPr>
          <w:rFonts w:hint="eastAsia" w:ascii="新宋体" w:hAnsi="新宋体" w:eastAsia="新宋体" w:cs="新宋体"/>
          <w:sz w:val="21"/>
          <w:szCs w:val="21"/>
          <w:lang w:eastAsia="zh-CN"/>
        </w:rPr>
        <w:t>：肖瑶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sz w:val="21"/>
          <w:szCs w:val="21"/>
        </w:rPr>
        <w:t>填报日期：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2024年5月28日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 联系电话：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18573041296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单位负责人签字：</w:t>
      </w:r>
      <w:r>
        <w:rPr>
          <w:rFonts w:hint="eastAsia" w:ascii="新宋体" w:hAnsi="新宋体" w:eastAsia="新宋体" w:cs="新宋体"/>
          <w:sz w:val="21"/>
          <w:szCs w:val="21"/>
        </w:rPr>
        <w:br w:type="page"/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B33D35"/>
    <w:multiLevelType w:val="singleLevel"/>
    <w:tmpl w:val="74B33D3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Y2ExM2Q5YzMxYzM2ZGY4NjliZTgxNjliNzVmMmYifQ=="/>
  </w:docVars>
  <w:rsids>
    <w:rsidRoot w:val="36636292"/>
    <w:rsid w:val="061F6335"/>
    <w:rsid w:val="09933468"/>
    <w:rsid w:val="219956AD"/>
    <w:rsid w:val="225D173D"/>
    <w:rsid w:val="24905F09"/>
    <w:rsid w:val="36636292"/>
    <w:rsid w:val="5343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38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2024-05-28T02:39:00Z</dcterms:created>
  <dc:creator>辣条夫人</dc:creator>
  <cp:lastModifiedBy>辣条夫人</cp:lastModifiedBy>
  <cp:lastPrinted>2024-05-29T03:23:02Z</cp:lastPrinted>
  <dcterms:modified xsi:type="dcterms:W3CDTF">2024-05-29T03:28:45Z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E180DBBF8D5241C897D95998BA612B01_11</vt:lpwstr>
  </property>
</Properties>
</file>