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  <w:lang w:eastAsia="zh-CN"/>
        </w:rPr>
        <w:t>202</w:t>
      </w:r>
      <w:r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44"/>
          <w:szCs w:val="44"/>
          <w:lang w:eastAsia="zh-CN"/>
        </w:rPr>
        <w:t>年度</w:t>
      </w:r>
      <w:r>
        <w:rPr>
          <w:rFonts w:hint="eastAsia" w:ascii="微软雅黑" w:hAnsi="微软雅黑" w:eastAsia="微软雅黑" w:cs="微软雅黑"/>
          <w:sz w:val="44"/>
          <w:szCs w:val="44"/>
          <w:lang w:eastAsia="zh-CN"/>
        </w:rPr>
        <w:t>华容县国有资产管理中心</w:t>
      </w:r>
    </w:p>
    <w:p>
      <w:pPr>
        <w:jc w:val="center"/>
        <w:rPr>
          <w:rFonts w:hint="eastAsia" w:ascii="微软雅黑" w:hAnsi="微软雅黑" w:eastAsia="微软雅黑" w:cs="微软雅黑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  <w:lang w:eastAsia="zh-CN"/>
        </w:rPr>
        <w:t>资产评估项目</w:t>
      </w:r>
      <w:r>
        <w:rPr>
          <w:rFonts w:hint="eastAsia" w:ascii="微软雅黑" w:hAnsi="微软雅黑" w:eastAsia="微软雅黑" w:cs="微软雅黑"/>
          <w:sz w:val="44"/>
          <w:szCs w:val="44"/>
          <w:lang w:eastAsia="zh-CN"/>
        </w:rPr>
        <w:t>支出</w:t>
      </w:r>
    </w:p>
    <w:p>
      <w:pPr>
        <w:jc w:val="center"/>
        <w:rPr>
          <w:rFonts w:hint="eastAsia" w:ascii="微软雅黑" w:hAnsi="微软雅黑" w:eastAsia="微软雅黑" w:cs="微软雅黑"/>
          <w:sz w:val="44"/>
          <w:szCs w:val="44"/>
          <w:lang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  <w:lang w:eastAsia="zh-CN"/>
        </w:rPr>
        <w:t>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pStyle w:val="2"/>
        <w:rPr>
          <w:rFonts w:hint="default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bookmarkStart w:id="0" w:name="_GoBack"/>
      <w:bookmarkEnd w:id="0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line="221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部门（单位）名称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u w:val="single" w:color="auto"/>
          <w:lang w:val="en-US" w:eastAsia="zh-CN"/>
        </w:rPr>
        <w:t>华容县国有资产管理中心</w:t>
      </w:r>
    </w:p>
    <w:p>
      <w:pPr>
        <w:spacing w:before="228" w:line="222" w:lineRule="auto"/>
        <w:ind w:firstLine="4560" w:firstLineChars="15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8"/>
          <w:sz w:val="32"/>
          <w:szCs w:val="32"/>
          <w:lang w:val="en-US" w:eastAsia="zh-CN"/>
        </w:rPr>
        <w:t>2024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年</w:t>
      </w:r>
      <w:r>
        <w:rPr>
          <w:rFonts w:hint="eastAsia" w:ascii="仿宋" w:hAnsi="仿宋" w:eastAsia="仿宋" w:cs="仿宋"/>
          <w:spacing w:val="21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月</w:t>
      </w:r>
      <w:r>
        <w:rPr>
          <w:rFonts w:hint="eastAsia" w:ascii="仿宋" w:hAnsi="仿宋" w:eastAsia="仿宋" w:cs="仿宋"/>
          <w:spacing w:val="43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日</w:t>
      </w:r>
    </w:p>
    <w:p>
      <w:pPr>
        <w:spacing w:line="335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年度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国有资产管理中心项目</w:t>
      </w:r>
      <w:r>
        <w:rPr>
          <w:rFonts w:hint="eastAsia" w:ascii="黑体" w:hAnsi="黑体" w:eastAsia="黑体" w:cs="黑体"/>
          <w:sz w:val="44"/>
          <w:szCs w:val="44"/>
        </w:rPr>
        <w:t>支出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</w:t>
      </w:r>
      <w:r>
        <w:rPr>
          <w:rFonts w:hint="eastAsia" w:eastAsia="仿宋_GB2312"/>
          <w:sz w:val="32"/>
          <w:szCs w:val="32"/>
        </w:rPr>
        <w:t>一</w:t>
      </w:r>
      <w:r>
        <w:rPr>
          <w:rFonts w:hint="eastAsia" w:eastAsia="仿宋_GB2312"/>
          <w:sz w:val="32"/>
          <w:szCs w:val="32"/>
          <w:lang w:eastAsia="zh-CN"/>
        </w:rPr>
        <w:t>）</w:t>
      </w:r>
      <w:r>
        <w:rPr>
          <w:rFonts w:hint="eastAsia" w:eastAsia="仿宋_GB2312"/>
          <w:sz w:val="32"/>
          <w:szCs w:val="32"/>
        </w:rPr>
        <w:t>项目概况。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1.</w:t>
      </w:r>
      <w:r>
        <w:rPr>
          <w:rFonts w:hint="eastAsia" w:eastAsia="仿宋_GB2312"/>
          <w:sz w:val="32"/>
          <w:szCs w:val="32"/>
          <w:lang w:eastAsia="zh-CN"/>
        </w:rPr>
        <w:t>项目背景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本项目旨在通过对特定资产进行全面、准确的评估，为政府提供决策参考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2.</w:t>
      </w:r>
      <w:r>
        <w:rPr>
          <w:rFonts w:hint="eastAsia" w:eastAsia="仿宋_GB2312"/>
          <w:sz w:val="32"/>
          <w:szCs w:val="32"/>
          <w:lang w:eastAsia="zh-CN"/>
        </w:rPr>
        <w:t>主要内容是对收储资产变性价值进行评估。从</w:t>
      </w:r>
      <w:r>
        <w:rPr>
          <w:rFonts w:hint="eastAsia" w:eastAsia="仿宋_GB2312"/>
          <w:sz w:val="32"/>
          <w:szCs w:val="32"/>
          <w:lang w:val="en-US" w:eastAsia="zh-CN"/>
        </w:rPr>
        <w:t>2023年6月-11月份完成175宗资产的变性价值评估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3.</w:t>
      </w:r>
      <w:r>
        <w:rPr>
          <w:rFonts w:hint="eastAsia" w:eastAsia="仿宋_GB2312"/>
          <w:sz w:val="32"/>
          <w:szCs w:val="32"/>
          <w:lang w:eastAsia="zh-CN"/>
        </w:rPr>
        <w:t>资金投入和使用情况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在项目实施过程中，我们严格控制支出，确保各项费用符合预算计划具体而言，本项目包括评估费、差旅费，办公费，和其他必要支出。差旅费主要用于现场的调研和勘查，办公费则包括日常的办公开支和资料打印费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(二）</w:t>
      </w:r>
      <w:r>
        <w:rPr>
          <w:rFonts w:hint="eastAsia" w:eastAsia="仿宋_GB2312"/>
          <w:sz w:val="32"/>
          <w:szCs w:val="32"/>
          <w:lang w:eastAsia="zh-CN"/>
        </w:rPr>
        <w:t>项目绩效目标。包括总体目标和阶段性目标。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  <w:lang w:eastAsia="zh-CN"/>
        </w:rPr>
        <w:t>年单位项目资金支付都是按照预算执行，实行专款专用，项目实施完成后，达到了预期经济效益及社会效益，圆满的完成了各项任务。</w:t>
      </w:r>
    </w:p>
    <w:p>
      <w:pPr>
        <w:pStyle w:val="2"/>
        <w:numPr>
          <w:ilvl w:val="0"/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0"/>
          <w:szCs w:val="30"/>
        </w:rPr>
        <w:t>(</w:t>
      </w:r>
      <w:r>
        <w:rPr>
          <w:rFonts w:hint="eastAsia" w:eastAsia="仿宋_GB2312"/>
          <w:sz w:val="32"/>
          <w:szCs w:val="32"/>
          <w:lang w:eastAsia="zh-CN"/>
        </w:rPr>
        <w:t>一)绩效评价目的、对象和范围。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  <w:lang w:eastAsia="zh-CN"/>
        </w:rPr>
        <w:t>年度预算安排的项目支出自行开展专项绩效自评，其中对预算安排在50万元以上专项作为重点绩效评价。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(二)绩效评价原则、评价指标体系(附表说明)、评价方法、 评价标准等。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根据项目实际，在《项目支出绩效评价指标评分表（共性）》上进一步完善、量化、细化个性指标，形成本项目的指标体系。在评估方法上，我们注重科学性和实用性相结合，既遵循了行业标准和规范，又根据项目的实际情况进行了适当的调整和创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（三）绩效评价工作过程。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在评估过程中，我们采用了多种方法和技术手段。首先，我们组织评估团队对资产进行了现场的勘察和调研，收集第一手资料。其次，我们运用专业的评估方法对资产价值进行计算和评估。同时我们还结合市场行情，对评估结果进行验证和修正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综合评价情况及评价结论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通过对202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  <w:lang w:eastAsia="zh-CN"/>
        </w:rPr>
        <w:t>年的项目决策、项目过程、项目产出、项目效益等内容的绩效考评，提高财政资金的使用效率，保障了机构的正常运转。202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  <w:lang w:eastAsia="zh-CN"/>
        </w:rPr>
        <w:t>年，较好地完成了项目工作目标，部门项目支出绩效评价为优。</w:t>
      </w:r>
    </w:p>
    <w:p>
      <w:pPr>
        <w:pStyle w:val="2"/>
        <w:numPr>
          <w:ilvl w:val="0"/>
          <w:numId w:val="0"/>
        </w:numPr>
        <w:ind w:leftChars="200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（一）项目决策情况。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  <w:lang w:eastAsia="zh-CN"/>
        </w:rPr>
        <w:t>年单位项目资金下达及时，支付都是按照预算执行，及时完成支付。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(二）</w:t>
      </w:r>
      <w:r>
        <w:rPr>
          <w:rFonts w:hint="eastAsia" w:eastAsia="仿宋_GB2312"/>
          <w:sz w:val="32"/>
          <w:szCs w:val="32"/>
          <w:lang w:eastAsia="zh-CN"/>
        </w:rPr>
        <w:t>项目过程情况。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  <w:lang w:eastAsia="zh-CN"/>
        </w:rPr>
        <w:t>年单位项目资金在资金使用和管理中，实际支出与计划规定的用途一致，资金收支平衡，资金分配做到公开、公平，按程序上报和审批，配备了工作能力强的工作人员，严格执行财务制度，无截留、挤占、挪用资金等违规行为，提高财政资金的使用效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（三）项目产出情况。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  <w:lang w:eastAsia="zh-CN"/>
        </w:rPr>
        <w:t>年单位项目实施完成后，成功完成了各项目标工作任务。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 xml:space="preserve"> (四)项目效益情况。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2022年单位圆满的完成了各项任务，项目达到了预期经济效益及社会效益。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主要经验及做法、</w:t>
      </w:r>
    </w:p>
    <w:p>
      <w:pPr>
        <w:spacing w:line="610" w:lineRule="exact"/>
        <w:ind w:firstLine="600" w:firstLineChars="20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1、项目成本（预算）控制:严格成本预算，严格控制成本支出，不</w:t>
      </w:r>
      <w:r>
        <w:rPr>
          <w:rFonts w:hint="eastAsia" w:ascii="宋体" w:hAnsi="宋体" w:cs="宋体"/>
          <w:sz w:val="30"/>
          <w:szCs w:val="30"/>
        </w:rPr>
        <w:t>乱花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一分</w:t>
      </w:r>
      <w:r>
        <w:rPr>
          <w:rFonts w:hint="eastAsia" w:ascii="宋体" w:hAnsi="宋体" w:cs="宋体"/>
          <w:sz w:val="30"/>
          <w:szCs w:val="30"/>
        </w:rPr>
        <w:t>钱</w:t>
      </w:r>
      <w:r>
        <w:rPr>
          <w:rFonts w:hint="eastAsia" w:ascii="___WRD_EMBED_SUB_40" w:hAnsi="___WRD_EMBED_SUB_40" w:eastAsia="___WRD_EMBED_SUB_40" w:cs="___WRD_EMBED_SUB_40"/>
          <w:sz w:val="30"/>
          <w:szCs w:val="30"/>
        </w:rPr>
        <w:t>。</w:t>
      </w:r>
    </w:p>
    <w:p>
      <w:pPr>
        <w:spacing w:line="610" w:lineRule="exact"/>
        <w:ind w:firstLine="600" w:firstLineChars="20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2、项目成本（预算）节约:加强成本预算管理，杜绝不必要开支，厉行节约，年度无超预算支出。</w:t>
      </w:r>
    </w:p>
    <w:p>
      <w:pPr>
        <w:spacing w:line="610" w:lineRule="exact"/>
        <w:ind w:firstLine="600" w:firstLineChars="200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3.</w:t>
      </w:r>
      <w:r>
        <w:rPr>
          <w:rFonts w:hint="eastAsia" w:eastAsia="仿宋_GB2312"/>
          <w:sz w:val="30"/>
          <w:szCs w:val="30"/>
        </w:rPr>
        <w:t>存在的问题及原因分析</w:t>
      </w:r>
    </w:p>
    <w:p>
      <w:pPr>
        <w:spacing w:line="610" w:lineRule="exact"/>
        <w:ind w:firstLine="600" w:firstLineChars="200"/>
        <w:rPr>
          <w:rFonts w:hint="eastAsia" w:eastAsia="仿宋_GB2312"/>
          <w:sz w:val="30"/>
          <w:szCs w:val="30"/>
          <w:lang w:eastAsia="zh-CN"/>
        </w:rPr>
      </w:pPr>
      <w:r>
        <w:rPr>
          <w:rFonts w:hint="eastAsia" w:eastAsia="仿宋_GB2312"/>
          <w:sz w:val="30"/>
          <w:szCs w:val="30"/>
          <w:lang w:eastAsia="zh-CN"/>
        </w:rPr>
        <w:t>尽管本项目取得了显著成效，但在实施过程中仍存在一些问题。例如，部分现场勘查工作受到了天气等不可控因素的影响，导致进度有所延误，部分评估数据收集的不够全面，影响了评估结果的准确性。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、其他需要说明的问题</w:t>
      </w:r>
    </w:p>
    <w:p>
      <w:pPr>
        <w:spacing w:line="610" w:lineRule="exact"/>
        <w:ind w:firstLine="600" w:firstLineChars="200"/>
        <w:rPr>
          <w:rFonts w:hint="eastAsia" w:eastAsia="仿宋_GB2312"/>
          <w:sz w:val="30"/>
          <w:szCs w:val="30"/>
          <w:lang w:eastAsia="zh-CN"/>
        </w:rPr>
      </w:pPr>
      <w:r>
        <w:rPr>
          <w:rFonts w:hint="eastAsia" w:eastAsia="仿宋_GB2312"/>
          <w:sz w:val="30"/>
          <w:szCs w:val="30"/>
          <w:lang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___WRD_EMBED_SUB_40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543833"/>
    <w:multiLevelType w:val="singleLevel"/>
    <w:tmpl w:val="7054383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2Y2ExM2Q5YzMxYzM2ZGY4NjliZTgxNjliNzVmMmYifQ=="/>
  </w:docVars>
  <w:rsids>
    <w:rsidRoot w:val="6B804D67"/>
    <w:rsid w:val="37F35330"/>
    <w:rsid w:val="4F47721B"/>
    <w:rsid w:val="5B0A67BE"/>
    <w:rsid w:val="6B804D67"/>
    <w:rsid w:val="72551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autoRedefine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2024-05-28T08:50:00Z</dcterms:created>
  <dc:creator>辣条夫人</dc:creator>
  <cp:lastModifiedBy>辣条夫人</cp:lastModifiedBy>
  <cp:lastPrinted>2024-05-29T03:30:00Z</cp:lastPrinted>
  <dcterms:modified xsi:type="dcterms:W3CDTF">2024-05-30T01:06:57Z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06DB88219119423E94D76083B6B757B2_11</vt:lpwstr>
  </property>
</Properties>
</file>