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7"/>
        <w:tblW w:w="504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896"/>
        <w:gridCol w:w="1116"/>
        <w:gridCol w:w="939"/>
        <w:gridCol w:w="987"/>
        <w:gridCol w:w="1126"/>
        <w:gridCol w:w="594"/>
        <w:gridCol w:w="700"/>
        <w:gridCol w:w="13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95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3304" w:type="pct"/>
            <w:gridSpan w:val="6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资产评估相关工作经费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华容县国有资产管理中心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华容县国有资产管理中心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200.65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200.65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200.65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200.65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82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82" w:type="pct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23" w:type="pct"/>
            <w:vMerge w:val="restar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649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547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575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55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46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07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2" w:type="pct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49" w:type="pct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资产评估次数</w:t>
            </w: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175</w:t>
            </w: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175</w:t>
            </w: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工作完成合格率</w:t>
            </w: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工作完成及时率</w:t>
            </w: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cBorders>
              <w:top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000000" w:sz="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推进资源整合，盘活县域经济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防止国有资产流失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促进生态效益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促进可持续发展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工作人员对部门的满意度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评估拍卖的相关费用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200.65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200.65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盘活资产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促进生态环境效益提升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473" w:type="pct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填表人：        填报日期：            联系电话：      单位负责人签字：</w:t>
      </w:r>
    </w:p>
    <w:p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>
      <w:pPr>
        <w:pStyle w:val="2"/>
        <w:sectPr>
          <w:footerReference r:id="rId3" w:type="default"/>
          <w:pgSz w:w="11905" w:h="16838"/>
          <w:pgMar w:top="1984" w:right="1701" w:bottom="1984" w:left="170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type="lines" w:linePitch="314" w:charSpace="0"/>
        </w:sect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Y2ExM2Q5YzMxYzM2ZGY4NjliZTgxNjliNzVmMmYifQ=="/>
  </w:docVars>
  <w:rsids>
    <w:rsidRoot w:val="61903C6B"/>
    <w:rsid w:val="485C38BC"/>
    <w:rsid w:val="61903C6B"/>
    <w:rsid w:val="641D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2024-05-28T09:09:00Z</dcterms:created>
  <dc:creator>辣条夫人</dc:creator>
  <cp:lastModifiedBy>辣条夫人</cp:lastModifiedBy>
  <cp:lastPrinted>2024-05-29T02:59:24Z</cp:lastPrinted>
  <dcterms:modified xsi:type="dcterms:W3CDTF">2024-05-29T02:59:26Z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E33A331A4E504C9880A927DD213D3680_11</vt:lpwstr>
  </property>
</Properties>
</file>