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cs="黑体"/>
          <w:sz w:val="32"/>
          <w:szCs w:val="32"/>
        </w:rPr>
      </w:pPr>
      <w:r>
        <w:rPr>
          <w:rFonts w:hint="eastAsia" w:ascii="黑体" w:hAnsi="黑体" w:eastAsia="黑体" w:cs="黑体"/>
          <w:sz w:val="32"/>
          <w:szCs w:val="32"/>
        </w:rPr>
        <w:t>附件3</w:t>
      </w:r>
    </w:p>
    <w:p>
      <w:pPr>
        <w:jc w:val="center"/>
        <w:rPr>
          <w:rFonts w:eastAsia="方正小标宋_GBK"/>
          <w:sz w:val="52"/>
          <w:szCs w:val="52"/>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年度县科技局整体支出</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jc w:val="center"/>
        <w:rPr>
          <w:rFonts w:eastAsia="方正小标宋_GBK"/>
          <w:b/>
          <w:sz w:val="52"/>
          <w:szCs w:val="5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楷体_GB2312"/>
          <w:b/>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jc w:val="center"/>
        <w:rPr>
          <w:rFonts w:eastAsia="黑体"/>
          <w:sz w:val="32"/>
          <w:szCs w:val="32"/>
        </w:rPr>
      </w:pPr>
    </w:p>
    <w:p>
      <w:pPr>
        <w:rPr>
          <w:rFonts w:eastAsia="黑体"/>
          <w:sz w:val="32"/>
          <w:szCs w:val="32"/>
        </w:rPr>
      </w:pPr>
    </w:p>
    <w:p>
      <w:pPr>
        <w:spacing w:line="600" w:lineRule="exact"/>
        <w:jc w:val="center"/>
        <w:rPr>
          <w:rFonts w:eastAsia="仿宋_GB2312"/>
          <w:sz w:val="32"/>
          <w:szCs w:val="32"/>
          <w:u w:val="single"/>
        </w:rPr>
      </w:pPr>
      <w:r>
        <w:rPr>
          <w:rFonts w:eastAsia="仿宋_GB2312"/>
          <w:sz w:val="32"/>
          <w:szCs w:val="32"/>
        </w:rPr>
        <w:t>部门（单位）名称：</w:t>
      </w:r>
      <w:r>
        <w:rPr>
          <w:rFonts w:hint="eastAsia" w:eastAsia="仿宋_GB2312"/>
          <w:sz w:val="32"/>
          <w:szCs w:val="32"/>
          <w:u w:val="single"/>
        </w:rPr>
        <w:t>华容县科学技术局</w:t>
      </w:r>
    </w:p>
    <w:p>
      <w:pPr>
        <w:spacing w:line="600" w:lineRule="exact"/>
        <w:jc w:val="center"/>
        <w:rPr>
          <w:rFonts w:eastAsia="楷体_GB2312"/>
          <w:sz w:val="32"/>
          <w:szCs w:val="32"/>
        </w:rPr>
      </w:pPr>
      <w:r>
        <w:rPr>
          <w:rFonts w:hint="eastAsia" w:eastAsia="楷体_GB2312"/>
          <w:sz w:val="32"/>
          <w:szCs w:val="32"/>
        </w:rPr>
        <w:t>202</w:t>
      </w:r>
      <w:r>
        <w:rPr>
          <w:rFonts w:hint="eastAsia" w:eastAsia="楷体_GB2312"/>
          <w:sz w:val="32"/>
          <w:szCs w:val="32"/>
          <w:lang w:val="en-US" w:eastAsia="zh-CN"/>
        </w:rPr>
        <w:t>4</w:t>
      </w:r>
      <w:r>
        <w:rPr>
          <w:rFonts w:eastAsia="楷体_GB2312"/>
          <w:sz w:val="32"/>
          <w:szCs w:val="32"/>
        </w:rPr>
        <w:t>年</w:t>
      </w:r>
      <w:r>
        <w:rPr>
          <w:rFonts w:hint="eastAsia" w:eastAsia="楷体_GB2312"/>
          <w:sz w:val="32"/>
          <w:szCs w:val="32"/>
          <w:lang w:val="en-US" w:eastAsia="zh-CN"/>
        </w:rPr>
        <w:t>5</w:t>
      </w:r>
      <w:r>
        <w:rPr>
          <w:rFonts w:eastAsia="楷体_GB2312"/>
          <w:sz w:val="32"/>
          <w:szCs w:val="32"/>
        </w:rPr>
        <w:t>月</w:t>
      </w:r>
      <w:r>
        <w:rPr>
          <w:rFonts w:hint="eastAsia" w:eastAsia="楷体_GB2312"/>
          <w:sz w:val="32"/>
          <w:szCs w:val="32"/>
          <w:lang w:val="en-US" w:eastAsia="zh-CN"/>
        </w:rPr>
        <w:t>28</w:t>
      </w:r>
      <w:r>
        <w:rPr>
          <w:rFonts w:eastAsia="楷体_GB2312"/>
          <w:sz w:val="32"/>
          <w:szCs w:val="32"/>
        </w:rPr>
        <w:t>日</w:t>
      </w:r>
    </w:p>
    <w:p>
      <w:pPr>
        <w:spacing w:line="610" w:lineRule="exact"/>
        <w:jc w:val="center"/>
        <w:rPr>
          <w:rFonts w:eastAsia="仿宋_GB2312"/>
          <w:sz w:val="32"/>
          <w:szCs w:val="32"/>
        </w:rPr>
      </w:pPr>
    </w:p>
    <w:p>
      <w:pPr>
        <w:spacing w:line="61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w:t>
      </w:r>
      <w:r>
        <w:rPr>
          <w:rFonts w:hint="eastAsia" w:ascii="方正小标宋简体" w:hAnsi="方正小标宋简体" w:eastAsia="方正小标宋简体" w:cs="方正小标宋简体"/>
          <w:sz w:val="44"/>
          <w:szCs w:val="44"/>
          <w:lang w:val="en-US" w:eastAsia="zh-CN"/>
        </w:rPr>
        <w:t>3</w:t>
      </w:r>
      <w:r>
        <w:rPr>
          <w:rFonts w:hint="eastAsia" w:ascii="方正小标宋简体" w:hAnsi="方正小标宋简体" w:eastAsia="方正小标宋简体" w:cs="方正小标宋简体"/>
          <w:sz w:val="44"/>
          <w:szCs w:val="44"/>
        </w:rPr>
        <w:t>年度华容县科学技术局整体支出</w:t>
      </w:r>
    </w:p>
    <w:p>
      <w:pPr>
        <w:spacing w:line="61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绩效自评报告</w:t>
      </w:r>
    </w:p>
    <w:p>
      <w:pPr>
        <w:spacing w:line="610" w:lineRule="exact"/>
        <w:ind w:firstLine="640" w:firstLineChars="200"/>
        <w:rPr>
          <w:rFonts w:eastAsia="仿宋_GB2312"/>
          <w:sz w:val="32"/>
          <w:szCs w:val="32"/>
        </w:rPr>
      </w:pPr>
    </w:p>
    <w:p>
      <w:pPr>
        <w:spacing w:line="600" w:lineRule="exact"/>
        <w:ind w:firstLine="640" w:firstLineChars="200"/>
        <w:rPr>
          <w:rFonts w:eastAsia="黑体"/>
          <w:sz w:val="32"/>
          <w:szCs w:val="32"/>
        </w:rPr>
      </w:pPr>
      <w:r>
        <w:rPr>
          <w:rFonts w:eastAsia="黑体"/>
          <w:sz w:val="32"/>
          <w:szCs w:val="32"/>
        </w:rPr>
        <w:t>一、部门（单位）基本情况</w:t>
      </w:r>
    </w:p>
    <w:p>
      <w:pPr>
        <w:snapToGrid w:val="0"/>
        <w:spacing w:line="600" w:lineRule="exact"/>
        <w:ind w:firstLine="800" w:firstLineChars="250"/>
        <w:rPr>
          <w:rFonts w:ascii="仿宋" w:hAnsi="仿宋" w:eastAsia="仿宋"/>
          <w:sz w:val="32"/>
          <w:szCs w:val="32"/>
        </w:rPr>
      </w:pPr>
      <w:r>
        <w:rPr>
          <w:rFonts w:hint="eastAsia" w:ascii="仿宋" w:hAnsi="仿宋" w:eastAsia="仿宋"/>
          <w:sz w:val="32"/>
          <w:szCs w:val="32"/>
        </w:rPr>
        <w:t>1．主要职能：</w:t>
      </w:r>
    </w:p>
    <w:p>
      <w:pPr>
        <w:widowControl/>
        <w:shd w:val="clear" w:color="auto" w:fill="FFFFFF"/>
        <w:spacing w:line="600" w:lineRule="exact"/>
        <w:ind w:firstLine="643"/>
        <w:rPr>
          <w:rFonts w:ascii="仿宋" w:hAnsi="仿宋" w:eastAsia="仿宋" w:cs="微软雅黑"/>
          <w:color w:val="000000"/>
          <w:sz w:val="32"/>
          <w:szCs w:val="32"/>
        </w:rPr>
      </w:pPr>
      <w:r>
        <w:rPr>
          <w:rFonts w:hint="eastAsia" w:ascii="仿宋" w:hAnsi="仿宋" w:eastAsia="仿宋" w:cs="仿宋"/>
          <w:color w:val="000000"/>
          <w:kern w:val="0"/>
          <w:sz w:val="32"/>
          <w:szCs w:val="32"/>
          <w:shd w:val="clear" w:color="auto" w:fill="FFFFFF"/>
        </w:rPr>
        <w:t>贯彻实施国家科技工作方针政策和法律、法规，组织实施县级以上各类科技计划项目，负责全县专利申报与实施管理。做好知识产权维权工作。组织开展多种形式的科技培训、科技下乡等活动。贯彻执行防震、减灾的工作方针政策，加强对有关单位的抗震防灾的监督管理。完成县委、县政府及上级主管部门布置的工作。</w:t>
      </w:r>
    </w:p>
    <w:p>
      <w:pPr>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2．机构情况：</w:t>
      </w:r>
    </w:p>
    <w:p>
      <w:pPr>
        <w:snapToGrid w:val="0"/>
        <w:spacing w:line="600" w:lineRule="exact"/>
        <w:ind w:firstLine="640" w:firstLineChars="200"/>
        <w:rPr>
          <w:rFonts w:ascii="仿宋" w:hAnsi="仿宋" w:eastAsia="仿宋"/>
          <w:sz w:val="32"/>
          <w:szCs w:val="32"/>
        </w:rPr>
      </w:pPr>
      <w:r>
        <w:rPr>
          <w:rFonts w:hint="eastAsia" w:ascii="仿宋" w:hAnsi="仿宋" w:eastAsia="仿宋" w:cs="仿宋"/>
          <w:color w:val="000000"/>
          <w:kern w:val="0"/>
          <w:sz w:val="32"/>
          <w:szCs w:val="32"/>
          <w:shd w:val="clear" w:color="auto" w:fill="FFFFFF"/>
        </w:rPr>
        <w:t>县科技局共有科技局机关1个独立核算工作机构，内设股室3个。</w:t>
      </w:r>
    </w:p>
    <w:p>
      <w:pPr>
        <w:widowControl/>
        <w:shd w:val="clear" w:color="auto" w:fill="FFFFFF"/>
        <w:spacing w:line="600" w:lineRule="exact"/>
        <w:ind w:firstLine="315" w:firstLineChars="98"/>
        <w:rPr>
          <w:rFonts w:ascii="仿宋" w:hAnsi="仿宋" w:eastAsia="仿宋"/>
          <w:sz w:val="32"/>
          <w:szCs w:val="32"/>
        </w:rPr>
      </w:pPr>
      <w:r>
        <w:rPr>
          <w:rFonts w:hint="eastAsia" w:ascii="宋体" w:hAnsi="宋体" w:eastAsia="仿宋" w:cs="黑体"/>
          <w:b/>
          <w:color w:val="666666"/>
          <w:kern w:val="0"/>
          <w:sz w:val="32"/>
          <w:szCs w:val="32"/>
          <w:shd w:val="clear" w:color="auto" w:fill="FFFFFF"/>
        </w:rPr>
        <w:t> </w:t>
      </w:r>
      <w:r>
        <w:rPr>
          <w:rFonts w:hint="eastAsia" w:ascii="仿宋" w:hAnsi="仿宋" w:eastAsia="仿宋"/>
          <w:sz w:val="32"/>
          <w:szCs w:val="32"/>
        </w:rPr>
        <w:t xml:space="preserve">3．人员情况： </w:t>
      </w:r>
    </w:p>
    <w:p>
      <w:pPr>
        <w:widowControl/>
        <w:shd w:val="clear" w:color="auto" w:fill="FFFFFF"/>
        <w:spacing w:after="150" w:line="600" w:lineRule="exact"/>
        <w:ind w:firstLine="643"/>
        <w:rPr>
          <w:rFonts w:ascii="仿宋" w:hAnsi="仿宋" w:eastAsia="仿宋" w:cs="仿宋"/>
          <w:color w:val="000000"/>
          <w:kern w:val="0"/>
          <w:sz w:val="32"/>
          <w:szCs w:val="32"/>
          <w:shd w:val="clear" w:color="auto" w:fill="FFFFFF"/>
        </w:rPr>
      </w:pPr>
      <w:r>
        <w:rPr>
          <w:rFonts w:hint="eastAsia" w:ascii="仿宋" w:hAnsi="仿宋" w:eastAsia="仿宋" w:cs="仿宋"/>
          <w:color w:val="000000"/>
          <w:kern w:val="0"/>
          <w:sz w:val="32"/>
          <w:szCs w:val="32"/>
          <w:shd w:val="clear" w:color="auto" w:fill="FFFFFF"/>
        </w:rPr>
        <w:t>人员编制名13（其中行政编制6名，机关工勤编制1名，事业全额编制6名，）；年末实有在职干部、职工16人（其中行政人员</w:t>
      </w:r>
      <w:r>
        <w:rPr>
          <w:rFonts w:hint="eastAsia" w:ascii="仿宋" w:hAnsi="仿宋" w:eastAsia="仿宋" w:cs="仿宋"/>
          <w:color w:val="000000"/>
          <w:kern w:val="0"/>
          <w:sz w:val="32"/>
          <w:szCs w:val="32"/>
          <w:shd w:val="clear" w:color="auto" w:fill="FFFFFF"/>
          <w:lang w:val="en-US" w:eastAsia="zh-CN"/>
        </w:rPr>
        <w:t>6</w:t>
      </w:r>
      <w:r>
        <w:rPr>
          <w:rFonts w:hint="eastAsia" w:ascii="仿宋" w:hAnsi="仿宋" w:eastAsia="仿宋" w:cs="仿宋"/>
          <w:color w:val="000000"/>
          <w:kern w:val="0"/>
          <w:sz w:val="32"/>
          <w:szCs w:val="32"/>
          <w:shd w:val="clear" w:color="auto" w:fill="FFFFFF"/>
        </w:rPr>
        <w:t>人，机关工勤人员1人，全额人员</w:t>
      </w:r>
      <w:r>
        <w:rPr>
          <w:rFonts w:hint="eastAsia" w:ascii="仿宋" w:hAnsi="仿宋" w:eastAsia="仿宋" w:cs="仿宋"/>
          <w:color w:val="000000"/>
          <w:kern w:val="0"/>
          <w:sz w:val="32"/>
          <w:szCs w:val="32"/>
          <w:shd w:val="clear" w:color="auto" w:fill="FFFFFF"/>
          <w:lang w:val="en-US" w:eastAsia="zh-CN"/>
        </w:rPr>
        <w:t>9</w:t>
      </w:r>
      <w:r>
        <w:rPr>
          <w:rFonts w:hint="eastAsia" w:ascii="仿宋" w:hAnsi="仿宋" w:eastAsia="仿宋" w:cs="仿宋"/>
          <w:color w:val="000000"/>
          <w:kern w:val="0"/>
          <w:sz w:val="32"/>
          <w:szCs w:val="32"/>
          <w:shd w:val="clear" w:color="auto" w:fill="FFFFFF"/>
        </w:rPr>
        <w:t>人）。</w:t>
      </w:r>
    </w:p>
    <w:p>
      <w:pPr>
        <w:snapToGrid w:val="0"/>
        <w:spacing w:line="600" w:lineRule="exact"/>
        <w:ind w:firstLine="640" w:firstLineChars="200"/>
        <w:rPr>
          <w:rFonts w:ascii="仿宋" w:hAnsi="仿宋" w:eastAsia="仿宋"/>
          <w:sz w:val="32"/>
          <w:szCs w:val="32"/>
        </w:rPr>
      </w:pPr>
      <w:r>
        <w:rPr>
          <w:rFonts w:hint="eastAsia" w:ascii="仿宋" w:hAnsi="仿宋" w:eastAsia="仿宋"/>
          <w:sz w:val="32"/>
          <w:szCs w:val="32"/>
        </w:rPr>
        <w:t>4、当年取得的主要事业成效。</w:t>
      </w:r>
    </w:p>
    <w:p>
      <w:pPr>
        <w:spacing w:line="560" w:lineRule="exact"/>
        <w:ind w:firstLine="643" w:firstLineChars="200"/>
        <w:rPr>
          <w:rFonts w:ascii="仿宋" w:hAnsi="仿宋" w:eastAsia="仿宋" w:cs="仿宋"/>
          <w:sz w:val="32"/>
          <w:szCs w:val="32"/>
        </w:rPr>
      </w:pPr>
      <w:r>
        <w:rPr>
          <w:rFonts w:hint="eastAsia" w:ascii="楷体" w:hAnsi="楷体" w:eastAsia="楷体" w:cs="楷体"/>
          <w:b/>
          <w:bCs/>
          <w:sz w:val="32"/>
          <w:szCs w:val="32"/>
        </w:rPr>
        <w:t>1、企业转型升级进一步加速。</w:t>
      </w:r>
      <w:r>
        <w:rPr>
          <w:rFonts w:hint="eastAsia" w:ascii="仿宋" w:hAnsi="仿宋" w:eastAsia="仿宋" w:cs="仿宋"/>
          <w:sz w:val="32"/>
          <w:szCs w:val="32"/>
        </w:rPr>
        <w:t>高新技术企业培育方面，全年共组织20家企业申报，第一批认定11家高企，第二批认定8家高企，高企总数达到45家，较2022年增加10家，增长率达到28.57%；科技型中小企业评价入库220家，较2022年增加155家，增长率达到238.46%。认定专精特新“小巨人”企业2家，专精特新中小企业6家，认定创新型中小企业14家，新增规模以上企业19家。</w:t>
      </w:r>
    </w:p>
    <w:p>
      <w:pPr>
        <w:spacing w:line="560" w:lineRule="exact"/>
        <w:ind w:firstLine="643" w:firstLineChars="200"/>
        <w:rPr>
          <w:rFonts w:ascii="仿宋" w:hAnsi="仿宋" w:eastAsia="仿宋" w:cs="仿宋"/>
          <w:sz w:val="32"/>
          <w:szCs w:val="32"/>
        </w:rPr>
      </w:pPr>
      <w:r>
        <w:rPr>
          <w:rFonts w:hint="eastAsia" w:ascii="楷体" w:hAnsi="楷体" w:eastAsia="楷体" w:cs="楷体"/>
          <w:b/>
          <w:bCs/>
          <w:sz w:val="32"/>
          <w:szCs w:val="32"/>
        </w:rPr>
        <w:t>2、平台科技支撑进一步增强。</w:t>
      </w:r>
      <w:r>
        <w:rPr>
          <w:rFonts w:hint="eastAsia" w:ascii="仿宋" w:hAnsi="仿宋" w:eastAsia="仿宋" w:cs="仿宋"/>
          <w:sz w:val="32"/>
          <w:szCs w:val="32"/>
        </w:rPr>
        <w:t>华容县已列入湖南省第二批创新型县建设名单；潇湘科技要素大市场华容县工作站得到省科技厅2023年12月22日正式行文认定；科力嘉纺织省级工程技术研究中心成功认定；科创纺织省级企业技术中心已经批复；吉娃米业申报市级星创天地和县人民医院申报市级康复医学技术临床示范基地已认定，完成省级医院互联网远程会诊5例，完成对乡镇卫生院影像会诊1426例；培育湖南汇华企业咨询管理有限公司备案省级众创空间；已组织湖南华容东湖国家湿地公园宣教中心科普基地和华容县小集成洪泛区江豚科普示范基地备案省级科普基地；“五好园区”创建正全力推进。</w:t>
      </w:r>
    </w:p>
    <w:p>
      <w:pPr>
        <w:spacing w:line="560" w:lineRule="exact"/>
        <w:ind w:firstLine="643" w:firstLineChars="200"/>
        <w:rPr>
          <w:rFonts w:ascii="仿宋" w:hAnsi="仿宋" w:eastAsia="仿宋" w:cs="仿宋"/>
          <w:sz w:val="32"/>
          <w:szCs w:val="32"/>
        </w:rPr>
      </w:pPr>
      <w:r>
        <w:rPr>
          <w:rFonts w:hint="eastAsia" w:ascii="楷体" w:hAnsi="楷体" w:eastAsia="楷体" w:cs="楷体"/>
          <w:b/>
          <w:bCs/>
          <w:sz w:val="32"/>
          <w:szCs w:val="32"/>
        </w:rPr>
        <w:t>3.创新创业活力进一步提升。</w:t>
      </w:r>
      <w:r>
        <w:rPr>
          <w:rFonts w:hint="eastAsia" w:ascii="仿宋" w:hAnsi="仿宋" w:eastAsia="仿宋" w:cs="仿宋"/>
          <w:sz w:val="32"/>
          <w:szCs w:val="32"/>
        </w:rPr>
        <w:t>县人才办落实人才强基三个文件精神，启动2023年“四海揽才”事业单位招聘，引进硕士研究生重点高校本科生65名；公开招聘引进急需紧缺专业人才174人，引导公务员回乡2人，事业单位工作人员回乡8人；累计新增就业见习人员50人；开口爽食品申报岳阳市科技创新人才团队计划专项，已顺利通过评审和现场考察，即将公示；组织2家企业申报了科技特派员服务乡村振兴项目，均已立项；县税务局指导企业完成研发费用加计扣除1.5亿元，折算减免企业所得税约3743万元，高新技术企业实际入库地方税收同比增长104.76%以上；县科技局、高新区等部门主动上门服务企业，已完成技术合同交易239项，成交额37亿元，较上年增加12.71亿，增长率达52.33%；指导6家企业获批省财政研发奖补资金342.96万元；全县各金融机构大力支持园区企业科技创新创业，发放科技金融贷款3700万元、科技型企业知识价值信用贷款8833万元、办理创业担保贷款贴息3170万元；国能岳阳电厂厂区内5G基站已完成建设；特别是政产学研合作量质集聚提升，园区重点企业与湖南农业大学、湖南工业大学和华容县职业中专等院校建立了定向培养专业技术人才机制,今年长沙理工大学与聚和源、沁峰机器人、东颂电子等企业签订了产学研合作协议。</w:t>
      </w:r>
    </w:p>
    <w:p>
      <w:pPr>
        <w:spacing w:line="560" w:lineRule="exact"/>
        <w:ind w:firstLine="643" w:firstLineChars="200"/>
        <w:rPr>
          <w:rFonts w:ascii="仿宋" w:hAnsi="仿宋" w:eastAsia="仿宋" w:cs="仿宋"/>
          <w:sz w:val="32"/>
          <w:szCs w:val="32"/>
        </w:rPr>
      </w:pPr>
      <w:r>
        <w:rPr>
          <w:rFonts w:hint="eastAsia" w:ascii="楷体" w:hAnsi="楷体" w:eastAsia="楷体" w:cs="楷体"/>
          <w:b/>
          <w:bCs/>
          <w:sz w:val="32"/>
          <w:szCs w:val="32"/>
        </w:rPr>
        <w:t>4、科技攻坚动能进一步集聚。</w:t>
      </w:r>
      <w:r>
        <w:rPr>
          <w:rFonts w:hint="eastAsia" w:ascii="仿宋" w:hAnsi="仿宋" w:eastAsia="仿宋" w:cs="仿宋"/>
          <w:sz w:val="32"/>
          <w:szCs w:val="32"/>
        </w:rPr>
        <w:t>6项关键核心技术（冲压无人化车间技术、芥菜清洁精深加工、大容量高安全性轻型无边电池研究及产业化、纺纱关键技术研究、水性光固化涂料研发和营养功能性蔬菜发酵制品关键技术研究与应用）已凝练入省市项目库。“华容芥菜现代化加工关键技术研究与产品开发”省重点研发计划项目，已立项；“高端针织纱全流程智能工业软硬件一体化系统的研究与应用”市级科技重大专项、“5G+智能摆臂冲压机器人关键技术研究”、“华容芥菜保质保鲜加工关键技术研究与示范”市级重点研发计划专项均已立项。完成发明专利授权16件，累计高价值发明专利76件。</w:t>
      </w:r>
    </w:p>
    <w:p>
      <w:pPr>
        <w:spacing w:line="560" w:lineRule="exact"/>
        <w:ind w:firstLine="643" w:firstLineChars="200"/>
        <w:rPr>
          <w:rFonts w:ascii="仿宋" w:hAnsi="仿宋" w:eastAsia="仿宋" w:cs="仿宋"/>
          <w:sz w:val="32"/>
          <w:szCs w:val="32"/>
        </w:rPr>
      </w:pPr>
      <w:r>
        <w:rPr>
          <w:rFonts w:hint="eastAsia" w:ascii="楷体" w:hAnsi="楷体" w:eastAsia="楷体" w:cs="楷体"/>
          <w:b/>
          <w:bCs/>
          <w:sz w:val="32"/>
          <w:szCs w:val="32"/>
        </w:rPr>
        <w:t>5、科技创新投入进一步加大。</w:t>
      </w:r>
      <w:r>
        <w:rPr>
          <w:rFonts w:hint="eastAsia" w:ascii="仿宋" w:hAnsi="仿宋" w:eastAsia="仿宋" w:cs="仿宋"/>
          <w:sz w:val="32"/>
          <w:szCs w:val="32"/>
        </w:rPr>
        <w:t>在全县财政紧张的情况下，为加大财政科技投入力度，进一步健全竞争性经费和稳定支持经费相协调的科技投入机制，力保财政对科技投入只增不减的要求，县财政局加强资金调度，积极发挥财政资金引导作用，全年对恒兴建材、开口爽、科力嘉、洞庭明珠等企业拨付直达资金689万元，安排汇川技术企业配套资金2700万元支持优质科技项目落户。全年财政科学技术支出达14900万元，较上年增加8865万元，增长率达146.89%。完成全社会研发投入（填报数）22.2亿元。</w:t>
      </w:r>
    </w:p>
    <w:p>
      <w:pPr>
        <w:pStyle w:val="10"/>
        <w:widowControl/>
        <w:spacing w:line="600" w:lineRule="exact"/>
        <w:ind w:firstLine="640"/>
        <w:rPr>
          <w:rFonts w:ascii="Times New Roman" w:hAnsi="Times New Roman" w:eastAsia="黑体"/>
          <w:sz w:val="32"/>
          <w:szCs w:val="32"/>
        </w:rPr>
      </w:pPr>
      <w:r>
        <w:rPr>
          <w:rFonts w:ascii="Times New Roman" w:hAnsi="Times New Roman" w:eastAsia="黑体"/>
          <w:sz w:val="32"/>
          <w:szCs w:val="32"/>
        </w:rPr>
        <w:t>二、基本支出情况</w:t>
      </w:r>
    </w:p>
    <w:p>
      <w:pPr>
        <w:spacing w:line="600" w:lineRule="exact"/>
        <w:ind w:firstLine="640" w:firstLineChars="200"/>
        <w:rPr>
          <w:rFonts w:ascii="仿宋" w:hAnsi="仿宋" w:eastAsia="仿宋" w:cs="仿宋"/>
          <w:sz w:val="32"/>
          <w:szCs w:val="32"/>
        </w:rPr>
      </w:pPr>
      <w:r>
        <w:rPr>
          <w:rFonts w:hint="eastAsia" w:ascii="仿宋" w:hAnsi="仿宋" w:eastAsia="仿宋"/>
          <w:sz w:val="32"/>
          <w:szCs w:val="32"/>
        </w:rPr>
        <w:t>全年整体收入</w:t>
      </w:r>
      <w:r>
        <w:rPr>
          <w:rFonts w:hint="eastAsia" w:ascii="仿宋" w:hAnsi="仿宋" w:eastAsia="仿宋"/>
          <w:sz w:val="32"/>
          <w:szCs w:val="32"/>
          <w:lang w:val="en-US" w:eastAsia="zh-CN"/>
        </w:rPr>
        <w:t>769.55</w:t>
      </w:r>
      <w:r>
        <w:rPr>
          <w:rFonts w:hint="eastAsia" w:ascii="仿宋" w:hAnsi="仿宋" w:eastAsia="仿宋"/>
          <w:sz w:val="32"/>
          <w:szCs w:val="32"/>
        </w:rPr>
        <w:t>万元，财政拨款</w:t>
      </w:r>
      <w:r>
        <w:rPr>
          <w:rFonts w:hint="eastAsia" w:ascii="仿宋" w:hAnsi="仿宋" w:eastAsia="仿宋"/>
          <w:sz w:val="32"/>
          <w:szCs w:val="32"/>
          <w:lang w:val="en-US" w:eastAsia="zh-CN"/>
        </w:rPr>
        <w:t>769.55</w:t>
      </w:r>
      <w:r>
        <w:rPr>
          <w:rFonts w:hint="eastAsia" w:ascii="仿宋" w:hAnsi="仿宋" w:eastAsia="仿宋"/>
          <w:sz w:val="32"/>
          <w:szCs w:val="32"/>
        </w:rPr>
        <w:t>万元。全年整体支出</w:t>
      </w:r>
      <w:r>
        <w:rPr>
          <w:rFonts w:hint="eastAsia" w:ascii="仿宋" w:hAnsi="仿宋" w:eastAsia="仿宋"/>
          <w:sz w:val="32"/>
          <w:szCs w:val="32"/>
          <w:lang w:val="en-US" w:eastAsia="zh-CN"/>
        </w:rPr>
        <w:t>769.55</w:t>
      </w:r>
      <w:r>
        <w:rPr>
          <w:rFonts w:hint="eastAsia" w:ascii="仿宋" w:hAnsi="仿宋" w:eastAsia="仿宋"/>
          <w:sz w:val="32"/>
          <w:szCs w:val="32"/>
        </w:rPr>
        <w:t>万元，其中人员支出</w:t>
      </w:r>
      <w:r>
        <w:rPr>
          <w:rFonts w:hint="eastAsia" w:ascii="仿宋" w:hAnsi="仿宋" w:eastAsia="仿宋"/>
          <w:sz w:val="32"/>
          <w:szCs w:val="32"/>
          <w:lang w:val="en-US" w:eastAsia="zh-CN"/>
        </w:rPr>
        <w:t>213.79</w:t>
      </w:r>
      <w:r>
        <w:rPr>
          <w:rFonts w:hint="eastAsia" w:ascii="仿宋" w:hAnsi="仿宋" w:eastAsia="仿宋"/>
          <w:sz w:val="32"/>
          <w:szCs w:val="32"/>
        </w:rPr>
        <w:t>万元，商品和服务支出</w:t>
      </w:r>
      <w:r>
        <w:rPr>
          <w:rFonts w:hint="eastAsia" w:ascii="仿宋" w:hAnsi="仿宋" w:eastAsia="仿宋"/>
          <w:sz w:val="32"/>
          <w:szCs w:val="32"/>
          <w:lang w:val="en-US" w:eastAsia="zh-CN"/>
        </w:rPr>
        <w:t>49.11</w:t>
      </w:r>
      <w:r>
        <w:rPr>
          <w:rFonts w:hint="eastAsia" w:ascii="仿宋" w:hAnsi="仿宋" w:eastAsia="仿宋"/>
          <w:sz w:val="32"/>
          <w:szCs w:val="32"/>
        </w:rPr>
        <w:t>万元，项目支出</w:t>
      </w:r>
      <w:r>
        <w:rPr>
          <w:rFonts w:hint="eastAsia" w:ascii="仿宋" w:hAnsi="仿宋" w:eastAsia="仿宋"/>
          <w:sz w:val="32"/>
          <w:szCs w:val="32"/>
          <w:lang w:val="en-US" w:eastAsia="zh-CN"/>
        </w:rPr>
        <w:t>506.65</w:t>
      </w:r>
      <w:r>
        <w:rPr>
          <w:rFonts w:hint="eastAsia" w:ascii="仿宋" w:hAnsi="仿宋" w:eastAsia="仿宋"/>
          <w:sz w:val="32"/>
          <w:szCs w:val="32"/>
        </w:rPr>
        <w:t>万元。其中202</w:t>
      </w:r>
      <w:r>
        <w:rPr>
          <w:rFonts w:hint="eastAsia" w:ascii="仿宋" w:hAnsi="仿宋" w:eastAsia="仿宋"/>
          <w:sz w:val="32"/>
          <w:szCs w:val="32"/>
          <w:lang w:val="en-US" w:eastAsia="zh-CN"/>
        </w:rPr>
        <w:t>3</w:t>
      </w:r>
      <w:r>
        <w:rPr>
          <w:rFonts w:hint="eastAsia" w:ascii="仿宋" w:hAnsi="仿宋" w:eastAsia="仿宋"/>
          <w:sz w:val="32"/>
          <w:szCs w:val="32"/>
        </w:rPr>
        <w:t>年本年基本支出</w:t>
      </w:r>
      <w:r>
        <w:rPr>
          <w:rFonts w:hint="eastAsia" w:ascii="仿宋" w:hAnsi="仿宋" w:eastAsia="仿宋"/>
          <w:sz w:val="32"/>
          <w:szCs w:val="32"/>
          <w:lang w:val="en-US" w:eastAsia="zh-CN"/>
        </w:rPr>
        <w:t>262.9</w:t>
      </w:r>
      <w:r>
        <w:rPr>
          <w:rFonts w:hint="eastAsia" w:ascii="仿宋" w:hAnsi="仿宋" w:eastAsia="仿宋"/>
          <w:sz w:val="32"/>
          <w:szCs w:val="32"/>
        </w:rPr>
        <w:t>万元，比上年基本支出</w:t>
      </w:r>
      <w:r>
        <w:rPr>
          <w:rFonts w:hint="eastAsia" w:ascii="仿宋" w:hAnsi="仿宋" w:eastAsia="仿宋"/>
          <w:sz w:val="32"/>
          <w:szCs w:val="32"/>
          <w:lang w:val="en-US" w:eastAsia="zh-CN"/>
        </w:rPr>
        <w:t>254.53</w:t>
      </w:r>
      <w:r>
        <w:rPr>
          <w:rFonts w:hint="eastAsia" w:ascii="仿宋" w:hAnsi="仿宋" w:eastAsia="仿宋" w:cs="仿宋"/>
          <w:sz w:val="32"/>
          <w:szCs w:val="32"/>
        </w:rPr>
        <w:t>万元增加了</w:t>
      </w:r>
      <w:r>
        <w:rPr>
          <w:rFonts w:hint="eastAsia" w:ascii="仿宋" w:hAnsi="仿宋" w:eastAsia="仿宋" w:cs="仿宋"/>
          <w:sz w:val="32"/>
          <w:szCs w:val="32"/>
          <w:lang w:val="en-US" w:eastAsia="zh-CN"/>
        </w:rPr>
        <w:t>8.37</w:t>
      </w:r>
      <w:r>
        <w:rPr>
          <w:rFonts w:hint="eastAsia" w:ascii="仿宋" w:hAnsi="仿宋" w:eastAsia="仿宋" w:cs="仿宋"/>
          <w:sz w:val="32"/>
          <w:szCs w:val="32"/>
        </w:rPr>
        <w:t>万元，增幅</w:t>
      </w:r>
      <w:r>
        <w:rPr>
          <w:rFonts w:hint="eastAsia" w:ascii="仿宋" w:hAnsi="仿宋" w:eastAsia="仿宋" w:cs="仿宋"/>
          <w:sz w:val="32"/>
          <w:szCs w:val="32"/>
          <w:lang w:val="en-US" w:eastAsia="zh-CN"/>
        </w:rPr>
        <w:t>3.29</w:t>
      </w:r>
      <w:r>
        <w:rPr>
          <w:rFonts w:hint="eastAsia" w:ascii="仿宋" w:hAnsi="仿宋" w:eastAsia="仿宋" w:cs="仿宋"/>
          <w:sz w:val="32"/>
          <w:szCs w:val="32"/>
        </w:rPr>
        <w:t>%。其中人员支出</w:t>
      </w:r>
      <w:r>
        <w:rPr>
          <w:rFonts w:hint="eastAsia" w:ascii="仿宋" w:hAnsi="仿宋" w:eastAsia="仿宋" w:cs="仿宋"/>
          <w:sz w:val="32"/>
          <w:szCs w:val="32"/>
          <w:lang w:val="en-US" w:eastAsia="zh-CN"/>
        </w:rPr>
        <w:t>213.79</w:t>
      </w:r>
      <w:r>
        <w:rPr>
          <w:rFonts w:hint="eastAsia" w:ascii="仿宋" w:hAnsi="仿宋" w:eastAsia="仿宋" w:cs="仿宋"/>
          <w:sz w:val="32"/>
          <w:szCs w:val="32"/>
        </w:rPr>
        <w:t>万元，比202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190.65</w:t>
      </w:r>
      <w:r>
        <w:rPr>
          <w:rFonts w:hint="eastAsia" w:ascii="仿宋" w:hAnsi="仿宋" w:eastAsia="仿宋" w:cs="仿宋"/>
          <w:sz w:val="32"/>
          <w:szCs w:val="32"/>
        </w:rPr>
        <w:t>万元增加</w:t>
      </w:r>
      <w:r>
        <w:rPr>
          <w:rFonts w:hint="eastAsia" w:ascii="仿宋" w:hAnsi="仿宋" w:eastAsia="仿宋" w:cs="仿宋"/>
          <w:sz w:val="32"/>
          <w:szCs w:val="32"/>
          <w:lang w:val="en-US" w:eastAsia="zh-CN"/>
        </w:rPr>
        <w:t>23.14</w:t>
      </w:r>
      <w:r>
        <w:rPr>
          <w:rFonts w:hint="eastAsia" w:ascii="仿宋" w:hAnsi="仿宋" w:eastAsia="仿宋" w:cs="仿宋"/>
          <w:sz w:val="32"/>
          <w:szCs w:val="32"/>
        </w:rPr>
        <w:t>万元，增幅</w:t>
      </w:r>
      <w:r>
        <w:rPr>
          <w:rFonts w:hint="eastAsia" w:ascii="仿宋" w:hAnsi="仿宋" w:eastAsia="仿宋" w:cs="仿宋"/>
          <w:sz w:val="32"/>
          <w:szCs w:val="32"/>
          <w:lang w:val="en-US" w:eastAsia="zh-CN"/>
        </w:rPr>
        <w:t>12.14</w:t>
      </w:r>
      <w:r>
        <w:rPr>
          <w:rFonts w:hint="eastAsia" w:ascii="仿宋" w:hAnsi="仿宋" w:eastAsia="仿宋" w:cs="仿宋"/>
          <w:sz w:val="32"/>
          <w:szCs w:val="32"/>
        </w:rPr>
        <w:t>%，公用支出</w:t>
      </w:r>
      <w:r>
        <w:rPr>
          <w:rFonts w:hint="eastAsia" w:ascii="仿宋" w:hAnsi="仿宋" w:eastAsia="仿宋" w:cs="仿宋"/>
          <w:sz w:val="32"/>
          <w:szCs w:val="32"/>
          <w:lang w:val="en-US" w:eastAsia="zh-CN"/>
        </w:rPr>
        <w:t>49.11</w:t>
      </w:r>
      <w:r>
        <w:rPr>
          <w:rFonts w:hint="eastAsia" w:ascii="仿宋" w:hAnsi="仿宋" w:eastAsia="仿宋" w:cs="仿宋"/>
          <w:sz w:val="32"/>
          <w:szCs w:val="32"/>
        </w:rPr>
        <w:t>万元比202年</w:t>
      </w:r>
      <w:r>
        <w:rPr>
          <w:rFonts w:hint="eastAsia" w:ascii="仿宋" w:hAnsi="仿宋" w:eastAsia="仿宋" w:cs="仿宋"/>
          <w:sz w:val="32"/>
          <w:szCs w:val="32"/>
          <w:lang w:val="en-US" w:eastAsia="zh-CN"/>
        </w:rPr>
        <w:t>63.88</w:t>
      </w:r>
      <w:r>
        <w:rPr>
          <w:rFonts w:hint="eastAsia" w:ascii="仿宋" w:hAnsi="仿宋" w:eastAsia="仿宋" w:cs="仿宋"/>
          <w:sz w:val="32"/>
          <w:szCs w:val="32"/>
        </w:rPr>
        <w:t>万元</w:t>
      </w:r>
      <w:r>
        <w:rPr>
          <w:rFonts w:hint="eastAsia" w:ascii="仿宋" w:hAnsi="仿宋" w:eastAsia="仿宋" w:cs="仿宋"/>
          <w:sz w:val="32"/>
          <w:szCs w:val="32"/>
          <w:lang w:eastAsia="zh-CN"/>
        </w:rPr>
        <w:t>减少</w:t>
      </w:r>
      <w:r>
        <w:rPr>
          <w:rFonts w:hint="eastAsia" w:ascii="仿宋" w:hAnsi="仿宋" w:eastAsia="仿宋" w:cs="仿宋"/>
          <w:sz w:val="32"/>
          <w:szCs w:val="32"/>
          <w:lang w:val="en-US" w:eastAsia="zh-CN"/>
        </w:rPr>
        <w:t>14.77</w:t>
      </w:r>
      <w:r>
        <w:rPr>
          <w:rFonts w:hint="eastAsia" w:ascii="仿宋" w:hAnsi="仿宋" w:eastAsia="仿宋" w:cs="仿宋"/>
          <w:sz w:val="32"/>
          <w:szCs w:val="32"/>
        </w:rPr>
        <w:t>万元，</w:t>
      </w:r>
      <w:r>
        <w:rPr>
          <w:rFonts w:hint="eastAsia" w:ascii="仿宋" w:hAnsi="仿宋" w:eastAsia="仿宋" w:cs="仿宋"/>
          <w:sz w:val="32"/>
          <w:szCs w:val="32"/>
          <w:lang w:eastAsia="zh-CN"/>
        </w:rPr>
        <w:t>减</w:t>
      </w:r>
      <w:r>
        <w:rPr>
          <w:rFonts w:hint="eastAsia" w:ascii="仿宋" w:hAnsi="仿宋" w:eastAsia="仿宋" w:cs="仿宋"/>
          <w:sz w:val="32"/>
          <w:szCs w:val="32"/>
        </w:rPr>
        <w:t>幅</w:t>
      </w:r>
      <w:r>
        <w:rPr>
          <w:rFonts w:hint="eastAsia" w:ascii="仿宋" w:hAnsi="仿宋" w:eastAsia="仿宋" w:cs="仿宋"/>
          <w:sz w:val="32"/>
          <w:szCs w:val="32"/>
          <w:lang w:val="en-US" w:eastAsia="zh-CN"/>
        </w:rPr>
        <w:t>23.12</w:t>
      </w: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年度科技为争先创优做了大量工作，指导县企业进行高新技术申报，争创创新型县建设工作等。</w:t>
      </w:r>
    </w:p>
    <w:p>
      <w:pPr>
        <w:pStyle w:val="10"/>
        <w:widowControl/>
        <w:spacing w:line="600" w:lineRule="exact"/>
        <w:ind w:firstLine="640"/>
        <w:rPr>
          <w:rFonts w:ascii="Times New Roman" w:hAnsi="Times New Roman" w:eastAsia="黑体"/>
          <w:sz w:val="32"/>
          <w:szCs w:val="32"/>
        </w:rPr>
      </w:pPr>
      <w:r>
        <w:rPr>
          <w:rFonts w:ascii="Times New Roman" w:hAnsi="Times New Roman" w:eastAsia="黑体"/>
          <w:sz w:val="32"/>
          <w:szCs w:val="32"/>
        </w:rPr>
        <w:t>三、项目支出情况</w:t>
      </w:r>
    </w:p>
    <w:p>
      <w:pPr>
        <w:pStyle w:val="10"/>
        <w:widowControl/>
        <w:spacing w:line="600" w:lineRule="exact"/>
        <w:ind w:firstLine="640"/>
        <w:rPr>
          <w:rFonts w:hint="default" w:ascii="Times New Roman" w:hAnsi="Times New Roman" w:eastAsia="仿宋"/>
          <w:sz w:val="32"/>
          <w:szCs w:val="32"/>
          <w:lang w:val="en-US"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3</w:t>
      </w:r>
      <w:r>
        <w:rPr>
          <w:rFonts w:hint="eastAsia" w:ascii="仿宋" w:hAnsi="仿宋" w:eastAsia="仿宋" w:cs="仿宋"/>
          <w:sz w:val="32"/>
          <w:szCs w:val="32"/>
        </w:rPr>
        <w:t>年本年项目支出</w:t>
      </w:r>
      <w:r>
        <w:rPr>
          <w:rFonts w:hint="eastAsia" w:ascii="仿宋" w:hAnsi="仿宋" w:eastAsia="仿宋" w:cs="仿宋"/>
          <w:sz w:val="32"/>
          <w:szCs w:val="32"/>
          <w:lang w:val="en-US" w:eastAsia="zh-CN"/>
        </w:rPr>
        <w:t>506.65</w:t>
      </w:r>
      <w:r>
        <w:rPr>
          <w:rFonts w:hint="eastAsia" w:ascii="仿宋" w:hAnsi="仿宋" w:eastAsia="仿宋" w:cs="仿宋"/>
          <w:sz w:val="32"/>
          <w:szCs w:val="32"/>
        </w:rPr>
        <w:t>万元，比上年项目支出</w:t>
      </w:r>
      <w:r>
        <w:rPr>
          <w:rFonts w:hint="eastAsia" w:ascii="仿宋" w:hAnsi="仿宋" w:eastAsia="仿宋" w:cs="仿宋"/>
          <w:sz w:val="32"/>
          <w:szCs w:val="32"/>
          <w:lang w:val="en-US" w:eastAsia="zh-CN"/>
        </w:rPr>
        <w:t>1166.83</w:t>
      </w:r>
      <w:r>
        <w:rPr>
          <w:rFonts w:hint="eastAsia" w:ascii="仿宋" w:hAnsi="仿宋" w:eastAsia="仿宋" w:cs="仿宋"/>
          <w:sz w:val="32"/>
          <w:szCs w:val="32"/>
        </w:rPr>
        <w:t>万元</w:t>
      </w:r>
      <w:r>
        <w:rPr>
          <w:rFonts w:hint="eastAsia" w:ascii="仿宋" w:hAnsi="仿宋" w:eastAsia="仿宋" w:cs="仿宋"/>
          <w:sz w:val="32"/>
          <w:szCs w:val="32"/>
          <w:lang w:eastAsia="zh-CN"/>
        </w:rPr>
        <w:t>减少</w:t>
      </w:r>
      <w:r>
        <w:rPr>
          <w:rFonts w:hint="eastAsia" w:ascii="仿宋" w:hAnsi="仿宋" w:eastAsia="仿宋" w:cs="仿宋"/>
          <w:sz w:val="32"/>
          <w:szCs w:val="32"/>
        </w:rPr>
        <w:t>了</w:t>
      </w:r>
      <w:r>
        <w:rPr>
          <w:rFonts w:hint="eastAsia" w:ascii="仿宋" w:hAnsi="仿宋" w:eastAsia="仿宋" w:cs="仿宋"/>
          <w:sz w:val="32"/>
          <w:szCs w:val="32"/>
          <w:lang w:val="en-US" w:eastAsia="zh-CN"/>
        </w:rPr>
        <w:t>660.18</w:t>
      </w:r>
      <w:r>
        <w:rPr>
          <w:rFonts w:hint="eastAsia" w:ascii="仿宋" w:hAnsi="仿宋" w:eastAsia="仿宋" w:cs="仿宋"/>
          <w:sz w:val="32"/>
          <w:szCs w:val="32"/>
        </w:rPr>
        <w:t>万元，</w:t>
      </w:r>
      <w:r>
        <w:rPr>
          <w:rFonts w:hint="eastAsia" w:ascii="仿宋" w:hAnsi="仿宋" w:eastAsia="仿宋" w:cs="仿宋"/>
          <w:sz w:val="32"/>
          <w:szCs w:val="32"/>
          <w:lang w:eastAsia="zh-CN"/>
        </w:rPr>
        <w:t>减</w:t>
      </w:r>
      <w:r>
        <w:rPr>
          <w:rFonts w:hint="eastAsia" w:ascii="仿宋" w:hAnsi="仿宋" w:eastAsia="仿宋" w:cs="仿宋"/>
          <w:sz w:val="32"/>
          <w:szCs w:val="32"/>
        </w:rPr>
        <w:t>幅</w:t>
      </w:r>
      <w:r>
        <w:rPr>
          <w:rFonts w:hint="eastAsia" w:ascii="仿宋" w:hAnsi="仿宋" w:eastAsia="仿宋" w:cs="仿宋"/>
          <w:sz w:val="32"/>
          <w:szCs w:val="32"/>
          <w:lang w:val="en-US" w:eastAsia="zh-CN"/>
        </w:rPr>
        <w:t>56.58</w:t>
      </w:r>
      <w:r>
        <w:rPr>
          <w:rFonts w:hint="eastAsia" w:ascii="仿宋" w:hAnsi="仿宋" w:eastAsia="仿宋" w:cs="仿宋"/>
          <w:sz w:val="32"/>
          <w:szCs w:val="32"/>
        </w:rPr>
        <w:t>%。项目支出</w:t>
      </w:r>
      <w:r>
        <w:rPr>
          <w:rFonts w:hint="eastAsia" w:ascii="仿宋" w:hAnsi="仿宋" w:eastAsia="仿宋" w:cs="仿宋"/>
          <w:sz w:val="32"/>
          <w:szCs w:val="32"/>
          <w:lang w:eastAsia="zh-CN"/>
        </w:rPr>
        <w:t>减少</w:t>
      </w:r>
      <w:r>
        <w:rPr>
          <w:rFonts w:hint="eastAsia" w:ascii="仿宋" w:hAnsi="仿宋" w:eastAsia="仿宋" w:cs="仿宋"/>
          <w:sz w:val="32"/>
          <w:szCs w:val="32"/>
        </w:rPr>
        <w:t>的主要原因是202</w:t>
      </w:r>
      <w:r>
        <w:rPr>
          <w:rFonts w:hint="eastAsia" w:ascii="仿宋" w:hAnsi="仿宋" w:eastAsia="仿宋" w:cs="仿宋"/>
          <w:sz w:val="32"/>
          <w:szCs w:val="32"/>
          <w:lang w:val="en-US" w:eastAsia="zh-CN"/>
        </w:rPr>
        <w:t>2年度上级奖补资金及时到位，未延续到2023年度拨付。</w:t>
      </w:r>
    </w:p>
    <w:p>
      <w:pPr>
        <w:widowControl/>
        <w:tabs>
          <w:tab w:val="left" w:pos="6313"/>
        </w:tabs>
        <w:spacing w:line="600" w:lineRule="exact"/>
        <w:ind w:firstLine="640" w:firstLineChars="200"/>
        <w:rPr>
          <w:rFonts w:eastAsia="黑体"/>
          <w:sz w:val="32"/>
          <w:szCs w:val="32"/>
        </w:rPr>
      </w:pPr>
      <w:r>
        <w:rPr>
          <w:rFonts w:hint="eastAsia" w:eastAsia="黑体"/>
          <w:sz w:val="32"/>
          <w:szCs w:val="32"/>
        </w:rPr>
        <w:t>四</w:t>
      </w:r>
      <w:r>
        <w:rPr>
          <w:rFonts w:eastAsia="黑体"/>
          <w:sz w:val="32"/>
          <w:szCs w:val="32"/>
        </w:rPr>
        <w:t>、部门整体支出绩效情况</w:t>
      </w:r>
      <w:r>
        <w:rPr>
          <w:rFonts w:eastAsia="黑体"/>
          <w:sz w:val="32"/>
          <w:szCs w:val="32"/>
        </w:rPr>
        <w:tab/>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202</w:t>
      </w:r>
      <w:r>
        <w:rPr>
          <w:rFonts w:hint="eastAsia" w:ascii="仿宋" w:hAnsi="仿宋" w:eastAsia="仿宋" w:cs="宋体"/>
          <w:sz w:val="32"/>
          <w:szCs w:val="32"/>
          <w:lang w:val="en-US" w:eastAsia="zh-CN"/>
        </w:rPr>
        <w:t>3</w:t>
      </w:r>
      <w:r>
        <w:rPr>
          <w:rFonts w:hint="eastAsia" w:ascii="仿宋" w:hAnsi="仿宋" w:eastAsia="仿宋" w:cs="宋体"/>
          <w:sz w:val="32"/>
          <w:szCs w:val="32"/>
        </w:rPr>
        <w:t>年，根据该单位年初工作规划和重点工作，围绕县委、县政府的工作部署，积极履行职责，强化管理，较好地完成了年度工作目标，同时加强预算收支的管理，建立健全内部管理制度，严格内部管理流程，部门整体支出管理得到了提升。202</w:t>
      </w:r>
      <w:r>
        <w:rPr>
          <w:rFonts w:hint="eastAsia" w:ascii="仿宋" w:hAnsi="仿宋" w:eastAsia="仿宋" w:cs="宋体"/>
          <w:sz w:val="32"/>
          <w:szCs w:val="32"/>
          <w:lang w:val="en-US" w:eastAsia="zh-CN"/>
        </w:rPr>
        <w:t>3</w:t>
      </w:r>
      <w:bookmarkStart w:id="0" w:name="_GoBack"/>
      <w:bookmarkEnd w:id="0"/>
      <w:r>
        <w:rPr>
          <w:rFonts w:hint="eastAsia" w:ascii="仿宋" w:hAnsi="仿宋" w:eastAsia="仿宋" w:cs="宋体"/>
          <w:sz w:val="32"/>
          <w:szCs w:val="32"/>
        </w:rPr>
        <w:t>年度部门整体支出绩效情况如下：</w:t>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1.本年预算配置控制较好，财政供养人员控制在预算编制以内；“三公”经费支出总额较上年有减少。</w:t>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2.预算管理方面，科技局制定了切实有效的内部财务、资产内部管理制度，执行总体较为有效。</w:t>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3、</w:t>
      </w:r>
      <w:r>
        <w:rPr>
          <w:rFonts w:hint="eastAsia" w:ascii="仿宋" w:hAnsi="仿宋" w:eastAsia="仿宋" w:cs="仿宋_GB2312"/>
          <w:sz w:val="32"/>
          <w:szCs w:val="32"/>
        </w:rPr>
        <w:t>固定资产管理情况分析：按照例行节约，物尽其用的原则，宣传部资产管理采取统一建账，统一核算管理，对每件固定资产使用明确保管职责，</w:t>
      </w:r>
      <w:r>
        <w:rPr>
          <w:rFonts w:hint="eastAsia" w:ascii="仿宋" w:hAnsi="仿宋" w:eastAsia="仿宋" w:cs="宋体"/>
          <w:sz w:val="32"/>
          <w:szCs w:val="32"/>
        </w:rPr>
        <w:t>闲置的资产，由办公室统一调整，合理流动，发挥其效益。</w:t>
      </w:r>
    </w:p>
    <w:p>
      <w:pPr>
        <w:spacing w:line="600" w:lineRule="exact"/>
        <w:ind w:firstLine="640" w:firstLineChars="200"/>
        <w:rPr>
          <w:rFonts w:ascii="仿宋" w:hAnsi="仿宋" w:eastAsia="仿宋" w:cs="宋体"/>
          <w:sz w:val="32"/>
          <w:szCs w:val="32"/>
        </w:rPr>
      </w:pPr>
      <w:r>
        <w:rPr>
          <w:rFonts w:hint="eastAsia" w:ascii="仿宋" w:hAnsi="仿宋" w:eastAsia="仿宋" w:cs="宋体"/>
          <w:sz w:val="32"/>
          <w:szCs w:val="32"/>
        </w:rPr>
        <w:t>4、部门整体结余情况：上年结余无，累计结余无。</w:t>
      </w:r>
    </w:p>
    <w:p>
      <w:pPr>
        <w:pStyle w:val="10"/>
        <w:widowControl/>
        <w:spacing w:line="600" w:lineRule="exact"/>
        <w:ind w:firstLine="640"/>
        <w:rPr>
          <w:rFonts w:ascii="Times New Roman" w:hAnsi="Times New Roman" w:eastAsia="黑体"/>
          <w:sz w:val="32"/>
          <w:szCs w:val="32"/>
        </w:rPr>
      </w:pPr>
      <w:r>
        <w:rPr>
          <w:rFonts w:hint="eastAsia" w:ascii="Times New Roman" w:hAnsi="Times New Roman" w:eastAsia="黑体"/>
          <w:sz w:val="32"/>
          <w:szCs w:val="32"/>
        </w:rPr>
        <w:t>五</w:t>
      </w:r>
      <w:r>
        <w:rPr>
          <w:rFonts w:ascii="Times New Roman" w:hAnsi="Times New Roman" w:eastAsia="黑体"/>
          <w:sz w:val="32"/>
          <w:szCs w:val="32"/>
        </w:rPr>
        <w:t>、存在的问题及原因分析</w:t>
      </w:r>
    </w:p>
    <w:p>
      <w:pPr>
        <w:spacing w:line="600" w:lineRule="exact"/>
        <w:ind w:firstLine="640" w:firstLineChars="200"/>
        <w:rPr>
          <w:rFonts w:ascii="仿宋" w:hAnsi="仿宋" w:eastAsia="仿宋" w:cs="宋体"/>
          <w:sz w:val="32"/>
          <w:szCs w:val="32"/>
        </w:rPr>
      </w:pPr>
      <w:r>
        <w:rPr>
          <w:rFonts w:hint="eastAsia" w:ascii="仿宋" w:hAnsi="仿宋" w:eastAsia="仿宋" w:cs="仿宋"/>
          <w:sz w:val="32"/>
          <w:szCs w:val="32"/>
        </w:rPr>
        <w:t>华容县科技局虽然贯彻落实及时到位，工作任务完成出色，但还存在很多不足：一是对工作人员的培训与学习不够全面、深入，需要制订系统规范的学习方案措施；二是</w:t>
      </w:r>
      <w:r>
        <w:rPr>
          <w:rFonts w:hint="eastAsia" w:ascii="仿宋" w:hAnsi="仿宋" w:eastAsia="仿宋" w:cs="宋体"/>
          <w:sz w:val="32"/>
          <w:szCs w:val="32"/>
        </w:rPr>
        <w:t>预算编制有待更严格执行，预算编制与实际支出项目有的存在差异；</w:t>
      </w:r>
      <w:r>
        <w:rPr>
          <w:rFonts w:hint="eastAsia" w:ascii="仿宋" w:hAnsi="仿宋" w:eastAsia="仿宋" w:cs="仿宋_GB2312"/>
          <w:sz w:val="32"/>
          <w:szCs w:val="32"/>
        </w:rPr>
        <w:t>三是对项目跟踪问效和进行有效管理指导等机制尚需逐步健全完善。</w:t>
      </w:r>
    </w:p>
    <w:p>
      <w:pPr>
        <w:widowControl/>
        <w:spacing w:line="600" w:lineRule="exact"/>
        <w:ind w:firstLine="640" w:firstLineChars="200"/>
        <w:rPr>
          <w:rFonts w:eastAsia="黑体"/>
          <w:sz w:val="32"/>
          <w:szCs w:val="32"/>
        </w:rPr>
      </w:pPr>
      <w:r>
        <w:rPr>
          <w:rFonts w:hint="eastAsia" w:eastAsia="黑体"/>
          <w:sz w:val="32"/>
          <w:szCs w:val="32"/>
        </w:rPr>
        <w:t>六</w:t>
      </w:r>
      <w:r>
        <w:rPr>
          <w:rFonts w:eastAsia="黑体"/>
          <w:sz w:val="32"/>
          <w:szCs w:val="32"/>
        </w:rPr>
        <w:t>、下一步改进措施</w:t>
      </w:r>
    </w:p>
    <w:p>
      <w:pPr>
        <w:spacing w:after="150" w:line="600" w:lineRule="exact"/>
        <w:ind w:firstLine="640" w:firstLineChars="200"/>
        <w:rPr>
          <w:rFonts w:ascii="仿宋" w:hAnsi="仿宋" w:eastAsia="仿宋" w:cs="宋体"/>
          <w:sz w:val="32"/>
          <w:szCs w:val="32"/>
        </w:rPr>
      </w:pPr>
      <w:r>
        <w:rPr>
          <w:rFonts w:hint="eastAsia" w:ascii="仿宋" w:hAnsi="仿宋" w:eastAsia="仿宋" w:cs="宋体"/>
          <w:sz w:val="32"/>
          <w:szCs w:val="32"/>
        </w:rPr>
        <w:t>1.制定专项资金管理办法,合理安排资金。</w:t>
      </w:r>
    </w:p>
    <w:p>
      <w:pPr>
        <w:spacing w:after="150" w:line="600" w:lineRule="exact"/>
        <w:ind w:firstLine="640" w:firstLineChars="200"/>
        <w:rPr>
          <w:rFonts w:ascii="仿宋" w:hAnsi="仿宋" w:eastAsia="仿宋" w:cs="宋体"/>
          <w:sz w:val="32"/>
          <w:szCs w:val="32"/>
        </w:rPr>
      </w:pPr>
      <w:r>
        <w:rPr>
          <w:rFonts w:hint="eastAsia" w:ascii="仿宋" w:hAnsi="仿宋" w:eastAsia="仿宋" w:cs="宋体"/>
          <w:sz w:val="32"/>
          <w:szCs w:val="32"/>
        </w:rPr>
        <w:t>2.建立科普专项资金台账，规范会计核算。</w:t>
      </w:r>
    </w:p>
    <w:p>
      <w:pPr>
        <w:widowControl/>
        <w:spacing w:line="600" w:lineRule="exact"/>
        <w:ind w:firstLine="640" w:firstLineChars="200"/>
        <w:rPr>
          <w:rFonts w:eastAsia="仿宋_GB2312"/>
          <w:sz w:val="32"/>
          <w:szCs w:val="32"/>
        </w:rPr>
      </w:pPr>
    </w:p>
    <w:p>
      <w:pPr>
        <w:widowControl/>
        <w:spacing w:line="600" w:lineRule="exact"/>
        <w:ind w:firstLine="640" w:firstLineChars="200"/>
        <w:rPr>
          <w:rFonts w:eastAsia="仿宋_GB2312"/>
          <w:sz w:val="32"/>
          <w:szCs w:val="32"/>
        </w:rPr>
      </w:pPr>
    </w:p>
    <w:p>
      <w:pPr>
        <w:spacing w:line="60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YyMTE5ZmM1YTI5MzBmODlmM2FiODk4ZGFiZmY2MzcifQ=="/>
  </w:docVars>
  <w:rsids>
    <w:rsidRoot w:val="00535A2C"/>
    <w:rsid w:val="002071B9"/>
    <w:rsid w:val="003B7AE3"/>
    <w:rsid w:val="00535A2C"/>
    <w:rsid w:val="005B02F4"/>
    <w:rsid w:val="005C6F70"/>
    <w:rsid w:val="00817B5C"/>
    <w:rsid w:val="0085698B"/>
    <w:rsid w:val="008805DE"/>
    <w:rsid w:val="008B03F7"/>
    <w:rsid w:val="00A755D7"/>
    <w:rsid w:val="00C13007"/>
    <w:rsid w:val="00C146D8"/>
    <w:rsid w:val="00C719C3"/>
    <w:rsid w:val="00CB00A2"/>
    <w:rsid w:val="00E54AF9"/>
    <w:rsid w:val="09981D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before="100" w:beforeAutospacing="1" w:after="0"/>
      <w:ind w:left="0" w:firstLine="420" w:firstLineChars="200"/>
    </w:pPr>
    <w:rPr>
      <w:rFonts w:ascii="Calibri" w:hAnsi="Calibri"/>
    </w:rPr>
  </w:style>
  <w:style w:type="paragraph" w:styleId="3">
    <w:name w:val="Body Text Indent"/>
    <w:qFormat/>
    <w:uiPriority w:val="0"/>
    <w:pPr>
      <w:widowControl w:val="0"/>
      <w:spacing w:after="120"/>
      <w:ind w:left="420" w:leftChars="200"/>
      <w:jc w:val="both"/>
    </w:pPr>
    <w:rPr>
      <w:rFonts w:ascii="Times New Roman" w:hAnsi="Times New Roman" w:eastAsia="宋体" w:cs="Times New Roman"/>
      <w:kern w:val="2"/>
      <w:sz w:val="21"/>
      <w:szCs w:val="24"/>
      <w:lang w:val="en-US" w:eastAsia="zh-CN" w:bidi="ar-SA"/>
    </w:rPr>
  </w:style>
  <w:style w:type="paragraph" w:styleId="4">
    <w:name w:val="footer"/>
    <w:basedOn w:val="1"/>
    <w:link w:val="13"/>
    <w:semiHidden/>
    <w:unhideWhenUsed/>
    <w:qFormat/>
    <w:uiPriority w:val="99"/>
    <w:pPr>
      <w:tabs>
        <w:tab w:val="center" w:pos="4153"/>
        <w:tab w:val="right" w:pos="8306"/>
      </w:tabs>
      <w:snapToGrid w:val="0"/>
      <w:jc w:val="left"/>
    </w:pPr>
    <w:rPr>
      <w:sz w:val="18"/>
      <w:szCs w:val="18"/>
    </w:rPr>
  </w:style>
  <w:style w:type="paragraph" w:styleId="5">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1"/>
    <w:semiHidden/>
    <w:unhideWhenUsed/>
    <w:qFormat/>
    <w:uiPriority w:val="99"/>
    <w:pPr>
      <w:snapToGrid w:val="0"/>
      <w:jc w:val="left"/>
    </w:pPr>
    <w:rPr>
      <w:sz w:val="18"/>
      <w:szCs w:val="18"/>
    </w:rPr>
  </w:style>
  <w:style w:type="paragraph" w:styleId="7">
    <w:name w:val="Normal (Web)"/>
    <w:basedOn w:val="1"/>
    <w:qFormat/>
    <w:uiPriority w:val="0"/>
    <w:pPr>
      <w:jc w:val="left"/>
    </w:pPr>
    <w:rPr>
      <w:kern w:val="0"/>
      <w:sz w:val="24"/>
    </w:rPr>
  </w:style>
  <w:style w:type="paragraph" w:styleId="10">
    <w:name w:val="List Paragraph"/>
    <w:basedOn w:val="1"/>
    <w:qFormat/>
    <w:uiPriority w:val="99"/>
    <w:pPr>
      <w:ind w:firstLine="420" w:firstLineChars="200"/>
    </w:pPr>
    <w:rPr>
      <w:rFonts w:ascii="Calibri" w:hAnsi="Calibri"/>
      <w:szCs w:val="22"/>
    </w:rPr>
  </w:style>
  <w:style w:type="character" w:customStyle="1" w:styleId="11">
    <w:name w:val="脚注文本 Char"/>
    <w:basedOn w:val="9"/>
    <w:link w:val="6"/>
    <w:semiHidden/>
    <w:qFormat/>
    <w:uiPriority w:val="99"/>
    <w:rPr>
      <w:rFonts w:ascii="Times New Roman" w:hAnsi="Times New Roman" w:eastAsia="宋体" w:cs="Times New Roman"/>
      <w:sz w:val="18"/>
      <w:szCs w:val="18"/>
    </w:rPr>
  </w:style>
  <w:style w:type="character" w:customStyle="1" w:styleId="12">
    <w:name w:val="页眉 Char"/>
    <w:basedOn w:val="9"/>
    <w:link w:val="5"/>
    <w:semiHidden/>
    <w:qFormat/>
    <w:uiPriority w:val="99"/>
    <w:rPr>
      <w:rFonts w:ascii="Times New Roman" w:hAnsi="Times New Roman" w:eastAsia="宋体" w:cs="Times New Roman"/>
      <w:sz w:val="18"/>
      <w:szCs w:val="18"/>
    </w:rPr>
  </w:style>
  <w:style w:type="character" w:customStyle="1" w:styleId="13">
    <w:name w:val="页脚 Char"/>
    <w:basedOn w:val="9"/>
    <w:link w:val="4"/>
    <w:semiHidden/>
    <w:qFormat/>
    <w:uiPriority w:val="99"/>
    <w:rPr>
      <w:rFonts w:ascii="Times New Roman" w:hAnsi="Times New Roman" w:eastAsia="宋体" w:cs="Times New Roman"/>
      <w:sz w:val="18"/>
      <w:szCs w:val="18"/>
    </w:rPr>
  </w:style>
  <w:style w:type="paragraph" w:customStyle="1" w:styleId="14">
    <w:name w:val="Default"/>
    <w:unhideWhenUsed/>
    <w:qFormat/>
    <w:uiPriority w:val="99"/>
    <w:pPr>
      <w:widowControl w:val="0"/>
      <w:autoSpaceDE w:val="0"/>
      <w:autoSpaceDN w:val="0"/>
      <w:adjustRightInd w:val="0"/>
    </w:pPr>
    <w:rPr>
      <w:rFonts w:hint="eastAsia" w:ascii="Calibri" w:hAnsi="Calibri" w:eastAsia="Times New Roman" w:cs="Times New Roman"/>
      <w:color w:val="000000"/>
      <w:kern w:val="0"/>
      <w:sz w:val="24"/>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331</Words>
  <Characters>1891</Characters>
  <Lines>15</Lines>
  <Paragraphs>4</Paragraphs>
  <TotalTime>5</TotalTime>
  <ScaleCrop>false</ScaleCrop>
  <LinksUpToDate>false</LinksUpToDate>
  <CharactersWithSpaces>2218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2023-07-14T08:51:00Z</dcterms:created>
  <dc:creator>Administrator</dc:creator>
  <cp:lastModifiedBy>杨淑芳</cp:lastModifiedBy>
  <dcterms:modified xsi:type="dcterms:W3CDTF">2024-05-30T08:24:15Z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018123C27EE54E498183C254CF6E37F8_13</vt:lpwstr>
  </property>
</Properties>
</file>