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pacing w:val="-4"/>
          <w:sz w:val="31"/>
          <w:szCs w:val="31"/>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300" w:lineRule="exact"/>
        <w:ind w:left="0"/>
        <w:textAlignment w:val="auto"/>
        <w:rPr>
          <w:rFonts w:hint="eastAsia" w:ascii="黑体" w:hAnsi="黑体" w:eastAsia="黑体" w:cs="黑体"/>
          <w:spacing w:val="-4"/>
          <w:sz w:val="31"/>
          <w:szCs w:val="31"/>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44"/>
          <w:szCs w:val="44"/>
        </w:rPr>
      </w:pPr>
      <w:r>
        <w:rPr>
          <w:rFonts w:hint="eastAsia" w:ascii="方正小标宋简体" w:hAnsi="方正小标宋简体" w:eastAsia="方正小标宋简体" w:cs="方正小标宋简体"/>
          <w:spacing w:val="0"/>
          <w:sz w:val="44"/>
          <w:szCs w:val="44"/>
        </w:rPr>
        <w:t>2023年度部门整体支出绩效评价基础数据表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15"/>
        <w:tblW w:w="9277"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25</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24</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96%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XX项目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val="en-US" w:eastAsia="zh-CN"/>
              </w:rPr>
              <w:t>XX项目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3、专项资金（每个专项一行）</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858" w:firstLineChars="409"/>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858" w:firstLineChars="409"/>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407.77</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lang w:val="en-US" w:eastAsia="zh-CN"/>
              </w:rPr>
            </w:pPr>
            <w:r>
              <w:rPr>
                <w:rFonts w:hint="eastAsia"/>
                <w:lang w:val="en-US" w:eastAsia="zh-CN"/>
              </w:rPr>
              <w:t>89.49</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379.11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120.09</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21.5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116.05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17.62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15.51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19.4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18.09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137.6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tabs>
                <w:tab w:val="left" w:pos="550"/>
              </w:tabs>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ab/>
            </w:r>
            <w:r>
              <w:rPr>
                <w:rFonts w:hint="eastAsia" w:ascii="新宋体" w:hAnsi="新宋体" w:eastAsia="新宋体" w:cs="新宋体"/>
                <w:sz w:val="21"/>
                <w:szCs w:val="21"/>
                <w:lang w:val="en-US" w:eastAsia="zh-CN"/>
              </w:rPr>
              <w:t>提高资金使用效益，严格控制三公经费</w:t>
            </w:r>
          </w:p>
        </w:tc>
      </w:tr>
    </w:tbl>
    <w:p>
      <w:pPr>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pPr>
        <w:pStyle w:val="7"/>
        <w:rPr>
          <w:rFonts w:hint="eastAsia"/>
          <w:lang w:eastAsia="zh-CN"/>
        </w:rPr>
      </w:pPr>
    </w:p>
    <w:p>
      <w:pPr>
        <w:rPr>
          <w:rFonts w:hint="eastAsia"/>
        </w:rPr>
      </w:pPr>
    </w:p>
    <w:p>
      <w:r>
        <w:rPr>
          <w:rFonts w:hint="eastAsia"/>
        </w:rPr>
        <w:t>填表人：</w:t>
      </w:r>
      <w:r>
        <w:rPr>
          <w:rFonts w:hint="eastAsia"/>
          <w:lang w:val="en-US" w:eastAsia="zh-CN"/>
        </w:rPr>
        <w:t>张超媛</w:t>
      </w:r>
      <w:r>
        <w:rPr>
          <w:rFonts w:hint="eastAsia"/>
        </w:rPr>
        <w:t xml:space="preserve">  填报日期：</w:t>
      </w:r>
      <w:r>
        <w:rPr>
          <w:rFonts w:hint="eastAsia"/>
          <w:lang w:val="en-US" w:eastAsia="zh-CN"/>
        </w:rPr>
        <w:t>2024年5月27日</w:t>
      </w:r>
      <w:r>
        <w:rPr>
          <w:rFonts w:hint="eastAsia"/>
        </w:rPr>
        <w:t xml:space="preserve">  联系电话：</w:t>
      </w:r>
      <w:r>
        <w:rPr>
          <w:rFonts w:hint="eastAsia"/>
          <w:lang w:val="en-US" w:eastAsia="zh-CN"/>
        </w:rPr>
        <w:t>15197069087</w:t>
      </w:r>
      <w:r>
        <w:rPr>
          <w:rFonts w:hint="eastAsia"/>
        </w:rPr>
        <w:t xml:space="preserve">  单位负责人签字：</w:t>
      </w:r>
    </w:p>
    <w:p>
      <w:pPr>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pStyle w:val="7"/>
      </w:pPr>
    </w:p>
    <w:p/>
    <w:p>
      <w:pPr>
        <w:spacing w:before="223" w:line="218" w:lineRule="auto"/>
        <w:jc w:val="center"/>
        <w:rPr>
          <w:rFonts w:hint="eastAsia" w:ascii="方正小标宋简体" w:hAnsi="方正小标宋简体" w:eastAsia="方正小标宋简体" w:cs="方正小标宋简体"/>
          <w:spacing w:val="-1"/>
          <w:sz w:val="52"/>
          <w:szCs w:val="52"/>
        </w:rPr>
      </w:pPr>
      <w:r>
        <w:rPr>
          <w:rFonts w:hint="eastAsia" w:ascii="方正小标宋简体" w:hAnsi="方正小标宋简体" w:eastAsia="方正小标宋简体" w:cs="方正小标宋简体"/>
          <w:spacing w:val="-1"/>
          <w:sz w:val="52"/>
          <w:szCs w:val="52"/>
        </w:rPr>
        <w:t>2023年度</w:t>
      </w:r>
    </w:p>
    <w:p>
      <w:pPr>
        <w:keepNext w:val="0"/>
        <w:keepLines w:val="0"/>
        <w:pageBreakBefore w:val="0"/>
        <w:widowControl w:val="0"/>
        <w:kinsoku/>
        <w:wordWrap/>
        <w:overflowPunct/>
        <w:topLinePunct w:val="0"/>
        <w:autoSpaceDE/>
        <w:autoSpaceDN/>
        <w:bidi w:val="0"/>
        <w:adjustRightInd/>
        <w:snapToGrid/>
        <w:spacing w:line="219" w:lineRule="auto"/>
        <w:jc w:val="center"/>
        <w:textAlignment w:val="auto"/>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1"/>
          <w:sz w:val="52"/>
          <w:szCs w:val="52"/>
          <w:lang w:val="en-US" w:eastAsia="zh-CN"/>
        </w:rPr>
        <w:t>中国共产党华容县委员会政法委员会部门</w:t>
      </w:r>
      <w:r>
        <w:rPr>
          <w:rFonts w:hint="eastAsia" w:ascii="方正小标宋简体" w:hAnsi="方正小标宋简体" w:eastAsia="方正小标宋简体" w:cs="方正小标宋简体"/>
          <w:spacing w:val="-1"/>
          <w:sz w:val="52"/>
          <w:szCs w:val="52"/>
        </w:rPr>
        <w:t>整体支出</w:t>
      </w:r>
      <w:r>
        <w:rPr>
          <w:rFonts w:hint="eastAsia" w:ascii="方正小标宋简体" w:hAnsi="方正小标宋简体" w:eastAsia="方正小标宋简体" w:cs="方正小标宋简体"/>
          <w:spacing w:val="-3"/>
          <w:sz w:val="52"/>
          <w:szCs w:val="52"/>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7"/>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2736" w:firstLineChars="9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43"/>
          <w:sz w:val="32"/>
          <w:szCs w:val="32"/>
          <w:lang w:val="en-US" w:eastAsia="zh-CN"/>
        </w:rPr>
        <w:t>27</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4"/>
        <w:spacing w:before="102" w:line="224" w:lineRule="auto"/>
        <w:ind w:left="3216"/>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（此页为封面）</w:t>
      </w:r>
    </w:p>
    <w:p>
      <w:pPr>
        <w:sectPr>
          <w:footerReference r:id="rId3" w:type="default"/>
          <w:pgSz w:w="11905" w:h="16838"/>
          <w:pgMar w:top="1984" w:right="1701" w:bottom="1984" w:left="1701" w:header="850" w:footer="1587" w:gutter="0"/>
          <w:pgNumType w:fmt="numberInDash" w:start="7"/>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lang w:val="en-US" w:eastAsia="zh-CN"/>
        </w:rPr>
      </w:pPr>
      <w:r>
        <w:rPr>
          <w:rFonts w:hint="eastAsia" w:ascii="方正小标宋简体" w:hAnsi="方正小标宋简体" w:eastAsia="方正小标宋简体" w:cs="方正小标宋简体"/>
          <w:spacing w:val="6"/>
          <w:sz w:val="44"/>
          <w:szCs w:val="44"/>
          <w:lang w:val="en-US" w:eastAsia="zh-CN"/>
        </w:rPr>
        <w:t>中国共产党华容县委员会政法委员会</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部门整体支出</w:t>
      </w:r>
      <w:r>
        <w:rPr>
          <w:rFonts w:hint="eastAsia" w:ascii="方正小标宋简体" w:hAnsi="方正小标宋简体" w:eastAsia="方正小标宋简体" w:cs="方正小标宋简体"/>
          <w:spacing w:val="7"/>
          <w:sz w:val="44"/>
          <w:szCs w:val="44"/>
        </w:rPr>
        <w:t>绩效自评报告</w:t>
      </w:r>
    </w:p>
    <w:p>
      <w:pPr>
        <w:pStyle w:val="7"/>
      </w:pPr>
    </w:p>
    <w:p>
      <w:pPr>
        <w:keepNext w:val="0"/>
        <w:keepLines w:val="0"/>
        <w:pageBreakBefore w:val="0"/>
        <w:numPr>
          <w:ilvl w:val="0"/>
          <w:numId w:val="1"/>
        </w:numPr>
        <w:kinsoku/>
        <w:wordWrap/>
        <w:overflowPunct/>
        <w:topLinePunct w:val="0"/>
        <w:autoSpaceDE/>
        <w:autoSpaceDN/>
        <w:bidi w:val="0"/>
        <w:adjustRightInd/>
        <w:snapToGrid/>
        <w:spacing w:line="560" w:lineRule="exact"/>
        <w:ind w:left="0"/>
        <w:textAlignment w:val="auto"/>
        <w:rPr>
          <w:rFonts w:hint="eastAsia" w:ascii="黑体" w:hAnsi="黑体" w:eastAsia="黑体" w:cs="黑体"/>
          <w:spacing w:val="5"/>
          <w:sz w:val="32"/>
          <w:szCs w:val="32"/>
        </w:rPr>
      </w:pPr>
      <w:r>
        <w:rPr>
          <w:rFonts w:hint="eastAsia" w:ascii="黑体" w:hAnsi="黑体" w:eastAsia="黑体" w:cs="黑体"/>
          <w:spacing w:val="5"/>
          <w:sz w:val="32"/>
          <w:szCs w:val="32"/>
        </w:rPr>
        <w:t>部门基本情况</w:t>
      </w:r>
    </w:p>
    <w:p>
      <w:pPr>
        <w:keepNext w:val="0"/>
        <w:keepLines w:val="0"/>
        <w:pageBreakBefore w:val="0"/>
        <w:widowControl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（一）部门（单位）基本情况</w:t>
      </w:r>
    </w:p>
    <w:p>
      <w:pPr>
        <w:keepNext w:val="0"/>
        <w:keepLines w:val="0"/>
        <w:pageBreakBefore w:val="0"/>
        <w:widowControl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县编办核定县委政法委机关行政编制</w:t>
      </w:r>
      <w:r>
        <w:rPr>
          <w:rFonts w:hint="eastAsia" w:ascii="仿宋_GB2312" w:hAnsi="仿宋_GB2312" w:eastAsia="仿宋_GB2312" w:cs="仿宋_GB2312"/>
          <w:bCs/>
          <w:sz w:val="32"/>
          <w:szCs w:val="32"/>
          <w:lang w:val="en-US" w:eastAsia="zh-CN"/>
        </w:rPr>
        <w:t>14</w:t>
      </w:r>
      <w:r>
        <w:rPr>
          <w:rFonts w:hint="eastAsia" w:ascii="仿宋_GB2312" w:hAnsi="仿宋_GB2312" w:eastAsia="仿宋_GB2312" w:cs="仿宋_GB2312"/>
          <w:bCs/>
          <w:sz w:val="32"/>
          <w:szCs w:val="32"/>
        </w:rPr>
        <w:t>名，设书记1名（县委常委兼任），</w:t>
      </w:r>
      <w:r>
        <w:rPr>
          <w:rFonts w:hint="eastAsia" w:ascii="仿宋_GB2312" w:hAnsi="仿宋_GB2312" w:eastAsia="仿宋_GB2312" w:cs="仿宋_GB2312"/>
          <w:bCs/>
          <w:sz w:val="32"/>
          <w:szCs w:val="32"/>
          <w:lang w:val="en-US" w:eastAsia="zh-CN"/>
        </w:rPr>
        <w:t>常务</w:t>
      </w:r>
      <w:r>
        <w:rPr>
          <w:rFonts w:hint="eastAsia" w:ascii="仿宋_GB2312" w:hAnsi="仿宋_GB2312" w:eastAsia="仿宋_GB2312" w:cs="仿宋_GB2312"/>
          <w:bCs/>
          <w:sz w:val="32"/>
          <w:szCs w:val="32"/>
        </w:rPr>
        <w:t>副书记</w:t>
      </w:r>
      <w:r>
        <w:rPr>
          <w:rFonts w:hint="eastAsia" w:ascii="仿宋_GB2312" w:hAnsi="仿宋_GB2312" w:eastAsia="仿宋_GB2312" w:cs="仿宋_GB2312"/>
          <w:bCs/>
          <w:sz w:val="32"/>
          <w:szCs w:val="32"/>
          <w:lang w:val="en-US" w:eastAsia="zh-CN"/>
        </w:rPr>
        <w:t>1名，</w:t>
      </w:r>
      <w:r>
        <w:rPr>
          <w:rFonts w:hint="eastAsia" w:ascii="仿宋_GB2312" w:hAnsi="仿宋_GB2312" w:eastAsia="仿宋_GB2312" w:cs="仿宋_GB2312"/>
          <w:bCs/>
          <w:sz w:val="32"/>
          <w:szCs w:val="32"/>
        </w:rPr>
        <w:t>副书记</w:t>
      </w:r>
      <w:r>
        <w:rPr>
          <w:rFonts w:hint="eastAsia" w:ascii="仿宋_GB2312" w:hAnsi="仿宋_GB2312" w:eastAsia="仿宋_GB2312" w:cs="仿宋_GB2312"/>
          <w:bCs/>
          <w:sz w:val="32"/>
          <w:szCs w:val="32"/>
          <w:lang w:val="en-US" w:eastAsia="zh-CN"/>
        </w:rPr>
        <w:t>3</w:t>
      </w:r>
      <w:r>
        <w:rPr>
          <w:rFonts w:hint="eastAsia" w:ascii="仿宋_GB2312" w:hAnsi="仿宋_GB2312" w:eastAsia="仿宋_GB2312" w:cs="仿宋_GB2312"/>
          <w:bCs/>
          <w:sz w:val="32"/>
          <w:szCs w:val="32"/>
        </w:rPr>
        <w:t>名，政工室主任1名。目前我委现有工作人员</w:t>
      </w:r>
      <w:r>
        <w:rPr>
          <w:rFonts w:hint="eastAsia" w:ascii="仿宋_GB2312" w:hAnsi="仿宋_GB2312" w:eastAsia="仿宋_GB2312" w:cs="仿宋_GB2312"/>
          <w:bCs/>
          <w:sz w:val="32"/>
          <w:szCs w:val="32"/>
          <w:lang w:val="en-US" w:eastAsia="zh-CN"/>
        </w:rPr>
        <w:t>24</w:t>
      </w:r>
      <w:r>
        <w:rPr>
          <w:rFonts w:hint="eastAsia" w:ascii="仿宋_GB2312" w:hAnsi="仿宋_GB2312" w:eastAsia="仿宋_GB2312" w:cs="仿宋_GB2312"/>
          <w:bCs/>
          <w:sz w:val="32"/>
          <w:szCs w:val="32"/>
        </w:rPr>
        <w:t>人，其中行政编</w:t>
      </w:r>
      <w:r>
        <w:rPr>
          <w:rFonts w:hint="eastAsia" w:ascii="仿宋_GB2312" w:hAnsi="仿宋_GB2312" w:eastAsia="仿宋_GB2312" w:cs="仿宋_GB2312"/>
          <w:bCs/>
          <w:sz w:val="32"/>
          <w:szCs w:val="32"/>
          <w:lang w:val="en-US" w:eastAsia="zh-CN"/>
        </w:rPr>
        <w:t>15</w:t>
      </w:r>
      <w:r>
        <w:rPr>
          <w:rFonts w:hint="eastAsia" w:ascii="仿宋_GB2312" w:hAnsi="仿宋_GB2312" w:eastAsia="仿宋_GB2312" w:cs="仿宋_GB2312"/>
          <w:bCs/>
          <w:sz w:val="32"/>
          <w:szCs w:val="32"/>
        </w:rPr>
        <w:t>人，</w:t>
      </w:r>
      <w:r>
        <w:rPr>
          <w:rFonts w:hint="eastAsia" w:ascii="仿宋_GB2312" w:hAnsi="仿宋_GB2312" w:eastAsia="仿宋_GB2312" w:cs="仿宋_GB2312"/>
          <w:bCs/>
          <w:sz w:val="32"/>
          <w:szCs w:val="32"/>
          <w:lang w:val="en-US" w:eastAsia="zh-CN"/>
        </w:rPr>
        <w:t>工勤编1人，</w:t>
      </w:r>
      <w:r>
        <w:rPr>
          <w:rFonts w:hint="eastAsia" w:ascii="仿宋_GB2312" w:hAnsi="仿宋_GB2312" w:eastAsia="仿宋_GB2312" w:cs="仿宋_GB2312"/>
          <w:bCs/>
          <w:sz w:val="32"/>
          <w:szCs w:val="32"/>
        </w:rPr>
        <w:t>社会治理网格化服务中心事业编工作人员</w:t>
      </w:r>
      <w:r>
        <w:rPr>
          <w:rFonts w:hint="eastAsia" w:ascii="仿宋_GB2312" w:hAnsi="仿宋_GB2312" w:eastAsia="仿宋_GB2312" w:cs="仿宋_GB2312"/>
          <w:bCs/>
          <w:sz w:val="32"/>
          <w:szCs w:val="32"/>
          <w:lang w:val="en-US" w:eastAsia="zh-CN"/>
        </w:rPr>
        <w:t>8</w:t>
      </w:r>
      <w:r>
        <w:rPr>
          <w:rFonts w:hint="eastAsia" w:ascii="仿宋_GB2312" w:hAnsi="仿宋_GB2312" w:eastAsia="仿宋_GB2312" w:cs="仿宋_GB2312"/>
          <w:bCs/>
          <w:sz w:val="32"/>
          <w:szCs w:val="32"/>
        </w:rPr>
        <w:t>名。机关内设政工室、办公室、维稳指导室、执法监督室、综治督导室、政治安全室、基层社会治理室。社会治理网格化服务中心</w:t>
      </w:r>
      <w:r>
        <w:rPr>
          <w:rFonts w:hint="eastAsia" w:ascii="仿宋_GB2312" w:hAnsi="仿宋_GB2312" w:eastAsia="仿宋_GB2312" w:cs="仿宋_GB2312"/>
          <w:bCs/>
          <w:sz w:val="32"/>
          <w:szCs w:val="32"/>
          <w:lang w:eastAsia="zh-CN"/>
        </w:rPr>
        <w:t>为</w:t>
      </w:r>
      <w:r>
        <w:rPr>
          <w:rFonts w:hint="eastAsia" w:ascii="仿宋_GB2312" w:hAnsi="仿宋_GB2312" w:eastAsia="仿宋_GB2312" w:cs="仿宋_GB2312"/>
          <w:bCs/>
          <w:sz w:val="32"/>
          <w:szCs w:val="32"/>
        </w:rPr>
        <w:t>下设独立副科级二级机构</w:t>
      </w:r>
      <w:r>
        <w:rPr>
          <w:rFonts w:hint="eastAsia" w:ascii="仿宋_GB2312" w:hAnsi="仿宋_GB2312" w:eastAsia="仿宋_GB2312" w:cs="仿宋_GB2312"/>
          <w:bCs/>
          <w:sz w:val="32"/>
          <w:szCs w:val="32"/>
          <w:lang w:eastAsia="zh-CN"/>
        </w:rPr>
        <w:t>。</w:t>
      </w:r>
    </w:p>
    <w:p>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部门（单位）整体支出规模、使用方向和主要内容、涉及范围等</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（1）深入贯彻习近平新时代中国特色社会主义思想，深入贯彻党的路线方针政策和决策部署，统一政法各部门思想和行动，坚持党对政法工作的绝对领导，坚决维护党中央权威和集中统一领导。</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2）深入贯彻党中央决定和省委、市委、县委决策，对全县政法工作研究提出全局性部署，推进平安华容、法治华容建设，加强过硬队伍建设，深化智能化建设，坚决维护国家政治安全，确保社会大局稳定，促进社会公平正义，保障人民安居乐业。</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（3）了解掌握和分析研判政法工作情况动态，分析社会稳定形势，创新完善多部门参与的维稳工作机制，协调推动预防、化解影响稳定的社会矛盾和风险，协调应对和处置重大突发事件。</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（4）加强对政法工作的督查，统筹协调平安建设、市域社会治理、政法改革、维护国家政治安全、维稳等重点工作实施开展。</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（5）组织开展政法领域的调查研究，研究拟定政法工作的重要措施，及时向县委提出建议。</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（6）掌握分析政法舆情动态，指导协调政法部门媒体网络宣传工作，指导政法部门做好涉及政法工作的重大宣传工作。</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（7）规范政法队伍建设，监督和支持政法各部门依法行使职权，指导和协调政法各部门密切配合，研究和协调重大、疑难案件，推进严格执法、公正司法。</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default" w:ascii="仿宋_GB2312" w:hAnsi="仿宋" w:eastAsia="仿宋_GB2312"/>
          <w:sz w:val="32"/>
          <w:szCs w:val="32"/>
          <w:lang w:val="en-US" w:eastAsia="zh-CN"/>
        </w:rPr>
      </w:pPr>
      <w:r>
        <w:rPr>
          <w:rFonts w:hint="eastAsia" w:ascii="仿宋_GB2312" w:hAnsi="仿宋" w:eastAsia="仿宋_GB2312"/>
          <w:sz w:val="32"/>
          <w:szCs w:val="32"/>
          <w:lang w:val="en-US" w:eastAsia="zh-CN"/>
        </w:rPr>
        <w:t>（8）落实政法改革有关精神，督促政法部门践行改革举措。</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（9）指导推动政法系统党的建设和政法队伍建设。</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lang w:val="en-US" w:eastAsia="zh-CN"/>
        </w:rPr>
      </w:pPr>
      <w:r>
        <w:rPr>
          <w:rFonts w:hint="eastAsia" w:ascii="仿宋_GB2312" w:hAnsi="仿宋" w:eastAsia="仿宋_GB2312"/>
          <w:sz w:val="32"/>
          <w:szCs w:val="32"/>
          <w:lang w:val="en-US" w:eastAsia="zh-CN"/>
        </w:rPr>
        <w:t>（10）负责本单位安全生产和应急管理工作。</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left="0" w:firstLine="640" w:firstLineChars="200"/>
        <w:jc w:val="left"/>
        <w:textAlignment w:val="auto"/>
        <w:rPr>
          <w:rFonts w:hint="eastAsia" w:ascii="仿宋_GB2312" w:hAnsi="仿宋" w:eastAsia="仿宋_GB2312"/>
          <w:sz w:val="32"/>
          <w:szCs w:val="32"/>
        </w:rPr>
      </w:pPr>
      <w:r>
        <w:rPr>
          <w:rFonts w:hint="eastAsia" w:ascii="仿宋_GB2312" w:hAnsi="仿宋" w:eastAsia="仿宋_GB2312"/>
          <w:sz w:val="32"/>
          <w:szCs w:val="32"/>
          <w:lang w:val="en-US" w:eastAsia="zh-CN"/>
        </w:rPr>
        <w:t>（11）完成县委交办的其他事项。　</w:t>
      </w:r>
    </w:p>
    <w:p>
      <w:pPr>
        <w:keepNext w:val="0"/>
        <w:keepLines w:val="0"/>
        <w:pageBreakBefore w:val="0"/>
        <w:widowControl w:val="0"/>
        <w:kinsoku/>
        <w:wordWrap/>
        <w:overflowPunct/>
        <w:topLinePunct w:val="0"/>
        <w:autoSpaceDE/>
        <w:autoSpaceDN/>
        <w:bidi w:val="0"/>
        <w:adjustRightInd/>
        <w:snapToGrid/>
        <w:spacing w:line="560" w:lineRule="exact"/>
        <w:ind w:left="0" w:firstLine="632" w:firstLineChars="200"/>
        <w:textAlignment w:val="auto"/>
        <w:rPr>
          <w:rFonts w:hint="eastAsia" w:ascii="黑体" w:hAnsi="黑体" w:eastAsia="黑体" w:cs="黑体"/>
          <w:sz w:val="32"/>
          <w:szCs w:val="32"/>
        </w:rPr>
      </w:pPr>
      <w:r>
        <w:rPr>
          <w:rFonts w:hint="eastAsia" w:ascii="黑体" w:hAnsi="黑体" w:eastAsia="黑体" w:cs="黑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spacing w:line="560" w:lineRule="exact"/>
        <w:ind w:left="0"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keepNext w:val="0"/>
        <w:keepLines w:val="0"/>
        <w:pageBreakBefore w:val="0"/>
        <w:widowControl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（1）收入情况：全年收入</w:t>
      </w:r>
      <w:r>
        <w:rPr>
          <w:rFonts w:hint="eastAsia" w:ascii="仿宋_GB2312" w:hAnsi="仿宋_GB2312" w:eastAsia="仿宋_GB2312" w:cs="仿宋_GB2312"/>
          <w:bCs/>
          <w:sz w:val="32"/>
          <w:szCs w:val="32"/>
          <w:lang w:val="en-US" w:eastAsia="zh-CN"/>
        </w:rPr>
        <w:t>829.98</w:t>
      </w:r>
      <w:r>
        <w:rPr>
          <w:rFonts w:hint="eastAsia" w:ascii="仿宋_GB2312" w:hAnsi="仿宋_GB2312" w:eastAsia="仿宋_GB2312" w:cs="仿宋_GB2312"/>
          <w:bCs/>
          <w:sz w:val="32"/>
          <w:szCs w:val="32"/>
        </w:rPr>
        <w:t>万元，财政拨款收入</w:t>
      </w:r>
      <w:r>
        <w:rPr>
          <w:rFonts w:hint="eastAsia" w:ascii="仿宋_GB2312" w:hAnsi="仿宋_GB2312" w:eastAsia="仿宋_GB2312" w:cs="仿宋_GB2312"/>
          <w:bCs/>
          <w:sz w:val="32"/>
          <w:szCs w:val="32"/>
          <w:lang w:val="en-US" w:eastAsia="zh-CN"/>
        </w:rPr>
        <w:t>829.98</w:t>
      </w:r>
      <w:r>
        <w:rPr>
          <w:rFonts w:hint="eastAsia" w:ascii="仿宋_GB2312" w:hAnsi="仿宋_GB2312" w:eastAsia="仿宋_GB2312" w:cs="仿宋_GB2312"/>
          <w:bCs/>
          <w:sz w:val="32"/>
          <w:szCs w:val="32"/>
        </w:rPr>
        <w:t>万元。</w:t>
      </w:r>
    </w:p>
    <w:p>
      <w:pPr>
        <w:keepNext w:val="0"/>
        <w:keepLines w:val="0"/>
        <w:pageBreakBefore w:val="0"/>
        <w:widowControl w:val="0"/>
        <w:kinsoku/>
        <w:wordWrap/>
        <w:overflowPunct/>
        <w:topLinePunct w:val="0"/>
        <w:autoSpaceDE/>
        <w:autoSpaceDN/>
        <w:bidi w:val="0"/>
        <w:adjustRightInd/>
        <w:snapToGrid/>
        <w:spacing w:line="560" w:lineRule="exact"/>
        <w:ind w:left="0" w:firstLine="640" w:firstLineChars="200"/>
        <w:textAlignment w:val="auto"/>
        <w:rPr>
          <w:rFonts w:hint="eastAsia"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rPr>
        <w:t>（2）支出情况:支出</w:t>
      </w:r>
      <w:r>
        <w:rPr>
          <w:rFonts w:hint="eastAsia" w:ascii="仿宋_GB2312" w:hAnsi="仿宋_GB2312" w:eastAsia="仿宋_GB2312" w:cs="仿宋_GB2312"/>
          <w:bCs/>
          <w:sz w:val="32"/>
          <w:szCs w:val="32"/>
          <w:lang w:val="en-US" w:eastAsia="zh-CN"/>
        </w:rPr>
        <w:t>829.98</w:t>
      </w:r>
      <w:r>
        <w:rPr>
          <w:rFonts w:hint="eastAsia" w:ascii="仿宋_GB2312" w:hAnsi="仿宋_GB2312" w:eastAsia="仿宋_GB2312" w:cs="仿宋_GB2312"/>
          <w:bCs/>
          <w:sz w:val="32"/>
          <w:szCs w:val="32"/>
        </w:rPr>
        <w:t>万元， 其中：基本支出</w:t>
      </w:r>
      <w:r>
        <w:rPr>
          <w:rFonts w:hint="eastAsia" w:ascii="仿宋_GB2312" w:hAnsi="仿宋_GB2312" w:eastAsia="仿宋_GB2312" w:cs="仿宋_GB2312"/>
          <w:bCs/>
          <w:sz w:val="32"/>
          <w:szCs w:val="32"/>
          <w:lang w:val="en-US" w:eastAsia="zh-CN"/>
        </w:rPr>
        <w:t>829.98万</w:t>
      </w:r>
      <w:r>
        <w:rPr>
          <w:rFonts w:hint="eastAsia" w:ascii="仿宋_GB2312" w:hAnsi="仿宋_GB2312" w:eastAsia="仿宋_GB2312" w:cs="仿宋_GB2312"/>
          <w:bCs/>
          <w:sz w:val="32"/>
          <w:szCs w:val="32"/>
        </w:rPr>
        <w:t>元</w:t>
      </w:r>
      <w:r>
        <w:rPr>
          <w:rFonts w:hint="eastAsia" w:ascii="仿宋_GB2312" w:hAnsi="仿宋_GB2312" w:eastAsia="仿宋_GB2312" w:cs="仿宋_GB2312"/>
          <w:bCs/>
          <w:sz w:val="32"/>
          <w:szCs w:val="32"/>
          <w:lang w:eastAsia="zh-CN"/>
        </w:rPr>
        <w:t>，</w:t>
      </w:r>
      <w:r>
        <w:rPr>
          <w:rFonts w:hint="eastAsia" w:ascii="仿宋_GB2312" w:hAnsi="仿宋_GB2312" w:eastAsia="仿宋_GB2312" w:cs="仿宋_GB2312"/>
          <w:bCs/>
          <w:sz w:val="32"/>
          <w:szCs w:val="32"/>
          <w:lang w:val="en-US" w:eastAsia="zh-CN"/>
        </w:rPr>
        <w:t>其中</w:t>
      </w:r>
      <w:r>
        <w:rPr>
          <w:rFonts w:hint="eastAsia" w:ascii="仿宋_GB2312" w:hAnsi="仿宋_GB2312" w:eastAsia="仿宋_GB2312" w:cs="仿宋_GB2312"/>
          <w:bCs/>
          <w:sz w:val="32"/>
          <w:szCs w:val="32"/>
          <w:lang w:eastAsia="zh-CN"/>
        </w:rPr>
        <w:t>人员</w:t>
      </w:r>
      <w:r>
        <w:rPr>
          <w:rFonts w:hint="eastAsia" w:ascii="仿宋_GB2312" w:hAnsi="仿宋_GB2312" w:eastAsia="仿宋_GB2312" w:cs="仿宋_GB2312"/>
          <w:bCs/>
          <w:sz w:val="32"/>
          <w:szCs w:val="32"/>
        </w:rPr>
        <w:t>支出</w:t>
      </w:r>
      <w:r>
        <w:rPr>
          <w:rFonts w:hint="eastAsia" w:ascii="仿宋_GB2312" w:hAnsi="仿宋_GB2312" w:eastAsia="仿宋_GB2312" w:cs="仿宋_GB2312"/>
          <w:bCs/>
          <w:sz w:val="32"/>
          <w:szCs w:val="32"/>
          <w:lang w:val="en-US" w:eastAsia="zh-CN"/>
        </w:rPr>
        <w:t>450.87</w:t>
      </w:r>
      <w:r>
        <w:rPr>
          <w:rFonts w:hint="eastAsia" w:ascii="仿宋_GB2312" w:hAnsi="仿宋_GB2312" w:eastAsia="仿宋_GB2312" w:cs="仿宋_GB2312"/>
          <w:bCs/>
          <w:sz w:val="32"/>
          <w:szCs w:val="32"/>
        </w:rPr>
        <w:t>万元，</w:t>
      </w:r>
      <w:r>
        <w:rPr>
          <w:rFonts w:hint="eastAsia" w:ascii="仿宋_GB2312" w:hAnsi="仿宋_GB2312" w:eastAsia="仿宋_GB2312" w:cs="仿宋_GB2312"/>
          <w:bCs/>
          <w:sz w:val="32"/>
          <w:szCs w:val="32"/>
          <w:lang w:eastAsia="zh-CN"/>
        </w:rPr>
        <w:t>公用支出</w:t>
      </w:r>
      <w:r>
        <w:rPr>
          <w:rFonts w:hint="eastAsia" w:ascii="仿宋_GB2312" w:hAnsi="仿宋_GB2312" w:eastAsia="仿宋_GB2312" w:cs="仿宋_GB2312"/>
          <w:bCs/>
          <w:sz w:val="32"/>
          <w:szCs w:val="32"/>
          <w:lang w:val="en-US" w:eastAsia="zh-CN"/>
        </w:rPr>
        <w:t>379.11万元</w:t>
      </w:r>
      <w:r>
        <w:rPr>
          <w:rFonts w:hint="eastAsia" w:ascii="仿宋_GB2312" w:hAnsi="仿宋_GB2312" w:eastAsia="仿宋_GB2312" w:cs="仿宋_GB2312"/>
          <w:bCs/>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left="0" w:firstLine="640" w:firstLineChars="200"/>
        <w:textAlignment w:val="auto"/>
        <w:rPr>
          <w:rFonts w:hint="eastAsia"/>
        </w:rPr>
      </w:pPr>
      <w:r>
        <w:rPr>
          <w:rFonts w:hint="eastAsia" w:ascii="仿宋_GB2312" w:hAnsi="仿宋_GB2312" w:eastAsia="仿宋_GB2312" w:cs="仿宋_GB2312"/>
          <w:bCs/>
          <w:sz w:val="32"/>
          <w:szCs w:val="32"/>
        </w:rPr>
        <w:t>（3）三公经费支出情况：20</w:t>
      </w:r>
      <w:r>
        <w:rPr>
          <w:rFonts w:hint="eastAsia" w:ascii="仿宋_GB2312" w:hAnsi="仿宋_GB2312" w:eastAsia="仿宋_GB2312" w:cs="仿宋_GB2312"/>
          <w:bCs/>
          <w:sz w:val="32"/>
          <w:szCs w:val="32"/>
          <w:lang w:val="en-US" w:eastAsia="zh-CN"/>
        </w:rPr>
        <w:t>23</w:t>
      </w:r>
      <w:r>
        <w:rPr>
          <w:rFonts w:hint="eastAsia" w:ascii="仿宋_GB2312" w:hAnsi="仿宋_GB2312" w:eastAsia="仿宋_GB2312" w:cs="仿宋_GB2312"/>
          <w:bCs/>
          <w:sz w:val="32"/>
          <w:szCs w:val="32"/>
        </w:rPr>
        <w:t>年部门预算安排“三公”经费</w:t>
      </w:r>
      <w:r>
        <w:rPr>
          <w:rFonts w:hint="eastAsia" w:ascii="仿宋_GB2312" w:hAnsi="仿宋_GB2312" w:eastAsia="仿宋_GB2312" w:cs="仿宋_GB2312"/>
          <w:bCs/>
          <w:sz w:val="32"/>
          <w:szCs w:val="32"/>
          <w:lang w:val="en-US" w:eastAsia="zh-CN"/>
        </w:rPr>
        <w:t>1.22</w:t>
      </w:r>
      <w:r>
        <w:rPr>
          <w:rFonts w:hint="eastAsia" w:ascii="仿宋_GB2312" w:hAnsi="仿宋_GB2312" w:eastAsia="仿宋_GB2312" w:cs="仿宋_GB2312"/>
          <w:bCs/>
          <w:sz w:val="32"/>
          <w:szCs w:val="32"/>
        </w:rPr>
        <w:t>万元，实际支出</w:t>
      </w:r>
      <w:r>
        <w:rPr>
          <w:rFonts w:hint="eastAsia" w:ascii="仿宋_GB2312" w:hAnsi="仿宋_GB2312" w:eastAsia="仿宋_GB2312" w:cs="仿宋_GB2312"/>
          <w:bCs/>
          <w:sz w:val="32"/>
          <w:szCs w:val="32"/>
          <w:lang w:val="en-US" w:eastAsia="zh-CN"/>
        </w:rPr>
        <w:t>1.22</w:t>
      </w:r>
      <w:r>
        <w:rPr>
          <w:rFonts w:hint="eastAsia" w:ascii="仿宋_GB2312" w:hAnsi="仿宋_GB2312" w:eastAsia="仿宋_GB2312" w:cs="仿宋_GB2312"/>
          <w:bCs/>
          <w:sz w:val="32"/>
          <w:szCs w:val="32"/>
        </w:rPr>
        <w:t>万元，其中公务接待费</w:t>
      </w:r>
      <w:r>
        <w:rPr>
          <w:rFonts w:hint="eastAsia" w:ascii="仿宋_GB2312" w:hAnsi="仿宋_GB2312" w:eastAsia="仿宋_GB2312" w:cs="仿宋_GB2312"/>
          <w:bCs/>
          <w:sz w:val="32"/>
          <w:szCs w:val="32"/>
          <w:lang w:val="en-US" w:eastAsia="zh-CN"/>
        </w:rPr>
        <w:t>1.22</w:t>
      </w:r>
      <w:r>
        <w:rPr>
          <w:rFonts w:hint="eastAsia" w:ascii="仿宋_GB2312" w:hAnsi="仿宋_GB2312" w:eastAsia="仿宋_GB2312" w:cs="仿宋_GB2312"/>
          <w:bCs/>
          <w:sz w:val="32"/>
          <w:szCs w:val="32"/>
        </w:rPr>
        <w:t>万元。</w:t>
      </w:r>
    </w:p>
    <w:p>
      <w:pPr>
        <w:keepNext w:val="0"/>
        <w:keepLines w:val="0"/>
        <w:pageBreakBefore w:val="0"/>
        <w:widowControl w:val="0"/>
        <w:kinsoku/>
        <w:wordWrap/>
        <w:overflowPunct/>
        <w:topLinePunct w:val="0"/>
        <w:autoSpaceDE/>
        <w:autoSpaceDN/>
        <w:bidi w:val="0"/>
        <w:adjustRightInd/>
        <w:snapToGrid/>
        <w:spacing w:line="560" w:lineRule="exact"/>
        <w:ind w:left="0"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（二）项目支出情况</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rPr>
      </w:pPr>
      <w:r>
        <w:rPr>
          <w:rFonts w:hint="eastAsia" w:ascii="仿宋_GB2312" w:eastAsia="仿宋_GB2312"/>
          <w:sz w:val="32"/>
          <w:szCs w:val="32"/>
          <w:lang w:val="en-US" w:eastAsia="zh-CN"/>
        </w:rPr>
        <w:t>无。</w:t>
      </w:r>
    </w:p>
    <w:p>
      <w:pPr>
        <w:keepNext w:val="0"/>
        <w:keepLines w:val="0"/>
        <w:pageBreakBefore w:val="0"/>
        <w:kinsoku/>
        <w:wordWrap/>
        <w:overflowPunct/>
        <w:topLinePunct w:val="0"/>
        <w:autoSpaceDE/>
        <w:autoSpaceDN/>
        <w:bidi w:val="0"/>
        <w:adjustRightInd/>
        <w:snapToGrid/>
        <w:spacing w:line="560" w:lineRule="exact"/>
        <w:ind w:left="0" w:firstLine="672" w:firstLineChars="200"/>
        <w:textAlignment w:val="auto"/>
        <w:rPr>
          <w:rFonts w:hint="eastAsia" w:ascii="黑体" w:hAnsi="黑体" w:eastAsia="黑体" w:cs="黑体"/>
          <w:spacing w:val="8"/>
          <w:sz w:val="32"/>
          <w:szCs w:val="32"/>
        </w:rPr>
      </w:pPr>
      <w:r>
        <w:rPr>
          <w:rFonts w:hint="eastAsia" w:ascii="黑体" w:hAnsi="黑体" w:eastAsia="黑体" w:cs="黑体"/>
          <w:spacing w:val="8"/>
          <w:sz w:val="32"/>
          <w:szCs w:val="32"/>
        </w:rPr>
        <w:t>三、政府性基金预算支出情况</w:t>
      </w:r>
    </w:p>
    <w:p>
      <w:pPr>
        <w:pStyle w:val="2"/>
        <w:keepNext w:val="0"/>
        <w:keepLines w:val="0"/>
        <w:pageBreakBefore w:val="0"/>
        <w:widowControl w:val="0"/>
        <w:kinsoku/>
        <w:wordWrap/>
        <w:overflowPunct/>
        <w:topLinePunct w:val="0"/>
        <w:autoSpaceDE/>
        <w:autoSpaceDN/>
        <w:bidi w:val="0"/>
        <w:adjustRightInd/>
        <w:snapToGrid/>
        <w:spacing w:line="560" w:lineRule="exact"/>
        <w:ind w:left="0"/>
        <w:textAlignment w:val="auto"/>
        <w:rPr>
          <w:rFonts w:hint="eastAsia"/>
        </w:rPr>
      </w:pPr>
      <w:r>
        <w:rPr>
          <w:rFonts w:hint="eastAsia" w:ascii="仿宋_GB2312" w:eastAsia="仿宋_GB2312"/>
          <w:sz w:val="32"/>
          <w:szCs w:val="32"/>
          <w:lang w:val="en-US" w:eastAsia="zh-CN"/>
        </w:rPr>
        <w:t>无。</w:t>
      </w:r>
    </w:p>
    <w:p>
      <w:pPr>
        <w:keepNext w:val="0"/>
        <w:keepLines w:val="0"/>
        <w:pageBreakBefore w:val="0"/>
        <w:numPr>
          <w:ilvl w:val="0"/>
          <w:numId w:val="3"/>
        </w:numPr>
        <w:kinsoku/>
        <w:wordWrap/>
        <w:overflowPunct/>
        <w:topLinePunct w:val="0"/>
        <w:autoSpaceDE/>
        <w:autoSpaceDN/>
        <w:bidi w:val="0"/>
        <w:adjustRightInd/>
        <w:snapToGrid/>
        <w:spacing w:line="560" w:lineRule="exact"/>
        <w:ind w:left="0" w:firstLine="668" w:firstLineChars="200"/>
        <w:textAlignment w:val="auto"/>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rPr>
        <w:t>国有资本经营预算支出情况</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rPr>
      </w:pPr>
      <w:r>
        <w:rPr>
          <w:rFonts w:hint="eastAsia" w:ascii="仿宋_GB2312" w:eastAsia="仿宋_GB2312"/>
          <w:sz w:val="32"/>
          <w:szCs w:val="32"/>
          <w:lang w:val="en-US" w:eastAsia="zh-CN"/>
        </w:rPr>
        <w:t>无。</w:t>
      </w:r>
    </w:p>
    <w:p>
      <w:pPr>
        <w:keepNext w:val="0"/>
        <w:keepLines w:val="0"/>
        <w:pageBreakBefore w:val="0"/>
        <w:kinsoku/>
        <w:wordWrap/>
        <w:overflowPunct/>
        <w:topLinePunct w:val="0"/>
        <w:autoSpaceDE/>
        <w:autoSpaceDN/>
        <w:bidi w:val="0"/>
        <w:adjustRightInd/>
        <w:snapToGrid/>
        <w:spacing w:line="560" w:lineRule="exact"/>
        <w:ind w:left="0"/>
        <w:textAlignment w:val="auto"/>
        <w:rPr>
          <w:rFonts w:hint="eastAsia" w:ascii="黑体" w:hAnsi="黑体" w:eastAsia="黑体" w:cs="黑体"/>
          <w:spacing w:val="8"/>
          <w:sz w:val="32"/>
          <w:szCs w:val="32"/>
        </w:rPr>
      </w:pPr>
      <w:r>
        <w:rPr>
          <w:rFonts w:hint="eastAsia" w:ascii="黑体" w:hAnsi="黑体" w:eastAsia="黑体" w:cs="黑体"/>
          <w:spacing w:val="8"/>
          <w:sz w:val="32"/>
          <w:szCs w:val="32"/>
        </w:rPr>
        <w:t>五、社会保险基金预算支出情况</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ascii="仿宋_GB2312" w:eastAsia="仿宋_GB2312"/>
          <w:sz w:val="32"/>
          <w:szCs w:val="32"/>
          <w:lang w:val="en-US" w:eastAsia="zh-CN"/>
        </w:rPr>
      </w:pPr>
      <w:r>
        <w:rPr>
          <w:rFonts w:hint="eastAsia" w:ascii="仿宋_GB2312" w:eastAsia="仿宋_GB2312"/>
          <w:sz w:val="32"/>
          <w:szCs w:val="32"/>
          <w:lang w:val="en-US" w:eastAsia="zh-CN"/>
        </w:rPr>
        <w:t>无。</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ascii="黑体" w:hAnsi="黑体" w:eastAsia="黑体" w:cs="黑体"/>
          <w:spacing w:val="8"/>
          <w:sz w:val="32"/>
          <w:szCs w:val="32"/>
        </w:rPr>
      </w:pPr>
      <w:r>
        <w:rPr>
          <w:rFonts w:hint="eastAsia" w:ascii="黑体" w:hAnsi="黑体" w:eastAsia="黑体" w:cs="黑体"/>
          <w:spacing w:val="8"/>
          <w:sz w:val="32"/>
          <w:szCs w:val="32"/>
        </w:rPr>
        <w:t>六、部门整体支出绩效情况</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根据年初工作规划和重点性工作，积极履职，强化管理，较好的完成了年度工作目标。通过加强预算收支的管理，不断建立健全内部管理制度，理顺内部管理流程，部门整体支出管理情况得到了提升。部门整体支出绩效情况如下：</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(一)经济性评价</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1、本年预算安排控制较好，“三公”经费预算总额未突破上年。</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2、预算执行方面，支出总额控制在预算总额以内。</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(二)行政效能评价</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为强化部门整体支出，加强国有资产管理，提高资金使用效益，提升财务管理，建立节约型机关，在强化业务管理、财务管理和厉行节约方面开展了大量工作，行政效能显著。</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1、在原有相对健全的财务管理制度基础上，适时地、针对性的进行了相关制度的增补，制度的建立更为完善。</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2、重视制度的学习和宣讲工作，并已逐步形成了崇尚厉行节约反对浪费的机关文化。</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3、建立了经费支出定期汇报和公示机制，经费支出的公开透明性得到提高。根据经费支出情况，定期进行经费支出财务统计和分析，并及时向分管领导和绩效评价领导小组进行汇报，对经费支出的管理状况提出建设性的意见</w:t>
      </w:r>
      <w:r>
        <w:rPr>
          <w:rFonts w:hint="eastAsia" w:ascii="Times New Roman" w:hAnsi="Times New Roman" w:eastAsia="仿宋_GB2312" w:cs="Times New Roman"/>
          <w:color w:val="000000"/>
          <w:sz w:val="32"/>
          <w:szCs w:val="32"/>
          <w:lang w:eastAsia="zh-CN"/>
        </w:rPr>
        <w:t>，</w:t>
      </w:r>
      <w:r>
        <w:rPr>
          <w:rFonts w:hint="default" w:ascii="Times New Roman" w:hAnsi="Times New Roman" w:eastAsia="仿宋_GB2312" w:cs="Times New Roman"/>
          <w:color w:val="000000"/>
          <w:sz w:val="32"/>
          <w:szCs w:val="32"/>
        </w:rPr>
        <w:t>使各项经费管理和监督发挥了较好的作用。</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default" w:ascii="Times New Roman" w:hAnsi="Times New Roman" w:eastAsia="仿宋_GB2312" w:cs="Times New Roman"/>
          <w:color w:val="000000"/>
          <w:sz w:val="32"/>
          <w:szCs w:val="32"/>
        </w:rPr>
      </w:pPr>
      <w:r>
        <w:rPr>
          <w:rFonts w:hint="default" w:ascii="Times New Roman" w:hAnsi="Times New Roman" w:eastAsia="仿宋_GB2312" w:cs="Times New Roman"/>
          <w:color w:val="000000"/>
          <w:sz w:val="32"/>
          <w:szCs w:val="32"/>
        </w:rPr>
        <w:t>4、严格执行了国库集中支付、公务卡结算制度、政府采购等有关规定</w:t>
      </w:r>
      <w:r>
        <w:rPr>
          <w:rFonts w:hint="eastAsia" w:ascii="Times New Roman" w:hAnsi="Times New Roman" w:eastAsia="仿宋_GB2312" w:cs="Times New Roman"/>
          <w:color w:val="000000"/>
          <w:sz w:val="32"/>
          <w:szCs w:val="32"/>
          <w:lang w:eastAsia="zh-CN"/>
        </w:rPr>
        <w:t>，</w:t>
      </w:r>
      <w:r>
        <w:rPr>
          <w:rFonts w:hint="default" w:ascii="Times New Roman" w:hAnsi="Times New Roman" w:eastAsia="仿宋_GB2312" w:cs="Times New Roman"/>
          <w:color w:val="000000"/>
          <w:sz w:val="32"/>
          <w:szCs w:val="32"/>
        </w:rPr>
        <w:t>政府采购目录内的货物与服务全部按要求实施了政府采购</w:t>
      </w:r>
      <w:r>
        <w:rPr>
          <w:rFonts w:hint="eastAsia" w:ascii="Times New Roman" w:hAnsi="Times New Roman" w:eastAsia="仿宋_GB2312" w:cs="Times New Roman"/>
          <w:color w:val="000000"/>
          <w:sz w:val="32"/>
          <w:szCs w:val="32"/>
          <w:lang w:eastAsia="zh-CN"/>
        </w:rPr>
        <w:t>，</w:t>
      </w:r>
      <w:r>
        <w:rPr>
          <w:rFonts w:hint="default" w:ascii="Times New Roman" w:hAnsi="Times New Roman" w:eastAsia="仿宋_GB2312" w:cs="Times New Roman"/>
          <w:color w:val="000000"/>
          <w:sz w:val="32"/>
          <w:szCs w:val="32"/>
        </w:rPr>
        <w:t>确保了支出管理流程、审批手续的完整。</w:t>
      </w:r>
    </w:p>
    <w:p>
      <w:pPr>
        <w:pStyle w:val="14"/>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eastAsia"/>
        </w:rPr>
      </w:pPr>
      <w:r>
        <w:rPr>
          <w:rFonts w:hint="default" w:ascii="Times New Roman" w:hAnsi="Times New Roman" w:eastAsia="仿宋_GB2312" w:cs="Times New Roman"/>
          <w:color w:val="000000"/>
          <w:sz w:val="32"/>
          <w:szCs w:val="32"/>
        </w:rPr>
        <w:t>5、加强了会计核算工作。根据《行政单位会计制度》进行了全面系统的学习，提高了财务核算质量。</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rPr>
      </w:pPr>
    </w:p>
    <w:p>
      <w:pPr>
        <w:keepNext w:val="0"/>
        <w:keepLines w:val="0"/>
        <w:pageBreakBefore w:val="0"/>
        <w:kinsoku/>
        <w:wordWrap/>
        <w:overflowPunct/>
        <w:topLinePunct w:val="0"/>
        <w:autoSpaceDE/>
        <w:autoSpaceDN/>
        <w:bidi w:val="0"/>
        <w:adjustRightInd/>
        <w:snapToGrid/>
        <w:spacing w:line="560" w:lineRule="exact"/>
        <w:ind w:left="0" w:firstLine="676" w:firstLineChars="200"/>
        <w:textAlignment w:val="auto"/>
        <w:rPr>
          <w:rFonts w:hint="eastAsia" w:ascii="黑体" w:hAnsi="黑体" w:eastAsia="黑体" w:cs="黑体"/>
          <w:spacing w:val="9"/>
          <w:position w:val="21"/>
          <w:sz w:val="32"/>
          <w:szCs w:val="32"/>
        </w:rPr>
      </w:pPr>
      <w:r>
        <w:rPr>
          <w:rFonts w:hint="eastAsia" w:ascii="黑体" w:hAnsi="黑体" w:eastAsia="黑体" w:cs="黑体"/>
          <w:spacing w:val="9"/>
          <w:position w:val="21"/>
          <w:sz w:val="32"/>
          <w:szCs w:val="32"/>
        </w:rPr>
        <w:t>七、存在的问题及原因分析</w:t>
      </w:r>
    </w:p>
    <w:p>
      <w:pPr>
        <w:keepNext w:val="0"/>
        <w:keepLines w:val="0"/>
        <w:pageBreakBefore w:val="0"/>
        <w:widowControl/>
        <w:kinsoku/>
        <w:wordWrap/>
        <w:overflowPunct/>
        <w:topLinePunct w:val="0"/>
        <w:autoSpaceDE/>
        <w:autoSpaceDN/>
        <w:bidi w:val="0"/>
        <w:adjustRightInd/>
        <w:snapToGrid/>
        <w:spacing w:line="560" w:lineRule="exact"/>
        <w:ind w:left="0" w:firstLine="640" w:firstLineChars="200"/>
        <w:jc w:val="both"/>
        <w:textAlignment w:val="auto"/>
        <w:rPr>
          <w:rFonts w:hint="eastAsia"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1、预</w:t>
      </w:r>
      <w:r>
        <w:rPr>
          <w:rFonts w:hint="eastAsia" w:eastAsia="仿宋_GB2312" w:cs="Times New Roman"/>
          <w:sz w:val="32"/>
          <w:szCs w:val="32"/>
          <w:lang w:val="en-US" w:eastAsia="zh-CN"/>
        </w:rPr>
        <w:t>算精细化不够，准确性有待提高。</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rPr>
      </w:pPr>
      <w:r>
        <w:rPr>
          <w:rFonts w:hint="eastAsia" w:eastAsia="仿宋_GB2312" w:cs="Times New Roman"/>
          <w:sz w:val="32"/>
          <w:szCs w:val="32"/>
          <w:lang w:val="en-US" w:eastAsia="zh-CN"/>
        </w:rPr>
        <w:t>2、资产管理报废处置欠及时。</w:t>
      </w:r>
    </w:p>
    <w:p>
      <w:pPr>
        <w:keepNext w:val="0"/>
        <w:keepLines w:val="0"/>
        <w:pageBreakBefore w:val="0"/>
        <w:kinsoku/>
        <w:wordWrap/>
        <w:overflowPunct/>
        <w:topLinePunct w:val="0"/>
        <w:autoSpaceDE/>
        <w:autoSpaceDN/>
        <w:bidi w:val="0"/>
        <w:adjustRightInd/>
        <w:snapToGrid/>
        <w:spacing w:line="560" w:lineRule="exact"/>
        <w:ind w:left="0" w:firstLine="672" w:firstLineChars="200"/>
        <w:textAlignment w:val="auto"/>
        <w:rPr>
          <w:rFonts w:hint="eastAsia" w:ascii="黑体" w:hAnsi="黑体" w:eastAsia="黑体" w:cs="黑体"/>
          <w:spacing w:val="8"/>
          <w:sz w:val="32"/>
          <w:szCs w:val="32"/>
        </w:rPr>
      </w:pPr>
      <w:r>
        <w:rPr>
          <w:rFonts w:hint="eastAsia" w:ascii="黑体" w:hAnsi="黑体" w:eastAsia="黑体" w:cs="黑体"/>
          <w:spacing w:val="8"/>
          <w:sz w:val="32"/>
          <w:szCs w:val="32"/>
        </w:rPr>
        <w:t>八、下一步改进措施</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1、强化预算管理。提高会计人员预算编报水平，增强各股室预算参与度，结合单位实际，精细化预算管理。</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rPr>
      </w:pPr>
      <w:r>
        <w:rPr>
          <w:rFonts w:hint="eastAsia" w:ascii="Times New Roman" w:hAnsi="Times New Roman" w:eastAsia="仿宋_GB2312" w:cs="Times New Roman"/>
          <w:sz w:val="32"/>
          <w:szCs w:val="32"/>
          <w:lang w:val="en-US" w:eastAsia="zh-CN"/>
        </w:rPr>
        <w:t>2、强化资产管理。从上而下提高国有资产管理重视度，执行严格的资产报废处置制度，强化相关责任追究。</w:t>
      </w:r>
    </w:p>
    <w:p>
      <w:pPr>
        <w:keepNext w:val="0"/>
        <w:keepLines w:val="0"/>
        <w:pageBreakBefore w:val="0"/>
        <w:widowControl w:val="0"/>
        <w:kinsoku/>
        <w:wordWrap/>
        <w:overflowPunct/>
        <w:topLinePunct w:val="0"/>
        <w:autoSpaceDE/>
        <w:autoSpaceDN/>
        <w:bidi w:val="0"/>
        <w:adjustRightInd/>
        <w:snapToGrid/>
        <w:spacing w:before="315" w:beforeLines="100" w:line="560" w:lineRule="exact"/>
        <w:ind w:left="0" w:firstLine="676" w:firstLineChars="200"/>
        <w:textAlignment w:val="auto"/>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1、根据自评结果，政法委可以更加精准的调整和优化下一年度的预算分配。自评结果可以清晰的反映出我单位各部门在工作中的优点和不足，从而为制定下一年度的工作计划和重点提供有力的依据。</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default"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2、通过公开自评结果，可以让社会各界更加了解我单位的工作情况和成效，提高我单位工作的透明度。同时，也可以促进政法委内部各室之间的互相学习和借鉴，形成良好竞争氛围。</w:t>
      </w:r>
    </w:p>
    <w:p>
      <w:pPr>
        <w:keepNext w:val="0"/>
        <w:keepLines w:val="0"/>
        <w:pageBreakBefore w:val="0"/>
        <w:kinsoku/>
        <w:wordWrap/>
        <w:overflowPunct/>
        <w:topLinePunct w:val="0"/>
        <w:autoSpaceDE/>
        <w:autoSpaceDN/>
        <w:bidi w:val="0"/>
        <w:adjustRightInd/>
        <w:snapToGrid/>
        <w:spacing w:line="560" w:lineRule="exact"/>
        <w:ind w:left="0" w:firstLine="628" w:firstLineChars="200"/>
        <w:textAlignment w:val="auto"/>
        <w:rPr>
          <w:rFonts w:hint="eastAsia" w:ascii="黑体" w:hAnsi="黑体" w:eastAsia="黑体" w:cs="黑体"/>
          <w:spacing w:val="-3"/>
          <w:sz w:val="32"/>
          <w:szCs w:val="32"/>
        </w:rPr>
      </w:pPr>
      <w:r>
        <w:rPr>
          <w:rFonts w:hint="eastAsia" w:ascii="黑体" w:hAnsi="黑体" w:eastAsia="黑体" w:cs="黑体"/>
          <w:spacing w:val="-3"/>
          <w:sz w:val="32"/>
          <w:szCs w:val="32"/>
        </w:rPr>
        <w:t>十、其他需要说明的情况</w:t>
      </w:r>
    </w:p>
    <w:p>
      <w:pPr>
        <w:pStyle w:val="2"/>
        <w:keepNext w:val="0"/>
        <w:keepLines w:val="0"/>
        <w:pageBreakBefore w:val="0"/>
        <w:kinsoku/>
        <w:wordWrap/>
        <w:overflowPunct/>
        <w:topLinePunct w:val="0"/>
        <w:autoSpaceDE/>
        <w:autoSpaceDN/>
        <w:bidi w:val="0"/>
        <w:adjustRightInd/>
        <w:snapToGrid/>
        <w:spacing w:line="560" w:lineRule="exact"/>
        <w:ind w:left="0"/>
        <w:textAlignment w:val="auto"/>
        <w:rPr>
          <w:rFonts w:hint="eastAsia"/>
        </w:rPr>
      </w:pPr>
      <w:r>
        <w:rPr>
          <w:rFonts w:hint="eastAsia" w:ascii="仿宋_GB2312" w:eastAsia="仿宋_GB2312"/>
          <w:sz w:val="32"/>
          <w:szCs w:val="32"/>
          <w:lang w:val="en-US" w:eastAsia="zh-CN"/>
        </w:rPr>
        <w:t>无。</w:t>
      </w:r>
    </w:p>
    <w:p>
      <w:pPr>
        <w:rPr>
          <w:rFonts w:ascii="黑体" w:hAnsi="黑体" w:eastAsia="黑体" w:cs="黑体"/>
          <w:spacing w:val="-3"/>
          <w:sz w:val="31"/>
          <w:szCs w:val="31"/>
        </w:rPr>
      </w:pPr>
      <w:r>
        <w:rPr>
          <w:rFonts w:ascii="黑体" w:hAnsi="黑体" w:eastAsia="黑体" w:cs="黑体"/>
          <w:spacing w:val="-3"/>
          <w:sz w:val="31"/>
          <w:szCs w:val="31"/>
        </w:rPr>
        <w:br w:type="page"/>
      </w:r>
    </w:p>
    <w:p>
      <w:pPr>
        <w:jc w:val="both"/>
        <w:rPr>
          <w:rFonts w:hint="default" w:ascii="Times New Roman" w:hAnsi="Times New Roman" w:eastAsia="方正小标宋_GBK" w:cs="Times New Roman"/>
          <w:sz w:val="52"/>
          <w:szCs w:val="52"/>
        </w:rPr>
        <w:sectPr>
          <w:footerReference r:id="rId4" w:type="default"/>
          <w:pgSz w:w="11905" w:h="16838"/>
          <w:pgMar w:top="1984" w:right="1701" w:bottom="1984" w:left="1701" w:header="850" w:footer="992" w:gutter="0"/>
          <w:pgNumType w:fmt="numberInDash"/>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4</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2023年度部门整体支出绩效自评表</w:t>
      </w:r>
    </w:p>
    <w:p>
      <w:pPr>
        <w:spacing w:line="132" w:lineRule="exact"/>
      </w:pPr>
    </w:p>
    <w:tbl>
      <w:tblPr>
        <w:tblStyle w:val="15"/>
        <w:tblW w:w="8625"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3"/>
        <w:gridCol w:w="978"/>
        <w:gridCol w:w="971"/>
        <w:gridCol w:w="14"/>
        <w:gridCol w:w="1137"/>
        <w:gridCol w:w="914"/>
        <w:gridCol w:w="1006"/>
        <w:gridCol w:w="688"/>
        <w:gridCol w:w="741"/>
        <w:gridCol w:w="136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PrEx>
        <w:trPr>
          <w:trHeight w:val="500" w:hRule="atLeast"/>
          <w:jc w:val="center"/>
        </w:trPr>
        <w:tc>
          <w:tcPr>
            <w:tcW w:w="2762"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5863" w:type="dxa"/>
            <w:gridSpan w:val="7"/>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中国共产党华容县委员会政法委员会</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70" w:hRule="atLeast"/>
          <w:jc w:val="center"/>
        </w:trPr>
        <w:tc>
          <w:tcPr>
            <w:tcW w:w="813"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949"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151"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91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1006"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68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4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65" w:hRule="atLeast"/>
          <w:jc w:val="center"/>
        </w:trPr>
        <w:tc>
          <w:tcPr>
            <w:tcW w:w="8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949"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1151"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408.29</w:t>
            </w:r>
          </w:p>
        </w:tc>
        <w:tc>
          <w:tcPr>
            <w:tcW w:w="91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829.98</w:t>
            </w:r>
          </w:p>
        </w:tc>
        <w:tc>
          <w:tcPr>
            <w:tcW w:w="1006"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829.98</w:t>
            </w:r>
          </w:p>
        </w:tc>
        <w:tc>
          <w:tcPr>
            <w:tcW w:w="68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74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203.28%</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35" w:hRule="atLeast"/>
          <w:jc w:val="center"/>
        </w:trPr>
        <w:tc>
          <w:tcPr>
            <w:tcW w:w="8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按收入性质分：</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0" w:hRule="atLeast"/>
          <w:jc w:val="center"/>
        </w:trPr>
        <w:tc>
          <w:tcPr>
            <w:tcW w:w="8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829.98</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829.98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90" w:hRule="atLeast"/>
          <w:jc w:val="center"/>
        </w:trPr>
        <w:tc>
          <w:tcPr>
            <w:tcW w:w="8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政府性基金拨款：</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65" w:hRule="atLeast"/>
          <w:jc w:val="center"/>
        </w:trPr>
        <w:tc>
          <w:tcPr>
            <w:tcW w:w="8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纳入专户管理的非税收入拨款：</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15" w:hRule="atLeast"/>
          <w:jc w:val="center"/>
        </w:trPr>
        <w:tc>
          <w:tcPr>
            <w:tcW w:w="813"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15" w:hRule="atLeast"/>
          <w:jc w:val="center"/>
        </w:trPr>
        <w:tc>
          <w:tcPr>
            <w:tcW w:w="813"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435" w:hRule="atLeast"/>
          <w:jc w:val="center"/>
        </w:trPr>
        <w:tc>
          <w:tcPr>
            <w:tcW w:w="813"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14"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 xml:space="preserve">    坚决维护国家政治安全，深入推进平安创建、积极化解涉法涉诉信访矛盾，全面打造法制化营商服务环境，为富美华容现代化强县建设和推动政法工作高质量发展贡献政法智慧和力量。</w:t>
            </w:r>
          </w:p>
        </w:tc>
        <w:tc>
          <w:tcPr>
            <w:tcW w:w="3798"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1.维护社会大局稳定；2.促进社会公平公正；3.保障人民安居乐业</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5" w:hRule="atLeast"/>
          <w:jc w:val="center"/>
        </w:trPr>
        <w:tc>
          <w:tcPr>
            <w:tcW w:w="813"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978" w:type="dxa"/>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985"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113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91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1006"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68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4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59"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98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开展宣传活动次数</w:t>
            </w:r>
          </w:p>
        </w:tc>
        <w:tc>
          <w:tcPr>
            <w:tcW w:w="914"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　</w:t>
            </w:r>
            <w:r>
              <w:rPr>
                <w:rFonts w:hint="default" w:ascii="Arial" w:hAnsi="Arial" w:eastAsia="新宋体" w:cs="Arial"/>
                <w:color w:val="000000"/>
                <w:sz w:val="21"/>
                <w:szCs w:val="21"/>
              </w:rPr>
              <w:t>≥</w:t>
            </w:r>
            <w:r>
              <w:rPr>
                <w:rFonts w:hint="eastAsia" w:ascii="新宋体" w:hAnsi="新宋体" w:eastAsia="新宋体" w:cs="新宋体"/>
                <w:color w:val="000000"/>
                <w:sz w:val="21"/>
                <w:szCs w:val="21"/>
                <w:lang w:val="en-US" w:eastAsia="zh-CN"/>
              </w:rPr>
              <w:t>10次</w:t>
            </w:r>
          </w:p>
        </w:tc>
        <w:tc>
          <w:tcPr>
            <w:tcW w:w="1006"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　</w:t>
            </w:r>
            <w:r>
              <w:rPr>
                <w:rFonts w:hint="eastAsia" w:ascii="新宋体" w:hAnsi="新宋体" w:eastAsia="新宋体" w:cs="新宋体"/>
                <w:color w:val="000000"/>
                <w:sz w:val="21"/>
                <w:szCs w:val="21"/>
                <w:lang w:val="en-US" w:eastAsia="zh-CN"/>
              </w:rPr>
              <w:t>12次</w:t>
            </w:r>
          </w:p>
        </w:tc>
        <w:tc>
          <w:tcPr>
            <w:tcW w:w="68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74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72"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1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开展全县平安建设工作考核</w:t>
            </w:r>
          </w:p>
        </w:tc>
        <w:tc>
          <w:tcPr>
            <w:tcW w:w="914"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rPr>
              <w:t>　</w:t>
            </w:r>
            <w:r>
              <w:rPr>
                <w:rFonts w:hint="eastAsia" w:ascii="新宋体" w:hAnsi="新宋体" w:eastAsia="新宋体" w:cs="新宋体"/>
                <w:color w:val="000000"/>
                <w:sz w:val="21"/>
                <w:szCs w:val="21"/>
                <w:lang w:val="en-US" w:eastAsia="zh-CN"/>
              </w:rPr>
              <w:t>1次</w:t>
            </w:r>
          </w:p>
        </w:tc>
        <w:tc>
          <w:tcPr>
            <w:tcW w:w="1006"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rPr>
              <w:t>　</w:t>
            </w:r>
            <w:r>
              <w:rPr>
                <w:rFonts w:hint="eastAsia" w:ascii="新宋体" w:hAnsi="新宋体" w:eastAsia="新宋体" w:cs="新宋体"/>
                <w:color w:val="000000"/>
                <w:sz w:val="21"/>
                <w:szCs w:val="21"/>
                <w:lang w:val="en-US" w:eastAsia="zh-CN"/>
              </w:rPr>
              <w:t>1次</w:t>
            </w:r>
          </w:p>
        </w:tc>
        <w:tc>
          <w:tcPr>
            <w:tcW w:w="68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5</w:t>
            </w:r>
          </w:p>
        </w:tc>
        <w:tc>
          <w:tcPr>
            <w:tcW w:w="74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5</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确保政法工作正常运转</w:t>
            </w:r>
          </w:p>
        </w:tc>
        <w:tc>
          <w:tcPr>
            <w:tcW w:w="914"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　</w:t>
            </w:r>
            <w:r>
              <w:rPr>
                <w:rFonts w:hint="eastAsia" w:ascii="新宋体" w:hAnsi="新宋体" w:eastAsia="新宋体" w:cs="新宋体"/>
                <w:color w:val="000000"/>
                <w:sz w:val="21"/>
                <w:szCs w:val="21"/>
                <w:lang w:val="en-US" w:eastAsia="zh-CN"/>
              </w:rPr>
              <w:t>100%</w:t>
            </w:r>
          </w:p>
        </w:tc>
        <w:tc>
          <w:tcPr>
            <w:tcW w:w="1006"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68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74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09"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vMerge w:val="continue"/>
            <w:tcBorders>
              <w:top w:val="nil"/>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137"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工作达标率</w:t>
            </w:r>
          </w:p>
        </w:tc>
        <w:tc>
          <w:tcPr>
            <w:tcW w:w="914"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rPr>
              <w:t>　</w:t>
            </w:r>
            <w:r>
              <w:rPr>
                <w:rFonts w:hint="eastAsia" w:ascii="新宋体" w:hAnsi="新宋体" w:eastAsia="新宋体" w:cs="新宋体"/>
                <w:color w:val="000000"/>
                <w:sz w:val="21"/>
                <w:szCs w:val="21"/>
                <w:lang w:val="en-US" w:eastAsia="zh-CN"/>
              </w:rPr>
              <w:t>100%</w:t>
            </w:r>
          </w:p>
        </w:tc>
        <w:tc>
          <w:tcPr>
            <w:tcW w:w="1006"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100%</w:t>
            </w:r>
          </w:p>
        </w:tc>
        <w:tc>
          <w:tcPr>
            <w:tcW w:w="688"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5</w:t>
            </w:r>
          </w:p>
        </w:tc>
        <w:tc>
          <w:tcPr>
            <w:tcW w:w="741"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5</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4"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各项工作完成及时率</w:t>
            </w:r>
          </w:p>
        </w:tc>
        <w:tc>
          <w:tcPr>
            <w:tcW w:w="91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　</w:t>
            </w:r>
            <w:r>
              <w:rPr>
                <w:rFonts w:hint="eastAsia" w:ascii="新宋体" w:hAnsi="新宋体" w:eastAsia="新宋体" w:cs="新宋体"/>
                <w:color w:val="000000"/>
                <w:sz w:val="21"/>
                <w:szCs w:val="21"/>
                <w:lang w:val="en-US" w:eastAsia="zh-CN"/>
              </w:rPr>
              <w:t>100%</w:t>
            </w:r>
          </w:p>
        </w:tc>
        <w:tc>
          <w:tcPr>
            <w:tcW w:w="10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68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7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1363" w:type="dxa"/>
            <w:tcBorders>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5" w:hRule="atLeast"/>
          <w:jc w:val="center"/>
        </w:trPr>
        <w:tc>
          <w:tcPr>
            <w:tcW w:w="813"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978"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985"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不适用</w:t>
            </w:r>
          </w:p>
        </w:tc>
        <w:tc>
          <w:tcPr>
            <w:tcW w:w="91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8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基层社会治理能力明显改善，信访矛盾存量逐步减少，社会治安形势持续好转</w:t>
            </w:r>
          </w:p>
        </w:tc>
        <w:tc>
          <w:tcPr>
            <w:tcW w:w="91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10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68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20</w:t>
            </w:r>
          </w:p>
        </w:tc>
        <w:tc>
          <w:tcPr>
            <w:tcW w:w="7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20</w:t>
            </w:r>
          </w:p>
        </w:tc>
        <w:tc>
          <w:tcPr>
            <w:tcW w:w="13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不适用</w:t>
            </w:r>
          </w:p>
        </w:tc>
        <w:tc>
          <w:tcPr>
            <w:tcW w:w="91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8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社会安全稳定形势持续得到巩固，基层社会治理能力明显改善，社会公平正义得到保障，群众获得感、幸福感、安全感显著提升。</w:t>
            </w:r>
          </w:p>
        </w:tc>
        <w:tc>
          <w:tcPr>
            <w:tcW w:w="91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可持续</w:t>
            </w:r>
          </w:p>
        </w:tc>
        <w:tc>
          <w:tcPr>
            <w:tcW w:w="10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可持续</w:t>
            </w:r>
          </w:p>
        </w:tc>
        <w:tc>
          <w:tcPr>
            <w:tcW w:w="68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7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13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754"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985" w:type="dxa"/>
            <w:gridSpan w:val="2"/>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37" w:type="dxa"/>
            <w:tcBorders>
              <w:top w:val="single" w:color="auto" w:sz="4" w:space="0"/>
              <w:lef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公众安全感满意度测评显著提升，群众认同感和满意度明显好转。</w:t>
            </w:r>
          </w:p>
        </w:tc>
        <w:tc>
          <w:tcPr>
            <w:tcW w:w="914" w:type="dxa"/>
            <w:tcBorders>
              <w:top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满意度达95%以上</w:t>
            </w:r>
          </w:p>
        </w:tc>
        <w:tc>
          <w:tcPr>
            <w:tcW w:w="1006" w:type="dxa"/>
            <w:tcBorders>
              <w:top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98%</w:t>
            </w:r>
          </w:p>
        </w:tc>
        <w:tc>
          <w:tcPr>
            <w:tcW w:w="688" w:type="dxa"/>
            <w:tcBorders>
              <w:top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default"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741" w:type="dxa"/>
            <w:tcBorders>
              <w:top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default"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1363"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90"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985" w:type="dxa"/>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1137"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不适用</w:t>
            </w:r>
          </w:p>
        </w:tc>
        <w:tc>
          <w:tcPr>
            <w:tcW w:w="91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06"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8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4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1137" w:type="dxa"/>
            <w:tcBorders>
              <w:lef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严格公务整体支出，加大干部作风建设，落实内部管理制度，推进公用经费使用效果上高质高效</w:t>
            </w:r>
          </w:p>
        </w:tc>
        <w:tc>
          <w:tcPr>
            <w:tcW w:w="914"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内部控制率约99%左右</w:t>
            </w:r>
          </w:p>
        </w:tc>
        <w:tc>
          <w:tcPr>
            <w:tcW w:w="1006"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99%</w:t>
            </w:r>
          </w:p>
        </w:tc>
        <w:tc>
          <w:tcPr>
            <w:tcW w:w="68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20</w:t>
            </w:r>
          </w:p>
        </w:tc>
        <w:tc>
          <w:tcPr>
            <w:tcW w:w="74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20</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3"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78"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5" w:type="dxa"/>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成本指标</w:t>
            </w:r>
          </w:p>
        </w:tc>
        <w:tc>
          <w:tcPr>
            <w:tcW w:w="1137"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不适用</w:t>
            </w:r>
          </w:p>
        </w:tc>
        <w:tc>
          <w:tcPr>
            <w:tcW w:w="91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06"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8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4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5833" w:type="dxa"/>
            <w:gridSpan w:val="7"/>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68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74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136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pPr>
        <w:rPr>
          <w:rFonts w:hint="eastAsia"/>
        </w:rPr>
      </w:pPr>
    </w:p>
    <w:p>
      <w:r>
        <w:rPr>
          <w:rFonts w:hint="eastAsia"/>
        </w:rPr>
        <w:t>填表人：</w:t>
      </w:r>
      <w:r>
        <w:rPr>
          <w:rFonts w:hint="eastAsia"/>
          <w:lang w:val="en-US" w:eastAsia="zh-CN"/>
        </w:rPr>
        <w:t>张超媛</w:t>
      </w:r>
      <w:r>
        <w:rPr>
          <w:rFonts w:hint="eastAsia"/>
        </w:rPr>
        <w:t xml:space="preserve">  填报日期：</w:t>
      </w:r>
      <w:r>
        <w:rPr>
          <w:rFonts w:hint="eastAsia"/>
          <w:lang w:val="en-US" w:eastAsia="zh-CN"/>
        </w:rPr>
        <w:t>2024年5月27日</w:t>
      </w:r>
      <w:r>
        <w:rPr>
          <w:rFonts w:hint="eastAsia"/>
        </w:rPr>
        <w:t xml:space="preserve">  联系电话：</w:t>
      </w:r>
      <w:r>
        <w:rPr>
          <w:rFonts w:hint="eastAsia"/>
          <w:lang w:val="en-US" w:eastAsia="zh-CN"/>
        </w:rPr>
        <w:t>15197069087</w:t>
      </w:r>
      <w:r>
        <w:rPr>
          <w:rFonts w:hint="eastAsia"/>
        </w:rPr>
        <w:t xml:space="preserve">  单位负责人签字：</w:t>
      </w:r>
    </w:p>
    <w:p>
      <w:pPr>
        <w:rPr>
          <w:rFonts w:hint="eastAsia" w:ascii="黑体" w:hAnsi="黑体" w:eastAsia="黑体" w:cs="黑体"/>
          <w:sz w:val="21"/>
          <w:szCs w:val="21"/>
          <w:lang w:val="en-US" w:eastAsia="zh-CN"/>
        </w:rPr>
      </w:pPr>
      <w:bookmarkStart w:id="0" w:name="_GoBack"/>
      <w:bookmarkEnd w:id="0"/>
    </w:p>
    <w:sectPr>
      <w:footerReference r:id="rId5"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2F60B3A-F641-4CAB-B12A-59DD647ECC83}"/>
  </w:font>
  <w:font w:name="Arial">
    <w:panose1 w:val="020B0604020202020204"/>
    <w:charset w:val="01"/>
    <w:family w:val="swiss"/>
    <w:pitch w:val="default"/>
    <w:sig w:usb0="E0002AFF" w:usb1="C0007843" w:usb2="00000009" w:usb3="00000000" w:csb0="400001FF" w:csb1="FFFF0000"/>
    <w:embedRegular r:id="rId2" w:fontKey="{5B3EB5CD-6B72-4CC1-A81A-75D978094DE0}"/>
  </w:font>
  <w:font w:name="黑体">
    <w:panose1 w:val="02010609060101010101"/>
    <w:charset w:val="86"/>
    <w:family w:val="auto"/>
    <w:pitch w:val="default"/>
    <w:sig w:usb0="800002BF" w:usb1="38CF7CFA" w:usb2="00000016" w:usb3="00000000" w:csb0="00040001" w:csb1="00000000"/>
    <w:embedRegular r:id="rId3" w:fontKey="{8F6EFC69-3AF0-4BAF-8838-EF6A42256098}"/>
  </w:font>
  <w:font w:name="Courier New">
    <w:panose1 w:val="02070309020205020404"/>
    <w:charset w:val="01"/>
    <w:family w:val="modern"/>
    <w:pitch w:val="default"/>
    <w:sig w:usb0="E0002AFF" w:usb1="C0007843" w:usb2="00000009" w:usb3="00000000" w:csb0="400001FF" w:csb1="FFFF0000"/>
    <w:embedRegular r:id="rId4" w:fontKey="{E1F15E73-D0BA-465A-9E26-C0A4DC1D2EA7}"/>
  </w:font>
  <w:font w:name="Symbol">
    <w:panose1 w:val="05050102010706020507"/>
    <w:charset w:val="02"/>
    <w:family w:val="roman"/>
    <w:pitch w:val="default"/>
    <w:sig w:usb0="00000000" w:usb1="00000000" w:usb2="00000000" w:usb3="00000000" w:csb0="80000000" w:csb1="00000000"/>
    <w:embedRegular r:id="rId5" w:fontKey="{C6D32146-32AC-423D-A01D-DACF2B55CF75}"/>
  </w:font>
  <w:font w:name="Calibri">
    <w:panose1 w:val="020F0502020204030204"/>
    <w:charset w:val="00"/>
    <w:family w:val="swiss"/>
    <w:pitch w:val="default"/>
    <w:sig w:usb0="E00002FF" w:usb1="4000ACFF" w:usb2="00000001" w:usb3="00000000" w:csb0="2000019F" w:csb1="00000000"/>
    <w:embedRegular r:id="rId6" w:fontKey="{C632301C-EC66-45C2-A6B4-DED2B7F877FE}"/>
  </w:font>
  <w:font w:name="仿宋">
    <w:panose1 w:val="02010609060101010101"/>
    <w:charset w:val="86"/>
    <w:family w:val="auto"/>
    <w:pitch w:val="default"/>
    <w:sig w:usb0="800002BF" w:usb1="38CF7CFA" w:usb2="00000016" w:usb3="00000000" w:csb0="00040001" w:csb1="00000000"/>
    <w:embedRegular r:id="rId7" w:fontKey="{B09C609E-6772-420B-A26E-9A68D35BED13}"/>
  </w:font>
  <w:font w:name="仿宋_GB2312">
    <w:panose1 w:val="02010609030101010101"/>
    <w:charset w:val="86"/>
    <w:family w:val="auto"/>
    <w:pitch w:val="default"/>
    <w:sig w:usb0="00000000" w:usb1="00000000" w:usb2="00000000" w:usb3="00000000" w:csb0="00000000" w:csb1="00000000"/>
    <w:embedRegular r:id="rId8" w:fontKey="{DE786274-24D1-470B-88FA-E113BB4742FF}"/>
  </w:font>
  <w:font w:name="方正小标宋简体">
    <w:panose1 w:val="03000509000000000000"/>
    <w:charset w:val="86"/>
    <w:family w:val="auto"/>
    <w:pitch w:val="default"/>
    <w:sig w:usb0="00000000" w:usb1="00000000" w:usb2="00000000" w:usb3="00000000" w:csb0="00000000" w:csb1="00000000"/>
    <w:embedRegular r:id="rId9" w:fontKey="{506ECE5C-1337-420C-8995-D1F1BE165037}"/>
  </w:font>
  <w:font w:name="新宋体">
    <w:panose1 w:val="02010609030101010101"/>
    <w:charset w:val="86"/>
    <w:family w:val="auto"/>
    <w:pitch w:val="default"/>
    <w:sig w:usb0="00000003" w:usb1="288F0000" w:usb2="00000006" w:usb3="00000000" w:csb0="00040001" w:csb1="00000000"/>
    <w:embedRegular r:id="rId10" w:fontKey="{DBFF14AB-3400-47BE-853C-BC2DC1FC5DA2}"/>
  </w:font>
  <w:font w:name="华文仿宋">
    <w:panose1 w:val="02010600040101010101"/>
    <w:charset w:val="86"/>
    <w:family w:val="auto"/>
    <w:pitch w:val="default"/>
    <w:sig w:usb0="00000000" w:usb1="00000000" w:usb2="00000000" w:usb3="00000000" w:csb0="00000000" w:csb1="00000000"/>
    <w:embedRegular r:id="rId11" w:fontKey="{CBC905D9-624A-40E0-A732-3CDD415A96EF}"/>
  </w:font>
  <w:font w:name="楷体_GB2312">
    <w:panose1 w:val="02010609030101010101"/>
    <w:charset w:val="86"/>
    <w:family w:val="auto"/>
    <w:pitch w:val="default"/>
    <w:sig w:usb0="00000000" w:usb1="00000000" w:usb2="00000000" w:usb3="00000000" w:csb0="00000000" w:csb1="00000000"/>
    <w:embedRegular r:id="rId12" w:fontKey="{A2D4FAE6-5897-4001-961F-6EAB37296FFF}"/>
  </w:font>
  <w:font w:name="方正小标宋_GBK">
    <w:panose1 w:val="03000509000000000000"/>
    <w:charset w:val="86"/>
    <w:family w:val="script"/>
    <w:pitch w:val="default"/>
    <w:sig w:usb0="00000000" w:usb1="00000000" w:usb2="00000000" w:usb3="00000000" w:csb0="00000000" w:csb1="00000000"/>
    <w:embedRegular r:id="rId13" w:fontKey="{4B8DB788-C9C3-4744-8CAF-15632B415224}"/>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3F45UV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3F45UVAgAAFQQAAA4AAAAAAAAA&#10;AQAgAAAAHwEAAGRycy9lMm9Eb2MueG1sUEsFBgAAAAAGAAYAWQEAAKYFA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5"/>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EA5A88"/>
    <w:multiLevelType w:val="singleLevel"/>
    <w:tmpl w:val="A0EA5A88"/>
    <w:lvl w:ilvl="0" w:tentative="0">
      <w:start w:val="1"/>
      <w:numFmt w:val="chineseCounting"/>
      <w:suff w:val="nothing"/>
      <w:lvlText w:val="%1、"/>
      <w:lvlJc w:val="left"/>
      <w:rPr>
        <w:rFonts w:hint="eastAsia"/>
      </w:rPr>
    </w:lvl>
  </w:abstractNum>
  <w:abstractNum w:abstractNumId="1">
    <w:nsid w:val="18156E29"/>
    <w:multiLevelType w:val="singleLevel"/>
    <w:tmpl w:val="18156E29"/>
    <w:lvl w:ilvl="0" w:tentative="0">
      <w:start w:val="4"/>
      <w:numFmt w:val="chineseCounting"/>
      <w:suff w:val="nothing"/>
      <w:lvlText w:val="%1、"/>
      <w:lvlJc w:val="left"/>
      <w:rPr>
        <w:rFonts w:hint="eastAsia"/>
      </w:rPr>
    </w:lvl>
  </w:abstractNum>
  <w:abstractNum w:abstractNumId="2">
    <w:nsid w:val="249E06C6"/>
    <w:multiLevelType w:val="singleLevel"/>
    <w:tmpl w:val="249E06C6"/>
    <w:lvl w:ilvl="0" w:tentative="0">
      <w:start w:val="2"/>
      <w:numFmt w:val="chineseCounting"/>
      <w:suff w:val="nothing"/>
      <w:lvlText w:val="（%1）"/>
      <w:lvlJc w:val="left"/>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c1OTViMTgzZmM3NWUxZjYyOGVlNGU1ZjEwOTM2MjMifQ=="/>
    <w:docVar w:name="KSO_WPS_MARK_KEY" w:val="a1a158b5-e464-4d00-87c8-b67a196ccc81"/>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B0192B"/>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1C842DB"/>
    <w:rsid w:val="42521D88"/>
    <w:rsid w:val="425D4066"/>
    <w:rsid w:val="430118BA"/>
    <w:rsid w:val="43173FD4"/>
    <w:rsid w:val="43B27D8E"/>
    <w:rsid w:val="44143822"/>
    <w:rsid w:val="44654A12"/>
    <w:rsid w:val="44E421C9"/>
    <w:rsid w:val="45320384"/>
    <w:rsid w:val="457C5F26"/>
    <w:rsid w:val="45A02529"/>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69568A"/>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444BC6"/>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10">
    <w:name w:val="Default Paragraph Font"/>
    <w:semiHidden/>
    <w:qFormat/>
    <w:uiPriority w:val="99"/>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Normal Indent"/>
    <w:basedOn w:val="1"/>
    <w:qFormat/>
    <w:uiPriority w:val="0"/>
    <w:pPr>
      <w:ind w:firstLine="420" w:firstLineChars="200"/>
    </w:p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footer"/>
    <w:basedOn w:val="1"/>
    <w:link w:val="12"/>
    <w:qFormat/>
    <w:uiPriority w:val="99"/>
    <w:pPr>
      <w:tabs>
        <w:tab w:val="center" w:pos="4153"/>
        <w:tab w:val="right" w:pos="8306"/>
      </w:tabs>
      <w:snapToGrid w:val="0"/>
      <w:jc w:val="left"/>
    </w:pPr>
    <w:rPr>
      <w:sz w:val="18"/>
      <w:szCs w:val="18"/>
    </w:rPr>
  </w:style>
  <w:style w:type="paragraph" w:styleId="6">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next w:val="1"/>
    <w:qFormat/>
    <w:uiPriority w:val="0"/>
    <w:pPr>
      <w:snapToGrid w:val="0"/>
      <w:jc w:val="left"/>
    </w:pPr>
    <w:rPr>
      <w:sz w:val="18"/>
      <w:szCs w:val="18"/>
    </w:rPr>
  </w:style>
  <w:style w:type="table" w:styleId="9">
    <w:name w:val="Table Grid"/>
    <w:basedOn w:val="8"/>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1">
    <w:name w:val="page number"/>
    <w:basedOn w:val="10"/>
    <w:qFormat/>
    <w:uiPriority w:val="99"/>
    <w:rPr>
      <w:rFonts w:cs="Times New Roman"/>
    </w:rPr>
  </w:style>
  <w:style w:type="character" w:customStyle="1" w:styleId="12">
    <w:name w:val="Footer Char"/>
    <w:basedOn w:val="10"/>
    <w:link w:val="5"/>
    <w:semiHidden/>
    <w:qFormat/>
    <w:uiPriority w:val="99"/>
    <w:rPr>
      <w:sz w:val="18"/>
      <w:szCs w:val="18"/>
    </w:rPr>
  </w:style>
  <w:style w:type="character" w:customStyle="1" w:styleId="13">
    <w:name w:val="Header Char"/>
    <w:basedOn w:val="10"/>
    <w:link w:val="6"/>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Layout w:type="fixed"/>
      <w:tblCellMar>
        <w:top w:w="0" w:type="dxa"/>
        <w:left w:w="0" w:type="dxa"/>
        <w:bottom w:w="0" w:type="dxa"/>
        <w:right w:w="0" w:type="dxa"/>
      </w:tblCellMar>
    </w:tblPr>
  </w:style>
  <w:style w:type="paragraph" w:customStyle="1" w:styleId="16">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2047</Words>
  <Characters>2120</Characters>
  <Lines>0</Lines>
  <Paragraphs>0</Paragraphs>
  <TotalTime>10</TotalTime>
  <ScaleCrop>false</ScaleCrop>
  <LinksUpToDate>false</LinksUpToDate>
  <CharactersWithSpaces>2293</CharactersWithSpaces>
  <Application>WPS Office_11.1.0.8894_F1E327BC-269C-435d-A152-05C5408002CA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2024-05-20T07:59:00Z</cp:lastPrinted>
  <dcterms:modified xsi:type="dcterms:W3CDTF">2024-05-28T07:38:04Z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2052-11.1.0.8894</vt:lpwstr>
  </property>
  <property fmtid="{D5CDD505-2E9C-101B-9397-08002B2CF9AE}" pid="3" name="KSOSaveFontToCloudKey">
    <vt:lpwstr>386772509_embed</vt:lpwstr>
  </property>
  <property fmtid="{D5CDD505-2E9C-101B-9397-08002B2CF9AE}" pid="4" name="ICV">
    <vt:lpwstr>2A370CEFA3904D1B8B142CFEB47F2235</vt:lpwstr>
  </property>
</Properties>
</file>