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520" w:lineRule="exact"/>
        <w:textAlignment w:val="auto"/>
        <w:rPr>
          <w:rFonts w:hint="eastAsia" w:ascii="黑体" w:hAnsi="黑体" w:eastAsia="黑体" w:cs="黑体"/>
          <w:spacing w:val="-4"/>
          <w:sz w:val="31"/>
          <w:szCs w:val="31"/>
          <w:lang w:val="en-US" w:eastAsia="zh-CN"/>
        </w:rPr>
      </w:pPr>
      <w:r>
        <w:rPr>
          <w:rFonts w:hint="eastAsia" w:ascii="仿宋_GB2312" w:hAnsi="仿宋_GB2312" w:eastAsia="仿宋_GB2312" w:cs="仿宋_GB2312"/>
          <w:spacing w:val="-4"/>
          <w:sz w:val="32"/>
          <w:szCs w:val="32"/>
        </w:rPr>
        <w:t>附件</w:t>
      </w:r>
      <w:r>
        <w:rPr>
          <w:rFonts w:hint="eastAsia" w:ascii="仿宋_GB2312" w:hAnsi="仿宋_GB2312" w:eastAsia="仿宋_GB2312" w:cs="仿宋_GB2312"/>
          <w:spacing w:val="-4"/>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520" w:lineRule="exact"/>
        <w:ind w:left="0"/>
        <w:textAlignment w:val="auto"/>
        <w:rPr>
          <w:rFonts w:hint="eastAsia" w:ascii="黑体" w:hAnsi="黑体" w:eastAsia="黑体" w:cs="黑体"/>
          <w:spacing w:val="-4"/>
          <w:sz w:val="31"/>
          <w:szCs w:val="31"/>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pacing w:val="0"/>
          <w:sz w:val="44"/>
          <w:szCs w:val="44"/>
        </w:rPr>
      </w:pPr>
      <w:r>
        <w:rPr>
          <w:rFonts w:hint="eastAsia" w:ascii="方正小标宋简体" w:hAnsi="方正小标宋简体" w:eastAsia="方正小标宋简体" w:cs="方正小标宋简体"/>
          <w:spacing w:val="0"/>
          <w:sz w:val="44"/>
          <w:szCs w:val="44"/>
        </w:rPr>
        <w:t>2023年度部门整体支出绩效评价基础数据表</w:t>
      </w:r>
    </w:p>
    <w:p>
      <w:pPr>
        <w:keepNext w:val="0"/>
        <w:keepLines w:val="0"/>
        <w:pageBreakBefore w:val="0"/>
        <w:widowControl w:val="0"/>
        <w:kinsoku/>
        <w:wordWrap/>
        <w:overflowPunct/>
        <w:topLinePunct w:val="0"/>
        <w:autoSpaceDE/>
        <w:autoSpaceDN/>
        <w:bidi w:val="0"/>
        <w:adjustRightInd/>
        <w:snapToGrid/>
        <w:spacing w:line="520" w:lineRule="exact"/>
        <w:textAlignment w:val="auto"/>
      </w:pPr>
    </w:p>
    <w:tbl>
      <w:tblPr>
        <w:tblStyle w:val="7"/>
        <w:tblW w:w="927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419"/>
        <w:gridCol w:w="964"/>
        <w:gridCol w:w="965"/>
        <w:gridCol w:w="1"/>
        <w:gridCol w:w="985"/>
        <w:gridCol w:w="986"/>
        <w:gridCol w:w="978"/>
        <w:gridCol w:w="97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9" w:hRule="atLeast"/>
          <w:jc w:val="center"/>
        </w:trPr>
        <w:tc>
          <w:tcPr>
            <w:tcW w:w="3419"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财政供养人员情况（人）</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编制数</w:t>
            </w: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2023年实际</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在职人数</w:t>
            </w: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控制率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3419"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sz w:val="21"/>
                <w:szCs w:val="21"/>
              </w:rPr>
            </w:pP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53</w:t>
            </w: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53</w:t>
            </w: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经费控制情况（万元）</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2022年决算数</w:t>
            </w: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2023年预算数</w:t>
            </w: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2023年决算数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三公经费</w:t>
            </w:r>
            <w:r>
              <w:rPr>
                <w:rFonts w:hint="eastAsia" w:asciiTheme="minorEastAsia" w:hAnsiTheme="minorEastAsia" w:eastAsiaTheme="minorEastAsia" w:cstheme="minorEastAsia"/>
                <w:sz w:val="21"/>
                <w:szCs w:val="21"/>
                <w:lang w:eastAsia="zh-CN"/>
              </w:rPr>
              <w:t>：</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520" w:lineRule="exact"/>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1、公务用车购置和维护经费</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520" w:lineRule="exact"/>
              <w:ind w:firstLine="420" w:firstLineChars="200"/>
              <w:jc w:val="center"/>
              <w:textAlignment w:val="auto"/>
              <w:rPr>
                <w:rFonts w:hint="eastAsia" w:asciiTheme="minorEastAsia" w:hAnsiTheme="minorEastAsia" w:eastAsiaTheme="minorEastAsia" w:cstheme="minorEastAsia"/>
                <w:sz w:val="21"/>
                <w:szCs w:val="21"/>
              </w:rPr>
            </w:pP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ind w:firstLine="420" w:firstLineChars="200"/>
              <w:jc w:val="center"/>
              <w:textAlignment w:val="auto"/>
              <w:rPr>
                <w:rFonts w:hint="eastAsia" w:asciiTheme="minorEastAsia" w:hAnsiTheme="minorEastAsia" w:eastAsiaTheme="minorEastAsia" w:cstheme="minorEastAsia"/>
                <w:sz w:val="21"/>
                <w:szCs w:val="21"/>
              </w:rPr>
            </w:pP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ind w:firstLine="420" w:firstLineChars="200"/>
              <w:jc w:val="center"/>
              <w:textAlignment w:val="auto"/>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520" w:lineRule="exact"/>
              <w:ind w:firstLine="840" w:firstLineChars="4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其中：公车购置</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520" w:lineRule="exact"/>
              <w:ind w:firstLine="840" w:firstLineChars="400"/>
              <w:jc w:val="center"/>
              <w:textAlignment w:val="auto"/>
              <w:rPr>
                <w:rFonts w:hint="eastAsia" w:asciiTheme="minorEastAsia" w:hAnsiTheme="minorEastAsia" w:eastAsiaTheme="minorEastAsia" w:cstheme="minorEastAsia"/>
                <w:sz w:val="21"/>
                <w:szCs w:val="21"/>
              </w:rPr>
            </w:pP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ind w:firstLine="840" w:firstLineChars="400"/>
              <w:jc w:val="center"/>
              <w:textAlignment w:val="auto"/>
              <w:rPr>
                <w:rFonts w:hint="eastAsia" w:asciiTheme="minorEastAsia" w:hAnsiTheme="minorEastAsia" w:eastAsiaTheme="minorEastAsia" w:cstheme="minorEastAsia"/>
                <w:sz w:val="21"/>
                <w:szCs w:val="21"/>
              </w:rPr>
            </w:pP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ind w:firstLine="840" w:firstLineChars="400"/>
              <w:jc w:val="center"/>
              <w:textAlignment w:val="auto"/>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firstLine="1459" w:firstLineChars="695"/>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公车运行维护</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520" w:lineRule="exact"/>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2、出国经费</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520" w:lineRule="exact"/>
              <w:ind w:firstLine="420" w:firstLineChars="200"/>
              <w:jc w:val="center"/>
              <w:textAlignment w:val="auto"/>
              <w:rPr>
                <w:rFonts w:hint="eastAsia" w:asciiTheme="minorEastAsia" w:hAnsiTheme="minorEastAsia" w:eastAsiaTheme="minorEastAsia" w:cstheme="minorEastAsia"/>
                <w:sz w:val="21"/>
                <w:szCs w:val="21"/>
              </w:rPr>
            </w:pP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ind w:firstLine="420" w:firstLineChars="200"/>
              <w:jc w:val="center"/>
              <w:textAlignment w:val="auto"/>
              <w:rPr>
                <w:rFonts w:hint="eastAsia" w:asciiTheme="minorEastAsia" w:hAnsiTheme="minorEastAsia" w:eastAsiaTheme="minorEastAsia" w:cstheme="minorEastAsia"/>
                <w:sz w:val="21"/>
                <w:szCs w:val="21"/>
              </w:rPr>
            </w:pP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ind w:firstLine="420" w:firstLineChars="200"/>
              <w:jc w:val="center"/>
              <w:textAlignment w:val="auto"/>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520" w:lineRule="exact"/>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3、公务接待</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520" w:lineRule="exact"/>
              <w:ind w:firstLine="420" w:firstLineChars="200"/>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4.51</w:t>
            </w: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ind w:firstLine="420" w:firstLineChars="200"/>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4.5</w:t>
            </w: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ind w:firstLine="420" w:firstLineChars="200"/>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4.28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项目支出：</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520" w:lineRule="exact"/>
              <w:ind w:firstLine="420" w:firstLineChars="200"/>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eastAsia="zh-CN"/>
              </w:rPr>
              <w:t>机构运转</w:t>
            </w:r>
            <w:r>
              <w:rPr>
                <w:rFonts w:hint="eastAsia" w:asciiTheme="minorEastAsia" w:hAnsiTheme="minorEastAsia" w:eastAsiaTheme="minorEastAsia" w:cstheme="minorEastAsia"/>
                <w:sz w:val="21"/>
                <w:szCs w:val="21"/>
                <w:lang w:val="en-US" w:eastAsia="zh-CN"/>
              </w:rPr>
              <w:t>项目</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520" w:lineRule="exact"/>
              <w:ind w:firstLine="420" w:firstLineChars="200"/>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313.29</w:t>
            </w: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ind w:firstLine="420" w:firstLineChars="200"/>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735.83</w:t>
            </w: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ind w:firstLine="420" w:firstLineChars="200"/>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735.83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sz w:val="21"/>
                <w:szCs w:val="21"/>
              </w:rPr>
            </w:pP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520" w:lineRule="exact"/>
              <w:ind w:firstLine="420" w:firstLineChars="200"/>
              <w:jc w:val="center"/>
              <w:textAlignment w:val="auto"/>
              <w:rPr>
                <w:rFonts w:hint="eastAsia" w:asciiTheme="minorEastAsia" w:hAnsiTheme="minorEastAsia" w:eastAsiaTheme="minorEastAsia" w:cstheme="minorEastAsia"/>
                <w:sz w:val="21"/>
                <w:szCs w:val="21"/>
              </w:rPr>
            </w:pP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ind w:firstLine="420" w:firstLineChars="200"/>
              <w:jc w:val="center"/>
              <w:textAlignment w:val="auto"/>
              <w:rPr>
                <w:rFonts w:hint="eastAsia" w:asciiTheme="minorEastAsia" w:hAnsiTheme="minorEastAsia" w:eastAsiaTheme="minorEastAsia" w:cstheme="minorEastAsia"/>
                <w:sz w:val="21"/>
                <w:szCs w:val="21"/>
              </w:rPr>
            </w:pP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ind w:firstLine="420" w:firstLineChars="200"/>
              <w:jc w:val="center"/>
              <w:textAlignment w:val="auto"/>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sz w:val="21"/>
                <w:szCs w:val="21"/>
              </w:rPr>
            </w:pP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520" w:lineRule="exact"/>
              <w:ind w:firstLine="420" w:firstLineChars="200"/>
              <w:jc w:val="center"/>
              <w:textAlignment w:val="auto"/>
              <w:rPr>
                <w:rFonts w:hint="eastAsia" w:asciiTheme="minorEastAsia" w:hAnsiTheme="minorEastAsia" w:eastAsiaTheme="minorEastAsia" w:cstheme="minorEastAsia"/>
                <w:sz w:val="21"/>
                <w:szCs w:val="21"/>
              </w:rPr>
            </w:pP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ind w:firstLine="420" w:firstLineChars="200"/>
              <w:jc w:val="center"/>
              <w:textAlignment w:val="auto"/>
              <w:rPr>
                <w:rFonts w:hint="eastAsia" w:asciiTheme="minorEastAsia" w:hAnsiTheme="minorEastAsia" w:eastAsiaTheme="minorEastAsia" w:cstheme="minorEastAsia"/>
                <w:sz w:val="21"/>
                <w:szCs w:val="21"/>
              </w:rPr>
            </w:pP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ind w:firstLine="420" w:firstLineChars="200"/>
              <w:jc w:val="center"/>
              <w:textAlignment w:val="auto"/>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firstLine="858" w:firstLineChars="409"/>
              <w:jc w:val="left"/>
              <w:textAlignment w:val="auto"/>
              <w:rPr>
                <w:rFonts w:hint="eastAsia" w:asciiTheme="minorEastAsia" w:hAnsiTheme="minorEastAsia" w:eastAsiaTheme="minorEastAsia" w:cstheme="minorEastAsia"/>
                <w:sz w:val="21"/>
                <w:szCs w:val="21"/>
              </w:rPr>
            </w:pP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sz w:val="21"/>
                <w:szCs w:val="21"/>
              </w:rPr>
            </w:pP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公用经费</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520" w:lineRule="exact"/>
              <w:ind w:firstLine="840" w:firstLineChars="4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其中：办公经费</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520" w:lineRule="exact"/>
              <w:ind w:firstLine="840" w:firstLineChars="400"/>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28.34</w:t>
            </w: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ind w:firstLine="840" w:firstLineChars="400"/>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26.04</w:t>
            </w: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ind w:firstLine="840" w:firstLineChars="400"/>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26.04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firstLine="1478" w:firstLineChars="704"/>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水费、电费、差旅费</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33.14</w:t>
            </w: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53.23</w:t>
            </w: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53.23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firstLine="1478" w:firstLineChars="704"/>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会议费、培训费</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0.85</w:t>
            </w: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3.2</w:t>
            </w: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政府采购金额</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427.47</w:t>
            </w: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427.47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部门基本支出预算调整</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8" w:hRule="atLeast"/>
          <w:jc w:val="center"/>
        </w:trPr>
        <w:tc>
          <w:tcPr>
            <w:tcW w:w="3419"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楼堂馆所控制情况</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（2023年完工项目）</w:t>
            </w:r>
          </w:p>
        </w:tc>
        <w:tc>
          <w:tcPr>
            <w:tcW w:w="964"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批复规模</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65"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实际规模（㎡）</w:t>
            </w:r>
          </w:p>
        </w:tc>
        <w:tc>
          <w:tcPr>
            <w:tcW w:w="986"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规模</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控制率</w:t>
            </w:r>
          </w:p>
        </w:tc>
        <w:tc>
          <w:tcPr>
            <w:tcW w:w="986"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预算投资</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（万元）</w:t>
            </w:r>
          </w:p>
        </w:tc>
        <w:tc>
          <w:tcPr>
            <w:tcW w:w="978"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实际投资</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（万元）</w:t>
            </w:r>
          </w:p>
        </w:tc>
        <w:tc>
          <w:tcPr>
            <w:tcW w:w="979"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投资概算控制率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3419"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sz w:val="21"/>
                <w:szCs w:val="21"/>
              </w:rPr>
            </w:pPr>
          </w:p>
        </w:tc>
        <w:tc>
          <w:tcPr>
            <w:tcW w:w="964"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c>
          <w:tcPr>
            <w:tcW w:w="965"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c>
          <w:tcPr>
            <w:tcW w:w="986" w:type="dxa"/>
            <w:gridSpan w:val="2"/>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c>
          <w:tcPr>
            <w:tcW w:w="986"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c>
          <w:tcPr>
            <w:tcW w:w="978"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c>
          <w:tcPr>
            <w:tcW w:w="979"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0"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厉行节约保障措施</w:t>
            </w:r>
          </w:p>
        </w:tc>
        <w:tc>
          <w:tcPr>
            <w:tcW w:w="5858" w:type="dxa"/>
            <w:gridSpan w:val="7"/>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1"/>
                <w:szCs w:val="21"/>
              </w:rPr>
            </w:pPr>
          </w:p>
        </w:tc>
      </w:tr>
    </w:tbl>
    <w:p>
      <w:pPr>
        <w:keepNext w:val="0"/>
        <w:keepLines w:val="0"/>
        <w:pageBreakBefore w:val="0"/>
        <w:kinsoku/>
        <w:wordWrap/>
        <w:overflowPunct/>
        <w:topLinePunct w:val="0"/>
        <w:bidi w:val="0"/>
        <w:spacing w:line="520" w:lineRule="exact"/>
        <w:textAlignment w:val="auto"/>
        <w:rPr>
          <w:rFonts w:hint="eastAsia"/>
          <w:lang w:eastAsia="zh-CN"/>
        </w:rPr>
      </w:pPr>
      <w:r>
        <w:rPr>
          <w:rFonts w:hint="eastAsia"/>
        </w:rPr>
        <w:t>说明：“项目支出” 需要填报基本支出以外的所有项目支出情况，“公用经费”填报基本支出</w:t>
      </w:r>
      <w:r>
        <w:rPr>
          <w:rFonts w:hint="eastAsia"/>
          <w:lang w:eastAsia="zh-CN"/>
        </w:rPr>
        <w:t>中的一般商品和服务支出。</w:t>
      </w:r>
    </w:p>
    <w:p>
      <w:pPr>
        <w:pStyle w:val="4"/>
        <w:keepNext w:val="0"/>
        <w:keepLines w:val="0"/>
        <w:pageBreakBefore w:val="0"/>
        <w:kinsoku/>
        <w:wordWrap/>
        <w:overflowPunct/>
        <w:topLinePunct w:val="0"/>
        <w:bidi w:val="0"/>
        <w:spacing w:line="520" w:lineRule="exact"/>
        <w:textAlignment w:val="auto"/>
        <w:rPr>
          <w:rFonts w:hint="eastAsia"/>
          <w:lang w:eastAsia="zh-CN"/>
        </w:rPr>
      </w:pPr>
    </w:p>
    <w:p>
      <w:pPr>
        <w:keepNext w:val="0"/>
        <w:keepLines w:val="0"/>
        <w:pageBreakBefore w:val="0"/>
        <w:kinsoku/>
        <w:wordWrap/>
        <w:overflowPunct/>
        <w:topLinePunct w:val="0"/>
        <w:bidi w:val="0"/>
        <w:spacing w:line="520" w:lineRule="exact"/>
        <w:textAlignment w:val="auto"/>
        <w:rPr>
          <w:rFonts w:hint="eastAsia"/>
          <w:lang w:eastAsia="zh-CN"/>
        </w:rPr>
      </w:pPr>
    </w:p>
    <w:p>
      <w:pPr>
        <w:keepNext w:val="0"/>
        <w:keepLines w:val="0"/>
        <w:pageBreakBefore w:val="0"/>
        <w:kinsoku/>
        <w:wordWrap/>
        <w:overflowPunct/>
        <w:topLinePunct w:val="0"/>
        <w:bidi w:val="0"/>
        <w:spacing w:line="520" w:lineRule="exact"/>
        <w:textAlignment w:val="auto"/>
      </w:pPr>
      <w:r>
        <w:rPr>
          <w:rFonts w:hint="eastAsia"/>
        </w:rPr>
        <w:t>填表人：        填报日期：       联系电话：          单位负责人签字：</w:t>
      </w:r>
    </w:p>
    <w:p>
      <w:pPr>
        <w:keepNext w:val="0"/>
        <w:keepLines w:val="0"/>
        <w:pageBreakBefore w:val="0"/>
        <w:kinsoku/>
        <w:wordWrap/>
        <w:overflowPunct/>
        <w:topLinePunct w:val="0"/>
        <w:bidi w:val="0"/>
        <w:spacing w:line="520" w:lineRule="exact"/>
        <w:textAlignment w:val="auto"/>
        <w:rPr>
          <w:spacing w:val="-13"/>
          <w:sz w:val="22"/>
          <w:szCs w:val="22"/>
        </w:rPr>
      </w:pPr>
      <w:r>
        <w:rPr>
          <w:spacing w:val="-13"/>
          <w:sz w:val="22"/>
          <w:szCs w:val="22"/>
        </w:rPr>
        <w:br w:type="page"/>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ascii="Arial"/>
          <w:sz w:val="21"/>
        </w:rPr>
      </w:pPr>
      <w:r>
        <w:rPr>
          <w:rFonts w:hint="eastAsia" w:ascii="仿宋_GB2312" w:hAnsi="仿宋_GB2312" w:eastAsia="仿宋_GB2312" w:cs="仿宋_GB2312"/>
          <w:spacing w:val="-4"/>
          <w:sz w:val="32"/>
          <w:szCs w:val="32"/>
        </w:rPr>
        <w:t>附件</w:t>
      </w:r>
      <w:r>
        <w:rPr>
          <w:rFonts w:hint="eastAsia" w:ascii="仿宋_GB2312" w:hAnsi="仿宋_GB2312" w:eastAsia="仿宋_GB2312" w:cs="仿宋_GB2312"/>
          <w:spacing w:val="-4"/>
          <w:sz w:val="32"/>
          <w:szCs w:val="32"/>
          <w:lang w:val="en-US" w:eastAsia="zh-CN"/>
        </w:rPr>
        <w:t>3</w:t>
      </w:r>
    </w:p>
    <w:p>
      <w:pPr>
        <w:pStyle w:val="4"/>
        <w:keepNext w:val="0"/>
        <w:keepLines w:val="0"/>
        <w:pageBreakBefore w:val="0"/>
        <w:kinsoku/>
        <w:wordWrap/>
        <w:overflowPunct/>
        <w:topLinePunct w:val="0"/>
        <w:bidi w:val="0"/>
        <w:spacing w:line="520" w:lineRule="exact"/>
        <w:textAlignment w:val="auto"/>
      </w:pPr>
    </w:p>
    <w:p>
      <w:pPr>
        <w:keepNext w:val="0"/>
        <w:keepLines w:val="0"/>
        <w:pageBreakBefore w:val="0"/>
        <w:kinsoku/>
        <w:wordWrap/>
        <w:overflowPunct/>
        <w:topLinePunct w:val="0"/>
        <w:bidi w:val="0"/>
        <w:spacing w:line="520" w:lineRule="exact"/>
        <w:textAlignment w:val="auto"/>
      </w:pPr>
    </w:p>
    <w:p>
      <w:pPr>
        <w:keepNext w:val="0"/>
        <w:keepLines w:val="0"/>
        <w:pageBreakBefore w:val="0"/>
        <w:kinsoku/>
        <w:wordWrap/>
        <w:overflowPunct/>
        <w:topLinePunct w:val="0"/>
        <w:bidi w:val="0"/>
        <w:spacing w:before="223" w:line="520" w:lineRule="exact"/>
        <w:ind w:left="1384"/>
        <w:textAlignment w:val="auto"/>
        <w:rPr>
          <w:rFonts w:hint="eastAsia"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pacing w:val="-1"/>
          <w:sz w:val="48"/>
          <w:szCs w:val="48"/>
        </w:rPr>
        <w:t>2023年度</w:t>
      </w:r>
      <w:r>
        <w:rPr>
          <w:rFonts w:hint="eastAsia" w:ascii="方正小标宋简体" w:hAnsi="方正小标宋简体" w:eastAsia="方正小标宋简体" w:cs="方正小标宋简体"/>
          <w:b/>
          <w:bCs/>
          <w:spacing w:val="-1"/>
          <w:sz w:val="48"/>
          <w:szCs w:val="48"/>
          <w:lang w:eastAsia="zh-CN"/>
        </w:rPr>
        <w:t>发改局</w:t>
      </w:r>
      <w:r>
        <w:rPr>
          <w:rFonts w:hint="eastAsia" w:ascii="方正小标宋简体" w:hAnsi="方正小标宋简体" w:eastAsia="方正小标宋简体" w:cs="方正小标宋简体"/>
          <w:spacing w:val="-1"/>
          <w:sz w:val="48"/>
          <w:szCs w:val="48"/>
        </w:rPr>
        <w:t>部门整体支出</w:t>
      </w:r>
    </w:p>
    <w:p>
      <w:pPr>
        <w:keepNext w:val="0"/>
        <w:keepLines w:val="0"/>
        <w:pageBreakBefore w:val="0"/>
        <w:kinsoku/>
        <w:wordWrap/>
        <w:overflowPunct/>
        <w:topLinePunct w:val="0"/>
        <w:bidi w:val="0"/>
        <w:spacing w:before="1" w:line="520" w:lineRule="exact"/>
        <w:ind w:left="2789"/>
        <w:textAlignment w:val="auto"/>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pacing w:val="-3"/>
          <w:sz w:val="48"/>
          <w:szCs w:val="48"/>
        </w:rPr>
        <w:t>绩效自评报告</w:t>
      </w:r>
    </w:p>
    <w:p>
      <w:pPr>
        <w:keepNext w:val="0"/>
        <w:keepLines w:val="0"/>
        <w:pageBreakBefore w:val="0"/>
        <w:kinsoku/>
        <w:wordWrap/>
        <w:overflowPunct/>
        <w:topLinePunct w:val="0"/>
        <w:bidi w:val="0"/>
        <w:spacing w:line="520" w:lineRule="exact"/>
        <w:textAlignment w:val="auto"/>
        <w:rPr>
          <w:rFonts w:ascii="Arial"/>
          <w:sz w:val="21"/>
        </w:rPr>
      </w:pPr>
    </w:p>
    <w:p>
      <w:pPr>
        <w:keepNext w:val="0"/>
        <w:keepLines w:val="0"/>
        <w:pageBreakBefore w:val="0"/>
        <w:kinsoku/>
        <w:wordWrap/>
        <w:overflowPunct/>
        <w:topLinePunct w:val="0"/>
        <w:bidi w:val="0"/>
        <w:spacing w:line="520" w:lineRule="exact"/>
        <w:textAlignment w:val="auto"/>
        <w:rPr>
          <w:rFonts w:ascii="Arial"/>
          <w:sz w:val="21"/>
        </w:rPr>
      </w:pPr>
    </w:p>
    <w:p>
      <w:pPr>
        <w:keepNext w:val="0"/>
        <w:keepLines w:val="0"/>
        <w:pageBreakBefore w:val="0"/>
        <w:kinsoku/>
        <w:wordWrap/>
        <w:overflowPunct/>
        <w:topLinePunct w:val="0"/>
        <w:bidi w:val="0"/>
        <w:spacing w:line="520" w:lineRule="exact"/>
        <w:textAlignment w:val="auto"/>
        <w:rPr>
          <w:rFonts w:ascii="Arial"/>
          <w:sz w:val="21"/>
        </w:rPr>
      </w:pPr>
    </w:p>
    <w:p>
      <w:pPr>
        <w:keepNext w:val="0"/>
        <w:keepLines w:val="0"/>
        <w:pageBreakBefore w:val="0"/>
        <w:kinsoku/>
        <w:wordWrap/>
        <w:overflowPunct/>
        <w:topLinePunct w:val="0"/>
        <w:bidi w:val="0"/>
        <w:spacing w:line="520" w:lineRule="exact"/>
        <w:textAlignment w:val="auto"/>
        <w:rPr>
          <w:rFonts w:ascii="Arial"/>
          <w:sz w:val="21"/>
        </w:rPr>
      </w:pPr>
    </w:p>
    <w:p>
      <w:pPr>
        <w:keepNext w:val="0"/>
        <w:keepLines w:val="0"/>
        <w:pageBreakBefore w:val="0"/>
        <w:kinsoku/>
        <w:wordWrap/>
        <w:overflowPunct/>
        <w:topLinePunct w:val="0"/>
        <w:bidi w:val="0"/>
        <w:spacing w:line="520" w:lineRule="exact"/>
        <w:textAlignment w:val="auto"/>
        <w:rPr>
          <w:rFonts w:ascii="Arial"/>
          <w:sz w:val="21"/>
        </w:rPr>
      </w:pPr>
    </w:p>
    <w:p>
      <w:pPr>
        <w:keepNext w:val="0"/>
        <w:keepLines w:val="0"/>
        <w:pageBreakBefore w:val="0"/>
        <w:kinsoku/>
        <w:wordWrap/>
        <w:overflowPunct/>
        <w:topLinePunct w:val="0"/>
        <w:bidi w:val="0"/>
        <w:spacing w:line="520" w:lineRule="exact"/>
        <w:textAlignment w:val="auto"/>
        <w:rPr>
          <w:rFonts w:ascii="Arial"/>
          <w:sz w:val="21"/>
        </w:rPr>
      </w:pPr>
    </w:p>
    <w:p>
      <w:pPr>
        <w:pStyle w:val="4"/>
        <w:keepNext w:val="0"/>
        <w:keepLines w:val="0"/>
        <w:pageBreakBefore w:val="0"/>
        <w:kinsoku/>
        <w:wordWrap/>
        <w:overflowPunct/>
        <w:topLinePunct w:val="0"/>
        <w:bidi w:val="0"/>
        <w:spacing w:line="520" w:lineRule="exact"/>
        <w:textAlignment w:val="auto"/>
        <w:rPr>
          <w:rFonts w:ascii="Arial"/>
          <w:sz w:val="21"/>
        </w:rPr>
      </w:pPr>
    </w:p>
    <w:p>
      <w:pPr>
        <w:keepNext w:val="0"/>
        <w:keepLines w:val="0"/>
        <w:pageBreakBefore w:val="0"/>
        <w:kinsoku/>
        <w:wordWrap/>
        <w:overflowPunct/>
        <w:topLinePunct w:val="0"/>
        <w:bidi w:val="0"/>
        <w:spacing w:line="520" w:lineRule="exact"/>
        <w:textAlignment w:val="auto"/>
        <w:rPr>
          <w:rFonts w:ascii="Arial"/>
          <w:sz w:val="21"/>
        </w:rPr>
      </w:pPr>
    </w:p>
    <w:p>
      <w:pPr>
        <w:keepNext w:val="0"/>
        <w:keepLines w:val="0"/>
        <w:pageBreakBefore w:val="0"/>
        <w:kinsoku/>
        <w:wordWrap/>
        <w:overflowPunct/>
        <w:topLinePunct w:val="0"/>
        <w:bidi w:val="0"/>
        <w:spacing w:line="520" w:lineRule="exact"/>
        <w:textAlignment w:val="auto"/>
        <w:rPr>
          <w:rFonts w:ascii="Arial"/>
          <w:sz w:val="21"/>
        </w:rPr>
      </w:pPr>
    </w:p>
    <w:p>
      <w:pPr>
        <w:keepNext w:val="0"/>
        <w:keepLines w:val="0"/>
        <w:pageBreakBefore w:val="0"/>
        <w:kinsoku/>
        <w:wordWrap/>
        <w:overflowPunct/>
        <w:topLinePunct w:val="0"/>
        <w:bidi w:val="0"/>
        <w:spacing w:line="520" w:lineRule="exact"/>
        <w:textAlignment w:val="auto"/>
        <w:rPr>
          <w:rFonts w:ascii="Arial"/>
          <w:sz w:val="21"/>
        </w:rPr>
      </w:pPr>
    </w:p>
    <w:p>
      <w:pPr>
        <w:keepNext w:val="0"/>
        <w:keepLines w:val="0"/>
        <w:pageBreakBefore w:val="0"/>
        <w:kinsoku/>
        <w:wordWrap/>
        <w:overflowPunct/>
        <w:topLinePunct w:val="0"/>
        <w:bidi w:val="0"/>
        <w:spacing w:line="520" w:lineRule="exact"/>
        <w:textAlignment w:val="auto"/>
        <w:rPr>
          <w:rFonts w:ascii="Arial"/>
          <w:sz w:val="21"/>
        </w:rPr>
      </w:pPr>
    </w:p>
    <w:p>
      <w:pPr>
        <w:keepNext w:val="0"/>
        <w:keepLines w:val="0"/>
        <w:pageBreakBefore w:val="0"/>
        <w:kinsoku/>
        <w:wordWrap/>
        <w:overflowPunct/>
        <w:topLinePunct w:val="0"/>
        <w:bidi w:val="0"/>
        <w:spacing w:line="520" w:lineRule="exact"/>
        <w:textAlignment w:val="auto"/>
        <w:rPr>
          <w:rFonts w:ascii="Arial"/>
          <w:sz w:val="21"/>
        </w:rPr>
      </w:pPr>
    </w:p>
    <w:p>
      <w:pPr>
        <w:pStyle w:val="3"/>
        <w:keepNext w:val="0"/>
        <w:keepLines w:val="0"/>
        <w:pageBreakBefore w:val="0"/>
        <w:widowControl w:val="0"/>
        <w:kinsoku/>
        <w:wordWrap/>
        <w:overflowPunct/>
        <w:topLinePunct w:val="0"/>
        <w:autoSpaceDE/>
        <w:autoSpaceDN/>
        <w:bidi w:val="0"/>
        <w:adjustRightInd/>
        <w:snapToGrid/>
        <w:spacing w:before="100" w:line="520" w:lineRule="exact"/>
        <w:ind w:firstLine="60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部门（单位）名称</w:t>
      </w:r>
      <w:r>
        <w:rPr>
          <w:rFonts w:hint="eastAsia" w:ascii="仿宋_GB2312" w:hAnsi="仿宋_GB2312" w:eastAsia="仿宋_GB2312" w:cs="仿宋_GB2312"/>
          <w:spacing w:val="4"/>
          <w:sz w:val="32"/>
          <w:szCs w:val="32"/>
        </w:rPr>
        <w:t>：</w:t>
      </w:r>
      <w:r>
        <w:rPr>
          <w:rFonts w:hint="eastAsia" w:ascii="仿宋_GB2312" w:hAnsi="仿宋_GB2312" w:eastAsia="仿宋_GB2312" w:cs="仿宋_GB2312"/>
          <w:spacing w:val="4"/>
          <w:sz w:val="32"/>
          <w:szCs w:val="32"/>
          <w:u w:val="single" w:color="auto"/>
          <w:lang w:val="en-US" w:eastAsia="zh-CN"/>
        </w:rPr>
        <w:t>(</w:t>
      </w:r>
      <w:r>
        <w:rPr>
          <w:rFonts w:hint="eastAsia" w:ascii="仿宋_GB2312" w:hAnsi="仿宋_GB2312" w:eastAsia="仿宋_GB2312" w:cs="仿宋_GB2312"/>
          <w:spacing w:val="-118"/>
          <w:sz w:val="32"/>
          <w:szCs w:val="32"/>
          <w:u w:val="single" w:color="auto"/>
        </w:rPr>
        <w:t xml:space="preserve"> </w:t>
      </w:r>
      <w:r>
        <w:rPr>
          <w:rFonts w:hint="eastAsia" w:ascii="仿宋_GB2312" w:hAnsi="仿宋_GB2312" w:eastAsia="仿宋_GB2312" w:cs="仿宋_GB2312"/>
          <w:spacing w:val="-75"/>
          <w:sz w:val="32"/>
          <w:szCs w:val="32"/>
          <w:u w:val="single" w:color="auto"/>
        </w:rPr>
        <w:t xml:space="preserve"> </w:t>
      </w:r>
      <w:r>
        <w:rPr>
          <w:rFonts w:hint="eastAsia" w:ascii="仿宋_GB2312" w:hAnsi="仿宋_GB2312" w:eastAsia="仿宋_GB2312" w:cs="仿宋_GB2312"/>
          <w:spacing w:val="-10"/>
          <w:sz w:val="32"/>
          <w:szCs w:val="32"/>
          <w:u w:val="single" w:color="auto"/>
        </w:rPr>
        <w:t>盖章</w:t>
      </w:r>
      <w:r>
        <w:rPr>
          <w:rFonts w:hint="eastAsia" w:ascii="仿宋_GB2312" w:hAnsi="仿宋_GB2312" w:eastAsia="仿宋_GB2312" w:cs="仿宋_GB2312"/>
          <w:spacing w:val="-10"/>
          <w:sz w:val="32"/>
          <w:szCs w:val="32"/>
          <w:u w:val="single" w:color="auto"/>
          <w:lang w:eastAsia="zh-CN"/>
        </w:rPr>
        <w:t>）华容县发展和改革局</w:t>
      </w:r>
      <w:r>
        <w:rPr>
          <w:rFonts w:hint="eastAsia" w:ascii="仿宋_GB2312" w:hAnsi="仿宋_GB2312" w:eastAsia="仿宋_GB2312" w:cs="仿宋_GB2312"/>
          <w:sz w:val="32"/>
          <w:szCs w:val="32"/>
          <w:u w:val="single" w:color="auto"/>
        </w:rPr>
        <w:t xml:space="preserve">  </w:t>
      </w:r>
    </w:p>
    <w:p>
      <w:pPr>
        <w:keepNext w:val="0"/>
        <w:keepLines w:val="0"/>
        <w:pageBreakBefore w:val="0"/>
        <w:kinsoku/>
        <w:wordWrap/>
        <w:overflowPunct/>
        <w:topLinePunct w:val="0"/>
        <w:bidi w:val="0"/>
        <w:spacing w:before="228" w:line="520" w:lineRule="exact"/>
        <w:ind w:firstLine="4560" w:firstLineChars="1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年</w:t>
      </w:r>
      <w:r>
        <w:rPr>
          <w:rFonts w:hint="eastAsia" w:ascii="仿宋_GB2312" w:hAnsi="仿宋_GB2312" w:eastAsia="仿宋_GB2312" w:cs="仿宋_GB2312"/>
          <w:spacing w:val="21"/>
          <w:sz w:val="32"/>
          <w:szCs w:val="32"/>
        </w:rPr>
        <w:t xml:space="preserve">  </w:t>
      </w:r>
      <w:r>
        <w:rPr>
          <w:rFonts w:hint="eastAsia" w:ascii="仿宋_GB2312" w:hAnsi="仿宋_GB2312" w:eastAsia="仿宋_GB2312" w:cs="仿宋_GB2312"/>
          <w:spacing w:val="-8"/>
          <w:sz w:val="32"/>
          <w:szCs w:val="32"/>
        </w:rPr>
        <w:t>月</w:t>
      </w:r>
      <w:r>
        <w:rPr>
          <w:rFonts w:hint="eastAsia" w:ascii="仿宋_GB2312" w:hAnsi="仿宋_GB2312" w:eastAsia="仿宋_GB2312" w:cs="仿宋_GB2312"/>
          <w:spacing w:val="43"/>
          <w:sz w:val="32"/>
          <w:szCs w:val="32"/>
        </w:rPr>
        <w:t xml:space="preserve">  </w:t>
      </w:r>
      <w:r>
        <w:rPr>
          <w:rFonts w:hint="eastAsia" w:ascii="仿宋_GB2312" w:hAnsi="仿宋_GB2312" w:eastAsia="仿宋_GB2312" w:cs="仿宋_GB2312"/>
          <w:spacing w:val="-8"/>
          <w:sz w:val="32"/>
          <w:szCs w:val="32"/>
        </w:rPr>
        <w:t>日</w:t>
      </w:r>
    </w:p>
    <w:p>
      <w:pPr>
        <w:keepNext w:val="0"/>
        <w:keepLines w:val="0"/>
        <w:pageBreakBefore w:val="0"/>
        <w:kinsoku/>
        <w:wordWrap/>
        <w:overflowPunct/>
        <w:topLinePunct w:val="0"/>
        <w:bidi w:val="0"/>
        <w:spacing w:line="520" w:lineRule="exact"/>
        <w:textAlignment w:val="auto"/>
        <w:rPr>
          <w:rFonts w:hint="eastAsia" w:ascii="仿宋_GB2312" w:hAnsi="仿宋_GB2312" w:eastAsia="仿宋_GB2312" w:cs="仿宋_GB2312"/>
          <w:sz w:val="32"/>
          <w:szCs w:val="32"/>
        </w:rPr>
      </w:pPr>
    </w:p>
    <w:p>
      <w:pPr>
        <w:pStyle w:val="3"/>
        <w:keepNext w:val="0"/>
        <w:keepLines w:val="0"/>
        <w:pageBreakBefore w:val="0"/>
        <w:kinsoku/>
        <w:wordWrap/>
        <w:overflowPunct/>
        <w:topLinePunct w:val="0"/>
        <w:bidi w:val="0"/>
        <w:spacing w:before="102" w:line="520" w:lineRule="exact"/>
        <w:ind w:left="3216"/>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（此页为封面）</w:t>
      </w:r>
    </w:p>
    <w:p>
      <w:pPr>
        <w:keepNext w:val="0"/>
        <w:keepLines w:val="0"/>
        <w:pageBreakBefore w:val="0"/>
        <w:kinsoku/>
        <w:wordWrap/>
        <w:overflowPunct/>
        <w:topLinePunct w:val="0"/>
        <w:bidi w:val="0"/>
        <w:spacing w:line="520" w:lineRule="exact"/>
        <w:textAlignment w:val="auto"/>
        <w:sectPr>
          <w:footerReference r:id="rId3" w:type="default"/>
          <w:pgSz w:w="11905" w:h="16838"/>
          <w:pgMar w:top="1984" w:right="1701" w:bottom="1984" w:left="1701" w:header="850" w:footer="1587" w:gutter="0"/>
          <w:pgNumType w:fmt="numberInDash" w:start="7"/>
          <w:cols w:space="0" w:num="1"/>
          <w:rtlGutter w:val="0"/>
          <w:docGrid w:type="lines" w:linePitch="314" w:charSpace="0"/>
        </w:sectPr>
      </w:pPr>
      <w:r>
        <w:br w:type="page"/>
      </w:r>
    </w:p>
    <w:p>
      <w:pPr>
        <w:keepNext w:val="0"/>
        <w:keepLines w:val="0"/>
        <w:pageBreakBefore w:val="0"/>
        <w:widowControl w:val="0"/>
        <w:kinsoku/>
        <w:wordWrap/>
        <w:overflowPunct/>
        <w:topLinePunct w:val="0"/>
        <w:autoSpaceDE/>
        <w:autoSpaceDN/>
        <w:bidi w:val="0"/>
        <w:adjustRightInd/>
        <w:snapToGrid/>
        <w:spacing w:line="520" w:lineRule="exact"/>
        <w:ind w:left="0" w:firstLine="0" w:firstLine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pacing w:val="6"/>
          <w:sz w:val="44"/>
          <w:szCs w:val="44"/>
        </w:rPr>
        <w:t>2023年度</w:t>
      </w:r>
      <w:r>
        <w:rPr>
          <w:rFonts w:hint="eastAsia" w:ascii="方正小标宋简体" w:hAnsi="方正小标宋简体" w:eastAsia="方正小标宋简体" w:cs="方正小标宋简体"/>
          <w:b/>
          <w:bCs/>
          <w:spacing w:val="6"/>
          <w:sz w:val="44"/>
          <w:szCs w:val="44"/>
          <w:lang w:eastAsia="zh-CN"/>
        </w:rPr>
        <w:t>发改局</w:t>
      </w:r>
      <w:r>
        <w:rPr>
          <w:rFonts w:hint="eastAsia" w:ascii="方正小标宋简体" w:hAnsi="方正小标宋简体" w:eastAsia="方正小标宋简体" w:cs="方正小标宋简体"/>
          <w:spacing w:val="6"/>
          <w:sz w:val="44"/>
          <w:szCs w:val="44"/>
        </w:rPr>
        <w:t>整体支出</w:t>
      </w:r>
    </w:p>
    <w:p>
      <w:pPr>
        <w:keepNext w:val="0"/>
        <w:keepLines w:val="0"/>
        <w:pageBreakBefore w:val="0"/>
        <w:widowControl w:val="0"/>
        <w:kinsoku/>
        <w:wordWrap/>
        <w:overflowPunct/>
        <w:topLinePunct w:val="0"/>
        <w:autoSpaceDE/>
        <w:autoSpaceDN/>
        <w:bidi w:val="0"/>
        <w:adjustRightInd/>
        <w:snapToGrid/>
        <w:spacing w:line="520" w:lineRule="exact"/>
        <w:ind w:left="0" w:firstLine="0" w:firstLine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pacing w:val="7"/>
          <w:sz w:val="44"/>
          <w:szCs w:val="44"/>
        </w:rPr>
        <w:t>绩效自评报告</w:t>
      </w:r>
    </w:p>
    <w:p>
      <w:pPr>
        <w:pStyle w:val="4"/>
        <w:keepNext w:val="0"/>
        <w:keepLines w:val="0"/>
        <w:pageBreakBefore w:val="0"/>
        <w:kinsoku/>
        <w:wordWrap/>
        <w:overflowPunct/>
        <w:topLinePunct w:val="0"/>
        <w:bidi w:val="0"/>
        <w:spacing w:line="520" w:lineRule="exact"/>
        <w:textAlignment w:val="auto"/>
      </w:pPr>
    </w:p>
    <w:p>
      <w:pPr>
        <w:keepNext w:val="0"/>
        <w:keepLines w:val="0"/>
        <w:pageBreakBefore w:val="0"/>
        <w:numPr>
          <w:ilvl w:val="0"/>
          <w:numId w:val="1"/>
        </w:numPr>
        <w:kinsoku/>
        <w:wordWrap/>
        <w:overflowPunct/>
        <w:topLinePunct w:val="0"/>
        <w:bidi w:val="0"/>
        <w:spacing w:before="101" w:line="520" w:lineRule="exact"/>
        <w:ind w:left="648"/>
        <w:textAlignment w:val="auto"/>
        <w:rPr>
          <w:rFonts w:hint="eastAsia" w:ascii="仿宋" w:hAnsi="仿宋" w:eastAsia="仿宋" w:cs="仿宋"/>
          <w:b/>
          <w:bCs/>
          <w:spacing w:val="5"/>
          <w:sz w:val="32"/>
          <w:szCs w:val="32"/>
        </w:rPr>
      </w:pPr>
      <w:r>
        <w:rPr>
          <w:rFonts w:hint="eastAsia" w:ascii="仿宋" w:hAnsi="仿宋" w:eastAsia="仿宋" w:cs="仿宋"/>
          <w:b/>
          <w:bCs/>
          <w:spacing w:val="5"/>
          <w:sz w:val="32"/>
          <w:szCs w:val="32"/>
        </w:rPr>
        <w:t>部门基本情况</w:t>
      </w:r>
    </w:p>
    <w:p>
      <w:pPr>
        <w:keepNext w:val="0"/>
        <w:keepLines w:val="0"/>
        <w:pageBreakBefore w:val="0"/>
        <w:kinsoku/>
        <w:wordWrap/>
        <w:overflowPunct/>
        <w:topLinePunct w:val="0"/>
        <w:bidi w:val="0"/>
        <w:spacing w:line="52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1、职能职责</w:t>
      </w:r>
    </w:p>
    <w:p>
      <w:pPr>
        <w:keepNext w:val="0"/>
        <w:keepLines w:val="0"/>
        <w:pageBreakBefore w:val="0"/>
        <w:kinsoku/>
        <w:wordWrap/>
        <w:overflowPunct/>
        <w:topLinePunct w:val="0"/>
        <w:bidi w:val="0"/>
        <w:spacing w:line="52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拟订全县国民经济和社会发展战略、中长期规划和年度计划并组织实施；组织编制国民经济动员、国防交通保障规划、计划；统筹规划和综合协调产业发展，推动全县经济结构战略性调整；协调平衡卫生健康、科技教育、文化旅游、体育民政等发展政策；推进可持续发展战略，负责节能减排的综合协调工作；负责全县固定资产投资管理；负责全县价格工作的宏观管理和综合平衡；承担县人民政府国防动员办公室日常工作</w:t>
      </w:r>
      <w:r>
        <w:rPr>
          <w:rFonts w:hint="eastAsia" w:ascii="仿宋" w:hAnsi="仿宋" w:eastAsia="仿宋" w:cs="仿宋"/>
          <w:bCs/>
          <w:sz w:val="32"/>
          <w:szCs w:val="32"/>
          <w:lang w:eastAsia="zh-CN"/>
        </w:rPr>
        <w:t>，</w:t>
      </w:r>
      <w:r>
        <w:rPr>
          <w:rFonts w:hint="eastAsia" w:ascii="仿宋" w:hAnsi="仿宋" w:eastAsia="仿宋" w:cs="仿宋"/>
          <w:bCs/>
          <w:sz w:val="32"/>
          <w:szCs w:val="32"/>
        </w:rPr>
        <w:t xml:space="preserve">完成上级交办的其他任务。       </w:t>
      </w:r>
    </w:p>
    <w:p>
      <w:pPr>
        <w:keepNext w:val="0"/>
        <w:keepLines w:val="0"/>
        <w:pageBreakBefore w:val="0"/>
        <w:kinsoku/>
        <w:wordWrap/>
        <w:overflowPunct/>
        <w:topLinePunct w:val="0"/>
        <w:bidi w:val="0"/>
        <w:spacing w:line="52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2、机构设置</w:t>
      </w:r>
    </w:p>
    <w:p>
      <w:pPr>
        <w:keepNext w:val="0"/>
        <w:keepLines w:val="0"/>
        <w:pageBreakBefore w:val="0"/>
        <w:kinsoku/>
        <w:wordWrap/>
        <w:overflowPunct/>
        <w:topLinePunct w:val="0"/>
        <w:bidi w:val="0"/>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bCs/>
          <w:sz w:val="32"/>
          <w:szCs w:val="32"/>
        </w:rPr>
        <w:t>县发展和改革局设12个内设机构：办公室、政策法规股（承担县招标投标监督管理委员会办公室日常工作）、固定资产投资股、农村经济股、工业外经股（加挂园区办和综合办牌子）、基础能源股（承担国民经济动员办公室、县国防动员委员会装备动员办公室日常工作）、社会发展和财贸服务业股、资源环境和节能监察股（长江经济带和洞庭湖发展办公室）、信用信息股（加挂县争项争资领导小组办公室和县经济体制改革领导小组办公室牌子）、行政审批股、收费价管股、成本调查监审股（对外称华容县成本监审股）</w:t>
      </w:r>
      <w:r>
        <w:rPr>
          <w:rFonts w:hint="eastAsia" w:ascii="仿宋" w:hAnsi="仿宋" w:eastAsia="仿宋" w:cs="仿宋"/>
          <w:sz w:val="32"/>
          <w:szCs w:val="32"/>
        </w:rPr>
        <w:t>。</w:t>
      </w:r>
    </w:p>
    <w:p>
      <w:pPr>
        <w:keepNext w:val="0"/>
        <w:keepLines w:val="0"/>
        <w:pageBreakBefore w:val="0"/>
        <w:kinsoku/>
        <w:wordWrap/>
        <w:overflowPunct/>
        <w:topLinePunct w:val="0"/>
        <w:bidi w:val="0"/>
        <w:spacing w:line="52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3、人员情况</w:t>
      </w:r>
    </w:p>
    <w:p>
      <w:pPr>
        <w:keepNext w:val="0"/>
        <w:keepLines w:val="0"/>
        <w:pageBreakBefore w:val="0"/>
        <w:kinsoku/>
        <w:wordWrap/>
        <w:overflowPunct/>
        <w:topLinePunct w:val="0"/>
        <w:bidi w:val="0"/>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Cs/>
          <w:sz w:val="32"/>
          <w:szCs w:val="32"/>
        </w:rPr>
        <w:t>202</w:t>
      </w:r>
      <w:r>
        <w:rPr>
          <w:rFonts w:hint="eastAsia" w:ascii="仿宋" w:hAnsi="仿宋" w:eastAsia="仿宋" w:cs="仿宋"/>
          <w:bCs/>
          <w:sz w:val="32"/>
          <w:szCs w:val="32"/>
          <w:lang w:val="en-US" w:eastAsia="zh-CN"/>
        </w:rPr>
        <w:t>3</w:t>
      </w:r>
      <w:r>
        <w:rPr>
          <w:rFonts w:hint="eastAsia" w:ascii="仿宋" w:hAnsi="仿宋" w:eastAsia="仿宋" w:cs="仿宋"/>
          <w:bCs/>
          <w:sz w:val="32"/>
          <w:szCs w:val="32"/>
        </w:rPr>
        <w:t>年年末实有在职人数</w:t>
      </w:r>
      <w:r>
        <w:rPr>
          <w:rFonts w:hint="eastAsia" w:ascii="仿宋" w:hAnsi="仿宋" w:eastAsia="仿宋" w:cs="仿宋"/>
          <w:bCs/>
          <w:sz w:val="32"/>
          <w:szCs w:val="32"/>
          <w:lang w:val="en-US" w:eastAsia="zh-CN"/>
        </w:rPr>
        <w:t>53</w:t>
      </w:r>
      <w:r>
        <w:rPr>
          <w:rFonts w:hint="eastAsia" w:ascii="仿宋" w:hAnsi="仿宋" w:eastAsia="仿宋" w:cs="仿宋"/>
          <w:bCs/>
          <w:sz w:val="32"/>
          <w:szCs w:val="32"/>
        </w:rPr>
        <w:t>人</w:t>
      </w:r>
      <w:r>
        <w:rPr>
          <w:rFonts w:hint="eastAsia" w:ascii="仿宋" w:hAnsi="仿宋" w:eastAsia="仿宋" w:cs="仿宋"/>
          <w:bCs/>
          <w:sz w:val="32"/>
          <w:szCs w:val="32"/>
          <w:lang w:eastAsia="zh-CN"/>
        </w:rPr>
        <w:t>其中：公务员</w:t>
      </w:r>
      <w:r>
        <w:rPr>
          <w:rFonts w:hint="eastAsia" w:ascii="仿宋" w:hAnsi="仿宋" w:eastAsia="仿宋" w:cs="仿宋"/>
          <w:bCs/>
          <w:sz w:val="32"/>
          <w:szCs w:val="32"/>
          <w:lang w:val="en-US" w:eastAsia="zh-CN"/>
        </w:rPr>
        <w:t>22人，事业人员31人，工勤人员1人，全部为财政供养人员。劳务派遣人员4人，退休人员40人，遗属人员3人。</w:t>
      </w:r>
    </w:p>
    <w:p>
      <w:pPr>
        <w:keepNext w:val="0"/>
        <w:keepLines w:val="0"/>
        <w:pageBreakBefore w:val="0"/>
        <w:kinsoku/>
        <w:wordWrap/>
        <w:overflowPunct/>
        <w:topLinePunct w:val="0"/>
        <w:bidi w:val="0"/>
        <w:spacing w:line="520" w:lineRule="exact"/>
        <w:ind w:firstLine="635" w:firstLineChars="200"/>
        <w:textAlignment w:val="auto"/>
        <w:rPr>
          <w:rFonts w:hint="eastAsia" w:ascii="仿宋" w:hAnsi="仿宋" w:eastAsia="仿宋" w:cs="仿宋"/>
          <w:b/>
          <w:bCs/>
          <w:sz w:val="32"/>
          <w:szCs w:val="32"/>
        </w:rPr>
      </w:pPr>
      <w:r>
        <w:rPr>
          <w:rFonts w:hint="eastAsia" w:ascii="仿宋" w:hAnsi="仿宋" w:eastAsia="仿宋" w:cs="仿宋"/>
          <w:b/>
          <w:bCs/>
          <w:spacing w:val="-2"/>
          <w:sz w:val="32"/>
          <w:szCs w:val="32"/>
        </w:rPr>
        <w:t>二、一般公共预算支出情况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（一）基本支出情况</w:t>
      </w:r>
    </w:p>
    <w:p>
      <w:pPr>
        <w:keepNext w:val="0"/>
        <w:keepLines w:val="0"/>
        <w:pageBreakBefore w:val="0"/>
        <w:kinsoku/>
        <w:wordWrap/>
        <w:overflowPunct/>
        <w:topLinePunct w:val="0"/>
        <w:autoSpaceDE w:val="0"/>
        <w:autoSpaceDN w:val="0"/>
        <w:bidi w:val="0"/>
        <w:adjustRightInd w:val="0"/>
        <w:spacing w:line="520" w:lineRule="exact"/>
        <w:ind w:left="420" w:leftChars="200" w:firstLine="160" w:firstLineChars="50"/>
        <w:jc w:val="left"/>
        <w:textAlignment w:val="auto"/>
        <w:rPr>
          <w:rFonts w:hint="eastAsia" w:ascii="仿宋" w:hAnsi="仿宋" w:eastAsia="仿宋" w:cs="仿宋"/>
          <w:kern w:val="0"/>
          <w:sz w:val="32"/>
          <w:szCs w:val="32"/>
          <w:highlight w:val="white"/>
        </w:rPr>
      </w:pPr>
      <w:r>
        <w:rPr>
          <w:rFonts w:hint="eastAsia" w:ascii="仿宋" w:hAnsi="仿宋" w:eastAsia="仿宋" w:cs="仿宋"/>
          <w:sz w:val="32"/>
          <w:szCs w:val="32"/>
          <w:highlight w:val="white"/>
          <w:lang w:val="zh-CN"/>
        </w:rPr>
        <w:t>20</w:t>
      </w:r>
      <w:r>
        <w:rPr>
          <w:rFonts w:hint="eastAsia" w:ascii="仿宋" w:hAnsi="仿宋" w:eastAsia="仿宋" w:cs="仿宋"/>
          <w:sz w:val="32"/>
          <w:szCs w:val="32"/>
          <w:highlight w:val="white"/>
        </w:rPr>
        <w:t>2</w:t>
      </w:r>
      <w:r>
        <w:rPr>
          <w:rFonts w:hint="eastAsia" w:ascii="仿宋" w:hAnsi="仿宋" w:eastAsia="仿宋" w:cs="仿宋"/>
          <w:sz w:val="32"/>
          <w:szCs w:val="32"/>
          <w:highlight w:val="white"/>
          <w:lang w:val="en-US" w:eastAsia="zh-CN"/>
        </w:rPr>
        <w:t>3</w:t>
      </w:r>
      <w:r>
        <w:rPr>
          <w:rFonts w:hint="eastAsia" w:ascii="仿宋" w:hAnsi="仿宋" w:eastAsia="仿宋" w:cs="仿宋"/>
          <w:sz w:val="32"/>
          <w:szCs w:val="32"/>
          <w:highlight w:val="white"/>
          <w:lang w:val="zh-CN"/>
        </w:rPr>
        <w:t>年度</w:t>
      </w:r>
      <w:r>
        <w:rPr>
          <w:rFonts w:hint="eastAsia" w:ascii="仿宋" w:hAnsi="仿宋" w:eastAsia="仿宋" w:cs="仿宋"/>
          <w:kern w:val="0"/>
          <w:sz w:val="32"/>
          <w:szCs w:val="32"/>
          <w:highlight w:val="white"/>
        </w:rPr>
        <w:t>财政拨款基本支出</w:t>
      </w:r>
      <w:r>
        <w:rPr>
          <w:rFonts w:hint="eastAsia" w:ascii="仿宋" w:hAnsi="仿宋" w:eastAsia="仿宋" w:cs="仿宋"/>
          <w:kern w:val="0"/>
          <w:sz w:val="32"/>
          <w:szCs w:val="32"/>
          <w:highlight w:val="white"/>
          <w:lang w:val="en-US" w:eastAsia="zh-CN"/>
        </w:rPr>
        <w:t>918.19</w:t>
      </w:r>
      <w:r>
        <w:rPr>
          <w:rFonts w:hint="eastAsia" w:ascii="仿宋" w:hAnsi="仿宋" w:eastAsia="仿宋" w:cs="仿宋"/>
          <w:kern w:val="0"/>
          <w:sz w:val="32"/>
          <w:szCs w:val="32"/>
          <w:highlight w:val="white"/>
        </w:rPr>
        <w:t>万元，其中:人员经费</w:t>
      </w:r>
    </w:p>
    <w:p>
      <w:pPr>
        <w:keepNext w:val="0"/>
        <w:keepLines w:val="0"/>
        <w:pageBreakBefore w:val="0"/>
        <w:kinsoku/>
        <w:wordWrap/>
        <w:overflowPunct/>
        <w:topLinePunct w:val="0"/>
        <w:autoSpaceDE w:val="0"/>
        <w:autoSpaceDN w:val="0"/>
        <w:bidi w:val="0"/>
        <w:adjustRightInd w:val="0"/>
        <w:spacing w:line="520" w:lineRule="exact"/>
        <w:jc w:val="left"/>
        <w:textAlignment w:val="auto"/>
        <w:rPr>
          <w:rFonts w:hint="eastAsia" w:ascii="仿宋" w:hAnsi="仿宋" w:eastAsia="仿宋" w:cs="仿宋"/>
          <w:sz w:val="32"/>
          <w:szCs w:val="32"/>
        </w:rPr>
      </w:pPr>
      <w:r>
        <w:rPr>
          <w:rFonts w:hint="eastAsia" w:ascii="仿宋" w:hAnsi="仿宋" w:eastAsia="仿宋" w:cs="仿宋"/>
          <w:kern w:val="0"/>
          <w:sz w:val="32"/>
          <w:szCs w:val="32"/>
          <w:highlight w:val="white"/>
          <w:lang w:val="en-US" w:eastAsia="zh-CN"/>
        </w:rPr>
        <w:t>642.35</w:t>
      </w:r>
      <w:r>
        <w:rPr>
          <w:rFonts w:hint="eastAsia" w:ascii="仿宋" w:hAnsi="仿宋" w:eastAsia="仿宋" w:cs="仿宋"/>
          <w:kern w:val="0"/>
          <w:sz w:val="32"/>
          <w:szCs w:val="32"/>
          <w:highlight w:val="white"/>
        </w:rPr>
        <w:t>万元，主要包括基本工资、津贴补贴、</w:t>
      </w:r>
      <w:r>
        <w:rPr>
          <w:rFonts w:hint="eastAsia" w:ascii="仿宋" w:hAnsi="仿宋" w:eastAsia="仿宋" w:cs="仿宋"/>
          <w:kern w:val="0"/>
          <w:sz w:val="32"/>
          <w:szCs w:val="32"/>
          <w:highlight w:val="white"/>
          <w:lang w:val="zh-CN"/>
        </w:rPr>
        <w:t>奖金、绩效工资、机关事业单位基本养老保险缴费、职工基本医疗保险缴费、其他社会保障缴费、住房公积金、其他工资福利支出、抚恤金、其他对个人和家庭的补助等，公用支出2</w:t>
      </w:r>
      <w:r>
        <w:rPr>
          <w:rFonts w:hint="eastAsia" w:ascii="仿宋" w:hAnsi="仿宋" w:eastAsia="仿宋" w:cs="仿宋"/>
          <w:kern w:val="0"/>
          <w:sz w:val="32"/>
          <w:szCs w:val="32"/>
          <w:highlight w:val="white"/>
          <w:lang w:val="en-US" w:eastAsia="zh-CN"/>
        </w:rPr>
        <w:t>75.84</w:t>
      </w:r>
      <w:r>
        <w:rPr>
          <w:rFonts w:hint="eastAsia" w:ascii="仿宋" w:hAnsi="仿宋" w:eastAsia="仿宋" w:cs="仿宋"/>
          <w:kern w:val="0"/>
          <w:sz w:val="32"/>
          <w:szCs w:val="32"/>
          <w:highlight w:val="white"/>
        </w:rPr>
        <w:t>万元，主要包括办公费、印刷费、咨询费、水费、电费、邮电费、差旅费、维修（护）费、会议费、培训费、公务接待费、劳务费、工会经费、福利费、其他交通费用、其他商品和服务支出、办公设备购置等</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项目支出情况</w:t>
      </w:r>
    </w:p>
    <w:p>
      <w:pPr>
        <w:keepNext w:val="0"/>
        <w:keepLines w:val="0"/>
        <w:pageBreakBefore w:val="0"/>
        <w:widowControl/>
        <w:kinsoku/>
        <w:wordWrap/>
        <w:overflowPunct/>
        <w:topLinePunct w:val="0"/>
        <w:bidi w:val="0"/>
        <w:spacing w:line="520" w:lineRule="exact"/>
        <w:ind w:left="640"/>
        <w:textAlignment w:val="auto"/>
        <w:rPr>
          <w:rFonts w:hint="eastAsia" w:ascii="仿宋" w:hAnsi="仿宋" w:eastAsia="仿宋" w:cs="仿宋"/>
          <w:sz w:val="32"/>
          <w:szCs w:val="32"/>
        </w:rPr>
      </w:pPr>
      <w:r>
        <w:rPr>
          <w:rFonts w:hint="eastAsia" w:ascii="仿宋" w:hAnsi="仿宋" w:eastAsia="仿宋" w:cs="仿宋"/>
          <w:kern w:val="0"/>
          <w:sz w:val="32"/>
          <w:szCs w:val="32"/>
          <w:highlight w:val="white"/>
        </w:rPr>
        <w:t>202</w:t>
      </w:r>
      <w:r>
        <w:rPr>
          <w:rFonts w:hint="eastAsia" w:ascii="仿宋" w:hAnsi="仿宋" w:eastAsia="仿宋" w:cs="仿宋"/>
          <w:kern w:val="0"/>
          <w:sz w:val="32"/>
          <w:szCs w:val="32"/>
          <w:highlight w:val="white"/>
          <w:lang w:val="en-US" w:eastAsia="zh-CN"/>
        </w:rPr>
        <w:t>3</w:t>
      </w:r>
      <w:r>
        <w:rPr>
          <w:rFonts w:hint="eastAsia" w:ascii="仿宋" w:hAnsi="仿宋" w:eastAsia="仿宋" w:cs="仿宋"/>
          <w:kern w:val="0"/>
          <w:sz w:val="32"/>
          <w:szCs w:val="32"/>
          <w:highlight w:val="white"/>
        </w:rPr>
        <w:t>年度财政拨款项目支出</w:t>
      </w:r>
      <w:r>
        <w:rPr>
          <w:rFonts w:hint="eastAsia" w:ascii="仿宋" w:hAnsi="仿宋" w:eastAsia="仿宋" w:cs="仿宋"/>
          <w:kern w:val="0"/>
          <w:sz w:val="32"/>
          <w:szCs w:val="32"/>
          <w:highlight w:val="white"/>
          <w:lang w:val="en-US" w:eastAsia="zh-CN"/>
        </w:rPr>
        <w:t>735.83</w:t>
      </w:r>
      <w:r>
        <w:rPr>
          <w:rFonts w:hint="eastAsia" w:ascii="仿宋" w:hAnsi="仿宋" w:eastAsia="仿宋" w:cs="仿宋"/>
          <w:kern w:val="0"/>
          <w:sz w:val="32"/>
          <w:szCs w:val="32"/>
          <w:highlight w:val="white"/>
        </w:rPr>
        <w:t>万元，主要是</w:t>
      </w:r>
      <w:r>
        <w:rPr>
          <w:rFonts w:hint="eastAsia" w:ascii="仿宋" w:hAnsi="仿宋" w:eastAsia="仿宋" w:cs="仿宋"/>
          <w:sz w:val="32"/>
          <w:szCs w:val="32"/>
        </w:rPr>
        <w:t>为了解</w:t>
      </w:r>
    </w:p>
    <w:p>
      <w:pPr>
        <w:keepNext w:val="0"/>
        <w:keepLines w:val="0"/>
        <w:pageBreakBefore w:val="0"/>
        <w:widowControl/>
        <w:kinsoku/>
        <w:wordWrap/>
        <w:overflowPunct/>
        <w:topLinePunct w:val="0"/>
        <w:bidi w:val="0"/>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决各项专门业务发生的机构运转项目支出，包括</w:t>
      </w:r>
      <w:r>
        <w:rPr>
          <w:rFonts w:hint="eastAsia" w:ascii="仿宋" w:hAnsi="仿宋" w:eastAsia="仿宋" w:cs="仿宋"/>
          <w:sz w:val="32"/>
          <w:szCs w:val="32"/>
          <w:lang w:eastAsia="zh-CN"/>
        </w:rPr>
        <w:t>：国能湖南岳阳电厂</w:t>
      </w:r>
      <w:r>
        <w:rPr>
          <w:rFonts w:hint="eastAsia" w:ascii="仿宋" w:hAnsi="仿宋" w:eastAsia="仿宋" w:cs="仿宋"/>
          <w:sz w:val="32"/>
          <w:szCs w:val="32"/>
        </w:rPr>
        <w:t>、煤炭铁水联运</w:t>
      </w:r>
      <w:r>
        <w:rPr>
          <w:rFonts w:hint="eastAsia" w:ascii="仿宋" w:hAnsi="仿宋" w:eastAsia="仿宋" w:cs="仿宋"/>
          <w:sz w:val="32"/>
          <w:szCs w:val="32"/>
          <w:lang w:eastAsia="zh-CN"/>
        </w:rPr>
        <w:t>、政府投资项目前期工作经费。</w:t>
      </w:r>
    </w:p>
    <w:p>
      <w:pPr>
        <w:keepNext w:val="0"/>
        <w:keepLines w:val="0"/>
        <w:pageBreakBefore w:val="0"/>
        <w:kinsoku/>
        <w:wordWrap/>
        <w:overflowPunct/>
        <w:topLinePunct w:val="0"/>
        <w:bidi w:val="0"/>
        <w:spacing w:line="520" w:lineRule="exact"/>
        <w:ind w:firstLine="635" w:firstLineChars="200"/>
        <w:textAlignment w:val="auto"/>
        <w:rPr>
          <w:rFonts w:hint="eastAsia" w:ascii="仿宋" w:hAnsi="仿宋" w:eastAsia="仿宋" w:cs="仿宋"/>
          <w:b/>
          <w:bCs/>
          <w:spacing w:val="-2"/>
          <w:sz w:val="32"/>
          <w:szCs w:val="32"/>
        </w:rPr>
      </w:pPr>
      <w:r>
        <w:rPr>
          <w:rFonts w:hint="eastAsia" w:ascii="仿宋" w:hAnsi="仿宋" w:eastAsia="仿宋" w:cs="仿宋"/>
          <w:b/>
          <w:bCs/>
          <w:spacing w:val="-2"/>
          <w:sz w:val="32"/>
          <w:szCs w:val="32"/>
          <w:lang w:eastAsia="zh-CN"/>
        </w:rPr>
        <w:t>二、</w:t>
      </w:r>
      <w:r>
        <w:rPr>
          <w:rFonts w:hint="eastAsia" w:ascii="仿宋" w:hAnsi="仿宋" w:eastAsia="仿宋" w:cs="仿宋"/>
          <w:b/>
          <w:bCs/>
          <w:spacing w:val="-2"/>
          <w:sz w:val="32"/>
          <w:szCs w:val="32"/>
        </w:rPr>
        <w:t>政府性基金预算支出情况</w:t>
      </w:r>
    </w:p>
    <w:p>
      <w:pPr>
        <w:keepNext w:val="0"/>
        <w:keepLines w:val="0"/>
        <w:pageBreakBefore w:val="0"/>
        <w:kinsoku/>
        <w:wordWrap/>
        <w:overflowPunct/>
        <w:topLinePunct w:val="0"/>
        <w:bidi w:val="0"/>
        <w:spacing w:line="520" w:lineRule="exact"/>
        <w:ind w:firstLine="632" w:firstLineChars="200"/>
        <w:textAlignment w:val="auto"/>
        <w:rPr>
          <w:rFonts w:hint="eastAsia" w:ascii="仿宋" w:hAnsi="仿宋" w:eastAsia="仿宋" w:cs="仿宋"/>
          <w:b w:val="0"/>
          <w:bCs w:val="0"/>
          <w:spacing w:val="-2"/>
          <w:sz w:val="32"/>
          <w:szCs w:val="32"/>
          <w:lang w:val="en-US" w:eastAsia="zh-CN"/>
        </w:rPr>
      </w:pPr>
      <w:r>
        <w:rPr>
          <w:rFonts w:hint="eastAsia" w:ascii="仿宋" w:hAnsi="仿宋" w:eastAsia="仿宋" w:cs="仿宋"/>
          <w:b w:val="0"/>
          <w:bCs w:val="0"/>
          <w:spacing w:val="-2"/>
          <w:sz w:val="32"/>
          <w:szCs w:val="32"/>
          <w:lang w:val="en-US" w:eastAsia="zh-CN"/>
        </w:rPr>
        <w:t>本部门没有政府性基金预算支出。</w:t>
      </w:r>
    </w:p>
    <w:p>
      <w:pPr>
        <w:keepNext w:val="0"/>
        <w:keepLines w:val="0"/>
        <w:pageBreakBefore w:val="0"/>
        <w:kinsoku/>
        <w:wordWrap/>
        <w:overflowPunct/>
        <w:topLinePunct w:val="0"/>
        <w:bidi w:val="0"/>
        <w:spacing w:line="520" w:lineRule="exact"/>
        <w:ind w:firstLine="635" w:firstLineChars="200"/>
        <w:textAlignment w:val="auto"/>
        <w:rPr>
          <w:rFonts w:hint="eastAsia" w:ascii="仿宋" w:hAnsi="仿宋" w:eastAsia="仿宋" w:cs="仿宋"/>
          <w:b/>
          <w:bCs/>
          <w:spacing w:val="-2"/>
          <w:sz w:val="32"/>
          <w:szCs w:val="32"/>
        </w:rPr>
      </w:pPr>
      <w:r>
        <w:rPr>
          <w:rFonts w:hint="eastAsia" w:ascii="仿宋" w:hAnsi="仿宋" w:eastAsia="仿宋" w:cs="仿宋"/>
          <w:b/>
          <w:bCs/>
          <w:spacing w:val="-2"/>
          <w:sz w:val="32"/>
          <w:szCs w:val="32"/>
          <w:lang w:eastAsia="zh-CN"/>
        </w:rPr>
        <w:t>三、</w:t>
      </w:r>
      <w:r>
        <w:rPr>
          <w:rFonts w:hint="eastAsia" w:ascii="仿宋" w:hAnsi="仿宋" w:eastAsia="仿宋" w:cs="仿宋"/>
          <w:b/>
          <w:bCs/>
          <w:spacing w:val="-2"/>
          <w:sz w:val="32"/>
          <w:szCs w:val="32"/>
        </w:rPr>
        <w:t>国有资本经营预算支出情况</w:t>
      </w:r>
    </w:p>
    <w:p>
      <w:pPr>
        <w:keepNext w:val="0"/>
        <w:keepLines w:val="0"/>
        <w:pageBreakBefore w:val="0"/>
        <w:kinsoku/>
        <w:wordWrap/>
        <w:overflowPunct/>
        <w:topLinePunct w:val="0"/>
        <w:bidi w:val="0"/>
        <w:spacing w:line="520" w:lineRule="exact"/>
        <w:ind w:firstLine="632" w:firstLineChars="200"/>
        <w:textAlignment w:val="auto"/>
        <w:rPr>
          <w:rFonts w:hint="eastAsia" w:ascii="仿宋" w:hAnsi="仿宋" w:eastAsia="仿宋" w:cs="仿宋"/>
          <w:b w:val="0"/>
          <w:bCs w:val="0"/>
          <w:spacing w:val="-2"/>
          <w:sz w:val="32"/>
          <w:szCs w:val="32"/>
        </w:rPr>
      </w:pPr>
      <w:r>
        <w:rPr>
          <w:rFonts w:hint="eastAsia" w:ascii="仿宋" w:hAnsi="仿宋" w:eastAsia="仿宋" w:cs="仿宋"/>
          <w:b w:val="0"/>
          <w:bCs w:val="0"/>
          <w:spacing w:val="-2"/>
          <w:sz w:val="32"/>
          <w:szCs w:val="32"/>
          <w:lang w:val="en-US" w:eastAsia="zh-CN"/>
        </w:rPr>
        <w:t>本部门没有国有资本经营预算支出。</w:t>
      </w:r>
    </w:p>
    <w:p>
      <w:pPr>
        <w:keepNext w:val="0"/>
        <w:keepLines w:val="0"/>
        <w:pageBreakBefore w:val="0"/>
        <w:numPr>
          <w:ilvl w:val="0"/>
          <w:numId w:val="0"/>
        </w:numPr>
        <w:kinsoku/>
        <w:wordWrap/>
        <w:overflowPunct/>
        <w:topLinePunct w:val="0"/>
        <w:bidi w:val="0"/>
        <w:spacing w:line="520" w:lineRule="exact"/>
        <w:ind w:left="648" w:leftChars="0"/>
        <w:textAlignment w:val="auto"/>
        <w:rPr>
          <w:rFonts w:hint="eastAsia" w:ascii="仿宋" w:hAnsi="仿宋" w:eastAsia="仿宋" w:cs="仿宋"/>
          <w:b/>
          <w:bCs/>
          <w:spacing w:val="8"/>
          <w:sz w:val="32"/>
          <w:szCs w:val="32"/>
        </w:rPr>
      </w:pPr>
      <w:r>
        <w:rPr>
          <w:rFonts w:hint="eastAsia" w:ascii="仿宋" w:hAnsi="仿宋" w:eastAsia="仿宋" w:cs="仿宋"/>
          <w:b/>
          <w:bCs/>
          <w:spacing w:val="8"/>
          <w:sz w:val="32"/>
          <w:szCs w:val="32"/>
          <w:lang w:eastAsia="zh-CN"/>
        </w:rPr>
        <w:t>四、</w:t>
      </w:r>
      <w:r>
        <w:rPr>
          <w:rFonts w:hint="eastAsia" w:ascii="仿宋" w:hAnsi="仿宋" w:eastAsia="仿宋" w:cs="仿宋"/>
          <w:b/>
          <w:bCs/>
          <w:spacing w:val="8"/>
          <w:sz w:val="32"/>
          <w:szCs w:val="32"/>
        </w:rPr>
        <w:t>社会保险基金预算支出情况</w:t>
      </w:r>
    </w:p>
    <w:p>
      <w:pPr>
        <w:pStyle w:val="4"/>
        <w:keepNext w:val="0"/>
        <w:keepLines w:val="0"/>
        <w:pageBreakBefore w:val="0"/>
        <w:numPr>
          <w:ilvl w:val="0"/>
          <w:numId w:val="0"/>
        </w:numPr>
        <w:kinsoku/>
        <w:wordWrap/>
        <w:overflowPunct/>
        <w:topLinePunct w:val="0"/>
        <w:bidi w:val="0"/>
        <w:spacing w:line="520" w:lineRule="exact"/>
        <w:ind w:left="648" w:leftChars="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本部门没有社会保险预算支出。</w:t>
      </w:r>
    </w:p>
    <w:p>
      <w:pPr>
        <w:keepNext w:val="0"/>
        <w:keepLines w:val="0"/>
        <w:pageBreakBefore w:val="0"/>
        <w:numPr>
          <w:ilvl w:val="0"/>
          <w:numId w:val="0"/>
        </w:numPr>
        <w:kinsoku/>
        <w:wordWrap/>
        <w:overflowPunct/>
        <w:topLinePunct w:val="0"/>
        <w:bidi w:val="0"/>
        <w:spacing w:before="219" w:line="520" w:lineRule="exact"/>
        <w:ind w:left="648" w:leftChars="0"/>
        <w:textAlignment w:val="auto"/>
        <w:rPr>
          <w:rFonts w:hint="eastAsia" w:ascii="仿宋" w:hAnsi="仿宋" w:eastAsia="仿宋" w:cs="仿宋"/>
          <w:b/>
          <w:bCs/>
          <w:sz w:val="32"/>
          <w:szCs w:val="32"/>
          <w:lang w:val="en-US" w:eastAsia="zh-CN"/>
        </w:rPr>
      </w:pPr>
      <w:r>
        <w:rPr>
          <w:rFonts w:hint="eastAsia" w:ascii="仿宋" w:hAnsi="仿宋" w:eastAsia="仿宋" w:cs="仿宋"/>
          <w:b/>
          <w:bCs/>
          <w:spacing w:val="8"/>
          <w:sz w:val="32"/>
          <w:szCs w:val="32"/>
          <w:lang w:eastAsia="zh-CN"/>
        </w:rPr>
        <w:t>五、</w:t>
      </w:r>
      <w:r>
        <w:rPr>
          <w:rFonts w:hint="eastAsia" w:ascii="仿宋" w:hAnsi="仿宋" w:eastAsia="仿宋" w:cs="仿宋"/>
          <w:b/>
          <w:bCs/>
          <w:spacing w:val="8"/>
          <w:sz w:val="32"/>
          <w:szCs w:val="32"/>
        </w:rPr>
        <w:t>部门整体支出绩效情况</w:t>
      </w:r>
    </w:p>
    <w:p>
      <w:pPr>
        <w:keepNext w:val="0"/>
        <w:keepLines w:val="0"/>
        <w:pageBreakBefore w:val="0"/>
        <w:kinsoku/>
        <w:wordWrap/>
        <w:overflowPunct/>
        <w:topLinePunct w:val="0"/>
        <w:bidi w:val="0"/>
        <w:spacing w:line="52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rPr>
        <w:t>1.争项争资</w:t>
      </w:r>
      <w:r>
        <w:rPr>
          <w:rFonts w:hint="eastAsia" w:ascii="仿宋" w:hAnsi="仿宋" w:eastAsia="仿宋" w:cs="仿宋"/>
          <w:b/>
          <w:bCs/>
          <w:sz w:val="32"/>
          <w:szCs w:val="32"/>
          <w:lang w:eastAsia="zh-CN"/>
        </w:rPr>
        <w:t>达到新高度</w:t>
      </w:r>
      <w:r>
        <w:rPr>
          <w:rFonts w:hint="eastAsia" w:ascii="仿宋" w:hAnsi="仿宋" w:eastAsia="仿宋" w:cs="仿宋"/>
          <w:b/>
          <w:bCs/>
          <w:sz w:val="32"/>
          <w:szCs w:val="32"/>
        </w:rPr>
        <w:t>。</w:t>
      </w:r>
      <w:r>
        <w:rPr>
          <w:rFonts w:hint="eastAsia" w:ascii="仿宋" w:hAnsi="仿宋" w:eastAsia="仿宋" w:cs="仿宋"/>
          <w:sz w:val="32"/>
          <w:szCs w:val="32"/>
        </w:rPr>
        <w:t>1-11月，全县争项争资到位</w:t>
      </w:r>
      <w:r>
        <w:rPr>
          <w:rFonts w:hint="eastAsia" w:ascii="仿宋" w:hAnsi="仿宋" w:eastAsia="仿宋" w:cs="仿宋"/>
          <w:sz w:val="32"/>
          <w:szCs w:val="32"/>
          <w:lang w:eastAsia="zh-CN"/>
        </w:rPr>
        <w:t>财政性</w:t>
      </w:r>
      <w:r>
        <w:rPr>
          <w:rFonts w:hint="eastAsia" w:ascii="仿宋" w:hAnsi="仿宋" w:eastAsia="仿宋" w:cs="仿宋"/>
          <w:sz w:val="32"/>
          <w:szCs w:val="32"/>
        </w:rPr>
        <w:t>资金34.</w:t>
      </w:r>
      <w:r>
        <w:rPr>
          <w:rFonts w:hint="eastAsia" w:ascii="仿宋" w:hAnsi="仿宋" w:eastAsia="仿宋" w:cs="仿宋"/>
          <w:sz w:val="32"/>
          <w:szCs w:val="32"/>
          <w:lang w:val="en-US" w:eastAsia="zh-CN"/>
        </w:rPr>
        <w:t>4</w:t>
      </w:r>
      <w:r>
        <w:rPr>
          <w:rFonts w:hint="eastAsia" w:ascii="仿宋" w:hAnsi="仿宋" w:eastAsia="仿宋" w:cs="仿宋"/>
          <w:sz w:val="32"/>
          <w:szCs w:val="32"/>
        </w:rPr>
        <w:t>亿元，占市政府下达华容县任务3</w:t>
      </w:r>
      <w:r>
        <w:rPr>
          <w:rFonts w:hint="eastAsia" w:ascii="仿宋" w:hAnsi="仿宋" w:eastAsia="仿宋" w:cs="仿宋"/>
          <w:sz w:val="32"/>
          <w:szCs w:val="32"/>
          <w:lang w:val="en-US" w:eastAsia="zh-CN"/>
        </w:rPr>
        <w:t>7.1</w:t>
      </w:r>
      <w:r>
        <w:rPr>
          <w:rFonts w:hint="eastAsia" w:ascii="仿宋" w:hAnsi="仿宋" w:eastAsia="仿宋" w:cs="仿宋"/>
          <w:sz w:val="32"/>
          <w:szCs w:val="32"/>
        </w:rPr>
        <w:t>亿元的</w:t>
      </w:r>
      <w:r>
        <w:rPr>
          <w:rFonts w:hint="eastAsia" w:ascii="仿宋" w:hAnsi="仿宋" w:eastAsia="仿宋" w:cs="仿宋"/>
          <w:sz w:val="32"/>
          <w:szCs w:val="32"/>
          <w:lang w:val="en-US" w:eastAsia="zh-CN"/>
        </w:rPr>
        <w:t>92.72</w:t>
      </w:r>
      <w:r>
        <w:rPr>
          <w:rFonts w:hint="eastAsia" w:ascii="仿宋" w:hAnsi="仿宋" w:eastAsia="仿宋" w:cs="仿宋"/>
          <w:sz w:val="32"/>
          <w:szCs w:val="32"/>
        </w:rPr>
        <w:t>%</w:t>
      </w:r>
      <w:r>
        <w:rPr>
          <w:rFonts w:hint="eastAsia" w:ascii="仿宋" w:hAnsi="仿宋" w:eastAsia="仿宋" w:cs="仿宋"/>
          <w:sz w:val="32"/>
          <w:szCs w:val="32"/>
          <w:lang w:eastAsia="zh-CN"/>
        </w:rPr>
        <w:t>，其中，项目类资金占比超过</w:t>
      </w:r>
      <w:r>
        <w:rPr>
          <w:rFonts w:hint="eastAsia" w:ascii="仿宋" w:hAnsi="仿宋" w:eastAsia="仿宋" w:cs="仿宋"/>
          <w:sz w:val="32"/>
          <w:szCs w:val="32"/>
          <w:lang w:val="en-US" w:eastAsia="zh-CN"/>
        </w:rPr>
        <w:t>20%，排名全市靠前。争取中央预算内项目近30个，到位竞争性项目资金3.9亿元，是华容近年来最多的。争取特别国债资金5.4亿元，额度排名全市第二。储备2024年中央预算内项目87个，总投资45亿元。储备2024年专项债券项目39个，总投资80.62亿元。</w:t>
      </w:r>
    </w:p>
    <w:p>
      <w:pPr>
        <w:keepNext w:val="0"/>
        <w:keepLines w:val="0"/>
        <w:pageBreakBefore w:val="0"/>
        <w:kinsoku/>
        <w:wordWrap/>
        <w:overflowPunct/>
        <w:topLinePunct w:val="0"/>
        <w:bidi w:val="0"/>
        <w:spacing w:line="52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2.重大项目推进取得新进展。</w:t>
      </w:r>
      <w:r>
        <w:rPr>
          <w:rFonts w:hint="eastAsia" w:ascii="仿宋" w:hAnsi="仿宋" w:eastAsia="仿宋" w:cs="仿宋"/>
          <w:b/>
          <w:bCs/>
          <w:sz w:val="32"/>
          <w:szCs w:val="32"/>
          <w:lang w:eastAsia="zh-CN"/>
        </w:rPr>
        <w:t>一</w:t>
      </w:r>
      <w:r>
        <w:rPr>
          <w:rFonts w:hint="eastAsia" w:ascii="仿宋" w:hAnsi="仿宋" w:eastAsia="仿宋" w:cs="仿宋"/>
          <w:b/>
          <w:bCs/>
          <w:sz w:val="32"/>
          <w:szCs w:val="32"/>
        </w:rPr>
        <w:t>是</w:t>
      </w:r>
      <w:r>
        <w:rPr>
          <w:rFonts w:hint="eastAsia" w:ascii="仿宋" w:hAnsi="仿宋" w:eastAsia="仿宋" w:cs="仿宋"/>
          <w:sz w:val="32"/>
          <w:szCs w:val="32"/>
        </w:rPr>
        <w:t>国能岳阳电厂</w:t>
      </w:r>
      <w:r>
        <w:rPr>
          <w:rFonts w:hint="eastAsia" w:ascii="仿宋" w:hAnsi="仿宋" w:eastAsia="仿宋" w:cs="仿宋"/>
          <w:sz w:val="32"/>
          <w:szCs w:val="32"/>
          <w:lang w:eastAsia="zh-CN"/>
        </w:rPr>
        <w:t>顺利实现双机运营。</w:t>
      </w:r>
      <w:r>
        <w:rPr>
          <w:rFonts w:hint="eastAsia" w:ascii="仿宋" w:hAnsi="仿宋" w:eastAsia="仿宋" w:cs="仿宋"/>
          <w:b/>
          <w:bCs/>
          <w:sz w:val="32"/>
          <w:szCs w:val="32"/>
          <w:lang w:eastAsia="zh-CN"/>
        </w:rPr>
        <w:t>二是</w:t>
      </w:r>
      <w:r>
        <w:rPr>
          <w:rFonts w:hint="eastAsia" w:ascii="仿宋" w:hAnsi="仿宋" w:eastAsia="仿宋" w:cs="仿宋"/>
          <w:sz w:val="32"/>
          <w:szCs w:val="32"/>
        </w:rPr>
        <w:t>扎实推进煤炭铁水联运储配基地建设</w:t>
      </w:r>
      <w:r>
        <w:rPr>
          <w:rFonts w:hint="eastAsia" w:ascii="仿宋" w:hAnsi="仿宋" w:eastAsia="仿宋" w:cs="仿宋"/>
          <w:sz w:val="32"/>
          <w:szCs w:val="32"/>
          <w:lang w:eastAsia="zh-CN"/>
        </w:rPr>
        <w:t>。</w:t>
      </w:r>
      <w:r>
        <w:rPr>
          <w:rFonts w:hint="eastAsia" w:ascii="仿宋" w:hAnsi="仿宋" w:eastAsia="仿宋" w:cs="仿宋"/>
          <w:sz w:val="32"/>
          <w:szCs w:val="32"/>
        </w:rPr>
        <w:t>1-11月已完成投资</w:t>
      </w:r>
      <w:r>
        <w:rPr>
          <w:rFonts w:hint="eastAsia" w:ascii="仿宋" w:hAnsi="仿宋" w:eastAsia="仿宋" w:cs="仿宋"/>
          <w:sz w:val="32"/>
          <w:szCs w:val="32"/>
          <w:lang w:val="en-US" w:eastAsia="zh-CN"/>
        </w:rPr>
        <w:t>9.74</w:t>
      </w:r>
      <w:r>
        <w:rPr>
          <w:rFonts w:hint="eastAsia" w:ascii="仿宋" w:hAnsi="仿宋" w:eastAsia="仿宋" w:cs="仿宋"/>
          <w:sz w:val="32"/>
          <w:szCs w:val="32"/>
        </w:rPr>
        <w:t>亿元，预计年底可累计完成投资</w:t>
      </w:r>
      <w:r>
        <w:rPr>
          <w:rFonts w:hint="eastAsia" w:ascii="仿宋" w:hAnsi="仿宋" w:eastAsia="仿宋" w:cs="仿宋"/>
          <w:sz w:val="32"/>
          <w:szCs w:val="32"/>
          <w:lang w:val="en-US" w:eastAsia="zh-CN"/>
        </w:rPr>
        <w:t>11.5</w:t>
      </w:r>
      <w:r>
        <w:rPr>
          <w:rFonts w:hint="eastAsia" w:ascii="仿宋" w:hAnsi="仿宋" w:eastAsia="仿宋" w:cs="仿宋"/>
          <w:sz w:val="32"/>
          <w:szCs w:val="32"/>
        </w:rPr>
        <w:t>亿元以上</w:t>
      </w:r>
      <w:r>
        <w:rPr>
          <w:rFonts w:hint="eastAsia" w:ascii="仿宋" w:hAnsi="仿宋" w:eastAsia="仿宋" w:cs="仿宋"/>
          <w:sz w:val="32"/>
          <w:szCs w:val="32"/>
          <w:lang w:eastAsia="zh-CN"/>
        </w:rPr>
        <w:t>。</w:t>
      </w:r>
      <w:r>
        <w:rPr>
          <w:rFonts w:hint="eastAsia" w:ascii="仿宋" w:hAnsi="仿宋" w:eastAsia="仿宋" w:cs="仿宋"/>
          <w:b/>
          <w:bCs/>
          <w:sz w:val="32"/>
          <w:szCs w:val="32"/>
          <w:lang w:eastAsia="zh-CN"/>
        </w:rPr>
        <w:t>三是</w:t>
      </w:r>
      <w:r>
        <w:rPr>
          <w:rFonts w:hint="eastAsia" w:ascii="仿宋" w:hAnsi="仿宋" w:eastAsia="仿宋" w:cs="仿宋"/>
          <w:sz w:val="32"/>
          <w:szCs w:val="32"/>
        </w:rPr>
        <w:t>监利至华容公铁两用大桥已基本完成可行性研究报告编制工作</w:t>
      </w:r>
      <w:r>
        <w:rPr>
          <w:rFonts w:hint="eastAsia" w:ascii="仿宋" w:hAnsi="仿宋" w:eastAsia="仿宋" w:cs="仿宋"/>
          <w:sz w:val="32"/>
          <w:szCs w:val="32"/>
          <w:lang w:eastAsia="zh-CN"/>
        </w:rPr>
        <w:t>，并与监利市签订</w:t>
      </w:r>
      <w:r>
        <w:rPr>
          <w:rFonts w:hint="eastAsia" w:ascii="仿宋" w:hAnsi="仿宋" w:eastAsia="仿宋" w:cs="仿宋"/>
          <w:sz w:val="32"/>
          <w:szCs w:val="32"/>
        </w:rPr>
        <w:t>《关于加快监利至华容公铁两用大桥项目的协议》</w:t>
      </w:r>
      <w:r>
        <w:rPr>
          <w:rFonts w:hint="eastAsia" w:ascii="仿宋" w:hAnsi="仿宋" w:eastAsia="仿宋" w:cs="仿宋"/>
          <w:sz w:val="32"/>
          <w:szCs w:val="32"/>
          <w:lang w:eastAsia="zh-CN"/>
        </w:rPr>
        <w:t>。</w:t>
      </w:r>
      <w:r>
        <w:rPr>
          <w:rFonts w:hint="eastAsia" w:ascii="仿宋" w:hAnsi="仿宋" w:eastAsia="仿宋" w:cs="仿宋"/>
          <w:b/>
          <w:bCs/>
          <w:sz w:val="32"/>
          <w:szCs w:val="32"/>
          <w:lang w:eastAsia="zh-CN"/>
        </w:rPr>
        <w:t>四是</w:t>
      </w:r>
      <w:r>
        <w:rPr>
          <w:rFonts w:hint="eastAsia" w:ascii="仿宋" w:hAnsi="仿宋" w:eastAsia="仿宋" w:cs="仿宋"/>
          <w:sz w:val="32"/>
          <w:szCs w:val="32"/>
          <w:lang w:eastAsia="zh-CN"/>
        </w:rPr>
        <w:t>铁路前期工作。</w:t>
      </w:r>
      <w:r>
        <w:rPr>
          <w:rFonts w:hint="eastAsia" w:ascii="仿宋" w:hAnsi="仿宋" w:eastAsia="仿宋" w:cs="仿宋"/>
          <w:b w:val="0"/>
          <w:bCs w:val="0"/>
          <w:sz w:val="32"/>
          <w:szCs w:val="32"/>
          <w:lang w:val="zh-CN" w:eastAsia="zh-CN"/>
        </w:rPr>
        <w:t>荆岳铁路、监利-华容-南县-益阳铁路纳入国家铁路中长期规划修编</w:t>
      </w:r>
      <w:r>
        <w:rPr>
          <w:rFonts w:hint="eastAsia" w:ascii="仿宋" w:hAnsi="仿宋" w:eastAsia="仿宋" w:cs="仿宋"/>
          <w:b w:val="0"/>
          <w:bCs w:val="0"/>
          <w:sz w:val="32"/>
          <w:szCs w:val="32"/>
          <w:lang w:val="en-US" w:eastAsia="zh-CN"/>
        </w:rPr>
        <w:t>。</w:t>
      </w:r>
      <w:r>
        <w:rPr>
          <w:rFonts w:hint="eastAsia" w:ascii="仿宋" w:hAnsi="仿宋" w:eastAsia="仿宋" w:cs="仿宋"/>
          <w:sz w:val="32"/>
          <w:szCs w:val="32"/>
          <w:lang w:val="en-US" w:eastAsia="zh-CN"/>
        </w:rPr>
        <w:t>《华容县中长期铁路网规划、铁路建设与县域发展研究及站区概念规划》正在加快编制。</w:t>
      </w:r>
      <w:r>
        <w:rPr>
          <w:rFonts w:hint="eastAsia" w:ascii="仿宋" w:hAnsi="仿宋" w:eastAsia="仿宋" w:cs="仿宋"/>
          <w:b w:val="0"/>
          <w:bCs w:val="0"/>
          <w:color w:val="auto"/>
          <w:sz w:val="32"/>
          <w:szCs w:val="32"/>
          <w:highlight w:val="none"/>
          <w:lang w:val="en-US" w:eastAsia="zh-CN"/>
        </w:rPr>
        <w:t>另外，</w:t>
      </w:r>
      <w:r>
        <w:rPr>
          <w:rFonts w:hint="eastAsia" w:ascii="仿宋" w:hAnsi="仿宋" w:eastAsia="仿宋" w:cs="仿宋"/>
          <w:sz w:val="32"/>
          <w:szCs w:val="32"/>
          <w:lang w:eastAsia="zh-CN"/>
        </w:rPr>
        <w:t>四口水系治理、华汨高速纳入三省协同发展的推进项目。</w:t>
      </w:r>
    </w:p>
    <w:p>
      <w:pPr>
        <w:keepNext w:val="0"/>
        <w:keepLines w:val="0"/>
        <w:pageBreakBefore w:val="0"/>
        <w:kinsoku/>
        <w:wordWrap/>
        <w:overflowPunct/>
        <w:topLinePunct w:val="0"/>
        <w:bidi w:val="0"/>
        <w:spacing w:line="52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3.行政审批进一步优化服务。一是立项审批。</w:t>
      </w:r>
      <w:r>
        <w:rPr>
          <w:rFonts w:hint="eastAsia" w:ascii="仿宋" w:hAnsi="仿宋" w:eastAsia="仿宋" w:cs="仿宋"/>
          <w:sz w:val="32"/>
          <w:szCs w:val="32"/>
          <w:lang w:val="en-US" w:eastAsia="zh-CN"/>
        </w:rPr>
        <w:t>1-11月，审批政府投资项目164个，投资金额90.99亿元；企业投资项目备案审批97个，投资金额127.59亿元；企业投资项目核准3个，投资额8030万元。</w:t>
      </w:r>
      <w:r>
        <w:rPr>
          <w:rFonts w:hint="eastAsia" w:ascii="仿宋" w:hAnsi="仿宋" w:eastAsia="仿宋" w:cs="仿宋"/>
          <w:b/>
          <w:bCs/>
          <w:sz w:val="32"/>
          <w:szCs w:val="32"/>
          <w:lang w:val="en-US" w:eastAsia="zh-CN"/>
        </w:rPr>
        <w:t>二是概算审批。</w:t>
      </w:r>
      <w:r>
        <w:rPr>
          <w:rFonts w:hint="eastAsia" w:ascii="仿宋" w:hAnsi="仿宋" w:eastAsia="仿宋" w:cs="仿宋"/>
          <w:sz w:val="32"/>
          <w:szCs w:val="32"/>
          <w:lang w:val="en-US" w:eastAsia="zh-CN"/>
        </w:rPr>
        <w:t>1-11月，完成政府投资项目概算批复118个，总投资额57.28亿元，核减5.22亿元。</w:t>
      </w:r>
      <w:r>
        <w:rPr>
          <w:rFonts w:hint="eastAsia" w:ascii="仿宋" w:hAnsi="仿宋" w:eastAsia="仿宋" w:cs="仿宋"/>
          <w:b/>
          <w:bCs/>
          <w:sz w:val="32"/>
          <w:szCs w:val="32"/>
          <w:lang w:val="en-US" w:eastAsia="zh-CN"/>
        </w:rPr>
        <w:t>三是人防工程审批。</w:t>
      </w:r>
      <w:r>
        <w:rPr>
          <w:rFonts w:hint="eastAsia" w:ascii="仿宋" w:hAnsi="仿宋" w:eastAsia="仿宋" w:cs="仿宋"/>
          <w:sz w:val="32"/>
          <w:szCs w:val="32"/>
          <w:lang w:val="en-US" w:eastAsia="zh-CN"/>
        </w:rPr>
        <w:t>审批人防易地建设项目53个，征地易地建设费150多万元。</w:t>
      </w:r>
      <w:r>
        <w:rPr>
          <w:rFonts w:hint="eastAsia" w:ascii="仿宋" w:hAnsi="仿宋" w:eastAsia="仿宋" w:cs="仿宋"/>
          <w:b/>
          <w:bCs/>
          <w:sz w:val="32"/>
          <w:szCs w:val="32"/>
          <w:lang w:val="en-US" w:eastAsia="zh-CN"/>
        </w:rPr>
        <w:t>四是梳理审批流程。</w:t>
      </w:r>
      <w:r>
        <w:rPr>
          <w:rFonts w:hint="eastAsia" w:ascii="仿宋" w:hAnsi="仿宋" w:eastAsia="仿宋" w:cs="仿宋"/>
          <w:b w:val="0"/>
          <w:bCs w:val="0"/>
          <w:sz w:val="32"/>
          <w:szCs w:val="32"/>
          <w:lang w:val="en-US" w:eastAsia="zh-CN"/>
        </w:rPr>
        <w:t>牵头组织10多个部门汇编了《争项争资项目前期工作优化审批流程模板资料》，需提供的资料从124项减少到29项。所有审批项目全部进入监管平台线上审批，实现企业投资备案项目审批1个工作日办结，企业投资核准项目审批5个工作日办结。</w:t>
      </w:r>
    </w:p>
    <w:p>
      <w:pPr>
        <w:keepNext w:val="0"/>
        <w:keepLines w:val="0"/>
        <w:pageBreakBefore w:val="0"/>
        <w:kinsoku/>
        <w:wordWrap/>
        <w:overflowPunct/>
        <w:topLinePunct w:val="0"/>
        <w:bidi w:val="0"/>
        <w:spacing w:line="52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4.招投标进一步严格把关。</w:t>
      </w:r>
      <w:r>
        <w:rPr>
          <w:rFonts w:hint="eastAsia" w:ascii="仿宋" w:hAnsi="仿宋" w:eastAsia="仿宋" w:cs="仿宋"/>
          <w:sz w:val="32"/>
          <w:szCs w:val="32"/>
          <w:lang w:val="en-US" w:eastAsia="zh-CN"/>
        </w:rPr>
        <w:t>坚持以政策法规为依据、以政府投资工程项目招标文件审核为主线，以建设工程领域突出问题专项整治为重点、以项目开标现场监督和项目标后检查为抓手，全年审核项目招标文件40份，开展专项整治2次，现场监督开标36次，组织标后检查4次，处理异议投诉1起，对2家招标代理公司行为不规范进行考评记录并予以通报，对其中1家代理公司及负责人记一般不良行为记录。</w:t>
      </w:r>
    </w:p>
    <w:p>
      <w:pPr>
        <w:keepNext w:val="0"/>
        <w:keepLines w:val="0"/>
        <w:pageBreakBefore w:val="0"/>
        <w:kinsoku/>
        <w:wordWrap/>
        <w:overflowPunct/>
        <w:topLinePunct w:val="0"/>
        <w:bidi w:val="0"/>
        <w:spacing w:line="52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5.信用信息取得新成效。一是数据归集。</w:t>
      </w:r>
      <w:r>
        <w:rPr>
          <w:rFonts w:hint="eastAsia" w:ascii="仿宋" w:hAnsi="仿宋" w:eastAsia="仿宋" w:cs="仿宋"/>
          <w:sz w:val="32"/>
          <w:szCs w:val="32"/>
        </w:rPr>
        <w:t>华容县公共信用信息平台上报数据单位</w:t>
      </w:r>
      <w:r>
        <w:rPr>
          <w:rFonts w:hint="eastAsia" w:ascii="仿宋" w:hAnsi="仿宋" w:eastAsia="仿宋" w:cs="仿宋"/>
          <w:sz w:val="32"/>
          <w:szCs w:val="32"/>
          <w:lang w:val="en-US" w:eastAsia="zh-CN"/>
        </w:rPr>
        <w:t>21</w:t>
      </w:r>
      <w:r>
        <w:rPr>
          <w:rFonts w:hint="eastAsia" w:ascii="仿宋" w:hAnsi="仿宋" w:eastAsia="仿宋" w:cs="仿宋"/>
          <w:sz w:val="32"/>
          <w:szCs w:val="32"/>
        </w:rPr>
        <w:t>家，共</w:t>
      </w:r>
      <w:r>
        <w:rPr>
          <w:rFonts w:hint="eastAsia" w:ascii="仿宋" w:hAnsi="仿宋" w:eastAsia="仿宋" w:cs="仿宋"/>
          <w:sz w:val="32"/>
          <w:szCs w:val="32"/>
          <w:lang w:val="en-US" w:eastAsia="zh-CN"/>
        </w:rPr>
        <w:t>61916条，</w:t>
      </w:r>
      <w:r>
        <w:rPr>
          <w:rFonts w:hint="eastAsia" w:ascii="仿宋" w:hAnsi="仿宋" w:eastAsia="仿宋" w:cs="仿宋"/>
          <w:sz w:val="32"/>
          <w:szCs w:val="32"/>
        </w:rPr>
        <w:t>合规率为</w:t>
      </w:r>
      <w:r>
        <w:rPr>
          <w:rFonts w:hint="eastAsia" w:ascii="仿宋" w:hAnsi="仿宋" w:eastAsia="仿宋" w:cs="仿宋"/>
          <w:sz w:val="32"/>
          <w:szCs w:val="32"/>
          <w:lang w:val="en-US" w:eastAsia="zh-CN"/>
        </w:rPr>
        <w:t>100</w:t>
      </w:r>
      <w:r>
        <w:rPr>
          <w:rFonts w:hint="eastAsia" w:ascii="仿宋" w:hAnsi="仿宋" w:eastAsia="仿宋" w:cs="仿宋"/>
          <w:sz w:val="32"/>
          <w:szCs w:val="32"/>
        </w:rPr>
        <w:t>%，数据报送量排名全市第</w:t>
      </w:r>
      <w:r>
        <w:rPr>
          <w:rFonts w:hint="eastAsia" w:ascii="仿宋" w:hAnsi="仿宋" w:eastAsia="仿宋" w:cs="仿宋"/>
          <w:sz w:val="32"/>
          <w:szCs w:val="32"/>
          <w:lang w:val="en-US" w:eastAsia="zh-CN"/>
        </w:rPr>
        <w:t>2</w:t>
      </w:r>
      <w:r>
        <w:rPr>
          <w:rFonts w:hint="eastAsia" w:ascii="仿宋" w:hAnsi="仿宋" w:eastAsia="仿宋" w:cs="仿宋"/>
          <w:sz w:val="32"/>
          <w:szCs w:val="32"/>
        </w:rPr>
        <w:t>。</w:t>
      </w:r>
      <w:r>
        <w:rPr>
          <w:rFonts w:hint="eastAsia" w:ascii="仿宋" w:hAnsi="仿宋" w:eastAsia="仿宋" w:cs="仿宋"/>
          <w:b/>
          <w:bCs/>
          <w:sz w:val="32"/>
          <w:szCs w:val="32"/>
          <w:lang w:val="en-US" w:eastAsia="zh-CN"/>
        </w:rPr>
        <w:t>二是信用核查。</w:t>
      </w:r>
      <w:r>
        <w:rPr>
          <w:rFonts w:hint="eastAsia" w:ascii="仿宋" w:hAnsi="仿宋" w:eastAsia="仿宋" w:cs="仿宋"/>
          <w:sz w:val="32"/>
          <w:szCs w:val="32"/>
          <w:lang w:eastAsia="zh-CN"/>
        </w:rPr>
        <w:t>截至</w:t>
      </w:r>
      <w:r>
        <w:rPr>
          <w:rFonts w:hint="eastAsia" w:ascii="仿宋" w:hAnsi="仿宋" w:eastAsia="仿宋" w:cs="仿宋"/>
          <w:sz w:val="32"/>
          <w:szCs w:val="32"/>
          <w:lang w:val="en-US" w:eastAsia="zh-CN"/>
        </w:rPr>
        <w:t>11月</w:t>
      </w:r>
      <w:r>
        <w:rPr>
          <w:rFonts w:hint="eastAsia" w:ascii="仿宋" w:hAnsi="仿宋" w:eastAsia="仿宋" w:cs="仿宋"/>
          <w:sz w:val="32"/>
          <w:szCs w:val="32"/>
          <w:lang w:eastAsia="zh-CN"/>
        </w:rPr>
        <w:t>，</w:t>
      </w:r>
      <w:r>
        <w:rPr>
          <w:rFonts w:hint="eastAsia" w:ascii="仿宋" w:hAnsi="仿宋" w:eastAsia="仿宋" w:cs="仿宋"/>
          <w:sz w:val="32"/>
          <w:szCs w:val="32"/>
        </w:rPr>
        <w:t>核查对象1</w:t>
      </w:r>
      <w:r>
        <w:rPr>
          <w:rFonts w:hint="eastAsia" w:ascii="仿宋" w:hAnsi="仿宋" w:eastAsia="仿宋" w:cs="仿宋"/>
          <w:sz w:val="32"/>
          <w:szCs w:val="32"/>
          <w:lang w:val="en-US" w:eastAsia="zh-CN"/>
        </w:rPr>
        <w:t>986</w:t>
      </w:r>
      <w:r>
        <w:rPr>
          <w:rFonts w:hint="eastAsia" w:ascii="仿宋" w:hAnsi="仿宋" w:eastAsia="仿宋" w:cs="仿宋"/>
          <w:sz w:val="32"/>
          <w:szCs w:val="32"/>
        </w:rPr>
        <w:t>人</w:t>
      </w:r>
      <w:r>
        <w:rPr>
          <w:rFonts w:hint="eastAsia" w:ascii="仿宋" w:hAnsi="仿宋" w:eastAsia="仿宋" w:cs="仿宋"/>
          <w:sz w:val="32"/>
          <w:szCs w:val="32"/>
          <w:lang w:eastAsia="zh-CN"/>
        </w:rPr>
        <w:t>，其中</w:t>
      </w:r>
      <w:r>
        <w:rPr>
          <w:rFonts w:hint="eastAsia" w:ascii="仿宋" w:hAnsi="仿宋" w:eastAsia="仿宋" w:cs="仿宋"/>
          <w:sz w:val="32"/>
          <w:szCs w:val="32"/>
        </w:rPr>
        <w:t>干部任前核查442人</w:t>
      </w:r>
      <w:r>
        <w:rPr>
          <w:rFonts w:hint="eastAsia" w:ascii="仿宋" w:hAnsi="仿宋" w:eastAsia="仿宋" w:cs="仿宋"/>
          <w:sz w:val="32"/>
          <w:szCs w:val="32"/>
          <w:lang w:eastAsia="zh-CN"/>
        </w:rPr>
        <w:t>；</w:t>
      </w:r>
      <w:r>
        <w:rPr>
          <w:rFonts w:hint="eastAsia" w:ascii="仿宋" w:hAnsi="仿宋" w:eastAsia="仿宋" w:cs="仿宋"/>
          <w:sz w:val="32"/>
          <w:szCs w:val="32"/>
        </w:rPr>
        <w:t>立项、审批、招投标代理核查企业</w:t>
      </w:r>
      <w:r>
        <w:rPr>
          <w:rFonts w:hint="eastAsia" w:ascii="仿宋" w:hAnsi="仿宋" w:eastAsia="仿宋" w:cs="仿宋"/>
          <w:sz w:val="32"/>
          <w:szCs w:val="32"/>
          <w:lang w:val="en-US" w:eastAsia="zh-CN"/>
        </w:rPr>
        <w:t>115</w:t>
      </w:r>
      <w:r>
        <w:rPr>
          <w:rFonts w:hint="eastAsia" w:ascii="仿宋" w:hAnsi="仿宋" w:eastAsia="仿宋" w:cs="仿宋"/>
          <w:sz w:val="32"/>
          <w:szCs w:val="32"/>
        </w:rPr>
        <w:t>家</w:t>
      </w:r>
      <w:r>
        <w:rPr>
          <w:rFonts w:hint="eastAsia" w:ascii="仿宋" w:hAnsi="仿宋" w:eastAsia="仿宋" w:cs="仿宋"/>
          <w:sz w:val="32"/>
          <w:szCs w:val="32"/>
          <w:lang w:eastAsia="zh-CN"/>
        </w:rPr>
        <w:t>；</w:t>
      </w:r>
      <w:r>
        <w:rPr>
          <w:rFonts w:hint="eastAsia" w:ascii="仿宋" w:hAnsi="仿宋" w:eastAsia="仿宋" w:cs="仿宋"/>
          <w:sz w:val="32"/>
          <w:szCs w:val="32"/>
        </w:rPr>
        <w:t>机关事业单位</w:t>
      </w:r>
      <w:r>
        <w:rPr>
          <w:rFonts w:hint="eastAsia" w:ascii="仿宋" w:hAnsi="仿宋" w:eastAsia="仿宋" w:cs="仿宋"/>
          <w:sz w:val="32"/>
          <w:szCs w:val="32"/>
          <w:lang w:val="en-US" w:eastAsia="zh-CN"/>
        </w:rPr>
        <w:t>37</w:t>
      </w:r>
      <w:r>
        <w:rPr>
          <w:rFonts w:hint="eastAsia" w:ascii="仿宋" w:hAnsi="仿宋" w:eastAsia="仿宋" w:cs="仿宋"/>
          <w:sz w:val="32"/>
          <w:szCs w:val="32"/>
        </w:rPr>
        <w:t>家</w:t>
      </w:r>
      <w:r>
        <w:rPr>
          <w:rFonts w:hint="eastAsia" w:ascii="仿宋" w:hAnsi="仿宋" w:eastAsia="仿宋" w:cs="仿宋"/>
          <w:sz w:val="32"/>
          <w:szCs w:val="32"/>
          <w:lang w:eastAsia="zh-CN"/>
        </w:rPr>
        <w:t>。</w:t>
      </w:r>
      <w:r>
        <w:rPr>
          <w:rFonts w:hint="eastAsia" w:ascii="仿宋" w:hAnsi="仿宋" w:eastAsia="仿宋" w:cs="仿宋"/>
          <w:b/>
          <w:bCs/>
          <w:sz w:val="32"/>
          <w:szCs w:val="32"/>
          <w:lang w:val="en-US" w:eastAsia="zh-CN"/>
        </w:rPr>
        <w:t>三是信用宣传。</w:t>
      </w:r>
      <w:r>
        <w:rPr>
          <w:rFonts w:hint="eastAsia" w:ascii="仿宋" w:hAnsi="仿宋" w:eastAsia="仿宋" w:cs="仿宋"/>
          <w:sz w:val="32"/>
          <w:szCs w:val="32"/>
        </w:rPr>
        <w:t>开展“信易贷”岳阳站平台入驻</w:t>
      </w:r>
      <w:r>
        <w:rPr>
          <w:rFonts w:hint="eastAsia" w:ascii="仿宋" w:hAnsi="仿宋" w:eastAsia="仿宋" w:cs="仿宋"/>
          <w:sz w:val="32"/>
          <w:szCs w:val="32"/>
          <w:lang w:eastAsia="zh-CN"/>
        </w:rPr>
        <w:t>宣传活动，</w:t>
      </w:r>
      <w:r>
        <w:rPr>
          <w:rFonts w:hint="eastAsia" w:ascii="仿宋" w:hAnsi="仿宋" w:eastAsia="仿宋" w:cs="仿宋"/>
          <w:sz w:val="32"/>
          <w:szCs w:val="32"/>
        </w:rPr>
        <w:t>入驻平台企业个体工商户</w:t>
      </w:r>
      <w:r>
        <w:rPr>
          <w:rFonts w:hint="eastAsia" w:ascii="仿宋" w:hAnsi="仿宋" w:eastAsia="仿宋" w:cs="仿宋"/>
          <w:sz w:val="32"/>
          <w:szCs w:val="32"/>
          <w:lang w:val="en-US" w:eastAsia="zh-CN"/>
        </w:rPr>
        <w:t>22785</w:t>
      </w:r>
      <w:r>
        <w:rPr>
          <w:rFonts w:hint="eastAsia" w:ascii="仿宋" w:hAnsi="仿宋" w:eastAsia="仿宋" w:cs="仿宋"/>
          <w:sz w:val="32"/>
          <w:szCs w:val="32"/>
        </w:rPr>
        <w:t>家，平台授信</w:t>
      </w:r>
      <w:r>
        <w:rPr>
          <w:rFonts w:hint="eastAsia" w:ascii="仿宋" w:hAnsi="仿宋" w:eastAsia="仿宋" w:cs="仿宋"/>
          <w:sz w:val="32"/>
          <w:szCs w:val="32"/>
          <w:lang w:val="en-US" w:eastAsia="zh-CN"/>
        </w:rPr>
        <w:t>17笔，完成授信金额1.42亿元。我县信用工作典型经验在省发改委网站上予以推介，并在岳阳市社会信用体系建设工作推进会上作经验交流发言。</w:t>
      </w:r>
    </w:p>
    <w:p>
      <w:pPr>
        <w:keepNext w:val="0"/>
        <w:keepLines w:val="0"/>
        <w:pageBreakBefore w:val="0"/>
        <w:kinsoku/>
        <w:wordWrap/>
        <w:overflowPunct/>
        <w:topLinePunct w:val="0"/>
        <w:bidi w:val="0"/>
        <w:spacing w:line="52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6.收费价管突出民生优先。</w:t>
      </w:r>
      <w:r>
        <w:rPr>
          <w:rFonts w:hint="eastAsia" w:ascii="仿宋" w:hAnsi="仿宋" w:eastAsia="仿宋" w:cs="仿宋"/>
          <w:b/>
          <w:bCs/>
          <w:sz w:val="32"/>
          <w:szCs w:val="32"/>
        </w:rPr>
        <w:t>一是规范价格收费行为。</w:t>
      </w:r>
      <w:r>
        <w:rPr>
          <w:rFonts w:hint="eastAsia" w:ascii="仿宋" w:hAnsi="仿宋" w:eastAsia="仿宋" w:cs="仿宋"/>
          <w:sz w:val="32"/>
          <w:szCs w:val="32"/>
        </w:rPr>
        <w:t>制定了我县春</w:t>
      </w:r>
      <w:r>
        <w:rPr>
          <w:rFonts w:hint="eastAsia" w:ascii="仿宋" w:hAnsi="仿宋" w:eastAsia="仿宋" w:cs="仿宋"/>
          <w:sz w:val="32"/>
          <w:szCs w:val="32"/>
          <w:lang w:eastAsia="zh-CN"/>
        </w:rPr>
        <w:t>秋两</w:t>
      </w:r>
      <w:r>
        <w:rPr>
          <w:rFonts w:hint="eastAsia" w:ascii="仿宋" w:hAnsi="仿宋" w:eastAsia="仿宋" w:cs="仿宋"/>
          <w:sz w:val="32"/>
          <w:szCs w:val="32"/>
        </w:rPr>
        <w:t>季教育收费文件</w:t>
      </w:r>
      <w:r>
        <w:rPr>
          <w:rFonts w:hint="eastAsia" w:ascii="仿宋" w:hAnsi="仿宋" w:eastAsia="仿宋" w:cs="仿宋"/>
          <w:sz w:val="32"/>
          <w:szCs w:val="32"/>
          <w:lang w:eastAsia="zh-CN"/>
        </w:rPr>
        <w:t>，</w:t>
      </w:r>
      <w:r>
        <w:rPr>
          <w:rFonts w:hint="eastAsia" w:ascii="仿宋" w:hAnsi="仿宋" w:eastAsia="仿宋" w:cs="仿宋"/>
          <w:sz w:val="32"/>
          <w:szCs w:val="32"/>
        </w:rPr>
        <w:t>规范了</w:t>
      </w:r>
      <w:r>
        <w:rPr>
          <w:rFonts w:hint="eastAsia" w:ascii="仿宋" w:hAnsi="仿宋" w:eastAsia="仿宋" w:cs="仿宋"/>
          <w:sz w:val="32"/>
          <w:szCs w:val="32"/>
          <w:lang w:eastAsia="zh-CN"/>
        </w:rPr>
        <w:t>高中学生公寓价格、</w:t>
      </w:r>
      <w:r>
        <w:rPr>
          <w:rFonts w:hint="eastAsia" w:ascii="仿宋" w:hAnsi="仿宋" w:eastAsia="仿宋" w:cs="仿宋"/>
          <w:sz w:val="32"/>
          <w:szCs w:val="32"/>
        </w:rPr>
        <w:t>县中医院和人民医院停车服务收费标准，明确了县城区供水水价分类相关事项</w:t>
      </w:r>
      <w:r>
        <w:rPr>
          <w:rFonts w:hint="eastAsia" w:ascii="仿宋" w:hAnsi="仿宋" w:eastAsia="仿宋" w:cs="仿宋"/>
          <w:sz w:val="32"/>
          <w:szCs w:val="32"/>
          <w:lang w:eastAsia="zh-CN"/>
        </w:rPr>
        <w:t>和我县物业服务等级及收费标准。</w:t>
      </w:r>
      <w:r>
        <w:rPr>
          <w:rFonts w:hint="eastAsia" w:ascii="仿宋" w:hAnsi="仿宋" w:eastAsia="仿宋" w:cs="仿宋"/>
          <w:b/>
          <w:bCs/>
          <w:sz w:val="32"/>
          <w:szCs w:val="32"/>
          <w:lang w:eastAsia="zh-CN"/>
        </w:rPr>
        <w:t>二是做好终南山公墓价格核定工作。</w:t>
      </w:r>
      <w:r>
        <w:rPr>
          <w:rFonts w:hint="eastAsia" w:ascii="仿宋" w:hAnsi="仿宋" w:eastAsia="仿宋" w:cs="仿宋"/>
          <w:sz w:val="32"/>
          <w:szCs w:val="32"/>
          <w:lang w:eastAsia="zh-CN"/>
        </w:rPr>
        <w:t>顶住压力，坚持民生优先，统筹考虑债务偿还压力，最大限度减轻群众负担。</w:t>
      </w:r>
      <w:r>
        <w:rPr>
          <w:rFonts w:hint="eastAsia" w:ascii="仿宋" w:hAnsi="仿宋" w:eastAsia="仿宋" w:cs="仿宋"/>
          <w:b/>
          <w:bCs/>
          <w:sz w:val="32"/>
          <w:szCs w:val="32"/>
          <w:lang w:eastAsia="zh-CN"/>
        </w:rPr>
        <w:t>三</w:t>
      </w:r>
      <w:r>
        <w:rPr>
          <w:rFonts w:hint="eastAsia" w:ascii="仿宋" w:hAnsi="仿宋" w:eastAsia="仿宋" w:cs="仿宋"/>
          <w:b/>
          <w:bCs/>
          <w:sz w:val="32"/>
          <w:szCs w:val="32"/>
        </w:rPr>
        <w:t>是</w:t>
      </w:r>
      <w:r>
        <w:rPr>
          <w:rFonts w:hint="eastAsia" w:ascii="仿宋" w:hAnsi="仿宋" w:eastAsia="仿宋" w:cs="仿宋"/>
          <w:b/>
          <w:bCs/>
          <w:sz w:val="32"/>
          <w:szCs w:val="32"/>
          <w:lang w:eastAsia="zh-CN"/>
        </w:rPr>
        <w:t>有序</w:t>
      </w:r>
      <w:r>
        <w:rPr>
          <w:rFonts w:hint="eastAsia" w:ascii="仿宋" w:hAnsi="仿宋" w:eastAsia="仿宋" w:cs="仿宋"/>
          <w:b/>
          <w:bCs/>
          <w:sz w:val="32"/>
          <w:szCs w:val="32"/>
        </w:rPr>
        <w:t>推进农业水价综合改革</w:t>
      </w:r>
      <w:r>
        <w:rPr>
          <w:rFonts w:hint="eastAsia" w:ascii="仿宋" w:hAnsi="仿宋" w:eastAsia="仿宋" w:cs="仿宋"/>
          <w:b/>
          <w:bCs/>
          <w:sz w:val="32"/>
          <w:szCs w:val="32"/>
          <w:lang w:eastAsia="zh-CN"/>
        </w:rPr>
        <w:t>。</w:t>
      </w:r>
      <w:r>
        <w:rPr>
          <w:rFonts w:hint="eastAsia" w:ascii="仿宋" w:hAnsi="仿宋" w:eastAsia="仿宋" w:cs="仿宋"/>
          <w:sz w:val="32"/>
          <w:szCs w:val="32"/>
          <w:lang w:eastAsia="zh-CN"/>
        </w:rPr>
        <w:t>完成</w:t>
      </w:r>
      <w:r>
        <w:rPr>
          <w:rFonts w:hint="eastAsia" w:ascii="仿宋" w:hAnsi="仿宋" w:eastAsia="仿宋" w:cs="仿宋"/>
          <w:sz w:val="32"/>
          <w:szCs w:val="32"/>
        </w:rPr>
        <w:t>《华容县农业水价综合改革实施方案（2023-2025年）》</w:t>
      </w:r>
      <w:r>
        <w:rPr>
          <w:rFonts w:hint="eastAsia" w:ascii="仿宋" w:hAnsi="仿宋" w:eastAsia="仿宋" w:cs="仿宋"/>
          <w:sz w:val="32"/>
          <w:szCs w:val="32"/>
          <w:lang w:eastAsia="zh-CN"/>
        </w:rPr>
        <w:t>编制，</w:t>
      </w:r>
      <w:r>
        <w:rPr>
          <w:rFonts w:hint="eastAsia" w:ascii="仿宋" w:hAnsi="仿宋" w:eastAsia="仿宋" w:cs="仿宋"/>
          <w:sz w:val="32"/>
          <w:szCs w:val="32"/>
        </w:rPr>
        <w:t>制定</w:t>
      </w:r>
      <w:r>
        <w:rPr>
          <w:rFonts w:hint="eastAsia" w:ascii="仿宋" w:hAnsi="仿宋" w:eastAsia="仿宋" w:cs="仿宋"/>
          <w:sz w:val="32"/>
          <w:szCs w:val="32"/>
          <w:lang w:eastAsia="zh-CN"/>
        </w:rPr>
        <w:t>了《华容县农业水价综合改革精准补贴及节水奖励办法（试行）》和《关于下达华容县</w:t>
      </w:r>
      <w:r>
        <w:rPr>
          <w:rFonts w:hint="eastAsia" w:ascii="仿宋" w:hAnsi="仿宋" w:eastAsia="仿宋" w:cs="仿宋"/>
          <w:sz w:val="32"/>
          <w:szCs w:val="32"/>
          <w:lang w:val="en-US" w:eastAsia="zh-CN"/>
        </w:rPr>
        <w:t>2023年农业水价综合改革实施计划及有关事项的通知</w:t>
      </w:r>
      <w:r>
        <w:rPr>
          <w:rFonts w:hint="eastAsia" w:ascii="仿宋" w:hAnsi="仿宋" w:eastAsia="仿宋" w:cs="仿宋"/>
          <w:sz w:val="32"/>
          <w:szCs w:val="32"/>
          <w:lang w:eastAsia="zh-CN"/>
        </w:rPr>
        <w:t>》。</w:t>
      </w:r>
    </w:p>
    <w:p>
      <w:pPr>
        <w:keepNext w:val="0"/>
        <w:keepLines w:val="0"/>
        <w:pageBreakBefore w:val="0"/>
        <w:kinsoku/>
        <w:wordWrap/>
        <w:overflowPunct/>
        <w:topLinePunct w:val="0"/>
        <w:bidi w:val="0"/>
        <w:spacing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7.资源环境保护重实效强宣传。</w:t>
      </w:r>
      <w:r>
        <w:rPr>
          <w:rFonts w:hint="eastAsia" w:ascii="仿宋" w:hAnsi="仿宋" w:eastAsia="仿宋" w:cs="仿宋"/>
          <w:sz w:val="32"/>
          <w:szCs w:val="32"/>
        </w:rPr>
        <w:t>建立“两高”项目清单，实施动态调整。对拟新上“两高”项目，深入论证项目建设的必要性、可行性，认真分析评估项目对能耗双控、碳排放、产业高质量发展和生态环境质量的影响</w:t>
      </w:r>
      <w:r>
        <w:rPr>
          <w:rFonts w:hint="eastAsia" w:ascii="仿宋" w:hAnsi="仿宋" w:eastAsia="仿宋" w:cs="仿宋"/>
          <w:sz w:val="32"/>
          <w:szCs w:val="32"/>
          <w:lang w:eastAsia="zh-CN"/>
        </w:rPr>
        <w:t>，</w:t>
      </w:r>
      <w:r>
        <w:rPr>
          <w:rFonts w:hint="eastAsia" w:ascii="仿宋" w:hAnsi="仿宋" w:eastAsia="仿宋" w:cs="仿宋"/>
          <w:sz w:val="32"/>
          <w:szCs w:val="32"/>
        </w:rPr>
        <w:t>坚决遏制高耗能高排放项目盲目发展。围绕</w:t>
      </w:r>
      <w:r>
        <w:rPr>
          <w:rFonts w:hint="eastAsia" w:ascii="仿宋" w:hAnsi="仿宋" w:eastAsia="仿宋" w:cs="仿宋"/>
          <w:sz w:val="32"/>
          <w:szCs w:val="32"/>
          <w:lang w:val="en-US" w:eastAsia="zh-CN"/>
        </w:rPr>
        <w:t>2023年全国节能宣传周、全国生态日</w:t>
      </w:r>
      <w:r>
        <w:rPr>
          <w:rFonts w:hint="eastAsia" w:ascii="仿宋" w:hAnsi="仿宋" w:eastAsia="仿宋" w:cs="仿宋"/>
          <w:sz w:val="32"/>
          <w:szCs w:val="32"/>
          <w:lang w:eastAsia="zh-CN"/>
        </w:rPr>
        <w:t>活动</w:t>
      </w:r>
      <w:r>
        <w:rPr>
          <w:rFonts w:hint="eastAsia" w:ascii="仿宋" w:hAnsi="仿宋" w:eastAsia="仿宋" w:cs="仿宋"/>
          <w:sz w:val="32"/>
          <w:szCs w:val="32"/>
        </w:rPr>
        <w:t>主题</w:t>
      </w:r>
      <w:r>
        <w:rPr>
          <w:rFonts w:hint="eastAsia" w:ascii="仿宋" w:hAnsi="仿宋" w:eastAsia="仿宋" w:cs="仿宋"/>
          <w:sz w:val="32"/>
          <w:szCs w:val="32"/>
          <w:lang w:eastAsia="zh-CN"/>
        </w:rPr>
        <w:t>，积极</w:t>
      </w:r>
      <w:r>
        <w:rPr>
          <w:rFonts w:hint="eastAsia" w:ascii="仿宋" w:hAnsi="仿宋" w:eastAsia="仿宋" w:cs="仿宋"/>
          <w:sz w:val="32"/>
          <w:szCs w:val="32"/>
        </w:rPr>
        <w:t>开展</w:t>
      </w:r>
      <w:r>
        <w:rPr>
          <w:rFonts w:hint="eastAsia" w:ascii="仿宋" w:hAnsi="仿宋" w:eastAsia="仿宋" w:cs="仿宋"/>
          <w:sz w:val="32"/>
          <w:szCs w:val="32"/>
          <w:lang w:eastAsia="zh-CN"/>
        </w:rPr>
        <w:t>形式多样，内容丰富的</w:t>
      </w:r>
      <w:r>
        <w:rPr>
          <w:rFonts w:hint="eastAsia" w:ascii="仿宋" w:hAnsi="仿宋" w:eastAsia="仿宋" w:cs="仿宋"/>
          <w:sz w:val="32"/>
          <w:szCs w:val="32"/>
        </w:rPr>
        <w:t>宣传</w:t>
      </w:r>
      <w:r>
        <w:rPr>
          <w:rFonts w:hint="eastAsia" w:ascii="仿宋" w:hAnsi="仿宋" w:eastAsia="仿宋" w:cs="仿宋"/>
          <w:sz w:val="32"/>
          <w:szCs w:val="32"/>
          <w:lang w:eastAsia="zh-CN"/>
        </w:rPr>
        <w:t>教育</w:t>
      </w:r>
      <w:r>
        <w:rPr>
          <w:rFonts w:hint="eastAsia" w:ascii="仿宋" w:hAnsi="仿宋" w:eastAsia="仿宋" w:cs="仿宋"/>
          <w:sz w:val="32"/>
          <w:szCs w:val="32"/>
        </w:rPr>
        <w:t>活动，</w:t>
      </w:r>
      <w:r>
        <w:rPr>
          <w:rFonts w:hint="eastAsia" w:ascii="仿宋" w:hAnsi="仿宋" w:eastAsia="仿宋" w:cs="仿宋"/>
          <w:sz w:val="32"/>
          <w:szCs w:val="32"/>
          <w:lang w:eastAsia="zh-CN"/>
        </w:rPr>
        <w:t>进一步加强生态优先、节约集约、绿色低碳发展等理念知识的科普宣传，持续提升全社会</w:t>
      </w:r>
      <w:r>
        <w:rPr>
          <w:rFonts w:hint="eastAsia" w:ascii="仿宋" w:hAnsi="仿宋" w:eastAsia="仿宋" w:cs="仿宋"/>
          <w:sz w:val="32"/>
          <w:szCs w:val="32"/>
        </w:rPr>
        <w:t>节能</w:t>
      </w:r>
      <w:r>
        <w:rPr>
          <w:rFonts w:hint="eastAsia" w:ascii="仿宋" w:hAnsi="仿宋" w:eastAsia="仿宋" w:cs="仿宋"/>
          <w:sz w:val="32"/>
          <w:szCs w:val="32"/>
          <w:lang w:eastAsia="zh-CN"/>
        </w:rPr>
        <w:t>降碳</w:t>
      </w:r>
      <w:r>
        <w:rPr>
          <w:rFonts w:hint="eastAsia" w:ascii="仿宋" w:hAnsi="仿宋" w:eastAsia="仿宋" w:cs="仿宋"/>
          <w:sz w:val="32"/>
          <w:szCs w:val="32"/>
        </w:rPr>
        <w:t>意识和能力。</w:t>
      </w:r>
    </w:p>
    <w:p>
      <w:pPr>
        <w:keepNext w:val="0"/>
        <w:keepLines w:val="0"/>
        <w:pageBreakBefore w:val="0"/>
        <w:kinsoku/>
        <w:wordWrap/>
        <w:overflowPunct/>
        <w:topLinePunct w:val="0"/>
        <w:bidi w:val="0"/>
        <w:spacing w:line="52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8.成本调查监审坚持实事求是。</w:t>
      </w:r>
      <w:r>
        <w:rPr>
          <w:rFonts w:hint="eastAsia" w:ascii="仿宋" w:hAnsi="仿宋" w:eastAsia="仿宋" w:cs="仿宋"/>
          <w:b/>
          <w:bCs/>
          <w:sz w:val="32"/>
          <w:szCs w:val="32"/>
          <w:lang w:eastAsia="zh-CN"/>
        </w:rPr>
        <w:t>一是</w:t>
      </w:r>
      <w:r>
        <w:rPr>
          <w:rFonts w:hint="eastAsia" w:ascii="仿宋" w:hAnsi="仿宋" w:eastAsia="仿宋" w:cs="仿宋"/>
          <w:sz w:val="32"/>
          <w:szCs w:val="32"/>
          <w:lang w:eastAsia="zh-CN"/>
        </w:rPr>
        <w:t>上报价格监测数据</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000余条，价格监测报表</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00余份，信息材料</w:t>
      </w: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0余篇，撰写的《今年以来湖南省华容县农资价格稳中有升》被国家发改委价格监测中心采用；《</w:t>
      </w:r>
      <w:r>
        <w:rPr>
          <w:rFonts w:hint="eastAsia" w:ascii="仿宋" w:hAnsi="仿宋" w:eastAsia="仿宋" w:cs="仿宋"/>
          <w:sz w:val="32"/>
          <w:szCs w:val="32"/>
          <w:lang w:val="en-US" w:eastAsia="zh-CN"/>
        </w:rPr>
        <w:t>2023年油菜籽生产成本调查分析》被省价格监测中心采用。</w:t>
      </w:r>
      <w:r>
        <w:rPr>
          <w:rFonts w:hint="eastAsia" w:ascii="仿宋" w:hAnsi="仿宋" w:eastAsia="仿宋" w:cs="仿宋"/>
          <w:b/>
          <w:bCs/>
          <w:sz w:val="32"/>
          <w:szCs w:val="32"/>
          <w:lang w:val="en-US" w:eastAsia="zh-CN"/>
        </w:rPr>
        <w:t>二是</w:t>
      </w:r>
      <w:r>
        <w:rPr>
          <w:rFonts w:hint="eastAsia" w:ascii="仿宋" w:hAnsi="仿宋" w:eastAsia="仿宋" w:cs="仿宋"/>
          <w:sz w:val="32"/>
          <w:szCs w:val="32"/>
          <w:lang w:eastAsia="zh-CN"/>
        </w:rPr>
        <w:t>完成了《华容县城镇供水定价成本监审报告》初稿，</w:t>
      </w:r>
      <w:r>
        <w:rPr>
          <w:rFonts w:hint="eastAsia" w:ascii="仿宋" w:hAnsi="仿宋" w:eastAsia="仿宋" w:cs="仿宋"/>
          <w:sz w:val="32"/>
          <w:szCs w:val="32"/>
          <w:lang w:val="en-US" w:eastAsia="zh-CN"/>
        </w:rPr>
        <w:t>核减6个学生公寓不合理成本407.83万元。</w:t>
      </w:r>
    </w:p>
    <w:p>
      <w:pPr>
        <w:keepNext w:val="0"/>
        <w:keepLines w:val="0"/>
        <w:pageBreakBefore w:val="0"/>
        <w:kinsoku/>
        <w:wordWrap/>
        <w:overflowPunct/>
        <w:topLinePunct w:val="0"/>
        <w:bidi w:val="0"/>
        <w:spacing w:line="52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9.乡村振兴紧盯重点因地制宜。</w:t>
      </w:r>
      <w:r>
        <w:rPr>
          <w:rFonts w:hint="eastAsia" w:ascii="仿宋" w:hAnsi="仿宋" w:eastAsia="仿宋" w:cs="仿宋"/>
          <w:b/>
          <w:bCs/>
          <w:sz w:val="32"/>
          <w:szCs w:val="32"/>
        </w:rPr>
        <w:t>一是易地搬迁后扶，</w:t>
      </w:r>
      <w:r>
        <w:rPr>
          <w:rFonts w:hint="eastAsia" w:ascii="仿宋" w:hAnsi="仿宋" w:eastAsia="仿宋" w:cs="仿宋"/>
          <w:sz w:val="32"/>
          <w:szCs w:val="32"/>
          <w:lang w:val="en-US" w:eastAsia="zh-CN"/>
        </w:rPr>
        <w:t>通过提供公益岗位、合作社务工、劳务输出等多种形式，有效拓宽就业渠道，实现了搬迁劳动力充分就业</w:t>
      </w:r>
      <w:r>
        <w:rPr>
          <w:rFonts w:hint="eastAsia" w:ascii="仿宋" w:hAnsi="仿宋" w:eastAsia="仿宋" w:cs="仿宋"/>
          <w:sz w:val="32"/>
          <w:szCs w:val="32"/>
        </w:rPr>
        <w:t>。</w:t>
      </w:r>
      <w:r>
        <w:rPr>
          <w:rFonts w:hint="eastAsia" w:ascii="仿宋" w:hAnsi="仿宋" w:eastAsia="仿宋" w:cs="仿宋"/>
          <w:b/>
          <w:bCs/>
          <w:sz w:val="32"/>
          <w:szCs w:val="32"/>
        </w:rPr>
        <w:t>二是办点工作，</w:t>
      </w:r>
      <w:r>
        <w:rPr>
          <w:rFonts w:hint="eastAsia" w:ascii="仿宋" w:hAnsi="仿宋" w:eastAsia="仿宋" w:cs="仿宋"/>
          <w:sz w:val="32"/>
          <w:szCs w:val="32"/>
          <w:lang w:val="en-US" w:eastAsia="zh-CN"/>
        </w:rPr>
        <w:t>对三合村50户结对帮扶对象进行3次全面走访，民情走访100户，做到了政策宣传到户、惠农补贴到户、干部沟通到户，及时防止了返贫还贫现象发生。</w:t>
      </w:r>
      <w:r>
        <w:rPr>
          <w:rFonts w:hint="eastAsia" w:ascii="仿宋" w:hAnsi="仿宋" w:eastAsia="仿宋" w:cs="仿宋"/>
          <w:b/>
          <w:bCs/>
          <w:sz w:val="32"/>
          <w:szCs w:val="32"/>
          <w:lang w:eastAsia="zh-CN"/>
        </w:rPr>
        <w:t>三是以工代赈，</w:t>
      </w:r>
      <w:r>
        <w:rPr>
          <w:rFonts w:hint="eastAsia" w:ascii="仿宋" w:hAnsi="仿宋" w:eastAsia="仿宋" w:cs="仿宋"/>
          <w:sz w:val="32"/>
          <w:szCs w:val="32"/>
          <w:lang w:val="en-US" w:eastAsia="zh-CN"/>
        </w:rPr>
        <w:t>共实施以工代赈方式项目16个，投资额度超过2400万元，带动群众就地就近就业1430人。我县在全省以工代赈会议上作典型发言。</w:t>
      </w:r>
    </w:p>
    <w:p>
      <w:pPr>
        <w:keepNext w:val="0"/>
        <w:keepLines w:val="0"/>
        <w:pageBreakBefore w:val="0"/>
        <w:kinsoku/>
        <w:wordWrap/>
        <w:overflowPunct/>
        <w:topLinePunct w:val="0"/>
        <w:bidi w:val="0"/>
        <w:adjustRightInd w:val="0"/>
        <w:spacing w:line="520" w:lineRule="exact"/>
        <w:ind w:firstLine="643"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10.其他中心工作同部署同推进。一是“</w:t>
      </w:r>
      <w:r>
        <w:rPr>
          <w:rFonts w:hint="eastAsia" w:ascii="仿宋" w:hAnsi="仿宋" w:eastAsia="仿宋" w:cs="仿宋"/>
          <w:b w:val="0"/>
          <w:bCs w:val="0"/>
          <w:sz w:val="32"/>
          <w:szCs w:val="32"/>
          <w:lang w:val="en-US" w:eastAsia="zh-CN"/>
        </w:rPr>
        <w:t>十四五”中期评估工作顺利完成。</w:t>
      </w:r>
      <w:r>
        <w:rPr>
          <w:rFonts w:hint="eastAsia" w:ascii="仿宋" w:hAnsi="仿宋" w:eastAsia="仿宋" w:cs="仿宋"/>
          <w:b/>
          <w:bCs/>
          <w:sz w:val="32"/>
          <w:szCs w:val="32"/>
          <w:lang w:val="en-US" w:eastAsia="zh-CN"/>
        </w:rPr>
        <w:t>二是</w:t>
      </w:r>
      <w:r>
        <w:rPr>
          <w:rFonts w:hint="eastAsia" w:ascii="仿宋" w:hAnsi="仿宋" w:eastAsia="仿宋" w:cs="仿宋"/>
          <w:b w:val="0"/>
          <w:bCs w:val="0"/>
          <w:sz w:val="32"/>
          <w:szCs w:val="32"/>
          <w:lang w:val="en-US" w:eastAsia="zh-CN"/>
        </w:rPr>
        <w:t>经济指标调度有序，</w:t>
      </w:r>
      <w:r>
        <w:rPr>
          <w:rFonts w:hint="eastAsia" w:ascii="仿宋" w:hAnsi="仿宋" w:eastAsia="仿宋" w:cs="仿宋"/>
          <w:sz w:val="32"/>
          <w:szCs w:val="32"/>
          <w:lang w:val="en-US" w:eastAsia="zh-CN"/>
        </w:rPr>
        <w:t>地</w:t>
      </w:r>
      <w:r>
        <w:rPr>
          <w:rFonts w:hint="eastAsia" w:ascii="仿宋" w:hAnsi="仿宋" w:eastAsia="仿宋" w:cs="仿宋"/>
          <w:b w:val="0"/>
          <w:bCs w:val="0"/>
          <w:sz w:val="32"/>
          <w:szCs w:val="32"/>
          <w:lang w:val="en-US" w:eastAsia="zh-CN"/>
        </w:rPr>
        <w:t>区生产总值</w:t>
      </w:r>
      <w:r>
        <w:rPr>
          <w:rFonts w:hint="eastAsia" w:ascii="仿宋" w:hAnsi="仿宋" w:eastAsia="仿宋" w:cs="仿宋"/>
          <w:sz w:val="32"/>
          <w:szCs w:val="32"/>
          <w:lang w:val="en-US" w:eastAsia="zh-CN"/>
        </w:rPr>
        <w:t>三季度实现291.44亿元，增速为6.9%，预计全年增长7.5%；城镇居民人均可支配收入三季度为30175元，增长4.1%，预计全年增速为6%。</w:t>
      </w:r>
      <w:r>
        <w:rPr>
          <w:rFonts w:hint="eastAsia" w:ascii="仿宋" w:hAnsi="仿宋" w:eastAsia="仿宋" w:cs="仿宋"/>
          <w:b/>
          <w:bCs/>
          <w:sz w:val="32"/>
          <w:szCs w:val="32"/>
          <w:lang w:val="en-US" w:eastAsia="zh-CN"/>
        </w:rPr>
        <w:t>三是</w:t>
      </w:r>
      <w:r>
        <w:rPr>
          <w:rFonts w:hint="eastAsia" w:ascii="仿宋" w:hAnsi="仿宋" w:eastAsia="仿宋" w:cs="仿宋"/>
          <w:sz w:val="32"/>
          <w:szCs w:val="32"/>
          <w:lang w:val="en-US" w:eastAsia="zh-CN"/>
        </w:rPr>
        <w:t>依法依规办理涉案物价格认定135件，涉案标的物金额65万元，无一过错和复核案件。</w:t>
      </w:r>
      <w:r>
        <w:rPr>
          <w:rFonts w:hint="eastAsia" w:ascii="仿宋" w:hAnsi="仿宋" w:eastAsia="仿宋" w:cs="仿宋"/>
          <w:b/>
          <w:bCs/>
          <w:sz w:val="32"/>
          <w:szCs w:val="32"/>
          <w:lang w:val="en-US" w:eastAsia="zh-CN"/>
        </w:rPr>
        <w:t>四是</w:t>
      </w:r>
      <w:r>
        <w:rPr>
          <w:rFonts w:hint="eastAsia" w:ascii="仿宋" w:hAnsi="仿宋" w:eastAsia="仿宋" w:cs="仿宋"/>
          <w:b w:val="0"/>
          <w:bCs w:val="0"/>
          <w:sz w:val="32"/>
          <w:szCs w:val="32"/>
          <w:lang w:val="en-US" w:eastAsia="zh-CN"/>
        </w:rPr>
        <w:t>安全生产持续稳定，</w:t>
      </w:r>
      <w:r>
        <w:rPr>
          <w:rFonts w:hint="eastAsia" w:ascii="仿宋" w:hAnsi="仿宋" w:eastAsia="仿宋" w:cs="仿宋"/>
          <w:sz w:val="32"/>
          <w:szCs w:val="32"/>
          <w:lang w:val="en-US" w:eastAsia="zh-CN"/>
        </w:rPr>
        <w:t>全县能源领域安全生产形势平稳，继续保持“零事故”优势。</w:t>
      </w:r>
    </w:p>
    <w:p>
      <w:pPr>
        <w:keepNext w:val="0"/>
        <w:keepLines w:val="0"/>
        <w:pageBreakBefore w:val="0"/>
        <w:kinsoku/>
        <w:wordWrap/>
        <w:overflowPunct/>
        <w:topLinePunct w:val="0"/>
        <w:autoSpaceDE w:val="0"/>
        <w:autoSpaceDN w:val="0"/>
        <w:bidi w:val="0"/>
        <w:adjustRightInd w:val="0"/>
        <w:spacing w:line="520" w:lineRule="exact"/>
        <w:jc w:val="left"/>
        <w:textAlignment w:val="auto"/>
        <w:rPr>
          <w:rFonts w:hint="eastAsia" w:ascii="仿宋" w:hAnsi="仿宋" w:eastAsia="仿宋" w:cs="仿宋"/>
          <w:b/>
          <w:bCs/>
          <w:kern w:val="0"/>
          <w:sz w:val="32"/>
          <w:szCs w:val="32"/>
          <w:highlight w:val="white"/>
        </w:rPr>
      </w:pPr>
      <w:r>
        <w:rPr>
          <w:rFonts w:hint="eastAsia" w:ascii="仿宋" w:hAnsi="仿宋" w:eastAsia="仿宋" w:cs="仿宋"/>
          <w:b/>
          <w:bCs/>
          <w:kern w:val="0"/>
          <w:sz w:val="32"/>
          <w:szCs w:val="32"/>
          <w:highlight w:val="white"/>
          <w:lang w:eastAsia="zh-CN"/>
        </w:rPr>
        <w:t>六</w:t>
      </w:r>
      <w:r>
        <w:rPr>
          <w:rFonts w:hint="eastAsia" w:ascii="仿宋" w:hAnsi="仿宋" w:eastAsia="仿宋" w:cs="仿宋"/>
          <w:b/>
          <w:bCs/>
          <w:kern w:val="0"/>
          <w:sz w:val="32"/>
          <w:szCs w:val="32"/>
          <w:highlight w:val="white"/>
        </w:rPr>
        <w:t>、存在的问题及原因分析</w:t>
      </w:r>
    </w:p>
    <w:p>
      <w:pPr>
        <w:keepNext w:val="0"/>
        <w:keepLines w:val="0"/>
        <w:pageBreakBefore w:val="0"/>
        <w:kinsoku/>
        <w:wordWrap/>
        <w:overflowPunct/>
        <w:topLinePunct w:val="0"/>
        <w:autoSpaceDE w:val="0"/>
        <w:autoSpaceDN w:val="0"/>
        <w:bidi w:val="0"/>
        <w:adjustRightInd w:val="0"/>
        <w:spacing w:line="520" w:lineRule="exact"/>
        <w:ind w:firstLine="640" w:firstLineChars="200"/>
        <w:jc w:val="left"/>
        <w:textAlignment w:val="auto"/>
        <w:rPr>
          <w:rFonts w:hint="eastAsia" w:ascii="仿宋" w:hAnsi="仿宋" w:eastAsia="仿宋" w:cs="仿宋"/>
          <w:kern w:val="0"/>
          <w:sz w:val="32"/>
          <w:szCs w:val="32"/>
          <w:highlight w:val="white"/>
          <w:lang w:eastAsia="zh-CN"/>
        </w:rPr>
      </w:pPr>
      <w:r>
        <w:rPr>
          <w:rFonts w:hint="eastAsia" w:ascii="仿宋" w:hAnsi="仿宋" w:eastAsia="仿宋" w:cs="仿宋"/>
          <w:kern w:val="0"/>
          <w:sz w:val="32"/>
          <w:szCs w:val="32"/>
          <w:highlight w:val="white"/>
        </w:rPr>
        <w:t>存在的问题是预算不够精准，年内调整预算金额较大，资金拨付不够及时，</w:t>
      </w:r>
      <w:r>
        <w:rPr>
          <w:rFonts w:hint="eastAsia" w:ascii="仿宋" w:hAnsi="仿宋" w:eastAsia="仿宋" w:cs="仿宋"/>
          <w:kern w:val="0"/>
          <w:sz w:val="32"/>
          <w:szCs w:val="32"/>
          <w:highlight w:val="white"/>
          <w:lang w:eastAsia="zh-CN"/>
        </w:rPr>
        <w:t>有些</w:t>
      </w:r>
      <w:r>
        <w:rPr>
          <w:rFonts w:hint="eastAsia" w:ascii="仿宋" w:hAnsi="仿宋" w:eastAsia="仿宋" w:cs="仿宋"/>
          <w:kern w:val="0"/>
          <w:sz w:val="32"/>
          <w:szCs w:val="32"/>
          <w:highlight w:val="white"/>
        </w:rPr>
        <w:t>项目进展没有达到预期</w:t>
      </w:r>
      <w:r>
        <w:rPr>
          <w:rFonts w:hint="eastAsia" w:ascii="仿宋" w:hAnsi="仿宋" w:eastAsia="仿宋" w:cs="仿宋"/>
          <w:kern w:val="0"/>
          <w:sz w:val="32"/>
          <w:szCs w:val="32"/>
          <w:highlight w:val="white"/>
          <w:lang w:eastAsia="zh-CN"/>
        </w:rPr>
        <w:t>。</w:t>
      </w:r>
    </w:p>
    <w:p>
      <w:pPr>
        <w:keepNext w:val="0"/>
        <w:keepLines w:val="0"/>
        <w:pageBreakBefore w:val="0"/>
        <w:numPr>
          <w:ilvl w:val="0"/>
          <w:numId w:val="3"/>
        </w:numPr>
        <w:kinsoku/>
        <w:wordWrap/>
        <w:overflowPunct/>
        <w:topLinePunct w:val="0"/>
        <w:bidi w:val="0"/>
        <w:spacing w:line="520" w:lineRule="exact"/>
        <w:textAlignment w:val="auto"/>
        <w:rPr>
          <w:rFonts w:hint="eastAsia" w:ascii="仿宋" w:hAnsi="仿宋" w:eastAsia="仿宋" w:cs="仿宋"/>
          <w:b/>
          <w:bCs/>
          <w:spacing w:val="8"/>
          <w:sz w:val="32"/>
          <w:szCs w:val="32"/>
        </w:rPr>
      </w:pPr>
      <w:r>
        <w:rPr>
          <w:rFonts w:hint="eastAsia" w:ascii="仿宋" w:hAnsi="仿宋" w:eastAsia="仿宋" w:cs="仿宋"/>
          <w:b/>
          <w:bCs/>
          <w:spacing w:val="8"/>
          <w:sz w:val="32"/>
          <w:szCs w:val="32"/>
        </w:rPr>
        <w:t>下一步改进措施</w:t>
      </w:r>
    </w:p>
    <w:p>
      <w:pPr>
        <w:keepNext w:val="0"/>
        <w:keepLines w:val="0"/>
        <w:pageBreakBefore w:val="0"/>
        <w:kinsoku/>
        <w:wordWrap/>
        <w:overflowPunct/>
        <w:topLinePunct w:val="0"/>
        <w:autoSpaceDE w:val="0"/>
        <w:autoSpaceDN w:val="0"/>
        <w:bidi w:val="0"/>
        <w:adjustRightInd w:val="0"/>
        <w:spacing w:line="520" w:lineRule="exact"/>
        <w:ind w:firstLine="640" w:firstLineChars="200"/>
        <w:jc w:val="left"/>
        <w:textAlignment w:val="auto"/>
        <w:rPr>
          <w:rFonts w:hint="eastAsia" w:ascii="仿宋" w:hAnsi="仿宋" w:eastAsia="仿宋" w:cs="仿宋"/>
          <w:kern w:val="0"/>
          <w:sz w:val="32"/>
          <w:szCs w:val="32"/>
          <w:highlight w:val="white"/>
        </w:rPr>
      </w:pPr>
      <w:r>
        <w:rPr>
          <w:rFonts w:hint="eastAsia" w:ascii="仿宋" w:hAnsi="仿宋" w:eastAsia="仿宋" w:cs="仿宋"/>
          <w:kern w:val="0"/>
          <w:sz w:val="32"/>
          <w:szCs w:val="32"/>
          <w:highlight w:val="white"/>
        </w:rPr>
        <w:t>通过自评及时发现存在的问题，切实制定整改措施：一是加强对相关制度的贯彻执行力度，提高预算精确度；二是制定切实可行的项目推进计划，加大项目进度跟踪力度，积极与财政报告协商按时拨付资金</w:t>
      </w:r>
    </w:p>
    <w:p>
      <w:pPr>
        <w:keepNext w:val="0"/>
        <w:keepLines w:val="0"/>
        <w:pageBreakBefore w:val="0"/>
        <w:kinsoku/>
        <w:wordWrap/>
        <w:overflowPunct/>
        <w:topLinePunct w:val="0"/>
        <w:bidi w:val="0"/>
        <w:spacing w:before="219" w:line="520" w:lineRule="exact"/>
        <w:textAlignment w:val="auto"/>
        <w:rPr>
          <w:rFonts w:hint="eastAsia" w:ascii="仿宋" w:hAnsi="仿宋" w:eastAsia="仿宋" w:cs="仿宋"/>
          <w:b/>
          <w:bCs/>
          <w:sz w:val="32"/>
          <w:szCs w:val="32"/>
        </w:rPr>
      </w:pPr>
      <w:r>
        <w:rPr>
          <w:rFonts w:hint="eastAsia" w:ascii="仿宋" w:hAnsi="仿宋" w:eastAsia="仿宋" w:cs="仿宋"/>
          <w:b/>
          <w:bCs/>
          <w:spacing w:val="9"/>
          <w:position w:val="21"/>
          <w:sz w:val="32"/>
          <w:szCs w:val="32"/>
          <w:lang w:eastAsia="zh-CN"/>
        </w:rPr>
        <w:t>八</w:t>
      </w:r>
      <w:r>
        <w:rPr>
          <w:rFonts w:hint="eastAsia" w:ascii="仿宋" w:hAnsi="仿宋" w:eastAsia="仿宋" w:cs="仿宋"/>
          <w:b/>
          <w:bCs/>
          <w:spacing w:val="9"/>
          <w:position w:val="21"/>
          <w:sz w:val="32"/>
          <w:szCs w:val="32"/>
        </w:rPr>
        <w:t>、部门整体支出绩效自评结果拟应用和公开</w:t>
      </w:r>
      <w:r>
        <w:rPr>
          <w:rFonts w:hint="eastAsia" w:ascii="仿宋" w:hAnsi="仿宋" w:eastAsia="仿宋" w:cs="仿宋"/>
          <w:b/>
          <w:bCs/>
          <w:spacing w:val="8"/>
          <w:position w:val="21"/>
          <w:sz w:val="32"/>
          <w:szCs w:val="32"/>
        </w:rPr>
        <w:t>情况</w:t>
      </w:r>
    </w:p>
    <w:p>
      <w:pPr>
        <w:keepNext w:val="0"/>
        <w:keepLines w:val="0"/>
        <w:pageBreakBefore w:val="0"/>
        <w:kinsoku/>
        <w:wordWrap/>
        <w:overflowPunct/>
        <w:topLinePunct w:val="0"/>
        <w:bidi w:val="0"/>
        <w:spacing w:line="520" w:lineRule="exact"/>
        <w:textAlignment w:val="auto"/>
        <w:rPr>
          <w:rFonts w:hint="eastAsia" w:ascii="仿宋" w:hAnsi="仿宋" w:eastAsia="仿宋" w:cs="仿宋"/>
          <w:b/>
          <w:bCs/>
          <w:spacing w:val="-3"/>
          <w:sz w:val="32"/>
          <w:szCs w:val="32"/>
        </w:rPr>
      </w:pPr>
      <w:r>
        <w:rPr>
          <w:rFonts w:hint="eastAsia" w:ascii="仿宋" w:hAnsi="仿宋" w:eastAsia="仿宋" w:cs="仿宋"/>
          <w:b/>
          <w:bCs/>
          <w:spacing w:val="-3"/>
          <w:sz w:val="32"/>
          <w:szCs w:val="32"/>
          <w:lang w:eastAsia="zh-CN"/>
        </w:rPr>
        <w:t>九</w:t>
      </w:r>
      <w:r>
        <w:rPr>
          <w:rFonts w:hint="eastAsia" w:ascii="仿宋" w:hAnsi="仿宋" w:eastAsia="仿宋" w:cs="仿宋"/>
          <w:b/>
          <w:bCs/>
          <w:spacing w:val="-3"/>
          <w:sz w:val="32"/>
          <w:szCs w:val="32"/>
        </w:rPr>
        <w:t>、其他需要说明的情况</w:t>
      </w:r>
    </w:p>
    <w:p>
      <w:pPr>
        <w:keepNext w:val="0"/>
        <w:keepLines w:val="0"/>
        <w:pageBreakBefore w:val="0"/>
        <w:kinsoku/>
        <w:wordWrap/>
        <w:overflowPunct/>
        <w:topLinePunct w:val="0"/>
        <w:bidi w:val="0"/>
        <w:spacing w:line="520" w:lineRule="exact"/>
        <w:textAlignment w:val="auto"/>
        <w:rPr>
          <w:rFonts w:hint="eastAsia" w:ascii="仿宋" w:hAnsi="仿宋" w:eastAsia="仿宋" w:cs="仿宋"/>
          <w:spacing w:val="-3"/>
          <w:sz w:val="32"/>
          <w:szCs w:val="32"/>
        </w:rPr>
      </w:pPr>
      <w:r>
        <w:rPr>
          <w:rFonts w:hint="eastAsia" w:ascii="仿宋" w:hAnsi="仿宋" w:eastAsia="仿宋" w:cs="仿宋"/>
          <w:spacing w:val="-3"/>
          <w:sz w:val="32"/>
          <w:szCs w:val="32"/>
        </w:rPr>
        <w:br w:type="page"/>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0" w:usb1="00000000" w:usb2="00000000" w:usb3="00000000" w:csb0="00000000" w:csb1="00000000"/>
  </w:font>
  <w:font w:name="方正小标宋简体">
    <w:panose1 w:val="03000509000000000000"/>
    <w:charset w:val="86"/>
    <w:family w:val="auto"/>
    <w:pitch w:val="default"/>
    <w:sig w:usb0="00000000" w:usb1="00000000" w:usb2="00000000" w:usb3="00000000" w:csb0="00000000" w:csb1="00000000"/>
  </w:font>
  <w:font w:name="华文仿宋">
    <w:panose1 w:val="02010600040101010101"/>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1" w:line="174" w:lineRule="auto"/>
      <w:jc w:val="center"/>
      <w:rPr>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keepNext w:val="0"/>
                            <w:keepLines w:val="0"/>
                            <w:pageBreakBefore w:val="0"/>
                            <w:widowControl w:val="0"/>
                            <w:kinsoku/>
                            <w:wordWrap/>
                            <w:overflowPunct/>
                            <w:topLinePunct w:val="0"/>
                            <w:bidi w:val="0"/>
                            <w:adjustRightInd/>
                            <w:snapToGrid w:val="0"/>
                            <w:ind w:left="525" w:leftChars="250" w:right="525" w:rightChars="250"/>
                            <w:textAlignment w:val="auto"/>
                            <w:rPr>
                              <w:rFonts w:hint="default" w:ascii="Times New Roman" w:hAnsi="Times New Roman" w:eastAsia="华文仿宋" w:cs="Times New Roman"/>
                              <w:sz w:val="32"/>
                              <w:szCs w:val="32"/>
                            </w:rPr>
                          </w:pPr>
                          <w:r>
                            <w:rPr>
                              <w:rFonts w:hint="default" w:ascii="Times New Roman" w:hAnsi="Times New Roman" w:eastAsia="华文仿宋" w:cs="Times New Roman"/>
                              <w:sz w:val="32"/>
                              <w:szCs w:val="32"/>
                            </w:rPr>
                            <w:fldChar w:fldCharType="begin"/>
                          </w:r>
                          <w:r>
                            <w:rPr>
                              <w:rFonts w:hint="default" w:ascii="Times New Roman" w:hAnsi="Times New Roman" w:eastAsia="华文仿宋" w:cs="Times New Roman"/>
                              <w:sz w:val="32"/>
                              <w:szCs w:val="32"/>
                            </w:rPr>
                            <w:instrText xml:space="preserve"> PAGE  \* MERGEFORMAT </w:instrText>
                          </w:r>
                          <w:r>
                            <w:rPr>
                              <w:rFonts w:hint="default" w:ascii="Times New Roman" w:hAnsi="Times New Roman" w:eastAsia="华文仿宋" w:cs="Times New Roman"/>
                              <w:sz w:val="32"/>
                              <w:szCs w:val="32"/>
                            </w:rPr>
                            <w:fldChar w:fldCharType="separate"/>
                          </w:r>
                          <w:r>
                            <w:rPr>
                              <w:rFonts w:hint="default" w:ascii="Times New Roman" w:hAnsi="Times New Roman" w:eastAsia="华文仿宋" w:cs="Times New Roman"/>
                              <w:sz w:val="32"/>
                              <w:szCs w:val="32"/>
                            </w:rPr>
                            <w:t>7</w:t>
                          </w:r>
                          <w:r>
                            <w:rPr>
                              <w:rFonts w:hint="default" w:ascii="Times New Roman" w:hAnsi="Times New Roman" w:eastAsia="华文仿宋" w:cs="Times New Roman"/>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2"/>
                      <w:keepNext w:val="0"/>
                      <w:keepLines w:val="0"/>
                      <w:pageBreakBefore w:val="0"/>
                      <w:widowControl w:val="0"/>
                      <w:kinsoku/>
                      <w:wordWrap/>
                      <w:overflowPunct/>
                      <w:topLinePunct w:val="0"/>
                      <w:bidi w:val="0"/>
                      <w:adjustRightInd/>
                      <w:snapToGrid w:val="0"/>
                      <w:ind w:left="525" w:leftChars="250" w:right="525" w:rightChars="250"/>
                      <w:textAlignment w:val="auto"/>
                      <w:rPr>
                        <w:rFonts w:hint="default" w:ascii="Times New Roman" w:hAnsi="Times New Roman" w:eastAsia="华文仿宋" w:cs="Times New Roman"/>
                        <w:sz w:val="32"/>
                        <w:szCs w:val="32"/>
                      </w:rPr>
                    </w:pPr>
                    <w:r>
                      <w:rPr>
                        <w:rFonts w:hint="default" w:ascii="Times New Roman" w:hAnsi="Times New Roman" w:eastAsia="华文仿宋" w:cs="Times New Roman"/>
                        <w:sz w:val="32"/>
                        <w:szCs w:val="32"/>
                      </w:rPr>
                      <w:fldChar w:fldCharType="begin"/>
                    </w:r>
                    <w:r>
                      <w:rPr>
                        <w:rFonts w:hint="default" w:ascii="Times New Roman" w:hAnsi="Times New Roman" w:eastAsia="华文仿宋" w:cs="Times New Roman"/>
                        <w:sz w:val="32"/>
                        <w:szCs w:val="32"/>
                      </w:rPr>
                      <w:instrText xml:space="preserve"> PAGE  \* MERGEFORMAT </w:instrText>
                    </w:r>
                    <w:r>
                      <w:rPr>
                        <w:rFonts w:hint="default" w:ascii="Times New Roman" w:hAnsi="Times New Roman" w:eastAsia="华文仿宋" w:cs="Times New Roman"/>
                        <w:sz w:val="32"/>
                        <w:szCs w:val="32"/>
                      </w:rPr>
                      <w:fldChar w:fldCharType="separate"/>
                    </w:r>
                    <w:r>
                      <w:rPr>
                        <w:rFonts w:hint="default" w:ascii="Times New Roman" w:hAnsi="Times New Roman" w:eastAsia="华文仿宋" w:cs="Times New Roman"/>
                        <w:sz w:val="32"/>
                        <w:szCs w:val="32"/>
                      </w:rPr>
                      <w:t>7</w:t>
                    </w:r>
                    <w:r>
                      <w:rPr>
                        <w:rFonts w:hint="default" w:ascii="Times New Roman" w:hAnsi="Times New Roman" w:eastAsia="华文仿宋" w:cs="Times New Roman"/>
                        <w:sz w:val="32"/>
                        <w:szCs w:val="32"/>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946BF3"/>
    <w:multiLevelType w:val="singleLevel"/>
    <w:tmpl w:val="9E946BF3"/>
    <w:lvl w:ilvl="0" w:tentative="0">
      <w:start w:val="7"/>
      <w:numFmt w:val="chineseCounting"/>
      <w:suff w:val="nothing"/>
      <w:lvlText w:val="%1、"/>
      <w:lvlJc w:val="left"/>
      <w:rPr>
        <w:rFonts w:hint="eastAsia"/>
      </w:rPr>
    </w:lvl>
  </w:abstractNum>
  <w:abstractNum w:abstractNumId="1">
    <w:nsid w:val="133B0568"/>
    <w:multiLevelType w:val="singleLevel"/>
    <w:tmpl w:val="133B0568"/>
    <w:lvl w:ilvl="0" w:tentative="0">
      <w:start w:val="2"/>
      <w:numFmt w:val="chineseCounting"/>
      <w:suff w:val="nothing"/>
      <w:lvlText w:val="（%1）"/>
      <w:lvlJc w:val="left"/>
      <w:rPr>
        <w:rFonts w:hint="eastAsia"/>
      </w:rPr>
    </w:lvl>
  </w:abstractNum>
  <w:abstractNum w:abstractNumId="2">
    <w:nsid w:val="702DC049"/>
    <w:multiLevelType w:val="singleLevel"/>
    <w:tmpl w:val="702DC049"/>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29642B"/>
    <w:rsid w:val="32296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Body Text"/>
    <w:basedOn w:val="1"/>
    <w:semiHidden/>
    <w:qFormat/>
    <w:uiPriority w:val="0"/>
    <w:rPr>
      <w:rFonts w:ascii="仿宋" w:hAnsi="仿宋" w:eastAsia="仿宋" w:cs="仿宋"/>
      <w:sz w:val="31"/>
      <w:szCs w:val="31"/>
      <w:lang w:val="en-US" w:eastAsia="en-US" w:bidi="ar-SA"/>
    </w:rPr>
  </w:style>
  <w:style w:type="paragraph" w:styleId="4">
    <w:name w:val="footnote text"/>
    <w:basedOn w:val="1"/>
    <w:next w:val="1"/>
    <w:qFormat/>
    <w:uiPriority w:val="0"/>
    <w:pPr>
      <w:snapToGrid w:val="0"/>
      <w:jc w:val="left"/>
    </w:pPr>
    <w:rPr>
      <w:sz w:val="18"/>
      <w:szCs w:val="18"/>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2024-06-03T05:31:00Z</dcterms:created>
  <dc:creator>Administrator</dc:creator>
  <cp:lastModifiedBy>Administrator</cp:lastModifiedBy>
  <dcterms:modified xsi:type="dcterms:W3CDTF">2024-06-03T05:31:46Z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