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50" w:line="600" w:lineRule="exact"/>
        <w:rPr>
          <w:rFonts w:ascii="黑体" w:hAnsi="黑体" w:eastAsia="黑体" w:cs="黑体"/>
          <w:b/>
          <w:bCs/>
          <w:color w:val="auto"/>
          <w:sz w:val="32"/>
          <w:szCs w:val="32"/>
        </w:rPr>
      </w:pPr>
      <w:bookmarkStart w:id="0" w:name="_GoBack"/>
      <w:r>
        <w:rPr>
          <w:rFonts w:hint="eastAsia" w:ascii="黑体" w:hAnsi="黑体" w:eastAsia="黑体" w:cs="黑体"/>
          <w:b/>
          <w:bCs/>
          <w:color w:val="auto"/>
          <w:sz w:val="32"/>
          <w:szCs w:val="32"/>
        </w:rPr>
        <w:t>附件1</w:t>
      </w:r>
    </w:p>
    <w:p>
      <w:pPr>
        <w:spacing w:beforeLines="50" w:afterLines="100" w:line="600" w:lineRule="exact"/>
        <w:jc w:val="center"/>
        <w:rPr>
          <w:rFonts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b/>
          <w:bCs/>
          <w:color w:val="auto"/>
          <w:sz w:val="44"/>
          <w:szCs w:val="44"/>
        </w:rPr>
        <w:t>2022年度部门整体支出绩效评价基础数据表</w:t>
      </w:r>
    </w:p>
    <w:tbl>
      <w:tblPr>
        <w:tblStyle w:val="6"/>
        <w:tblW w:w="4998" w:type="pct"/>
        <w:jc w:val="center"/>
        <w:tblLayout w:type="autofit"/>
        <w:tblCellMar>
          <w:top w:w="0" w:type="dxa"/>
          <w:left w:w="108" w:type="dxa"/>
          <w:bottom w:w="0" w:type="dxa"/>
          <w:right w:w="108" w:type="dxa"/>
        </w:tblCellMar>
      </w:tblPr>
      <w:tblGrid>
        <w:gridCol w:w="3220"/>
        <w:gridCol w:w="1955"/>
        <w:gridCol w:w="2436"/>
        <w:gridCol w:w="1673"/>
      </w:tblGrid>
      <w:tr>
        <w:tblPrEx>
          <w:tblCellMar>
            <w:top w:w="0" w:type="dxa"/>
            <w:left w:w="108" w:type="dxa"/>
            <w:bottom w:w="0" w:type="dxa"/>
            <w:right w:w="108" w:type="dxa"/>
          </w:tblCellMar>
        </w:tblPrEx>
        <w:trPr>
          <w:trHeight w:val="539" w:hRule="atLeast"/>
          <w:jc w:val="center"/>
        </w:trPr>
        <w:tc>
          <w:tcPr>
            <w:tcW w:w="1734"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新宋体" w:hAnsi="新宋体" w:eastAsia="新宋体" w:cs="新宋体"/>
                <w:b/>
                <w:bCs/>
                <w:color w:val="auto"/>
                <w:szCs w:val="21"/>
              </w:rPr>
            </w:pPr>
            <w:r>
              <w:rPr>
                <w:rFonts w:hint="eastAsia" w:ascii="新宋体" w:hAnsi="新宋体" w:eastAsia="新宋体" w:cs="新宋体"/>
                <w:b/>
                <w:bCs/>
                <w:color w:val="auto"/>
                <w:szCs w:val="21"/>
              </w:rPr>
              <w:t>财政供养人员情况（人）</w:t>
            </w:r>
          </w:p>
        </w:tc>
        <w:tc>
          <w:tcPr>
            <w:tcW w:w="1053" w:type="pct"/>
            <w:tcBorders>
              <w:top w:val="single" w:color="auto" w:sz="4" w:space="0"/>
              <w:left w:val="nil"/>
              <w:bottom w:val="single" w:color="auto" w:sz="4" w:space="0"/>
              <w:right w:val="single" w:color="auto" w:sz="4" w:space="0"/>
            </w:tcBorders>
            <w:vAlign w:val="center"/>
          </w:tcPr>
          <w:p>
            <w:pPr>
              <w:widowControl/>
              <w:spacing w:line="360" w:lineRule="exact"/>
              <w:jc w:val="center"/>
              <w:rPr>
                <w:rFonts w:ascii="新宋体" w:hAnsi="新宋体" w:eastAsia="新宋体" w:cs="新宋体"/>
                <w:b/>
                <w:bCs/>
                <w:color w:val="auto"/>
                <w:szCs w:val="21"/>
              </w:rPr>
            </w:pPr>
            <w:r>
              <w:rPr>
                <w:rFonts w:hint="eastAsia" w:ascii="新宋体" w:hAnsi="新宋体" w:eastAsia="新宋体" w:cs="新宋体"/>
                <w:b/>
                <w:bCs/>
                <w:color w:val="auto"/>
                <w:szCs w:val="21"/>
              </w:rPr>
              <w:t>编制数</w:t>
            </w:r>
          </w:p>
        </w:tc>
        <w:tc>
          <w:tcPr>
            <w:tcW w:w="1312" w:type="pct"/>
            <w:tcBorders>
              <w:top w:val="single" w:color="auto" w:sz="4" w:space="0"/>
              <w:left w:val="nil"/>
              <w:bottom w:val="single" w:color="auto" w:sz="4" w:space="0"/>
              <w:right w:val="single" w:color="auto" w:sz="4" w:space="0"/>
            </w:tcBorders>
            <w:vAlign w:val="center"/>
          </w:tcPr>
          <w:p>
            <w:pPr>
              <w:widowControl/>
              <w:spacing w:line="360" w:lineRule="exact"/>
              <w:jc w:val="center"/>
              <w:rPr>
                <w:rFonts w:ascii="新宋体" w:hAnsi="新宋体" w:eastAsia="新宋体" w:cs="新宋体"/>
                <w:b/>
                <w:bCs/>
                <w:color w:val="auto"/>
                <w:szCs w:val="21"/>
              </w:rPr>
            </w:pPr>
            <w:r>
              <w:rPr>
                <w:rFonts w:hint="eastAsia" w:ascii="新宋体" w:hAnsi="新宋体" w:eastAsia="新宋体" w:cs="新宋体"/>
                <w:b/>
                <w:bCs/>
                <w:color w:val="auto"/>
                <w:szCs w:val="21"/>
              </w:rPr>
              <w:t>2022年实际在职人数</w:t>
            </w:r>
          </w:p>
        </w:tc>
        <w:tc>
          <w:tcPr>
            <w:tcW w:w="901" w:type="pct"/>
            <w:tcBorders>
              <w:top w:val="single" w:color="auto" w:sz="4" w:space="0"/>
              <w:left w:val="nil"/>
              <w:bottom w:val="single" w:color="auto" w:sz="4" w:space="0"/>
              <w:right w:val="single" w:color="auto" w:sz="4" w:space="0"/>
            </w:tcBorders>
            <w:vAlign w:val="center"/>
          </w:tcPr>
          <w:p>
            <w:pPr>
              <w:widowControl/>
              <w:spacing w:line="360" w:lineRule="exact"/>
              <w:jc w:val="center"/>
              <w:rPr>
                <w:rFonts w:ascii="新宋体" w:hAnsi="新宋体" w:eastAsia="新宋体" w:cs="新宋体"/>
                <w:b/>
                <w:bCs/>
                <w:color w:val="auto"/>
                <w:szCs w:val="21"/>
              </w:rPr>
            </w:pPr>
            <w:r>
              <w:rPr>
                <w:rFonts w:hint="eastAsia" w:ascii="新宋体" w:hAnsi="新宋体" w:eastAsia="新宋体" w:cs="新宋体"/>
                <w:b/>
                <w:bCs/>
                <w:color w:val="auto"/>
                <w:szCs w:val="21"/>
              </w:rPr>
              <w:t>控制率</w:t>
            </w:r>
          </w:p>
        </w:tc>
      </w:tr>
      <w:tr>
        <w:tblPrEx>
          <w:tblCellMar>
            <w:top w:w="0" w:type="dxa"/>
            <w:left w:w="108" w:type="dxa"/>
            <w:bottom w:w="0" w:type="dxa"/>
            <w:right w:w="108" w:type="dxa"/>
          </w:tblCellMar>
        </w:tblPrEx>
        <w:trPr>
          <w:trHeight w:val="539" w:hRule="atLeast"/>
          <w:jc w:val="center"/>
        </w:trPr>
        <w:tc>
          <w:tcPr>
            <w:tcW w:w="173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新宋体" w:hAnsi="新宋体" w:eastAsia="新宋体" w:cs="新宋体"/>
                <w:b/>
                <w:bCs/>
                <w:color w:val="auto"/>
                <w:szCs w:val="21"/>
              </w:rPr>
            </w:pPr>
          </w:p>
        </w:tc>
        <w:tc>
          <w:tcPr>
            <w:tcW w:w="1053" w:type="pct"/>
            <w:tcBorders>
              <w:top w:val="single" w:color="auto" w:sz="4" w:space="0"/>
              <w:left w:val="nil"/>
              <w:bottom w:val="single" w:color="auto" w:sz="4" w:space="0"/>
              <w:right w:val="single" w:color="auto" w:sz="4" w:space="0"/>
            </w:tcBorders>
            <w:vAlign w:val="center"/>
          </w:tcPr>
          <w:p>
            <w:pPr>
              <w:widowControl/>
              <w:spacing w:line="360" w:lineRule="exact"/>
              <w:jc w:val="center"/>
              <w:rPr>
                <w:rFonts w:ascii="新宋体" w:hAnsi="新宋体" w:eastAsia="新宋体" w:cs="新宋体"/>
                <w:b/>
                <w:bCs/>
                <w:color w:val="auto"/>
                <w:szCs w:val="21"/>
              </w:rPr>
            </w:pPr>
            <w:r>
              <w:rPr>
                <w:rFonts w:hint="eastAsia" w:ascii="新宋体" w:hAnsi="新宋体" w:eastAsia="新宋体" w:cs="新宋体"/>
                <w:b/>
                <w:bCs/>
                <w:color w:val="auto"/>
                <w:szCs w:val="21"/>
              </w:rPr>
              <w:t>24</w:t>
            </w:r>
          </w:p>
        </w:tc>
        <w:tc>
          <w:tcPr>
            <w:tcW w:w="1312" w:type="pct"/>
            <w:tcBorders>
              <w:top w:val="single" w:color="auto" w:sz="4" w:space="0"/>
              <w:left w:val="nil"/>
              <w:bottom w:val="single" w:color="auto" w:sz="4" w:space="0"/>
              <w:right w:val="single" w:color="auto" w:sz="4" w:space="0"/>
            </w:tcBorders>
            <w:vAlign w:val="center"/>
          </w:tcPr>
          <w:p>
            <w:pPr>
              <w:widowControl/>
              <w:spacing w:line="360" w:lineRule="exact"/>
              <w:jc w:val="center"/>
              <w:rPr>
                <w:rFonts w:ascii="新宋体" w:hAnsi="新宋体" w:eastAsia="新宋体" w:cs="新宋体"/>
                <w:b/>
                <w:bCs/>
                <w:color w:val="auto"/>
                <w:szCs w:val="21"/>
              </w:rPr>
            </w:pPr>
            <w:r>
              <w:rPr>
                <w:rFonts w:hint="eastAsia" w:ascii="新宋体" w:hAnsi="新宋体" w:eastAsia="新宋体" w:cs="新宋体"/>
                <w:b/>
                <w:bCs/>
                <w:color w:val="auto"/>
                <w:szCs w:val="21"/>
              </w:rPr>
              <w:t>24</w:t>
            </w:r>
          </w:p>
        </w:tc>
        <w:tc>
          <w:tcPr>
            <w:tcW w:w="901" w:type="pct"/>
            <w:tcBorders>
              <w:top w:val="single" w:color="auto" w:sz="4" w:space="0"/>
              <w:left w:val="nil"/>
              <w:bottom w:val="single" w:color="auto" w:sz="4" w:space="0"/>
              <w:right w:val="single" w:color="auto" w:sz="4" w:space="0"/>
            </w:tcBorders>
            <w:vAlign w:val="center"/>
          </w:tcPr>
          <w:p>
            <w:pPr>
              <w:widowControl/>
              <w:spacing w:line="360" w:lineRule="exact"/>
              <w:jc w:val="center"/>
              <w:rPr>
                <w:rFonts w:ascii="新宋体" w:hAnsi="新宋体" w:eastAsia="新宋体" w:cs="新宋体"/>
                <w:b/>
                <w:bCs/>
                <w:color w:val="auto"/>
                <w:szCs w:val="21"/>
              </w:rPr>
            </w:pPr>
            <w:r>
              <w:rPr>
                <w:rFonts w:hint="eastAsia" w:ascii="新宋体" w:hAnsi="新宋体" w:eastAsia="新宋体" w:cs="新宋体"/>
                <w:b/>
                <w:bCs/>
                <w:color w:val="auto"/>
                <w:szCs w:val="21"/>
              </w:rPr>
              <w:t>100%</w:t>
            </w:r>
          </w:p>
        </w:tc>
      </w:tr>
      <w:tr>
        <w:tblPrEx>
          <w:tblCellMar>
            <w:top w:w="0" w:type="dxa"/>
            <w:left w:w="108" w:type="dxa"/>
            <w:bottom w:w="0" w:type="dxa"/>
            <w:right w:w="108" w:type="dxa"/>
          </w:tblCellMar>
        </w:tblPrEx>
        <w:trPr>
          <w:trHeight w:val="539" w:hRule="atLeast"/>
          <w:jc w:val="center"/>
        </w:trPr>
        <w:tc>
          <w:tcPr>
            <w:tcW w:w="1734" w:type="pct"/>
            <w:tcBorders>
              <w:top w:val="nil"/>
              <w:left w:val="single" w:color="auto" w:sz="4" w:space="0"/>
              <w:bottom w:val="single" w:color="auto" w:sz="4" w:space="0"/>
              <w:right w:val="single" w:color="auto" w:sz="4" w:space="0"/>
            </w:tcBorders>
            <w:vAlign w:val="center"/>
          </w:tcPr>
          <w:p>
            <w:pPr>
              <w:widowControl/>
              <w:spacing w:line="360" w:lineRule="exact"/>
              <w:jc w:val="center"/>
              <w:rPr>
                <w:rFonts w:ascii="新宋体" w:hAnsi="新宋体" w:eastAsia="新宋体" w:cs="新宋体"/>
                <w:b/>
                <w:bCs/>
                <w:color w:val="auto"/>
                <w:szCs w:val="21"/>
              </w:rPr>
            </w:pPr>
            <w:r>
              <w:rPr>
                <w:rFonts w:hint="eastAsia" w:ascii="新宋体" w:hAnsi="新宋体" w:eastAsia="新宋体" w:cs="新宋体"/>
                <w:b/>
                <w:bCs/>
                <w:color w:val="auto"/>
                <w:szCs w:val="21"/>
              </w:rPr>
              <w:t>经费控制情况（万元）</w:t>
            </w:r>
          </w:p>
        </w:tc>
        <w:tc>
          <w:tcPr>
            <w:tcW w:w="1053"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r>
              <w:rPr>
                <w:rFonts w:hint="eastAsia" w:ascii="新宋体" w:hAnsi="新宋体" w:eastAsia="新宋体" w:cs="新宋体"/>
                <w:b/>
                <w:bCs/>
                <w:color w:val="auto"/>
                <w:szCs w:val="21"/>
              </w:rPr>
              <w:t>2021年决算数</w:t>
            </w:r>
          </w:p>
        </w:tc>
        <w:tc>
          <w:tcPr>
            <w:tcW w:w="1312"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r>
              <w:rPr>
                <w:rFonts w:hint="eastAsia" w:ascii="新宋体" w:hAnsi="新宋体" w:eastAsia="新宋体" w:cs="新宋体"/>
                <w:b/>
                <w:bCs/>
                <w:color w:val="auto"/>
                <w:szCs w:val="21"/>
              </w:rPr>
              <w:t>2022年预算数</w:t>
            </w:r>
          </w:p>
        </w:tc>
        <w:tc>
          <w:tcPr>
            <w:tcW w:w="901"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r>
              <w:rPr>
                <w:rFonts w:hint="eastAsia" w:ascii="新宋体" w:hAnsi="新宋体" w:eastAsia="新宋体" w:cs="新宋体"/>
                <w:b/>
                <w:bCs/>
                <w:color w:val="auto"/>
                <w:szCs w:val="21"/>
              </w:rPr>
              <w:t>2022年决算数</w:t>
            </w:r>
          </w:p>
        </w:tc>
      </w:tr>
      <w:tr>
        <w:tblPrEx>
          <w:tblCellMar>
            <w:top w:w="0" w:type="dxa"/>
            <w:left w:w="108" w:type="dxa"/>
            <w:bottom w:w="0" w:type="dxa"/>
            <w:right w:w="108" w:type="dxa"/>
          </w:tblCellMar>
        </w:tblPrEx>
        <w:trPr>
          <w:trHeight w:val="539" w:hRule="atLeast"/>
          <w:jc w:val="center"/>
        </w:trPr>
        <w:tc>
          <w:tcPr>
            <w:tcW w:w="1734" w:type="pct"/>
            <w:tcBorders>
              <w:top w:val="nil"/>
              <w:left w:val="single" w:color="auto" w:sz="4" w:space="0"/>
              <w:bottom w:val="single" w:color="auto" w:sz="4" w:space="0"/>
              <w:right w:val="single" w:color="auto" w:sz="4" w:space="0"/>
            </w:tcBorders>
            <w:vAlign w:val="center"/>
          </w:tcPr>
          <w:p>
            <w:pPr>
              <w:widowControl/>
              <w:spacing w:line="360" w:lineRule="exact"/>
              <w:rPr>
                <w:rFonts w:ascii="新宋体" w:hAnsi="新宋体" w:eastAsia="新宋体" w:cs="新宋体"/>
                <w:b/>
                <w:bCs/>
                <w:color w:val="auto"/>
                <w:szCs w:val="21"/>
              </w:rPr>
            </w:pPr>
            <w:r>
              <w:rPr>
                <w:rFonts w:hint="eastAsia" w:ascii="新宋体" w:hAnsi="新宋体" w:eastAsia="新宋体" w:cs="新宋体"/>
                <w:b/>
                <w:bCs/>
                <w:color w:val="auto"/>
                <w:szCs w:val="21"/>
              </w:rPr>
              <w:t>一、基本支出：</w:t>
            </w:r>
          </w:p>
        </w:tc>
        <w:tc>
          <w:tcPr>
            <w:tcW w:w="1053"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r>
              <w:rPr>
                <w:rFonts w:hint="eastAsia" w:ascii="新宋体" w:hAnsi="新宋体" w:eastAsia="新宋体" w:cs="新宋体"/>
                <w:b/>
                <w:bCs/>
                <w:color w:val="auto"/>
                <w:szCs w:val="21"/>
              </w:rPr>
              <w:t>746.31</w:t>
            </w:r>
          </w:p>
        </w:tc>
        <w:tc>
          <w:tcPr>
            <w:tcW w:w="1312"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r>
              <w:rPr>
                <w:rFonts w:hint="eastAsia" w:ascii="新宋体" w:hAnsi="新宋体" w:eastAsia="新宋体" w:cs="新宋体"/>
                <w:b/>
                <w:bCs/>
                <w:color w:val="auto"/>
                <w:szCs w:val="21"/>
              </w:rPr>
              <w:t>651.07</w:t>
            </w:r>
          </w:p>
        </w:tc>
        <w:tc>
          <w:tcPr>
            <w:tcW w:w="901"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r>
              <w:rPr>
                <w:rFonts w:hint="eastAsia" w:ascii="新宋体" w:hAnsi="新宋体" w:eastAsia="新宋体" w:cs="新宋体"/>
                <w:b/>
                <w:bCs/>
                <w:color w:val="auto"/>
                <w:szCs w:val="21"/>
              </w:rPr>
              <w:t>651.07</w:t>
            </w:r>
          </w:p>
        </w:tc>
      </w:tr>
      <w:tr>
        <w:tblPrEx>
          <w:tblCellMar>
            <w:top w:w="0" w:type="dxa"/>
            <w:left w:w="108" w:type="dxa"/>
            <w:bottom w:w="0" w:type="dxa"/>
            <w:right w:w="108" w:type="dxa"/>
          </w:tblCellMar>
        </w:tblPrEx>
        <w:trPr>
          <w:trHeight w:val="539" w:hRule="atLeast"/>
          <w:jc w:val="center"/>
        </w:trPr>
        <w:tc>
          <w:tcPr>
            <w:tcW w:w="1734" w:type="pct"/>
            <w:tcBorders>
              <w:top w:val="nil"/>
              <w:left w:val="single" w:color="auto" w:sz="4" w:space="0"/>
              <w:bottom w:val="single" w:color="auto" w:sz="4" w:space="0"/>
              <w:right w:val="single" w:color="auto" w:sz="4" w:space="0"/>
            </w:tcBorders>
            <w:vAlign w:val="center"/>
          </w:tcPr>
          <w:p>
            <w:pPr>
              <w:widowControl/>
              <w:spacing w:line="360" w:lineRule="exact"/>
              <w:rPr>
                <w:rFonts w:ascii="新宋体" w:hAnsi="新宋体" w:eastAsia="新宋体" w:cs="新宋体"/>
                <w:b/>
                <w:bCs/>
                <w:color w:val="auto"/>
                <w:szCs w:val="21"/>
              </w:rPr>
            </w:pPr>
            <w:r>
              <w:rPr>
                <w:rFonts w:hint="eastAsia" w:ascii="新宋体" w:hAnsi="新宋体" w:eastAsia="新宋体" w:cs="新宋体"/>
                <w:b/>
                <w:bCs/>
                <w:color w:val="auto"/>
                <w:szCs w:val="21"/>
              </w:rPr>
              <w:t>其中：三公经费</w:t>
            </w:r>
          </w:p>
        </w:tc>
        <w:tc>
          <w:tcPr>
            <w:tcW w:w="1053"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r>
              <w:rPr>
                <w:rFonts w:hint="eastAsia" w:ascii="新宋体" w:hAnsi="新宋体" w:eastAsia="新宋体" w:cs="新宋体"/>
                <w:b/>
                <w:bCs/>
                <w:color w:val="auto"/>
                <w:szCs w:val="21"/>
              </w:rPr>
              <w:t>3.47</w:t>
            </w:r>
          </w:p>
        </w:tc>
        <w:tc>
          <w:tcPr>
            <w:tcW w:w="1312"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r>
              <w:rPr>
                <w:rFonts w:hint="eastAsia" w:ascii="新宋体" w:hAnsi="新宋体" w:eastAsia="新宋体" w:cs="新宋体"/>
                <w:b/>
                <w:bCs/>
                <w:color w:val="auto"/>
                <w:szCs w:val="21"/>
              </w:rPr>
              <w:t>2</w:t>
            </w:r>
          </w:p>
        </w:tc>
        <w:tc>
          <w:tcPr>
            <w:tcW w:w="901"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r>
              <w:rPr>
                <w:rFonts w:hint="eastAsia" w:ascii="新宋体" w:hAnsi="新宋体" w:eastAsia="新宋体" w:cs="新宋体"/>
                <w:b/>
                <w:bCs/>
                <w:color w:val="auto"/>
                <w:szCs w:val="21"/>
              </w:rPr>
              <w:t>1.31</w:t>
            </w:r>
          </w:p>
        </w:tc>
      </w:tr>
      <w:tr>
        <w:tblPrEx>
          <w:tblCellMar>
            <w:top w:w="0" w:type="dxa"/>
            <w:left w:w="108" w:type="dxa"/>
            <w:bottom w:w="0" w:type="dxa"/>
            <w:right w:w="108" w:type="dxa"/>
          </w:tblCellMar>
        </w:tblPrEx>
        <w:trPr>
          <w:trHeight w:val="539" w:hRule="atLeast"/>
          <w:jc w:val="center"/>
        </w:trPr>
        <w:tc>
          <w:tcPr>
            <w:tcW w:w="1734" w:type="pct"/>
            <w:tcBorders>
              <w:top w:val="nil"/>
              <w:left w:val="single" w:color="auto" w:sz="4" w:space="0"/>
              <w:bottom w:val="single" w:color="auto" w:sz="4" w:space="0"/>
              <w:right w:val="single" w:color="auto" w:sz="4" w:space="0"/>
            </w:tcBorders>
            <w:vAlign w:val="center"/>
          </w:tcPr>
          <w:p>
            <w:pPr>
              <w:widowControl/>
              <w:spacing w:line="360" w:lineRule="exact"/>
              <w:rPr>
                <w:rFonts w:ascii="新宋体" w:hAnsi="新宋体" w:eastAsia="新宋体" w:cs="新宋体"/>
                <w:b/>
                <w:bCs/>
                <w:color w:val="auto"/>
                <w:szCs w:val="21"/>
              </w:rPr>
            </w:pPr>
            <w:r>
              <w:rPr>
                <w:rFonts w:hint="eastAsia" w:ascii="新宋体" w:hAnsi="新宋体" w:eastAsia="新宋体" w:cs="新宋体"/>
                <w:b/>
                <w:bCs/>
                <w:color w:val="auto"/>
                <w:szCs w:val="21"/>
              </w:rPr>
              <w:t>1.公务用车购置和维护经费</w:t>
            </w:r>
          </w:p>
        </w:tc>
        <w:tc>
          <w:tcPr>
            <w:tcW w:w="1053"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p>
        </w:tc>
        <w:tc>
          <w:tcPr>
            <w:tcW w:w="1312"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p>
        </w:tc>
        <w:tc>
          <w:tcPr>
            <w:tcW w:w="901"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p>
        </w:tc>
      </w:tr>
      <w:tr>
        <w:tblPrEx>
          <w:tblCellMar>
            <w:top w:w="0" w:type="dxa"/>
            <w:left w:w="108" w:type="dxa"/>
            <w:bottom w:w="0" w:type="dxa"/>
            <w:right w:w="108" w:type="dxa"/>
          </w:tblCellMar>
        </w:tblPrEx>
        <w:trPr>
          <w:trHeight w:val="539" w:hRule="atLeast"/>
          <w:jc w:val="center"/>
        </w:trPr>
        <w:tc>
          <w:tcPr>
            <w:tcW w:w="1734" w:type="pct"/>
            <w:tcBorders>
              <w:top w:val="nil"/>
              <w:left w:val="single" w:color="auto" w:sz="4" w:space="0"/>
              <w:bottom w:val="single" w:color="auto" w:sz="4" w:space="0"/>
              <w:right w:val="single" w:color="auto" w:sz="4" w:space="0"/>
            </w:tcBorders>
            <w:vAlign w:val="center"/>
          </w:tcPr>
          <w:p>
            <w:pPr>
              <w:widowControl/>
              <w:spacing w:line="360" w:lineRule="exact"/>
              <w:rPr>
                <w:rFonts w:ascii="新宋体" w:hAnsi="新宋体" w:eastAsia="新宋体" w:cs="新宋体"/>
                <w:b/>
                <w:bCs/>
                <w:color w:val="auto"/>
                <w:szCs w:val="21"/>
              </w:rPr>
            </w:pPr>
            <w:r>
              <w:rPr>
                <w:rFonts w:hint="eastAsia" w:ascii="新宋体" w:hAnsi="新宋体" w:eastAsia="新宋体" w:cs="新宋体"/>
                <w:b/>
                <w:bCs/>
                <w:color w:val="auto"/>
                <w:szCs w:val="21"/>
              </w:rPr>
              <w:t>其中：公车购置</w:t>
            </w:r>
          </w:p>
        </w:tc>
        <w:tc>
          <w:tcPr>
            <w:tcW w:w="1053"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p>
        </w:tc>
        <w:tc>
          <w:tcPr>
            <w:tcW w:w="1312"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p>
        </w:tc>
        <w:tc>
          <w:tcPr>
            <w:tcW w:w="901"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p>
        </w:tc>
      </w:tr>
      <w:tr>
        <w:tblPrEx>
          <w:tblCellMar>
            <w:top w:w="0" w:type="dxa"/>
            <w:left w:w="108" w:type="dxa"/>
            <w:bottom w:w="0" w:type="dxa"/>
            <w:right w:w="108" w:type="dxa"/>
          </w:tblCellMar>
        </w:tblPrEx>
        <w:trPr>
          <w:trHeight w:val="539" w:hRule="atLeast"/>
          <w:jc w:val="center"/>
        </w:trPr>
        <w:tc>
          <w:tcPr>
            <w:tcW w:w="1734" w:type="pct"/>
            <w:tcBorders>
              <w:top w:val="nil"/>
              <w:left w:val="single" w:color="auto" w:sz="4" w:space="0"/>
              <w:bottom w:val="single" w:color="auto" w:sz="4" w:space="0"/>
              <w:right w:val="single" w:color="auto" w:sz="4" w:space="0"/>
            </w:tcBorders>
            <w:vAlign w:val="center"/>
          </w:tcPr>
          <w:p>
            <w:pPr>
              <w:widowControl/>
              <w:spacing w:line="360" w:lineRule="exact"/>
              <w:rPr>
                <w:rFonts w:ascii="新宋体" w:hAnsi="新宋体" w:eastAsia="新宋体" w:cs="新宋体"/>
                <w:b/>
                <w:bCs/>
                <w:color w:val="auto"/>
                <w:szCs w:val="21"/>
              </w:rPr>
            </w:pPr>
            <w:r>
              <w:rPr>
                <w:rFonts w:hint="eastAsia" w:ascii="新宋体" w:hAnsi="新宋体" w:eastAsia="新宋体" w:cs="新宋体"/>
                <w:b/>
                <w:bCs/>
                <w:color w:val="auto"/>
                <w:szCs w:val="21"/>
              </w:rPr>
              <w:t>公车运行维护</w:t>
            </w:r>
          </w:p>
        </w:tc>
        <w:tc>
          <w:tcPr>
            <w:tcW w:w="1053"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p>
        </w:tc>
        <w:tc>
          <w:tcPr>
            <w:tcW w:w="1312"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p>
        </w:tc>
        <w:tc>
          <w:tcPr>
            <w:tcW w:w="901"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p>
        </w:tc>
      </w:tr>
      <w:tr>
        <w:tblPrEx>
          <w:tblCellMar>
            <w:top w:w="0" w:type="dxa"/>
            <w:left w:w="108" w:type="dxa"/>
            <w:bottom w:w="0" w:type="dxa"/>
            <w:right w:w="108" w:type="dxa"/>
          </w:tblCellMar>
        </w:tblPrEx>
        <w:trPr>
          <w:trHeight w:val="539" w:hRule="atLeast"/>
          <w:jc w:val="center"/>
        </w:trPr>
        <w:tc>
          <w:tcPr>
            <w:tcW w:w="1734" w:type="pct"/>
            <w:tcBorders>
              <w:top w:val="nil"/>
              <w:left w:val="single" w:color="auto" w:sz="4" w:space="0"/>
              <w:bottom w:val="single" w:color="auto" w:sz="4" w:space="0"/>
              <w:right w:val="single" w:color="auto" w:sz="4" w:space="0"/>
            </w:tcBorders>
            <w:vAlign w:val="center"/>
          </w:tcPr>
          <w:p>
            <w:pPr>
              <w:widowControl/>
              <w:spacing w:line="360" w:lineRule="exact"/>
              <w:rPr>
                <w:rFonts w:ascii="新宋体" w:hAnsi="新宋体" w:eastAsia="新宋体" w:cs="新宋体"/>
                <w:b/>
                <w:bCs/>
                <w:color w:val="auto"/>
                <w:szCs w:val="21"/>
              </w:rPr>
            </w:pPr>
            <w:r>
              <w:rPr>
                <w:rFonts w:hint="eastAsia" w:ascii="新宋体" w:hAnsi="新宋体" w:eastAsia="新宋体" w:cs="新宋体"/>
                <w:b/>
                <w:bCs/>
                <w:color w:val="auto"/>
                <w:szCs w:val="21"/>
              </w:rPr>
              <w:t>2.出国经费</w:t>
            </w:r>
          </w:p>
        </w:tc>
        <w:tc>
          <w:tcPr>
            <w:tcW w:w="1053"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p>
        </w:tc>
        <w:tc>
          <w:tcPr>
            <w:tcW w:w="1312"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p>
        </w:tc>
        <w:tc>
          <w:tcPr>
            <w:tcW w:w="901"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p>
        </w:tc>
      </w:tr>
      <w:tr>
        <w:tblPrEx>
          <w:tblCellMar>
            <w:top w:w="0" w:type="dxa"/>
            <w:left w:w="108" w:type="dxa"/>
            <w:bottom w:w="0" w:type="dxa"/>
            <w:right w:w="108" w:type="dxa"/>
          </w:tblCellMar>
        </w:tblPrEx>
        <w:trPr>
          <w:trHeight w:val="539" w:hRule="atLeast"/>
          <w:jc w:val="center"/>
        </w:trPr>
        <w:tc>
          <w:tcPr>
            <w:tcW w:w="1734" w:type="pct"/>
            <w:tcBorders>
              <w:top w:val="nil"/>
              <w:left w:val="single" w:color="auto" w:sz="4" w:space="0"/>
              <w:bottom w:val="single" w:color="auto" w:sz="4" w:space="0"/>
              <w:right w:val="single" w:color="auto" w:sz="4" w:space="0"/>
            </w:tcBorders>
            <w:vAlign w:val="center"/>
          </w:tcPr>
          <w:p>
            <w:pPr>
              <w:widowControl/>
              <w:spacing w:line="360" w:lineRule="exact"/>
              <w:rPr>
                <w:rFonts w:ascii="新宋体" w:hAnsi="新宋体" w:eastAsia="新宋体" w:cs="新宋体"/>
                <w:b/>
                <w:bCs/>
                <w:color w:val="auto"/>
                <w:szCs w:val="21"/>
              </w:rPr>
            </w:pPr>
            <w:r>
              <w:rPr>
                <w:rFonts w:hint="eastAsia" w:ascii="新宋体" w:hAnsi="新宋体" w:eastAsia="新宋体" w:cs="新宋体"/>
                <w:b/>
                <w:bCs/>
                <w:color w:val="auto"/>
                <w:szCs w:val="21"/>
              </w:rPr>
              <w:t>3.公务接待</w:t>
            </w:r>
          </w:p>
        </w:tc>
        <w:tc>
          <w:tcPr>
            <w:tcW w:w="1053"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r>
              <w:rPr>
                <w:rFonts w:hint="eastAsia" w:ascii="新宋体" w:hAnsi="新宋体" w:eastAsia="新宋体" w:cs="新宋体"/>
                <w:b/>
                <w:bCs/>
                <w:color w:val="auto"/>
                <w:szCs w:val="21"/>
              </w:rPr>
              <w:t>3.47</w:t>
            </w:r>
          </w:p>
        </w:tc>
        <w:tc>
          <w:tcPr>
            <w:tcW w:w="1312"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r>
              <w:rPr>
                <w:rFonts w:hint="eastAsia" w:ascii="新宋体" w:hAnsi="新宋体" w:eastAsia="新宋体" w:cs="新宋体"/>
                <w:b/>
                <w:bCs/>
                <w:color w:val="auto"/>
                <w:szCs w:val="21"/>
              </w:rPr>
              <w:t>2</w:t>
            </w:r>
          </w:p>
        </w:tc>
        <w:tc>
          <w:tcPr>
            <w:tcW w:w="901"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r>
              <w:rPr>
                <w:rFonts w:hint="eastAsia" w:ascii="新宋体" w:hAnsi="新宋体" w:eastAsia="新宋体" w:cs="新宋体"/>
                <w:b/>
                <w:bCs/>
                <w:color w:val="auto"/>
                <w:szCs w:val="21"/>
              </w:rPr>
              <w:t>1.31</w:t>
            </w:r>
          </w:p>
        </w:tc>
      </w:tr>
      <w:tr>
        <w:tblPrEx>
          <w:tblCellMar>
            <w:top w:w="0" w:type="dxa"/>
            <w:left w:w="108" w:type="dxa"/>
            <w:bottom w:w="0" w:type="dxa"/>
            <w:right w:w="108" w:type="dxa"/>
          </w:tblCellMar>
        </w:tblPrEx>
        <w:trPr>
          <w:trHeight w:val="539" w:hRule="atLeast"/>
          <w:jc w:val="center"/>
        </w:trPr>
        <w:tc>
          <w:tcPr>
            <w:tcW w:w="1734" w:type="pct"/>
            <w:tcBorders>
              <w:top w:val="nil"/>
              <w:left w:val="single" w:color="auto" w:sz="4" w:space="0"/>
              <w:bottom w:val="single" w:color="auto" w:sz="4" w:space="0"/>
              <w:right w:val="single" w:color="auto" w:sz="4" w:space="0"/>
            </w:tcBorders>
            <w:vAlign w:val="center"/>
          </w:tcPr>
          <w:p>
            <w:pPr>
              <w:widowControl/>
              <w:spacing w:line="360" w:lineRule="exact"/>
              <w:rPr>
                <w:rFonts w:ascii="新宋体" w:hAnsi="新宋体" w:eastAsia="新宋体" w:cs="新宋体"/>
                <w:b/>
                <w:bCs/>
                <w:color w:val="auto"/>
                <w:szCs w:val="21"/>
              </w:rPr>
            </w:pPr>
            <w:r>
              <w:rPr>
                <w:rFonts w:hint="eastAsia" w:ascii="新宋体" w:hAnsi="新宋体" w:eastAsia="新宋体" w:cs="新宋体"/>
                <w:b/>
                <w:bCs/>
                <w:color w:val="auto"/>
                <w:szCs w:val="21"/>
              </w:rPr>
              <w:t>二、项目支出：</w:t>
            </w:r>
          </w:p>
        </w:tc>
        <w:tc>
          <w:tcPr>
            <w:tcW w:w="1053"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r>
              <w:rPr>
                <w:rFonts w:hint="eastAsia" w:ascii="新宋体" w:hAnsi="新宋体" w:eastAsia="新宋体" w:cs="新宋体"/>
                <w:b/>
                <w:bCs/>
                <w:color w:val="auto"/>
                <w:szCs w:val="21"/>
              </w:rPr>
              <w:t>810</w:t>
            </w:r>
          </w:p>
        </w:tc>
        <w:tc>
          <w:tcPr>
            <w:tcW w:w="1312"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r>
              <w:rPr>
                <w:rFonts w:hint="eastAsia" w:ascii="新宋体" w:hAnsi="新宋体" w:eastAsia="新宋体" w:cs="新宋体"/>
                <w:b/>
                <w:bCs/>
                <w:color w:val="auto"/>
                <w:szCs w:val="21"/>
              </w:rPr>
              <w:t>864.16</w:t>
            </w:r>
          </w:p>
        </w:tc>
        <w:tc>
          <w:tcPr>
            <w:tcW w:w="901"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r>
              <w:rPr>
                <w:rFonts w:hint="eastAsia" w:ascii="新宋体" w:hAnsi="新宋体" w:eastAsia="新宋体" w:cs="新宋体"/>
                <w:b/>
                <w:bCs/>
                <w:color w:val="auto"/>
                <w:szCs w:val="21"/>
              </w:rPr>
              <w:t>864.16</w:t>
            </w:r>
          </w:p>
        </w:tc>
      </w:tr>
      <w:tr>
        <w:tblPrEx>
          <w:tblCellMar>
            <w:top w:w="0" w:type="dxa"/>
            <w:left w:w="108" w:type="dxa"/>
            <w:bottom w:w="0" w:type="dxa"/>
            <w:right w:w="108" w:type="dxa"/>
          </w:tblCellMar>
        </w:tblPrEx>
        <w:trPr>
          <w:trHeight w:val="539" w:hRule="atLeast"/>
          <w:jc w:val="center"/>
        </w:trPr>
        <w:tc>
          <w:tcPr>
            <w:tcW w:w="1734" w:type="pct"/>
            <w:tcBorders>
              <w:top w:val="nil"/>
              <w:left w:val="single" w:color="auto" w:sz="4" w:space="0"/>
              <w:bottom w:val="single" w:color="auto" w:sz="4" w:space="0"/>
              <w:right w:val="single" w:color="auto" w:sz="4" w:space="0"/>
            </w:tcBorders>
            <w:vAlign w:val="center"/>
          </w:tcPr>
          <w:p>
            <w:pPr>
              <w:widowControl/>
              <w:spacing w:line="360" w:lineRule="exact"/>
              <w:rPr>
                <w:rFonts w:ascii="新宋体" w:hAnsi="新宋体" w:eastAsia="新宋体" w:cs="新宋体"/>
                <w:b/>
                <w:bCs/>
                <w:color w:val="auto"/>
                <w:szCs w:val="21"/>
              </w:rPr>
            </w:pPr>
            <w:r>
              <w:rPr>
                <w:rFonts w:hint="eastAsia" w:ascii="新宋体" w:hAnsi="新宋体" w:eastAsia="新宋体" w:cs="新宋体"/>
                <w:b/>
                <w:bCs/>
                <w:color w:val="auto"/>
                <w:szCs w:val="21"/>
              </w:rPr>
              <w:t>1.县级专项资金</w:t>
            </w:r>
          </w:p>
          <w:p>
            <w:pPr>
              <w:widowControl/>
              <w:spacing w:line="360" w:lineRule="exact"/>
              <w:rPr>
                <w:rFonts w:ascii="新宋体" w:hAnsi="新宋体" w:eastAsia="新宋体" w:cs="新宋体"/>
                <w:b/>
                <w:bCs/>
                <w:color w:val="auto"/>
                <w:szCs w:val="21"/>
              </w:rPr>
            </w:pPr>
            <w:r>
              <w:rPr>
                <w:rFonts w:hint="eastAsia" w:ascii="新宋体" w:hAnsi="新宋体" w:eastAsia="新宋体" w:cs="新宋体"/>
                <w:b/>
                <w:bCs/>
                <w:color w:val="auto"/>
                <w:szCs w:val="21"/>
              </w:rPr>
              <w:t>（业务工作经费）</w:t>
            </w:r>
          </w:p>
        </w:tc>
        <w:tc>
          <w:tcPr>
            <w:tcW w:w="1053"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p>
        </w:tc>
        <w:tc>
          <w:tcPr>
            <w:tcW w:w="1312"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r>
              <w:rPr>
                <w:rFonts w:hint="eastAsia" w:ascii="新宋体" w:hAnsi="新宋体" w:eastAsia="新宋体" w:cs="新宋体"/>
                <w:b/>
                <w:bCs/>
                <w:color w:val="auto"/>
                <w:szCs w:val="21"/>
              </w:rPr>
              <w:t>864.16</w:t>
            </w:r>
          </w:p>
        </w:tc>
        <w:tc>
          <w:tcPr>
            <w:tcW w:w="901"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r>
              <w:rPr>
                <w:rFonts w:hint="eastAsia" w:ascii="新宋体" w:hAnsi="新宋体" w:eastAsia="新宋体" w:cs="新宋体"/>
                <w:b/>
                <w:bCs/>
                <w:color w:val="auto"/>
                <w:szCs w:val="21"/>
              </w:rPr>
              <w:t>864.16</w:t>
            </w:r>
          </w:p>
        </w:tc>
      </w:tr>
      <w:tr>
        <w:tblPrEx>
          <w:tblCellMar>
            <w:top w:w="0" w:type="dxa"/>
            <w:left w:w="108" w:type="dxa"/>
            <w:bottom w:w="0" w:type="dxa"/>
            <w:right w:w="108" w:type="dxa"/>
          </w:tblCellMar>
        </w:tblPrEx>
        <w:trPr>
          <w:trHeight w:val="539" w:hRule="atLeast"/>
          <w:jc w:val="center"/>
        </w:trPr>
        <w:tc>
          <w:tcPr>
            <w:tcW w:w="1734" w:type="pct"/>
            <w:tcBorders>
              <w:top w:val="nil"/>
              <w:left w:val="single" w:color="auto" w:sz="4" w:space="0"/>
              <w:bottom w:val="single" w:color="auto" w:sz="4" w:space="0"/>
              <w:right w:val="single" w:color="auto" w:sz="4" w:space="0"/>
            </w:tcBorders>
            <w:vAlign w:val="center"/>
          </w:tcPr>
          <w:p>
            <w:pPr>
              <w:widowControl/>
              <w:spacing w:line="360" w:lineRule="exact"/>
              <w:rPr>
                <w:rFonts w:ascii="新宋体" w:hAnsi="新宋体" w:eastAsia="新宋体" w:cs="新宋体"/>
                <w:b/>
                <w:bCs/>
                <w:color w:val="auto"/>
                <w:szCs w:val="21"/>
              </w:rPr>
            </w:pPr>
            <w:r>
              <w:rPr>
                <w:rFonts w:hint="eastAsia" w:ascii="新宋体" w:hAnsi="新宋体" w:eastAsia="新宋体" w:cs="新宋体"/>
                <w:b/>
                <w:bCs/>
                <w:color w:val="auto"/>
                <w:szCs w:val="21"/>
              </w:rPr>
              <w:t>2. 县级专项资金</w:t>
            </w:r>
          </w:p>
          <w:p>
            <w:pPr>
              <w:widowControl/>
              <w:spacing w:line="360" w:lineRule="exact"/>
              <w:rPr>
                <w:rFonts w:ascii="新宋体" w:hAnsi="新宋体" w:eastAsia="新宋体" w:cs="新宋体"/>
                <w:b/>
                <w:bCs/>
                <w:color w:val="auto"/>
                <w:szCs w:val="21"/>
              </w:rPr>
            </w:pPr>
            <w:r>
              <w:rPr>
                <w:rFonts w:hint="eastAsia" w:ascii="新宋体" w:hAnsi="新宋体" w:eastAsia="新宋体" w:cs="新宋体"/>
                <w:b/>
                <w:bCs/>
                <w:color w:val="auto"/>
                <w:szCs w:val="21"/>
              </w:rPr>
              <w:t>（公共服务一门式建设）</w:t>
            </w:r>
          </w:p>
        </w:tc>
        <w:tc>
          <w:tcPr>
            <w:tcW w:w="1053"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r>
              <w:rPr>
                <w:rFonts w:hint="eastAsia" w:ascii="新宋体" w:hAnsi="新宋体" w:eastAsia="新宋体" w:cs="新宋体"/>
                <w:b/>
                <w:bCs/>
                <w:color w:val="auto"/>
                <w:szCs w:val="21"/>
              </w:rPr>
              <w:t>810</w:t>
            </w:r>
          </w:p>
        </w:tc>
        <w:tc>
          <w:tcPr>
            <w:tcW w:w="1312"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p>
        </w:tc>
        <w:tc>
          <w:tcPr>
            <w:tcW w:w="901"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p>
        </w:tc>
      </w:tr>
      <w:tr>
        <w:tblPrEx>
          <w:tblCellMar>
            <w:top w:w="0" w:type="dxa"/>
            <w:left w:w="108" w:type="dxa"/>
            <w:bottom w:w="0" w:type="dxa"/>
            <w:right w:w="108" w:type="dxa"/>
          </w:tblCellMar>
        </w:tblPrEx>
        <w:trPr>
          <w:trHeight w:val="539" w:hRule="atLeast"/>
          <w:jc w:val="center"/>
        </w:trPr>
        <w:tc>
          <w:tcPr>
            <w:tcW w:w="1734" w:type="pct"/>
            <w:tcBorders>
              <w:top w:val="nil"/>
              <w:left w:val="single" w:color="auto" w:sz="4" w:space="0"/>
              <w:bottom w:val="single" w:color="auto" w:sz="4" w:space="0"/>
              <w:right w:val="single" w:color="auto" w:sz="4" w:space="0"/>
            </w:tcBorders>
            <w:vAlign w:val="center"/>
          </w:tcPr>
          <w:p>
            <w:pPr>
              <w:widowControl/>
              <w:spacing w:line="360" w:lineRule="exact"/>
              <w:rPr>
                <w:rFonts w:ascii="新宋体" w:hAnsi="新宋体" w:eastAsia="新宋体" w:cs="新宋体"/>
                <w:b/>
                <w:bCs/>
                <w:color w:val="auto"/>
                <w:szCs w:val="21"/>
              </w:rPr>
            </w:pPr>
          </w:p>
        </w:tc>
        <w:tc>
          <w:tcPr>
            <w:tcW w:w="1053"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p>
        </w:tc>
        <w:tc>
          <w:tcPr>
            <w:tcW w:w="1312"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p>
        </w:tc>
        <w:tc>
          <w:tcPr>
            <w:tcW w:w="901"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p>
        </w:tc>
      </w:tr>
      <w:tr>
        <w:tblPrEx>
          <w:tblCellMar>
            <w:top w:w="0" w:type="dxa"/>
            <w:left w:w="108" w:type="dxa"/>
            <w:bottom w:w="0" w:type="dxa"/>
            <w:right w:w="108" w:type="dxa"/>
          </w:tblCellMar>
        </w:tblPrEx>
        <w:trPr>
          <w:trHeight w:val="539" w:hRule="atLeast"/>
          <w:jc w:val="center"/>
        </w:trPr>
        <w:tc>
          <w:tcPr>
            <w:tcW w:w="1734" w:type="pct"/>
            <w:tcBorders>
              <w:top w:val="nil"/>
              <w:left w:val="single" w:color="auto" w:sz="4" w:space="0"/>
              <w:bottom w:val="single" w:color="auto" w:sz="4" w:space="0"/>
              <w:right w:val="single" w:color="auto" w:sz="4" w:space="0"/>
            </w:tcBorders>
            <w:vAlign w:val="center"/>
          </w:tcPr>
          <w:p>
            <w:pPr>
              <w:widowControl/>
              <w:spacing w:line="360" w:lineRule="exact"/>
              <w:rPr>
                <w:rFonts w:ascii="新宋体" w:hAnsi="新宋体" w:eastAsia="新宋体" w:cs="新宋体"/>
                <w:b/>
                <w:bCs/>
                <w:color w:val="auto"/>
                <w:szCs w:val="21"/>
              </w:rPr>
            </w:pPr>
          </w:p>
        </w:tc>
        <w:tc>
          <w:tcPr>
            <w:tcW w:w="1053"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p>
        </w:tc>
        <w:tc>
          <w:tcPr>
            <w:tcW w:w="1312"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p>
        </w:tc>
        <w:tc>
          <w:tcPr>
            <w:tcW w:w="901"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p>
        </w:tc>
      </w:tr>
      <w:tr>
        <w:tblPrEx>
          <w:tblCellMar>
            <w:top w:w="0" w:type="dxa"/>
            <w:left w:w="108" w:type="dxa"/>
            <w:bottom w:w="0" w:type="dxa"/>
            <w:right w:w="108" w:type="dxa"/>
          </w:tblCellMar>
        </w:tblPrEx>
        <w:trPr>
          <w:trHeight w:val="539" w:hRule="atLeast"/>
          <w:jc w:val="center"/>
        </w:trPr>
        <w:tc>
          <w:tcPr>
            <w:tcW w:w="1734" w:type="pct"/>
            <w:tcBorders>
              <w:top w:val="nil"/>
              <w:left w:val="single" w:color="auto" w:sz="4" w:space="0"/>
              <w:bottom w:val="single" w:color="auto" w:sz="4" w:space="0"/>
              <w:right w:val="single" w:color="auto" w:sz="4" w:space="0"/>
            </w:tcBorders>
            <w:vAlign w:val="center"/>
          </w:tcPr>
          <w:p>
            <w:pPr>
              <w:widowControl/>
              <w:spacing w:line="360" w:lineRule="exact"/>
              <w:rPr>
                <w:rFonts w:ascii="新宋体" w:hAnsi="新宋体" w:eastAsia="新宋体" w:cs="新宋体"/>
                <w:b/>
                <w:bCs/>
                <w:color w:val="auto"/>
                <w:szCs w:val="21"/>
              </w:rPr>
            </w:pPr>
            <w:r>
              <w:rPr>
                <w:rFonts w:hint="eastAsia" w:ascii="新宋体" w:hAnsi="新宋体" w:eastAsia="新宋体" w:cs="新宋体"/>
                <w:b/>
                <w:bCs/>
                <w:color w:val="auto"/>
                <w:szCs w:val="21"/>
              </w:rPr>
              <w:t>厉行节约保障措施</w:t>
            </w:r>
          </w:p>
        </w:tc>
        <w:tc>
          <w:tcPr>
            <w:tcW w:w="3266" w:type="pct"/>
            <w:gridSpan w:val="3"/>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color w:val="auto"/>
                <w:szCs w:val="21"/>
              </w:rPr>
            </w:pPr>
            <w:r>
              <w:rPr>
                <w:rFonts w:hint="eastAsia" w:ascii="新宋体" w:hAnsi="新宋体" w:eastAsia="新宋体" w:cs="新宋体"/>
                <w:b/>
                <w:bCs/>
                <w:color w:val="auto"/>
                <w:szCs w:val="21"/>
              </w:rPr>
              <w:t>1、完善单位内部控制制度；2、落实压减一般性支出文件精神。</w:t>
            </w:r>
          </w:p>
        </w:tc>
      </w:tr>
    </w:tbl>
    <w:p>
      <w:pPr>
        <w:widowControl/>
        <w:spacing w:line="400" w:lineRule="exact"/>
        <w:jc w:val="left"/>
        <w:rPr>
          <w:rFonts w:ascii="新宋体" w:hAnsi="新宋体" w:eastAsia="新宋体" w:cs="新宋体"/>
          <w:b/>
          <w:bCs/>
          <w:color w:val="auto"/>
          <w:szCs w:val="21"/>
        </w:rPr>
      </w:pPr>
      <w:r>
        <w:rPr>
          <w:rFonts w:hint="eastAsia" w:ascii="新宋体" w:hAnsi="新宋体" w:eastAsia="新宋体" w:cs="新宋体"/>
          <w:b/>
          <w:bCs/>
          <w:color w:val="auto"/>
          <w:szCs w:val="21"/>
        </w:rPr>
        <w:t>说明：以上数据均来源于部门决算报表，其中“基本支出”数据参照基本支出决算明细表（财决05-1表）；“三公经费”数据参照机构运行信息表（财决附03表）；“项目支出”数据参照项目支出决算明细表（财决05-2表）。</w:t>
      </w:r>
    </w:p>
    <w:p>
      <w:pPr>
        <w:widowControl/>
        <w:spacing w:line="400" w:lineRule="exact"/>
        <w:jc w:val="left"/>
        <w:rPr>
          <w:rFonts w:eastAsia="仿宋_GB2312"/>
          <w:b/>
          <w:bCs/>
          <w:color w:val="auto"/>
          <w:sz w:val="22"/>
        </w:rPr>
      </w:pPr>
    </w:p>
    <w:p>
      <w:pPr>
        <w:widowControl/>
        <w:spacing w:line="400" w:lineRule="exact"/>
        <w:jc w:val="left"/>
        <w:rPr>
          <w:rFonts w:eastAsia="黑体"/>
          <w:b/>
          <w:bCs/>
          <w:color w:val="auto"/>
          <w:sz w:val="32"/>
          <w:szCs w:val="32"/>
        </w:rPr>
      </w:pPr>
      <w:r>
        <w:rPr>
          <w:rFonts w:eastAsia="仿宋_GB2312"/>
          <w:b/>
          <w:bCs/>
          <w:color w:val="auto"/>
          <w:sz w:val="22"/>
        </w:rPr>
        <w:t>填表人：        填报日期：          联系电话：            单位负责人签字：</w:t>
      </w:r>
      <w:r>
        <w:rPr>
          <w:rFonts w:eastAsia="仿宋_GB2312"/>
          <w:b/>
          <w:bCs/>
          <w:color w:val="auto"/>
          <w:sz w:val="22"/>
        </w:rPr>
        <w:br w:type="page"/>
      </w:r>
      <w:r>
        <w:rPr>
          <w:rFonts w:ascii="黑体" w:hAnsi="黑体" w:eastAsia="黑体" w:cs="黑体"/>
          <w:b/>
          <w:bCs/>
          <w:color w:val="auto"/>
          <w:sz w:val="32"/>
          <w:szCs w:val="32"/>
        </w:rPr>
        <w:t>附件</w:t>
      </w:r>
      <w:r>
        <w:rPr>
          <w:rFonts w:hint="eastAsia" w:ascii="黑体" w:hAnsi="黑体" w:eastAsia="黑体" w:cs="黑体"/>
          <w:b/>
          <w:bCs/>
          <w:color w:val="auto"/>
          <w:sz w:val="32"/>
          <w:szCs w:val="32"/>
        </w:rPr>
        <w:t>2</w:t>
      </w:r>
    </w:p>
    <w:p>
      <w:pPr>
        <w:spacing w:beforeLines="50" w:afterLines="100" w:line="600" w:lineRule="exact"/>
        <w:jc w:val="center"/>
        <w:rPr>
          <w:rFonts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b/>
          <w:bCs/>
          <w:color w:val="auto"/>
          <w:sz w:val="44"/>
          <w:szCs w:val="44"/>
        </w:rPr>
        <w:t>2022年度部门整体支出绩效自评表</w:t>
      </w:r>
    </w:p>
    <w:tbl>
      <w:tblPr>
        <w:tblStyle w:val="6"/>
        <w:tblW w:w="5076" w:type="pct"/>
        <w:jc w:val="center"/>
        <w:tblLayout w:type="autofit"/>
        <w:tblCellMar>
          <w:top w:w="0" w:type="dxa"/>
          <w:left w:w="108" w:type="dxa"/>
          <w:bottom w:w="0" w:type="dxa"/>
          <w:right w:w="108" w:type="dxa"/>
        </w:tblCellMar>
      </w:tblPr>
      <w:tblGrid>
        <w:gridCol w:w="943"/>
        <w:gridCol w:w="719"/>
        <w:gridCol w:w="719"/>
        <w:gridCol w:w="903"/>
        <w:gridCol w:w="1939"/>
        <w:gridCol w:w="1092"/>
        <w:gridCol w:w="957"/>
        <w:gridCol w:w="217"/>
        <w:gridCol w:w="327"/>
        <w:gridCol w:w="209"/>
        <w:gridCol w:w="503"/>
        <w:gridCol w:w="901"/>
      </w:tblGrid>
      <w:tr>
        <w:tblPrEx>
          <w:tblCellMar>
            <w:top w:w="0" w:type="dxa"/>
            <w:left w:w="108" w:type="dxa"/>
            <w:bottom w:w="0" w:type="dxa"/>
            <w:right w:w="108" w:type="dxa"/>
          </w:tblCellMar>
        </w:tblPrEx>
        <w:trPr>
          <w:trHeight w:val="1003" w:hRule="atLeast"/>
          <w:jc w:val="center"/>
        </w:trPr>
        <w:tc>
          <w:tcPr>
            <w:tcW w:w="507"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县级预算部门名称</w:t>
            </w:r>
          </w:p>
        </w:tc>
        <w:tc>
          <w:tcPr>
            <w:tcW w:w="4493" w:type="pct"/>
            <w:gridSpan w:val="11"/>
            <w:tcBorders>
              <w:top w:val="single" w:color="auto" w:sz="4" w:space="0"/>
              <w:left w:val="nil"/>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华容县行政审批服务局</w:t>
            </w:r>
          </w:p>
        </w:tc>
      </w:tr>
      <w:tr>
        <w:tblPrEx>
          <w:tblCellMar>
            <w:top w:w="0" w:type="dxa"/>
            <w:left w:w="108" w:type="dxa"/>
            <w:bottom w:w="0" w:type="dxa"/>
            <w:right w:w="108" w:type="dxa"/>
          </w:tblCellMar>
        </w:tblPrEx>
        <w:trPr>
          <w:trHeight w:val="863" w:hRule="atLeast"/>
          <w:jc w:val="center"/>
        </w:trPr>
        <w:tc>
          <w:tcPr>
            <w:tcW w:w="507" w:type="pct"/>
            <w:vMerge w:val="restart"/>
            <w:tcBorders>
              <w:top w:val="nil"/>
              <w:left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年度</w:t>
            </w:r>
          </w:p>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预算</w:t>
            </w:r>
          </w:p>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申请</w:t>
            </w:r>
          </w:p>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（万元）</w:t>
            </w:r>
          </w:p>
        </w:tc>
        <w:tc>
          <w:tcPr>
            <w:tcW w:w="776" w:type="pct"/>
            <w:gridSpan w:val="2"/>
            <w:tcBorders>
              <w:top w:val="nil"/>
              <w:left w:val="nil"/>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486" w:type="pct"/>
            <w:tcBorders>
              <w:top w:val="nil"/>
              <w:left w:val="nil"/>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年初</w:t>
            </w:r>
          </w:p>
          <w:p>
            <w:pPr>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预算数</w:t>
            </w:r>
          </w:p>
        </w:tc>
        <w:tc>
          <w:tcPr>
            <w:tcW w:w="1621" w:type="pct"/>
            <w:gridSpan w:val="2"/>
            <w:tcBorders>
              <w:top w:val="nil"/>
              <w:left w:val="nil"/>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全年</w:t>
            </w:r>
          </w:p>
          <w:p>
            <w:pPr>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预算数</w:t>
            </w:r>
          </w:p>
        </w:tc>
        <w:tc>
          <w:tcPr>
            <w:tcW w:w="449" w:type="pct"/>
            <w:tcBorders>
              <w:top w:val="nil"/>
              <w:left w:val="nil"/>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全年</w:t>
            </w:r>
          </w:p>
          <w:p>
            <w:pPr>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执行数</w:t>
            </w:r>
          </w:p>
        </w:tc>
        <w:tc>
          <w:tcPr>
            <w:tcW w:w="294" w:type="pct"/>
            <w:gridSpan w:val="2"/>
            <w:tcBorders>
              <w:top w:val="nil"/>
              <w:left w:val="nil"/>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分值</w:t>
            </w:r>
          </w:p>
        </w:tc>
        <w:tc>
          <w:tcPr>
            <w:tcW w:w="383" w:type="pct"/>
            <w:gridSpan w:val="2"/>
            <w:tcBorders>
              <w:top w:val="nil"/>
              <w:left w:val="nil"/>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执行率</w:t>
            </w:r>
          </w:p>
        </w:tc>
        <w:tc>
          <w:tcPr>
            <w:tcW w:w="484" w:type="pct"/>
            <w:tcBorders>
              <w:top w:val="nil"/>
              <w:left w:val="nil"/>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得分</w:t>
            </w:r>
          </w:p>
        </w:tc>
      </w:tr>
      <w:tr>
        <w:tblPrEx>
          <w:tblCellMar>
            <w:top w:w="0" w:type="dxa"/>
            <w:left w:w="108" w:type="dxa"/>
            <w:bottom w:w="0" w:type="dxa"/>
            <w:right w:w="108" w:type="dxa"/>
          </w:tblCellMar>
        </w:tblPrEx>
        <w:trPr>
          <w:trHeight w:val="462" w:hRule="atLeast"/>
          <w:jc w:val="center"/>
        </w:trPr>
        <w:tc>
          <w:tcPr>
            <w:tcW w:w="507" w:type="pct"/>
            <w:vMerge w:val="continue"/>
            <w:tcBorders>
              <w:top w:val="nil"/>
              <w:left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776" w:type="pct"/>
            <w:gridSpan w:val="2"/>
            <w:tcBorders>
              <w:top w:val="nil"/>
              <w:left w:val="nil"/>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年度资金总额</w:t>
            </w:r>
          </w:p>
        </w:tc>
        <w:tc>
          <w:tcPr>
            <w:tcW w:w="486" w:type="pct"/>
            <w:tcBorders>
              <w:top w:val="nil"/>
              <w:left w:val="nil"/>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248</w:t>
            </w:r>
          </w:p>
        </w:tc>
        <w:tc>
          <w:tcPr>
            <w:tcW w:w="1621" w:type="pct"/>
            <w:gridSpan w:val="2"/>
            <w:tcBorders>
              <w:top w:val="nil"/>
              <w:left w:val="nil"/>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1515.23</w:t>
            </w:r>
          </w:p>
        </w:tc>
        <w:tc>
          <w:tcPr>
            <w:tcW w:w="449" w:type="pct"/>
            <w:tcBorders>
              <w:top w:val="nil"/>
              <w:left w:val="nil"/>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1515.23</w:t>
            </w:r>
          </w:p>
        </w:tc>
        <w:tc>
          <w:tcPr>
            <w:tcW w:w="294" w:type="pct"/>
            <w:gridSpan w:val="2"/>
            <w:tcBorders>
              <w:top w:val="nil"/>
              <w:left w:val="nil"/>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10</w:t>
            </w:r>
          </w:p>
        </w:tc>
        <w:tc>
          <w:tcPr>
            <w:tcW w:w="383" w:type="pct"/>
            <w:gridSpan w:val="2"/>
            <w:tcBorders>
              <w:top w:val="nil"/>
              <w:left w:val="nil"/>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100%</w:t>
            </w:r>
          </w:p>
        </w:tc>
        <w:tc>
          <w:tcPr>
            <w:tcW w:w="484" w:type="pct"/>
            <w:tcBorders>
              <w:top w:val="nil"/>
              <w:left w:val="nil"/>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10</w:t>
            </w:r>
          </w:p>
        </w:tc>
      </w:tr>
      <w:tr>
        <w:tblPrEx>
          <w:tblCellMar>
            <w:top w:w="0" w:type="dxa"/>
            <w:left w:w="108" w:type="dxa"/>
            <w:bottom w:w="0" w:type="dxa"/>
            <w:right w:w="108" w:type="dxa"/>
          </w:tblCellMar>
        </w:tblPrEx>
        <w:trPr>
          <w:trHeight w:val="462" w:hRule="atLeast"/>
          <w:jc w:val="center"/>
        </w:trPr>
        <w:tc>
          <w:tcPr>
            <w:tcW w:w="507" w:type="pct"/>
            <w:vMerge w:val="continue"/>
            <w:tcBorders>
              <w:left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2883" w:type="pct"/>
            <w:gridSpan w:val="5"/>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按收入性质分：</w:t>
            </w:r>
          </w:p>
        </w:tc>
        <w:tc>
          <w:tcPr>
            <w:tcW w:w="1610" w:type="pct"/>
            <w:gridSpan w:val="6"/>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按支出性质分：</w:t>
            </w:r>
          </w:p>
        </w:tc>
      </w:tr>
      <w:tr>
        <w:tblPrEx>
          <w:tblCellMar>
            <w:top w:w="0" w:type="dxa"/>
            <w:left w:w="108" w:type="dxa"/>
            <w:bottom w:w="0" w:type="dxa"/>
            <w:right w:w="108" w:type="dxa"/>
          </w:tblCellMar>
        </w:tblPrEx>
        <w:trPr>
          <w:trHeight w:val="462" w:hRule="atLeast"/>
          <w:jc w:val="center"/>
        </w:trPr>
        <w:tc>
          <w:tcPr>
            <w:tcW w:w="507" w:type="pct"/>
            <w:vMerge w:val="continue"/>
            <w:tcBorders>
              <w:left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2883" w:type="pct"/>
            <w:gridSpan w:val="5"/>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其中：  一般公共预算：1515.23</w:t>
            </w:r>
          </w:p>
        </w:tc>
        <w:tc>
          <w:tcPr>
            <w:tcW w:w="1610" w:type="pct"/>
            <w:gridSpan w:val="6"/>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其中：基本支出：651.07</w:t>
            </w:r>
          </w:p>
        </w:tc>
      </w:tr>
      <w:tr>
        <w:tblPrEx>
          <w:tblCellMar>
            <w:top w:w="0" w:type="dxa"/>
            <w:left w:w="108" w:type="dxa"/>
            <w:bottom w:w="0" w:type="dxa"/>
            <w:right w:w="108" w:type="dxa"/>
          </w:tblCellMar>
        </w:tblPrEx>
        <w:trPr>
          <w:trHeight w:val="462" w:hRule="atLeast"/>
          <w:jc w:val="center"/>
        </w:trPr>
        <w:tc>
          <w:tcPr>
            <w:tcW w:w="507" w:type="pct"/>
            <w:vMerge w:val="continue"/>
            <w:tcBorders>
              <w:left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2883" w:type="pct"/>
            <w:gridSpan w:val="5"/>
            <w:tcBorders>
              <w:top w:val="nil"/>
              <w:left w:val="nil"/>
              <w:bottom w:val="single" w:color="auto" w:sz="4" w:space="0"/>
              <w:right w:val="single" w:color="auto" w:sz="4" w:space="0"/>
            </w:tcBorders>
            <w:vAlign w:val="center"/>
          </w:tcPr>
          <w:p>
            <w:pPr>
              <w:widowControl/>
              <w:spacing w:line="0" w:lineRule="atLeast"/>
              <w:ind w:firstLine="632" w:firstLineChars="300"/>
              <w:jc w:val="left"/>
              <w:rPr>
                <w:rFonts w:ascii="新宋体" w:hAnsi="新宋体" w:eastAsia="新宋体" w:cs="新宋体"/>
                <w:b/>
                <w:bCs/>
                <w:color w:val="auto"/>
                <w:szCs w:val="21"/>
              </w:rPr>
            </w:pPr>
            <w:r>
              <w:rPr>
                <w:rFonts w:hint="eastAsia" w:ascii="新宋体" w:hAnsi="新宋体" w:eastAsia="新宋体" w:cs="新宋体"/>
                <w:b/>
                <w:bCs/>
                <w:color w:val="auto"/>
                <w:szCs w:val="21"/>
              </w:rPr>
              <w:t>政府性基金拨款：</w:t>
            </w:r>
          </w:p>
        </w:tc>
        <w:tc>
          <w:tcPr>
            <w:tcW w:w="1610" w:type="pct"/>
            <w:gridSpan w:val="6"/>
            <w:tcBorders>
              <w:top w:val="nil"/>
              <w:left w:val="nil"/>
              <w:bottom w:val="single" w:color="auto" w:sz="4" w:space="0"/>
              <w:right w:val="single" w:color="auto" w:sz="4" w:space="0"/>
            </w:tcBorders>
            <w:vAlign w:val="center"/>
          </w:tcPr>
          <w:p>
            <w:pPr>
              <w:widowControl/>
              <w:spacing w:line="0" w:lineRule="atLeast"/>
              <w:ind w:firstLine="632" w:firstLineChars="300"/>
              <w:jc w:val="left"/>
              <w:rPr>
                <w:rFonts w:ascii="新宋体" w:hAnsi="新宋体" w:eastAsia="新宋体" w:cs="新宋体"/>
                <w:b/>
                <w:bCs/>
                <w:color w:val="auto"/>
                <w:szCs w:val="21"/>
              </w:rPr>
            </w:pPr>
            <w:r>
              <w:rPr>
                <w:rFonts w:hint="eastAsia" w:ascii="新宋体" w:hAnsi="新宋体" w:eastAsia="新宋体" w:cs="新宋体"/>
                <w:b/>
                <w:bCs/>
                <w:color w:val="auto"/>
                <w:szCs w:val="21"/>
              </w:rPr>
              <w:t>项目支出：864.16</w:t>
            </w:r>
          </w:p>
        </w:tc>
      </w:tr>
      <w:tr>
        <w:tblPrEx>
          <w:tblCellMar>
            <w:top w:w="0" w:type="dxa"/>
            <w:left w:w="108" w:type="dxa"/>
            <w:bottom w:w="0" w:type="dxa"/>
            <w:right w:w="108" w:type="dxa"/>
          </w:tblCellMar>
        </w:tblPrEx>
        <w:trPr>
          <w:trHeight w:val="462" w:hRule="atLeast"/>
          <w:jc w:val="center"/>
        </w:trPr>
        <w:tc>
          <w:tcPr>
            <w:tcW w:w="507" w:type="pct"/>
            <w:vMerge w:val="continue"/>
            <w:tcBorders>
              <w:left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2883" w:type="pct"/>
            <w:gridSpan w:val="5"/>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纳入专户管理的非税收入拨款：</w:t>
            </w:r>
          </w:p>
        </w:tc>
        <w:tc>
          <w:tcPr>
            <w:tcW w:w="1610" w:type="pct"/>
            <w:gridSpan w:val="6"/>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p>
        </w:tc>
      </w:tr>
      <w:tr>
        <w:tblPrEx>
          <w:tblCellMar>
            <w:top w:w="0" w:type="dxa"/>
            <w:left w:w="108" w:type="dxa"/>
            <w:bottom w:w="0" w:type="dxa"/>
            <w:right w:w="108" w:type="dxa"/>
          </w:tblCellMar>
        </w:tblPrEx>
        <w:trPr>
          <w:trHeight w:val="462" w:hRule="atLeast"/>
          <w:jc w:val="center"/>
        </w:trPr>
        <w:tc>
          <w:tcPr>
            <w:tcW w:w="507" w:type="pct"/>
            <w:vMerge w:val="continue"/>
            <w:tcBorders>
              <w:left w:val="single" w:color="auto" w:sz="4" w:space="0"/>
              <w:bottom w:val="single" w:color="000000"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2883" w:type="pct"/>
            <w:gridSpan w:val="5"/>
            <w:tcBorders>
              <w:top w:val="nil"/>
              <w:left w:val="nil"/>
              <w:bottom w:val="single" w:color="auto" w:sz="4" w:space="0"/>
              <w:right w:val="single" w:color="auto" w:sz="4" w:space="0"/>
            </w:tcBorders>
            <w:vAlign w:val="center"/>
          </w:tcPr>
          <w:p>
            <w:pPr>
              <w:widowControl/>
              <w:spacing w:line="0" w:lineRule="atLeast"/>
              <w:ind w:firstLine="1265" w:firstLineChars="600"/>
              <w:jc w:val="left"/>
              <w:rPr>
                <w:rFonts w:ascii="新宋体" w:hAnsi="新宋体" w:eastAsia="新宋体" w:cs="新宋体"/>
                <w:b/>
                <w:bCs/>
                <w:color w:val="auto"/>
                <w:szCs w:val="21"/>
              </w:rPr>
            </w:pPr>
            <w:r>
              <w:rPr>
                <w:rFonts w:hint="eastAsia" w:ascii="新宋体" w:hAnsi="新宋体" w:eastAsia="新宋体" w:cs="新宋体"/>
                <w:b/>
                <w:bCs/>
                <w:color w:val="auto"/>
                <w:szCs w:val="21"/>
              </w:rPr>
              <w:t>其他资金：</w:t>
            </w:r>
          </w:p>
        </w:tc>
        <w:tc>
          <w:tcPr>
            <w:tcW w:w="1610" w:type="pct"/>
            <w:gridSpan w:val="6"/>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p>
        </w:tc>
      </w:tr>
      <w:tr>
        <w:tblPrEx>
          <w:tblCellMar>
            <w:top w:w="0" w:type="dxa"/>
            <w:left w:w="108" w:type="dxa"/>
            <w:bottom w:w="0" w:type="dxa"/>
            <w:right w:w="108" w:type="dxa"/>
          </w:tblCellMar>
        </w:tblPrEx>
        <w:trPr>
          <w:trHeight w:val="462" w:hRule="atLeast"/>
          <w:jc w:val="center"/>
        </w:trPr>
        <w:tc>
          <w:tcPr>
            <w:tcW w:w="507" w:type="pct"/>
            <w:vMerge w:val="restart"/>
            <w:tcBorders>
              <w:top w:val="nil"/>
              <w:left w:val="single" w:color="auto" w:sz="4" w:space="0"/>
              <w:bottom w:val="single" w:color="000000"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年度</w:t>
            </w:r>
          </w:p>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总体目标</w:t>
            </w:r>
          </w:p>
        </w:tc>
        <w:tc>
          <w:tcPr>
            <w:tcW w:w="2883" w:type="pct"/>
            <w:gridSpan w:val="5"/>
            <w:tcBorders>
              <w:top w:val="single" w:color="auto" w:sz="4" w:space="0"/>
              <w:left w:val="nil"/>
              <w:bottom w:val="single" w:color="auto" w:sz="4" w:space="0"/>
              <w:right w:val="single" w:color="000000"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预期目标</w:t>
            </w:r>
          </w:p>
        </w:tc>
        <w:tc>
          <w:tcPr>
            <w:tcW w:w="1610" w:type="pct"/>
            <w:gridSpan w:val="6"/>
            <w:tcBorders>
              <w:top w:val="single" w:color="auto" w:sz="4" w:space="0"/>
              <w:left w:val="nil"/>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实际完成情况　</w:t>
            </w:r>
          </w:p>
        </w:tc>
      </w:tr>
      <w:tr>
        <w:tblPrEx>
          <w:tblCellMar>
            <w:top w:w="0" w:type="dxa"/>
            <w:left w:w="108" w:type="dxa"/>
            <w:bottom w:w="0" w:type="dxa"/>
            <w:right w:w="108" w:type="dxa"/>
          </w:tblCellMar>
        </w:tblPrEx>
        <w:trPr>
          <w:trHeight w:val="6794" w:hRule="atLeast"/>
          <w:jc w:val="center"/>
        </w:trPr>
        <w:tc>
          <w:tcPr>
            <w:tcW w:w="507" w:type="pct"/>
            <w:vMerge w:val="continue"/>
            <w:tcBorders>
              <w:top w:val="nil"/>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2883" w:type="pct"/>
            <w:gridSpan w:val="5"/>
            <w:tcBorders>
              <w:top w:val="single" w:color="auto" w:sz="4" w:space="0"/>
              <w:left w:val="nil"/>
              <w:bottom w:val="single" w:color="auto" w:sz="4" w:space="0"/>
              <w:right w:val="single" w:color="000000"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目标1：全面推进“一网通办”改革，创新开展基层公共服务（一门式）全覆盖，大力实施“三集中三到位”、“一窗受理”、“一件事一次办”“5+2”预约办、帮代办、“全域通办”等惠企便民工程。</w:t>
            </w:r>
          </w:p>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目标2：相对集中行政许可权改革（一枚印章管审批改革）目标3：华发〔2022〕1 号文，第件26条：智慧城市数字服务建设</w:t>
            </w:r>
          </w:p>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目标4：华政发〔2022〕1 号文，第件11条：加强信息化、数字化建设，加强环卫、渔政、市政等智慧成果应用</w:t>
            </w:r>
          </w:p>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目标5：华政发〔2022〕1 号文，第件14条：试行“首席数据官”制度，加强政务信息化项目建设和政务数据资源共享管理</w:t>
            </w:r>
          </w:p>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目标6：推进全县基层公共服务（一门式）全覆盖工作。</w:t>
            </w:r>
          </w:p>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目标7：负责全县优化营商环境工作。</w:t>
            </w:r>
          </w:p>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目标8：负责组织、指导、监督、协调人驻单位业务的开展情况并提供相应的后勤服务;</w:t>
            </w:r>
          </w:p>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目标9：建好“一扇门”，推进服务高效集成。</w:t>
            </w:r>
          </w:p>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目标10：办好“一件事”，推进服务提质增效。</w:t>
            </w:r>
          </w:p>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目标11：用好“一张网”，推进服务“上云”。</w:t>
            </w:r>
          </w:p>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目标12：保证大厅管理和正常运行。</w:t>
            </w:r>
          </w:p>
          <w:p>
            <w:pPr>
              <w:widowControl/>
              <w:spacing w:line="0" w:lineRule="atLeast"/>
              <w:jc w:val="left"/>
              <w:rPr>
                <w:rFonts w:ascii="新宋体" w:hAnsi="新宋体" w:eastAsia="新宋体" w:cs="新宋体"/>
                <w:b/>
                <w:bCs/>
                <w:color w:val="auto"/>
                <w:szCs w:val="21"/>
              </w:rPr>
            </w:pPr>
          </w:p>
        </w:tc>
        <w:tc>
          <w:tcPr>
            <w:tcW w:w="1610" w:type="pct"/>
            <w:gridSpan w:val="6"/>
            <w:tcBorders>
              <w:top w:val="single" w:color="auto" w:sz="4" w:space="0"/>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顺利完成各项职责目标任务，保障机构正常运转，年度综合考核为一类单位。</w:t>
            </w:r>
          </w:p>
        </w:tc>
      </w:tr>
      <w:tr>
        <w:tblPrEx>
          <w:tblCellMar>
            <w:top w:w="0" w:type="dxa"/>
            <w:left w:w="108" w:type="dxa"/>
            <w:bottom w:w="0" w:type="dxa"/>
            <w:right w:w="108" w:type="dxa"/>
          </w:tblCellMar>
        </w:tblPrEx>
        <w:trPr>
          <w:trHeight w:val="850" w:hRule="atLeast"/>
          <w:jc w:val="center"/>
        </w:trPr>
        <w:tc>
          <w:tcPr>
            <w:tcW w:w="507" w:type="pct"/>
            <w:vMerge w:val="restar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绩</w:t>
            </w:r>
          </w:p>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效</w:t>
            </w:r>
          </w:p>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指</w:t>
            </w:r>
          </w:p>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标</w:t>
            </w:r>
          </w:p>
        </w:tc>
        <w:tc>
          <w:tcPr>
            <w:tcW w:w="388"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一级</w:t>
            </w:r>
          </w:p>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指标</w:t>
            </w:r>
          </w:p>
        </w:tc>
        <w:tc>
          <w:tcPr>
            <w:tcW w:w="388"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二级</w:t>
            </w:r>
          </w:p>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指标</w:t>
            </w:r>
          </w:p>
        </w:tc>
        <w:tc>
          <w:tcPr>
            <w:tcW w:w="1521"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三级</w:t>
            </w:r>
          </w:p>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指标</w:t>
            </w:r>
          </w:p>
        </w:tc>
        <w:tc>
          <w:tcPr>
            <w:tcW w:w="586"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年度</w:t>
            </w:r>
          </w:p>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指标值</w:t>
            </w:r>
          </w:p>
        </w:tc>
        <w:tc>
          <w:tcPr>
            <w:tcW w:w="571"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实际</w:t>
            </w:r>
          </w:p>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完成值</w:t>
            </w:r>
          </w:p>
        </w:tc>
        <w:tc>
          <w:tcPr>
            <w:tcW w:w="282"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分值</w:t>
            </w:r>
          </w:p>
        </w:tc>
        <w:tc>
          <w:tcPr>
            <w:tcW w:w="273"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得分</w:t>
            </w:r>
          </w:p>
        </w:tc>
        <w:tc>
          <w:tcPr>
            <w:tcW w:w="484"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偏差原因分析及改进措施</w:t>
            </w:r>
          </w:p>
        </w:tc>
      </w:tr>
      <w:tr>
        <w:tblPrEx>
          <w:tblCellMar>
            <w:top w:w="0" w:type="dxa"/>
            <w:left w:w="108" w:type="dxa"/>
            <w:bottom w:w="0" w:type="dxa"/>
            <w:right w:w="108" w:type="dxa"/>
          </w:tblCellMar>
        </w:tblPrEx>
        <w:trPr>
          <w:trHeight w:val="462" w:hRule="atLeast"/>
          <w:jc w:val="center"/>
        </w:trPr>
        <w:tc>
          <w:tcPr>
            <w:tcW w:w="507"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restar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产出</w:t>
            </w:r>
          </w:p>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指标</w:t>
            </w:r>
          </w:p>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(50分)</w:t>
            </w:r>
          </w:p>
        </w:tc>
        <w:tc>
          <w:tcPr>
            <w:tcW w:w="388" w:type="pct"/>
            <w:vMerge w:val="restar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数量</w:t>
            </w:r>
          </w:p>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指标</w:t>
            </w:r>
          </w:p>
        </w:tc>
        <w:tc>
          <w:tcPr>
            <w:tcW w:w="1521"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b/>
                <w:bCs/>
                <w:color w:val="auto"/>
                <w:sz w:val="17"/>
              </w:rPr>
              <w:t>指标1：行政审批事项办结率。</w:t>
            </w:r>
          </w:p>
        </w:tc>
        <w:tc>
          <w:tcPr>
            <w:tcW w:w="586"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b/>
                <w:bCs/>
                <w:color w:val="auto"/>
                <w:sz w:val="17"/>
              </w:rPr>
            </w:pPr>
            <w:r>
              <w:rPr>
                <w:rFonts w:hint="eastAsia"/>
                <w:b/>
                <w:bCs/>
                <w:color w:val="auto"/>
                <w:sz w:val="17"/>
              </w:rPr>
              <w:t>≥100%</w:t>
            </w:r>
          </w:p>
        </w:tc>
        <w:tc>
          <w:tcPr>
            <w:tcW w:w="571"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b/>
                <w:bCs/>
                <w:color w:val="auto"/>
                <w:sz w:val="17"/>
              </w:rPr>
            </w:pPr>
            <w:r>
              <w:rPr>
                <w:rFonts w:hint="eastAsia"/>
                <w:b/>
                <w:bCs/>
                <w:color w:val="auto"/>
                <w:sz w:val="17"/>
              </w:rPr>
              <w:t>完成</w:t>
            </w:r>
          </w:p>
        </w:tc>
        <w:tc>
          <w:tcPr>
            <w:tcW w:w="282" w:type="pct"/>
            <w:gridSpan w:val="2"/>
            <w:vMerge w:val="restart"/>
            <w:tcBorders>
              <w:top w:val="single" w:color="auto" w:sz="4" w:space="0"/>
              <w:left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20</w:t>
            </w:r>
          </w:p>
        </w:tc>
        <w:tc>
          <w:tcPr>
            <w:tcW w:w="273" w:type="pct"/>
            <w:vMerge w:val="restart"/>
            <w:tcBorders>
              <w:top w:val="single" w:color="auto" w:sz="4" w:space="0"/>
              <w:left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20</w:t>
            </w:r>
          </w:p>
        </w:tc>
        <w:tc>
          <w:tcPr>
            <w:tcW w:w="484" w:type="pct"/>
            <w:vMerge w:val="restart"/>
            <w:tcBorders>
              <w:top w:val="single" w:color="auto" w:sz="4" w:space="0"/>
              <w:left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p>
            <w:pPr>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r>
      <w:tr>
        <w:tblPrEx>
          <w:tblCellMar>
            <w:top w:w="0" w:type="dxa"/>
            <w:left w:w="108" w:type="dxa"/>
            <w:bottom w:w="0" w:type="dxa"/>
            <w:right w:w="108" w:type="dxa"/>
          </w:tblCellMar>
        </w:tblPrEx>
        <w:trPr>
          <w:trHeight w:val="462" w:hRule="atLeast"/>
          <w:jc w:val="center"/>
        </w:trPr>
        <w:tc>
          <w:tcPr>
            <w:tcW w:w="507"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1521" w:type="pct"/>
            <w:gridSpan w:val="2"/>
            <w:tcBorders>
              <w:top w:val="single" w:color="auto" w:sz="4" w:space="0"/>
              <w:left w:val="single" w:color="auto" w:sz="4" w:space="0"/>
              <w:bottom w:val="single" w:color="auto" w:sz="4" w:space="0"/>
              <w:right w:val="single" w:color="auto" w:sz="4" w:space="0"/>
            </w:tcBorders>
            <w:vAlign w:val="center"/>
          </w:tcPr>
          <w:p>
            <w:pPr>
              <w:autoSpaceDN w:val="0"/>
              <w:spacing w:line="320" w:lineRule="exact"/>
              <w:jc w:val="left"/>
              <w:textAlignment w:val="center"/>
              <w:rPr>
                <w:b/>
                <w:bCs/>
                <w:color w:val="auto"/>
                <w:sz w:val="17"/>
              </w:rPr>
            </w:pPr>
            <w:r>
              <w:rPr>
                <w:rFonts w:hint="eastAsia"/>
                <w:b/>
                <w:bCs/>
                <w:color w:val="auto"/>
                <w:sz w:val="17"/>
              </w:rPr>
              <w:t>指标2：全县基层公共服务（一门式）全覆盖。</w:t>
            </w:r>
          </w:p>
        </w:tc>
        <w:tc>
          <w:tcPr>
            <w:tcW w:w="586"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b/>
                <w:bCs/>
                <w:color w:val="auto"/>
                <w:sz w:val="17"/>
              </w:rPr>
            </w:pPr>
            <w:r>
              <w:rPr>
                <w:rFonts w:hint="eastAsia"/>
                <w:b/>
                <w:bCs/>
                <w:color w:val="auto"/>
                <w:sz w:val="17"/>
              </w:rPr>
              <w:t>≥100%</w:t>
            </w:r>
          </w:p>
        </w:tc>
        <w:tc>
          <w:tcPr>
            <w:tcW w:w="571"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b/>
                <w:bCs/>
                <w:color w:val="auto"/>
                <w:sz w:val="17"/>
              </w:rPr>
            </w:pPr>
            <w:r>
              <w:rPr>
                <w:rFonts w:hint="eastAsia"/>
                <w:b/>
                <w:bCs/>
                <w:color w:val="auto"/>
                <w:sz w:val="17"/>
              </w:rPr>
              <w:t>完成</w:t>
            </w:r>
          </w:p>
        </w:tc>
        <w:tc>
          <w:tcPr>
            <w:tcW w:w="282" w:type="pct"/>
            <w:gridSpan w:val="2"/>
            <w:vMerge w:val="continue"/>
            <w:tcBorders>
              <w:left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273" w:type="pct"/>
            <w:vMerge w:val="continue"/>
            <w:tcBorders>
              <w:left w:val="single" w:color="auto" w:sz="4" w:space="0"/>
              <w:right w:val="single" w:color="auto" w:sz="4" w:space="0"/>
            </w:tcBorders>
            <w:vAlign w:val="center"/>
          </w:tcPr>
          <w:p>
            <w:pPr>
              <w:spacing w:line="0" w:lineRule="atLeast"/>
              <w:jc w:val="left"/>
              <w:rPr>
                <w:rFonts w:ascii="新宋体" w:hAnsi="新宋体" w:eastAsia="新宋体" w:cs="新宋体"/>
                <w:b/>
                <w:bCs/>
                <w:color w:val="auto"/>
                <w:szCs w:val="21"/>
              </w:rPr>
            </w:pPr>
          </w:p>
        </w:tc>
        <w:tc>
          <w:tcPr>
            <w:tcW w:w="484" w:type="pct"/>
            <w:vMerge w:val="continue"/>
            <w:tcBorders>
              <w:left w:val="single" w:color="auto" w:sz="4" w:space="0"/>
              <w:right w:val="single" w:color="auto" w:sz="4" w:space="0"/>
            </w:tcBorders>
            <w:vAlign w:val="center"/>
          </w:tcPr>
          <w:p>
            <w:pPr>
              <w:spacing w:line="0" w:lineRule="atLeast"/>
              <w:jc w:val="left"/>
              <w:rPr>
                <w:rFonts w:ascii="新宋体" w:hAnsi="新宋体" w:eastAsia="新宋体" w:cs="新宋体"/>
                <w:b/>
                <w:bCs/>
                <w:color w:val="auto"/>
                <w:szCs w:val="21"/>
              </w:rPr>
            </w:pPr>
          </w:p>
        </w:tc>
      </w:tr>
      <w:tr>
        <w:tblPrEx>
          <w:tblCellMar>
            <w:top w:w="0" w:type="dxa"/>
            <w:left w:w="108" w:type="dxa"/>
            <w:bottom w:w="0" w:type="dxa"/>
            <w:right w:w="108" w:type="dxa"/>
          </w:tblCellMar>
        </w:tblPrEx>
        <w:trPr>
          <w:trHeight w:val="462" w:hRule="atLeast"/>
          <w:jc w:val="center"/>
        </w:trPr>
        <w:tc>
          <w:tcPr>
            <w:tcW w:w="507"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1521"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b/>
                <w:bCs/>
                <w:color w:val="auto"/>
                <w:sz w:val="17"/>
              </w:rPr>
            </w:pPr>
            <w:r>
              <w:rPr>
                <w:rFonts w:hint="eastAsia"/>
                <w:b/>
                <w:bCs/>
                <w:color w:val="auto"/>
                <w:sz w:val="17"/>
              </w:rPr>
              <w:t>指标3：便民服务乡镇全覆盖。</w:t>
            </w:r>
          </w:p>
        </w:tc>
        <w:tc>
          <w:tcPr>
            <w:tcW w:w="586"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b/>
                <w:bCs/>
                <w:color w:val="auto"/>
                <w:sz w:val="17"/>
              </w:rPr>
            </w:pPr>
            <w:r>
              <w:rPr>
                <w:rFonts w:hint="eastAsia"/>
                <w:b/>
                <w:bCs/>
                <w:color w:val="auto"/>
                <w:sz w:val="17"/>
              </w:rPr>
              <w:t>≥100%</w:t>
            </w:r>
          </w:p>
        </w:tc>
        <w:tc>
          <w:tcPr>
            <w:tcW w:w="571"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b/>
                <w:bCs/>
                <w:color w:val="auto"/>
                <w:sz w:val="17"/>
              </w:rPr>
            </w:pPr>
            <w:r>
              <w:rPr>
                <w:rFonts w:hint="eastAsia"/>
                <w:b/>
                <w:bCs/>
                <w:color w:val="auto"/>
                <w:sz w:val="17"/>
              </w:rPr>
              <w:t>完成</w:t>
            </w:r>
          </w:p>
        </w:tc>
        <w:tc>
          <w:tcPr>
            <w:tcW w:w="282" w:type="pct"/>
            <w:gridSpan w:val="2"/>
            <w:vMerge w:val="continue"/>
            <w:tcBorders>
              <w:left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273" w:type="pct"/>
            <w:vMerge w:val="continue"/>
            <w:tcBorders>
              <w:left w:val="single" w:color="auto" w:sz="4" w:space="0"/>
              <w:right w:val="single" w:color="auto" w:sz="4" w:space="0"/>
            </w:tcBorders>
            <w:vAlign w:val="center"/>
          </w:tcPr>
          <w:p>
            <w:pPr>
              <w:spacing w:line="0" w:lineRule="atLeast"/>
              <w:jc w:val="left"/>
              <w:rPr>
                <w:rFonts w:ascii="新宋体" w:hAnsi="新宋体" w:eastAsia="新宋体" w:cs="新宋体"/>
                <w:b/>
                <w:bCs/>
                <w:color w:val="auto"/>
                <w:szCs w:val="21"/>
              </w:rPr>
            </w:pPr>
          </w:p>
        </w:tc>
        <w:tc>
          <w:tcPr>
            <w:tcW w:w="484" w:type="pct"/>
            <w:vMerge w:val="continue"/>
            <w:tcBorders>
              <w:left w:val="single" w:color="auto" w:sz="4" w:space="0"/>
              <w:right w:val="single" w:color="auto" w:sz="4" w:space="0"/>
            </w:tcBorders>
            <w:vAlign w:val="center"/>
          </w:tcPr>
          <w:p>
            <w:pPr>
              <w:spacing w:line="0" w:lineRule="atLeast"/>
              <w:jc w:val="left"/>
              <w:rPr>
                <w:rFonts w:ascii="新宋体" w:hAnsi="新宋体" w:eastAsia="新宋体" w:cs="新宋体"/>
                <w:b/>
                <w:bCs/>
                <w:color w:val="auto"/>
                <w:szCs w:val="21"/>
              </w:rPr>
            </w:pPr>
          </w:p>
        </w:tc>
      </w:tr>
      <w:tr>
        <w:tblPrEx>
          <w:tblCellMar>
            <w:top w:w="0" w:type="dxa"/>
            <w:left w:w="108" w:type="dxa"/>
            <w:bottom w:w="0" w:type="dxa"/>
            <w:right w:w="108" w:type="dxa"/>
          </w:tblCellMar>
        </w:tblPrEx>
        <w:trPr>
          <w:trHeight w:val="462" w:hRule="atLeast"/>
          <w:jc w:val="center"/>
        </w:trPr>
        <w:tc>
          <w:tcPr>
            <w:tcW w:w="507"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1521"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b/>
                <w:bCs/>
                <w:color w:val="auto"/>
                <w:sz w:val="17"/>
              </w:rPr>
            </w:pPr>
            <w:r>
              <w:rPr>
                <w:rFonts w:hint="eastAsia"/>
                <w:b/>
                <w:bCs/>
                <w:color w:val="auto"/>
                <w:sz w:val="17"/>
              </w:rPr>
              <w:t>指标4：行政审批事项当天办结率</w:t>
            </w:r>
          </w:p>
        </w:tc>
        <w:tc>
          <w:tcPr>
            <w:tcW w:w="586"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b/>
                <w:bCs/>
                <w:color w:val="auto"/>
                <w:sz w:val="17"/>
              </w:rPr>
            </w:pPr>
            <w:r>
              <w:rPr>
                <w:rFonts w:hint="eastAsia"/>
                <w:b/>
                <w:bCs/>
                <w:color w:val="auto"/>
                <w:sz w:val="17"/>
              </w:rPr>
              <w:t>≥100%</w:t>
            </w:r>
          </w:p>
        </w:tc>
        <w:tc>
          <w:tcPr>
            <w:tcW w:w="571"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b/>
                <w:bCs/>
                <w:color w:val="auto"/>
                <w:sz w:val="17"/>
              </w:rPr>
            </w:pPr>
            <w:r>
              <w:rPr>
                <w:rFonts w:hint="eastAsia"/>
                <w:b/>
                <w:bCs/>
                <w:color w:val="auto"/>
                <w:sz w:val="17"/>
              </w:rPr>
              <w:t>完成</w:t>
            </w:r>
          </w:p>
        </w:tc>
        <w:tc>
          <w:tcPr>
            <w:tcW w:w="282" w:type="pct"/>
            <w:gridSpan w:val="2"/>
            <w:vMerge w:val="continue"/>
            <w:tcBorders>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273" w:type="pct"/>
            <w:vMerge w:val="continue"/>
            <w:tcBorders>
              <w:left w:val="single" w:color="auto" w:sz="4" w:space="0"/>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p>
        </w:tc>
        <w:tc>
          <w:tcPr>
            <w:tcW w:w="484" w:type="pct"/>
            <w:vMerge w:val="continue"/>
            <w:tcBorders>
              <w:left w:val="single" w:color="auto" w:sz="4" w:space="0"/>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p>
        </w:tc>
      </w:tr>
      <w:tr>
        <w:tblPrEx>
          <w:tblCellMar>
            <w:top w:w="0" w:type="dxa"/>
            <w:left w:w="108" w:type="dxa"/>
            <w:bottom w:w="0" w:type="dxa"/>
            <w:right w:w="108" w:type="dxa"/>
          </w:tblCellMar>
        </w:tblPrEx>
        <w:trPr>
          <w:trHeight w:val="462" w:hRule="atLeast"/>
          <w:jc w:val="center"/>
        </w:trPr>
        <w:tc>
          <w:tcPr>
            <w:tcW w:w="507"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restar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质量</w:t>
            </w:r>
          </w:p>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指标</w:t>
            </w:r>
          </w:p>
        </w:tc>
        <w:tc>
          <w:tcPr>
            <w:tcW w:w="1521"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b/>
                <w:bCs/>
                <w:color w:val="auto"/>
                <w:sz w:val="17"/>
              </w:rPr>
            </w:pPr>
            <w:r>
              <w:rPr>
                <w:rFonts w:hint="eastAsia"/>
                <w:b/>
                <w:bCs/>
                <w:color w:val="auto"/>
                <w:sz w:val="17"/>
              </w:rPr>
              <w:t>指标1：保障机构正常运转。</w:t>
            </w:r>
          </w:p>
        </w:tc>
        <w:tc>
          <w:tcPr>
            <w:tcW w:w="586"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b/>
                <w:bCs/>
                <w:color w:val="auto"/>
                <w:sz w:val="17"/>
              </w:rPr>
            </w:pPr>
            <w:r>
              <w:rPr>
                <w:rFonts w:hint="eastAsia"/>
                <w:b/>
                <w:bCs/>
                <w:color w:val="auto"/>
                <w:sz w:val="17"/>
              </w:rPr>
              <w:t>正常</w:t>
            </w:r>
          </w:p>
        </w:tc>
        <w:tc>
          <w:tcPr>
            <w:tcW w:w="571"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b/>
                <w:bCs/>
                <w:color w:val="auto"/>
                <w:sz w:val="17"/>
              </w:rPr>
            </w:pPr>
            <w:r>
              <w:rPr>
                <w:rFonts w:hint="eastAsia"/>
                <w:b/>
                <w:bCs/>
                <w:color w:val="auto"/>
                <w:sz w:val="17"/>
              </w:rPr>
              <w:t>完成</w:t>
            </w:r>
          </w:p>
        </w:tc>
        <w:tc>
          <w:tcPr>
            <w:tcW w:w="282" w:type="pct"/>
            <w:gridSpan w:val="2"/>
            <w:vMerge w:val="restart"/>
            <w:tcBorders>
              <w:top w:val="single" w:color="auto" w:sz="4" w:space="0"/>
              <w:left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10</w:t>
            </w:r>
          </w:p>
        </w:tc>
        <w:tc>
          <w:tcPr>
            <w:tcW w:w="273" w:type="pct"/>
            <w:vMerge w:val="restart"/>
            <w:tcBorders>
              <w:top w:val="single" w:color="auto" w:sz="4" w:space="0"/>
              <w:left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10</w:t>
            </w:r>
          </w:p>
        </w:tc>
        <w:tc>
          <w:tcPr>
            <w:tcW w:w="484" w:type="pct"/>
            <w:vMerge w:val="restart"/>
            <w:tcBorders>
              <w:top w:val="single" w:color="auto" w:sz="4" w:space="0"/>
              <w:left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p>
            <w:pPr>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r>
      <w:tr>
        <w:tblPrEx>
          <w:tblCellMar>
            <w:top w:w="0" w:type="dxa"/>
            <w:left w:w="108" w:type="dxa"/>
            <w:bottom w:w="0" w:type="dxa"/>
            <w:right w:w="108" w:type="dxa"/>
          </w:tblCellMar>
        </w:tblPrEx>
        <w:trPr>
          <w:trHeight w:val="462" w:hRule="atLeast"/>
          <w:jc w:val="center"/>
        </w:trPr>
        <w:tc>
          <w:tcPr>
            <w:tcW w:w="507"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1521"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b/>
                <w:bCs/>
                <w:color w:val="auto"/>
                <w:sz w:val="17"/>
              </w:rPr>
            </w:pPr>
            <w:r>
              <w:rPr>
                <w:rFonts w:hint="eastAsia"/>
                <w:b/>
                <w:bCs/>
                <w:color w:val="auto"/>
                <w:sz w:val="17"/>
              </w:rPr>
              <w:t>指标2：保证大厅正常运行。</w:t>
            </w:r>
          </w:p>
        </w:tc>
        <w:tc>
          <w:tcPr>
            <w:tcW w:w="586"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b/>
                <w:bCs/>
                <w:color w:val="auto"/>
                <w:sz w:val="17"/>
              </w:rPr>
            </w:pPr>
            <w:r>
              <w:rPr>
                <w:rFonts w:hint="eastAsia"/>
                <w:b/>
                <w:bCs/>
                <w:color w:val="auto"/>
                <w:sz w:val="17"/>
              </w:rPr>
              <w:t>正常</w:t>
            </w:r>
          </w:p>
        </w:tc>
        <w:tc>
          <w:tcPr>
            <w:tcW w:w="571"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b/>
                <w:bCs/>
                <w:color w:val="auto"/>
                <w:sz w:val="17"/>
              </w:rPr>
            </w:pPr>
            <w:r>
              <w:rPr>
                <w:rFonts w:hint="eastAsia"/>
                <w:b/>
                <w:bCs/>
                <w:color w:val="auto"/>
                <w:sz w:val="17"/>
              </w:rPr>
              <w:t>完成</w:t>
            </w:r>
          </w:p>
        </w:tc>
        <w:tc>
          <w:tcPr>
            <w:tcW w:w="282" w:type="pct"/>
            <w:gridSpan w:val="2"/>
            <w:vMerge w:val="continue"/>
            <w:tcBorders>
              <w:left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273" w:type="pct"/>
            <w:vMerge w:val="continue"/>
            <w:tcBorders>
              <w:left w:val="single" w:color="auto" w:sz="4" w:space="0"/>
              <w:right w:val="single" w:color="auto" w:sz="4" w:space="0"/>
            </w:tcBorders>
            <w:vAlign w:val="center"/>
          </w:tcPr>
          <w:p>
            <w:pPr>
              <w:spacing w:line="0" w:lineRule="atLeast"/>
              <w:jc w:val="left"/>
              <w:rPr>
                <w:rFonts w:ascii="新宋体" w:hAnsi="新宋体" w:eastAsia="新宋体" w:cs="新宋体"/>
                <w:b/>
                <w:bCs/>
                <w:color w:val="auto"/>
                <w:szCs w:val="21"/>
              </w:rPr>
            </w:pPr>
          </w:p>
        </w:tc>
        <w:tc>
          <w:tcPr>
            <w:tcW w:w="484" w:type="pct"/>
            <w:vMerge w:val="continue"/>
            <w:tcBorders>
              <w:left w:val="single" w:color="auto" w:sz="4" w:space="0"/>
              <w:right w:val="single" w:color="auto" w:sz="4" w:space="0"/>
            </w:tcBorders>
            <w:vAlign w:val="center"/>
          </w:tcPr>
          <w:p>
            <w:pPr>
              <w:spacing w:line="0" w:lineRule="atLeast"/>
              <w:jc w:val="left"/>
              <w:rPr>
                <w:rFonts w:ascii="新宋体" w:hAnsi="新宋体" w:eastAsia="新宋体" w:cs="新宋体"/>
                <w:b/>
                <w:bCs/>
                <w:color w:val="auto"/>
                <w:szCs w:val="21"/>
              </w:rPr>
            </w:pPr>
          </w:p>
        </w:tc>
      </w:tr>
      <w:tr>
        <w:tblPrEx>
          <w:tblCellMar>
            <w:top w:w="0" w:type="dxa"/>
            <w:left w:w="108" w:type="dxa"/>
            <w:bottom w:w="0" w:type="dxa"/>
            <w:right w:w="108" w:type="dxa"/>
          </w:tblCellMar>
        </w:tblPrEx>
        <w:trPr>
          <w:trHeight w:val="462" w:hRule="atLeast"/>
          <w:jc w:val="center"/>
        </w:trPr>
        <w:tc>
          <w:tcPr>
            <w:tcW w:w="507"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1521"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b/>
                <w:bCs/>
                <w:color w:val="auto"/>
                <w:sz w:val="17"/>
              </w:rPr>
              <w:t>指标3：有效提升服务水平。</w:t>
            </w:r>
          </w:p>
        </w:tc>
        <w:tc>
          <w:tcPr>
            <w:tcW w:w="586"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b/>
                <w:bCs/>
                <w:color w:val="auto"/>
                <w:sz w:val="17"/>
              </w:rPr>
            </w:pPr>
            <w:r>
              <w:rPr>
                <w:rFonts w:hint="eastAsia"/>
                <w:b/>
                <w:bCs/>
                <w:color w:val="auto"/>
                <w:sz w:val="17"/>
              </w:rPr>
              <w:t>有效</w:t>
            </w:r>
          </w:p>
        </w:tc>
        <w:tc>
          <w:tcPr>
            <w:tcW w:w="571"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b/>
                <w:bCs/>
                <w:color w:val="auto"/>
                <w:sz w:val="17"/>
              </w:rPr>
            </w:pPr>
            <w:r>
              <w:rPr>
                <w:rFonts w:hint="eastAsia"/>
                <w:b/>
                <w:bCs/>
                <w:color w:val="auto"/>
                <w:sz w:val="17"/>
              </w:rPr>
              <w:t>完成</w:t>
            </w:r>
          </w:p>
        </w:tc>
        <w:tc>
          <w:tcPr>
            <w:tcW w:w="282" w:type="pct"/>
            <w:gridSpan w:val="2"/>
            <w:vMerge w:val="continue"/>
            <w:tcBorders>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273" w:type="pct"/>
            <w:vMerge w:val="continue"/>
            <w:tcBorders>
              <w:left w:val="single" w:color="auto" w:sz="4" w:space="0"/>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p>
        </w:tc>
        <w:tc>
          <w:tcPr>
            <w:tcW w:w="484" w:type="pct"/>
            <w:vMerge w:val="continue"/>
            <w:tcBorders>
              <w:left w:val="single" w:color="auto" w:sz="4" w:space="0"/>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p>
        </w:tc>
      </w:tr>
      <w:tr>
        <w:tblPrEx>
          <w:tblCellMar>
            <w:top w:w="0" w:type="dxa"/>
            <w:left w:w="108" w:type="dxa"/>
            <w:bottom w:w="0" w:type="dxa"/>
            <w:right w:w="108" w:type="dxa"/>
          </w:tblCellMar>
        </w:tblPrEx>
        <w:trPr>
          <w:trHeight w:val="462" w:hRule="atLeast"/>
          <w:jc w:val="center"/>
        </w:trPr>
        <w:tc>
          <w:tcPr>
            <w:tcW w:w="507"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restar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时效</w:t>
            </w:r>
          </w:p>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指标</w:t>
            </w:r>
          </w:p>
        </w:tc>
        <w:tc>
          <w:tcPr>
            <w:tcW w:w="1521"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b/>
                <w:bCs/>
                <w:color w:val="auto"/>
                <w:sz w:val="17"/>
              </w:rPr>
              <w:t>指标1：年度内完成目标。</w:t>
            </w:r>
          </w:p>
        </w:tc>
        <w:tc>
          <w:tcPr>
            <w:tcW w:w="586"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b/>
                <w:bCs/>
                <w:color w:val="auto"/>
                <w:sz w:val="17"/>
              </w:rPr>
            </w:pPr>
            <w:r>
              <w:rPr>
                <w:rFonts w:hint="eastAsia"/>
                <w:b/>
                <w:bCs/>
                <w:color w:val="auto"/>
                <w:sz w:val="17"/>
              </w:rPr>
              <w:t>2022年12月31日前</w:t>
            </w:r>
          </w:p>
        </w:tc>
        <w:tc>
          <w:tcPr>
            <w:tcW w:w="571"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b/>
                <w:bCs/>
                <w:color w:val="auto"/>
                <w:sz w:val="17"/>
              </w:rPr>
            </w:pPr>
            <w:r>
              <w:rPr>
                <w:rFonts w:hint="eastAsia"/>
                <w:b/>
                <w:bCs/>
                <w:color w:val="auto"/>
                <w:sz w:val="17"/>
              </w:rPr>
              <w:t>完成</w:t>
            </w:r>
          </w:p>
        </w:tc>
        <w:tc>
          <w:tcPr>
            <w:tcW w:w="282"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10</w:t>
            </w:r>
          </w:p>
        </w:tc>
        <w:tc>
          <w:tcPr>
            <w:tcW w:w="273"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10</w:t>
            </w:r>
          </w:p>
        </w:tc>
        <w:tc>
          <w:tcPr>
            <w:tcW w:w="484"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r>
      <w:tr>
        <w:tblPrEx>
          <w:tblCellMar>
            <w:top w:w="0" w:type="dxa"/>
            <w:left w:w="108" w:type="dxa"/>
            <w:bottom w:w="0" w:type="dxa"/>
            <w:right w:w="108" w:type="dxa"/>
          </w:tblCellMar>
        </w:tblPrEx>
        <w:trPr>
          <w:trHeight w:val="462" w:hRule="atLeast"/>
          <w:jc w:val="center"/>
        </w:trPr>
        <w:tc>
          <w:tcPr>
            <w:tcW w:w="507"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1521"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p>
        </w:tc>
        <w:tc>
          <w:tcPr>
            <w:tcW w:w="586"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b/>
                <w:bCs/>
                <w:color w:val="auto"/>
                <w:sz w:val="17"/>
              </w:rPr>
            </w:pPr>
          </w:p>
        </w:tc>
        <w:tc>
          <w:tcPr>
            <w:tcW w:w="571"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b/>
                <w:bCs/>
                <w:color w:val="auto"/>
                <w:sz w:val="17"/>
              </w:rPr>
            </w:pPr>
          </w:p>
        </w:tc>
        <w:tc>
          <w:tcPr>
            <w:tcW w:w="282"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273"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r>
      <w:tr>
        <w:tblPrEx>
          <w:tblCellMar>
            <w:top w:w="0" w:type="dxa"/>
            <w:left w:w="108" w:type="dxa"/>
            <w:bottom w:w="0" w:type="dxa"/>
            <w:right w:w="108" w:type="dxa"/>
          </w:tblCellMar>
        </w:tblPrEx>
        <w:trPr>
          <w:trHeight w:val="462" w:hRule="atLeast"/>
          <w:jc w:val="center"/>
        </w:trPr>
        <w:tc>
          <w:tcPr>
            <w:tcW w:w="507"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1521"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p>
        </w:tc>
        <w:tc>
          <w:tcPr>
            <w:tcW w:w="586"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b/>
                <w:bCs/>
                <w:color w:val="auto"/>
                <w:sz w:val="17"/>
              </w:rPr>
            </w:pPr>
          </w:p>
        </w:tc>
        <w:tc>
          <w:tcPr>
            <w:tcW w:w="571"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b/>
                <w:bCs/>
                <w:color w:val="auto"/>
                <w:sz w:val="17"/>
              </w:rPr>
            </w:pPr>
          </w:p>
        </w:tc>
        <w:tc>
          <w:tcPr>
            <w:tcW w:w="282"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273"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r>
      <w:tr>
        <w:tblPrEx>
          <w:tblCellMar>
            <w:top w:w="0" w:type="dxa"/>
            <w:left w:w="108" w:type="dxa"/>
            <w:bottom w:w="0" w:type="dxa"/>
            <w:right w:w="108" w:type="dxa"/>
          </w:tblCellMar>
        </w:tblPrEx>
        <w:trPr>
          <w:trHeight w:val="462" w:hRule="atLeast"/>
          <w:jc w:val="center"/>
        </w:trPr>
        <w:tc>
          <w:tcPr>
            <w:tcW w:w="507"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restar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成本</w:t>
            </w:r>
          </w:p>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指标</w:t>
            </w:r>
          </w:p>
        </w:tc>
        <w:tc>
          <w:tcPr>
            <w:tcW w:w="1521"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b/>
                <w:bCs/>
                <w:color w:val="auto"/>
                <w:sz w:val="17"/>
              </w:rPr>
              <w:t>指标1：预算内控制成本。</w:t>
            </w:r>
          </w:p>
        </w:tc>
        <w:tc>
          <w:tcPr>
            <w:tcW w:w="586"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b/>
                <w:bCs/>
                <w:color w:val="auto"/>
                <w:sz w:val="17"/>
              </w:rPr>
            </w:pPr>
            <w:r>
              <w:rPr>
                <w:rFonts w:hint="eastAsia"/>
                <w:b/>
                <w:bCs/>
                <w:color w:val="auto"/>
                <w:sz w:val="17"/>
              </w:rPr>
              <w:t>≤</w:t>
            </w:r>
            <w:r>
              <w:rPr>
                <w:rFonts w:hint="eastAsia" w:ascii="新宋体" w:hAnsi="新宋体" w:eastAsia="新宋体" w:cs="新宋体"/>
                <w:b/>
                <w:bCs/>
                <w:color w:val="auto"/>
                <w:szCs w:val="21"/>
              </w:rPr>
              <w:t>1515.23</w:t>
            </w:r>
            <w:r>
              <w:rPr>
                <w:rFonts w:hint="eastAsia"/>
                <w:b/>
                <w:bCs/>
                <w:color w:val="auto"/>
                <w:sz w:val="17"/>
              </w:rPr>
              <w:t>万元</w:t>
            </w:r>
          </w:p>
        </w:tc>
        <w:tc>
          <w:tcPr>
            <w:tcW w:w="571"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b/>
                <w:bCs/>
                <w:color w:val="auto"/>
                <w:sz w:val="17"/>
              </w:rPr>
            </w:pPr>
            <w:r>
              <w:rPr>
                <w:rFonts w:hint="eastAsia"/>
                <w:b/>
                <w:bCs/>
                <w:color w:val="auto"/>
                <w:sz w:val="17"/>
              </w:rPr>
              <w:t>完成</w:t>
            </w:r>
          </w:p>
        </w:tc>
        <w:tc>
          <w:tcPr>
            <w:tcW w:w="282"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10</w:t>
            </w:r>
          </w:p>
        </w:tc>
        <w:tc>
          <w:tcPr>
            <w:tcW w:w="273"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10</w:t>
            </w:r>
          </w:p>
        </w:tc>
        <w:tc>
          <w:tcPr>
            <w:tcW w:w="484"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r>
      <w:tr>
        <w:tblPrEx>
          <w:tblCellMar>
            <w:top w:w="0" w:type="dxa"/>
            <w:left w:w="108" w:type="dxa"/>
            <w:bottom w:w="0" w:type="dxa"/>
            <w:right w:w="108" w:type="dxa"/>
          </w:tblCellMar>
        </w:tblPrEx>
        <w:trPr>
          <w:trHeight w:val="462" w:hRule="atLeast"/>
          <w:jc w:val="center"/>
        </w:trPr>
        <w:tc>
          <w:tcPr>
            <w:tcW w:w="507"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left"/>
              <w:rPr>
                <w:rFonts w:ascii="新宋体" w:hAnsi="新宋体" w:eastAsia="新宋体" w:cs="新宋体"/>
                <w:b/>
                <w:bCs/>
                <w:color w:val="auto"/>
                <w:szCs w:val="21"/>
              </w:rPr>
            </w:pPr>
          </w:p>
        </w:tc>
        <w:tc>
          <w:tcPr>
            <w:tcW w:w="1521"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p>
        </w:tc>
        <w:tc>
          <w:tcPr>
            <w:tcW w:w="586"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b/>
                <w:bCs/>
                <w:color w:val="auto"/>
                <w:sz w:val="17"/>
              </w:rPr>
            </w:pPr>
            <w:r>
              <w:rPr>
                <w:rFonts w:hint="eastAsia"/>
                <w:b/>
                <w:bCs/>
                <w:color w:val="auto"/>
                <w:sz w:val="17"/>
              </w:rPr>
              <w:t>　</w:t>
            </w:r>
          </w:p>
        </w:tc>
        <w:tc>
          <w:tcPr>
            <w:tcW w:w="571"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b/>
                <w:bCs/>
                <w:color w:val="auto"/>
                <w:sz w:val="17"/>
              </w:rPr>
            </w:pPr>
            <w:r>
              <w:rPr>
                <w:rFonts w:hint="eastAsia"/>
                <w:b/>
                <w:bCs/>
                <w:color w:val="auto"/>
                <w:sz w:val="17"/>
              </w:rPr>
              <w:t>　</w:t>
            </w:r>
          </w:p>
        </w:tc>
        <w:tc>
          <w:tcPr>
            <w:tcW w:w="282"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273"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c>
          <w:tcPr>
            <w:tcW w:w="484"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r>
      <w:tr>
        <w:tblPrEx>
          <w:tblCellMar>
            <w:top w:w="0" w:type="dxa"/>
            <w:left w:w="108" w:type="dxa"/>
            <w:bottom w:w="0" w:type="dxa"/>
            <w:right w:w="108" w:type="dxa"/>
          </w:tblCellMar>
        </w:tblPrEx>
        <w:trPr>
          <w:trHeight w:val="462" w:hRule="atLeast"/>
          <w:jc w:val="center"/>
        </w:trPr>
        <w:tc>
          <w:tcPr>
            <w:tcW w:w="507"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38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p>
        </w:tc>
        <w:tc>
          <w:tcPr>
            <w:tcW w:w="1521"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p>
        </w:tc>
        <w:tc>
          <w:tcPr>
            <w:tcW w:w="586"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b/>
                <w:bCs/>
                <w:color w:val="auto"/>
                <w:sz w:val="17"/>
              </w:rPr>
            </w:pPr>
            <w:r>
              <w:rPr>
                <w:rFonts w:hint="eastAsia"/>
                <w:b/>
                <w:bCs/>
                <w:color w:val="auto"/>
                <w:sz w:val="17"/>
              </w:rPr>
              <w:t>　</w:t>
            </w:r>
          </w:p>
        </w:tc>
        <w:tc>
          <w:tcPr>
            <w:tcW w:w="571"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b/>
                <w:bCs/>
                <w:color w:val="auto"/>
                <w:sz w:val="17"/>
              </w:rPr>
            </w:pPr>
            <w:r>
              <w:rPr>
                <w:rFonts w:hint="eastAsia"/>
                <w:b/>
                <w:bCs/>
                <w:color w:val="auto"/>
                <w:sz w:val="17"/>
              </w:rPr>
              <w:t>　</w:t>
            </w:r>
          </w:p>
        </w:tc>
        <w:tc>
          <w:tcPr>
            <w:tcW w:w="282"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273"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c>
          <w:tcPr>
            <w:tcW w:w="484"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r>
      <w:tr>
        <w:tblPrEx>
          <w:tblCellMar>
            <w:top w:w="0" w:type="dxa"/>
            <w:left w:w="108" w:type="dxa"/>
            <w:bottom w:w="0" w:type="dxa"/>
            <w:right w:w="108" w:type="dxa"/>
          </w:tblCellMar>
        </w:tblPrEx>
        <w:trPr>
          <w:trHeight w:val="850" w:hRule="atLeast"/>
          <w:jc w:val="center"/>
        </w:trPr>
        <w:tc>
          <w:tcPr>
            <w:tcW w:w="507" w:type="pct"/>
            <w:vMerge w:val="restart"/>
            <w:tcBorders>
              <w:top w:val="single" w:color="auto" w:sz="4" w:space="0"/>
              <w:left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绩</w:t>
            </w:r>
          </w:p>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效</w:t>
            </w:r>
          </w:p>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指</w:t>
            </w:r>
          </w:p>
          <w:p>
            <w:pPr>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标</w:t>
            </w:r>
          </w:p>
        </w:tc>
        <w:tc>
          <w:tcPr>
            <w:tcW w:w="388"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一级</w:t>
            </w:r>
          </w:p>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指标</w:t>
            </w:r>
          </w:p>
        </w:tc>
        <w:tc>
          <w:tcPr>
            <w:tcW w:w="388"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二级</w:t>
            </w:r>
          </w:p>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指标</w:t>
            </w:r>
          </w:p>
        </w:tc>
        <w:tc>
          <w:tcPr>
            <w:tcW w:w="1521"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三级</w:t>
            </w:r>
          </w:p>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指标</w:t>
            </w:r>
          </w:p>
        </w:tc>
        <w:tc>
          <w:tcPr>
            <w:tcW w:w="586"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年度</w:t>
            </w:r>
          </w:p>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指标值</w:t>
            </w:r>
          </w:p>
        </w:tc>
        <w:tc>
          <w:tcPr>
            <w:tcW w:w="571"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实际</w:t>
            </w:r>
          </w:p>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完成值</w:t>
            </w:r>
          </w:p>
        </w:tc>
        <w:tc>
          <w:tcPr>
            <w:tcW w:w="282"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分值</w:t>
            </w:r>
          </w:p>
        </w:tc>
        <w:tc>
          <w:tcPr>
            <w:tcW w:w="273"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得分</w:t>
            </w:r>
          </w:p>
        </w:tc>
        <w:tc>
          <w:tcPr>
            <w:tcW w:w="484"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偏差原因分析及改进措施</w:t>
            </w:r>
          </w:p>
        </w:tc>
      </w:tr>
      <w:tr>
        <w:tblPrEx>
          <w:tblCellMar>
            <w:top w:w="0" w:type="dxa"/>
            <w:left w:w="108" w:type="dxa"/>
            <w:bottom w:w="0" w:type="dxa"/>
            <w:right w:w="108" w:type="dxa"/>
          </w:tblCellMar>
        </w:tblPrEx>
        <w:trPr>
          <w:trHeight w:val="797" w:hRule="atLeast"/>
          <w:jc w:val="center"/>
        </w:trPr>
        <w:tc>
          <w:tcPr>
            <w:tcW w:w="507" w:type="pct"/>
            <w:vMerge w:val="continue"/>
            <w:tcBorders>
              <w:left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restar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效益</w:t>
            </w:r>
          </w:p>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指标</w:t>
            </w:r>
          </w:p>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（30分）</w:t>
            </w:r>
          </w:p>
        </w:tc>
        <w:tc>
          <w:tcPr>
            <w:tcW w:w="388" w:type="pct"/>
            <w:vMerge w:val="restar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经济效</w:t>
            </w:r>
          </w:p>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益指标</w:t>
            </w:r>
          </w:p>
        </w:tc>
        <w:tc>
          <w:tcPr>
            <w:tcW w:w="1521"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rPr>
                <w:rFonts w:ascii="新宋体" w:hAnsi="新宋体" w:eastAsia="新宋体" w:cs="新宋体"/>
                <w:b/>
                <w:bCs/>
                <w:color w:val="auto"/>
                <w:szCs w:val="21"/>
              </w:rPr>
            </w:pPr>
            <w:r>
              <w:rPr>
                <w:rFonts w:hint="eastAsia"/>
                <w:b/>
                <w:bCs/>
                <w:color w:val="auto"/>
                <w:sz w:val="17"/>
              </w:rPr>
              <w:t>指标1：协助征收建安税。</w:t>
            </w:r>
          </w:p>
        </w:tc>
        <w:tc>
          <w:tcPr>
            <w:tcW w:w="586"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b/>
                <w:bCs/>
                <w:color w:val="auto"/>
                <w:sz w:val="17"/>
              </w:rPr>
              <w:t>有效</w:t>
            </w:r>
          </w:p>
        </w:tc>
        <w:tc>
          <w:tcPr>
            <w:tcW w:w="571"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b/>
                <w:bCs/>
                <w:color w:val="auto"/>
                <w:sz w:val="17"/>
              </w:rPr>
              <w:t>完成</w:t>
            </w:r>
          </w:p>
        </w:tc>
        <w:tc>
          <w:tcPr>
            <w:tcW w:w="282"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5</w:t>
            </w:r>
          </w:p>
        </w:tc>
        <w:tc>
          <w:tcPr>
            <w:tcW w:w="273"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4</w:t>
            </w:r>
          </w:p>
        </w:tc>
        <w:tc>
          <w:tcPr>
            <w:tcW w:w="484" w:type="pct"/>
            <w:vMerge w:val="restart"/>
            <w:tcBorders>
              <w:top w:val="single" w:color="auto" w:sz="4" w:space="0"/>
              <w:left w:val="single" w:color="auto" w:sz="4" w:space="0"/>
              <w:right w:val="single" w:color="auto" w:sz="4" w:space="0"/>
            </w:tcBorders>
            <w:vAlign w:val="center"/>
          </w:tcPr>
          <w:p>
            <w:pPr>
              <w:autoSpaceDN w:val="0"/>
              <w:spacing w:line="320" w:lineRule="exact"/>
              <w:jc w:val="left"/>
              <w:textAlignment w:val="center"/>
              <w:rPr>
                <w:rFonts w:ascii="新宋体" w:hAnsi="新宋体" w:eastAsia="新宋体" w:cs="新宋体"/>
                <w:b/>
                <w:bCs/>
                <w:color w:val="auto"/>
                <w:szCs w:val="21"/>
              </w:rPr>
            </w:pPr>
          </w:p>
        </w:tc>
      </w:tr>
      <w:tr>
        <w:tblPrEx>
          <w:tblCellMar>
            <w:top w:w="0" w:type="dxa"/>
            <w:left w:w="108" w:type="dxa"/>
            <w:bottom w:w="0" w:type="dxa"/>
            <w:right w:w="108" w:type="dxa"/>
          </w:tblCellMar>
        </w:tblPrEx>
        <w:trPr>
          <w:trHeight w:val="553" w:hRule="atLeast"/>
          <w:jc w:val="center"/>
        </w:trPr>
        <w:tc>
          <w:tcPr>
            <w:tcW w:w="507" w:type="pct"/>
            <w:vMerge w:val="continue"/>
            <w:tcBorders>
              <w:left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1521"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rPr>
                <w:rFonts w:ascii="新宋体" w:hAnsi="新宋体" w:eastAsia="新宋体" w:cs="新宋体"/>
                <w:b/>
                <w:bCs/>
                <w:color w:val="auto"/>
                <w:szCs w:val="21"/>
              </w:rPr>
            </w:pPr>
            <w:r>
              <w:rPr>
                <w:rFonts w:hint="eastAsia"/>
                <w:b/>
                <w:bCs/>
                <w:color w:val="auto"/>
                <w:sz w:val="17"/>
              </w:rPr>
              <w:t>指标2：全县优化营商环境工作。</w:t>
            </w:r>
          </w:p>
        </w:tc>
        <w:tc>
          <w:tcPr>
            <w:tcW w:w="586"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b/>
                <w:bCs/>
                <w:color w:val="auto"/>
                <w:sz w:val="17"/>
              </w:rPr>
              <w:t>有效</w:t>
            </w:r>
          </w:p>
        </w:tc>
        <w:tc>
          <w:tcPr>
            <w:tcW w:w="571"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b/>
                <w:bCs/>
                <w:color w:val="auto"/>
                <w:sz w:val="17"/>
              </w:rPr>
              <w:t>完成</w:t>
            </w:r>
          </w:p>
        </w:tc>
        <w:tc>
          <w:tcPr>
            <w:tcW w:w="282"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5</w:t>
            </w:r>
          </w:p>
        </w:tc>
        <w:tc>
          <w:tcPr>
            <w:tcW w:w="273"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4</w:t>
            </w:r>
          </w:p>
        </w:tc>
        <w:tc>
          <w:tcPr>
            <w:tcW w:w="484" w:type="pct"/>
            <w:vMerge w:val="continue"/>
            <w:tcBorders>
              <w:left w:val="single" w:color="auto" w:sz="4" w:space="0"/>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p>
        </w:tc>
      </w:tr>
      <w:tr>
        <w:tblPrEx>
          <w:tblCellMar>
            <w:top w:w="0" w:type="dxa"/>
            <w:left w:w="108" w:type="dxa"/>
            <w:bottom w:w="0" w:type="dxa"/>
            <w:right w:w="108" w:type="dxa"/>
          </w:tblCellMar>
        </w:tblPrEx>
        <w:trPr>
          <w:trHeight w:val="462" w:hRule="atLeast"/>
          <w:jc w:val="center"/>
        </w:trPr>
        <w:tc>
          <w:tcPr>
            <w:tcW w:w="507" w:type="pct"/>
            <w:vMerge w:val="continue"/>
            <w:tcBorders>
              <w:left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top w:val="single" w:color="auto" w:sz="4" w:space="0"/>
              <w:left w:val="nil"/>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top w:val="single" w:color="auto" w:sz="4" w:space="0"/>
              <w:left w:val="nil"/>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1521" w:type="pct"/>
            <w:gridSpan w:val="2"/>
            <w:tcBorders>
              <w:top w:val="single" w:color="auto" w:sz="4" w:space="0"/>
              <w:left w:val="nil"/>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586" w:type="pct"/>
            <w:tcBorders>
              <w:top w:val="single" w:color="auto" w:sz="4" w:space="0"/>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p>
        </w:tc>
        <w:tc>
          <w:tcPr>
            <w:tcW w:w="571" w:type="pct"/>
            <w:gridSpan w:val="2"/>
            <w:tcBorders>
              <w:top w:val="single" w:color="auto" w:sz="4" w:space="0"/>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p>
        </w:tc>
        <w:tc>
          <w:tcPr>
            <w:tcW w:w="282" w:type="pct"/>
            <w:gridSpan w:val="2"/>
            <w:tcBorders>
              <w:top w:val="single" w:color="auto" w:sz="4" w:space="0"/>
              <w:left w:val="nil"/>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273" w:type="pct"/>
            <w:tcBorders>
              <w:top w:val="single" w:color="auto" w:sz="4" w:space="0"/>
              <w:left w:val="nil"/>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484" w:type="pct"/>
            <w:tcBorders>
              <w:top w:val="single" w:color="auto" w:sz="4" w:space="0"/>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r>
      <w:tr>
        <w:tblPrEx>
          <w:tblCellMar>
            <w:top w:w="0" w:type="dxa"/>
            <w:left w:w="108" w:type="dxa"/>
            <w:bottom w:w="0" w:type="dxa"/>
            <w:right w:w="108" w:type="dxa"/>
          </w:tblCellMar>
        </w:tblPrEx>
        <w:trPr>
          <w:trHeight w:val="462" w:hRule="atLeast"/>
          <w:jc w:val="center"/>
        </w:trPr>
        <w:tc>
          <w:tcPr>
            <w:tcW w:w="507" w:type="pct"/>
            <w:vMerge w:val="continue"/>
            <w:tcBorders>
              <w:left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left w:val="nil"/>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restart"/>
            <w:tcBorders>
              <w:top w:val="nil"/>
              <w:left w:val="nil"/>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社会效</w:t>
            </w:r>
          </w:p>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益指标</w:t>
            </w:r>
          </w:p>
        </w:tc>
        <w:tc>
          <w:tcPr>
            <w:tcW w:w="1521" w:type="pct"/>
            <w:gridSpan w:val="2"/>
            <w:tcBorders>
              <w:top w:val="nil"/>
              <w:left w:val="nil"/>
              <w:bottom w:val="single" w:color="auto" w:sz="4" w:space="0"/>
              <w:right w:val="single" w:color="auto" w:sz="4" w:space="0"/>
            </w:tcBorders>
            <w:vAlign w:val="center"/>
          </w:tcPr>
          <w:p>
            <w:pPr>
              <w:widowControl/>
              <w:jc w:val="left"/>
              <w:rPr>
                <w:b/>
                <w:bCs/>
                <w:color w:val="auto"/>
                <w:sz w:val="17"/>
              </w:rPr>
            </w:pPr>
            <w:r>
              <w:rPr>
                <w:rFonts w:hint="eastAsia"/>
                <w:b/>
                <w:bCs/>
                <w:color w:val="auto"/>
                <w:sz w:val="17"/>
              </w:rPr>
              <w:t>指标1：各乡镇便民服务中心，提高行政职能运行率。</w:t>
            </w:r>
          </w:p>
        </w:tc>
        <w:tc>
          <w:tcPr>
            <w:tcW w:w="586" w:type="pct"/>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b/>
                <w:bCs/>
                <w:color w:val="auto"/>
                <w:sz w:val="17"/>
              </w:rPr>
              <w:t>有效</w:t>
            </w:r>
          </w:p>
        </w:tc>
        <w:tc>
          <w:tcPr>
            <w:tcW w:w="571" w:type="pct"/>
            <w:gridSpan w:val="2"/>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完成</w:t>
            </w:r>
          </w:p>
        </w:tc>
        <w:tc>
          <w:tcPr>
            <w:tcW w:w="282" w:type="pct"/>
            <w:gridSpan w:val="2"/>
            <w:tcBorders>
              <w:top w:val="nil"/>
              <w:left w:val="nil"/>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10</w:t>
            </w:r>
          </w:p>
        </w:tc>
        <w:tc>
          <w:tcPr>
            <w:tcW w:w="273" w:type="pct"/>
            <w:tcBorders>
              <w:top w:val="nil"/>
              <w:left w:val="nil"/>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10</w:t>
            </w:r>
          </w:p>
        </w:tc>
        <w:tc>
          <w:tcPr>
            <w:tcW w:w="484" w:type="pct"/>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r>
      <w:tr>
        <w:tblPrEx>
          <w:tblCellMar>
            <w:top w:w="0" w:type="dxa"/>
            <w:left w:w="108" w:type="dxa"/>
            <w:bottom w:w="0" w:type="dxa"/>
            <w:right w:w="108" w:type="dxa"/>
          </w:tblCellMar>
        </w:tblPrEx>
        <w:trPr>
          <w:trHeight w:val="462" w:hRule="atLeast"/>
          <w:jc w:val="center"/>
        </w:trPr>
        <w:tc>
          <w:tcPr>
            <w:tcW w:w="507" w:type="pct"/>
            <w:vMerge w:val="continue"/>
            <w:tcBorders>
              <w:left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left w:val="nil"/>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left w:val="nil"/>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1521" w:type="pct"/>
            <w:gridSpan w:val="2"/>
            <w:tcBorders>
              <w:top w:val="nil"/>
              <w:left w:val="nil"/>
              <w:bottom w:val="single" w:color="auto" w:sz="4" w:space="0"/>
              <w:right w:val="single" w:color="auto" w:sz="4" w:space="0"/>
            </w:tcBorders>
            <w:vAlign w:val="center"/>
          </w:tcPr>
          <w:p>
            <w:pPr>
              <w:widowControl/>
              <w:spacing w:line="0" w:lineRule="atLeast"/>
              <w:jc w:val="left"/>
              <w:rPr>
                <w:b/>
                <w:bCs/>
                <w:color w:val="auto"/>
                <w:sz w:val="17"/>
              </w:rPr>
            </w:pPr>
          </w:p>
        </w:tc>
        <w:tc>
          <w:tcPr>
            <w:tcW w:w="586" w:type="pct"/>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p>
        </w:tc>
        <w:tc>
          <w:tcPr>
            <w:tcW w:w="571" w:type="pct"/>
            <w:gridSpan w:val="2"/>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p>
        </w:tc>
        <w:tc>
          <w:tcPr>
            <w:tcW w:w="282" w:type="pct"/>
            <w:gridSpan w:val="2"/>
            <w:tcBorders>
              <w:top w:val="nil"/>
              <w:left w:val="nil"/>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273" w:type="pct"/>
            <w:tcBorders>
              <w:top w:val="nil"/>
              <w:left w:val="nil"/>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484" w:type="pct"/>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r>
      <w:tr>
        <w:tblPrEx>
          <w:tblCellMar>
            <w:top w:w="0" w:type="dxa"/>
            <w:left w:w="108" w:type="dxa"/>
            <w:bottom w:w="0" w:type="dxa"/>
            <w:right w:w="108" w:type="dxa"/>
          </w:tblCellMar>
        </w:tblPrEx>
        <w:trPr>
          <w:trHeight w:val="462" w:hRule="atLeast"/>
          <w:jc w:val="center"/>
        </w:trPr>
        <w:tc>
          <w:tcPr>
            <w:tcW w:w="507" w:type="pct"/>
            <w:vMerge w:val="continue"/>
            <w:tcBorders>
              <w:left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left w:val="nil"/>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left w:val="nil"/>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1521" w:type="pct"/>
            <w:gridSpan w:val="2"/>
            <w:tcBorders>
              <w:top w:val="nil"/>
              <w:left w:val="nil"/>
              <w:bottom w:val="single" w:color="auto" w:sz="4" w:space="0"/>
              <w:right w:val="single" w:color="auto" w:sz="4" w:space="0"/>
            </w:tcBorders>
            <w:vAlign w:val="center"/>
          </w:tcPr>
          <w:p>
            <w:pPr>
              <w:widowControl/>
              <w:spacing w:line="0" w:lineRule="atLeast"/>
              <w:jc w:val="left"/>
              <w:rPr>
                <w:b/>
                <w:bCs/>
                <w:color w:val="auto"/>
                <w:sz w:val="17"/>
              </w:rPr>
            </w:pPr>
          </w:p>
        </w:tc>
        <w:tc>
          <w:tcPr>
            <w:tcW w:w="586" w:type="pct"/>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p>
        </w:tc>
        <w:tc>
          <w:tcPr>
            <w:tcW w:w="571" w:type="pct"/>
            <w:gridSpan w:val="2"/>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p>
        </w:tc>
        <w:tc>
          <w:tcPr>
            <w:tcW w:w="282" w:type="pct"/>
            <w:gridSpan w:val="2"/>
            <w:tcBorders>
              <w:top w:val="nil"/>
              <w:left w:val="nil"/>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273" w:type="pct"/>
            <w:tcBorders>
              <w:top w:val="nil"/>
              <w:left w:val="nil"/>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484" w:type="pct"/>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p>
        </w:tc>
      </w:tr>
      <w:tr>
        <w:tblPrEx>
          <w:tblCellMar>
            <w:top w:w="0" w:type="dxa"/>
            <w:left w:w="108" w:type="dxa"/>
            <w:bottom w:w="0" w:type="dxa"/>
            <w:right w:w="108" w:type="dxa"/>
          </w:tblCellMar>
        </w:tblPrEx>
        <w:trPr>
          <w:trHeight w:val="462" w:hRule="atLeast"/>
          <w:jc w:val="center"/>
        </w:trPr>
        <w:tc>
          <w:tcPr>
            <w:tcW w:w="507" w:type="pct"/>
            <w:vMerge w:val="continue"/>
            <w:tcBorders>
              <w:left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left w:val="nil"/>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left w:val="nil"/>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1521" w:type="pct"/>
            <w:gridSpan w:val="2"/>
            <w:tcBorders>
              <w:top w:val="nil"/>
              <w:left w:val="nil"/>
              <w:bottom w:val="single" w:color="auto" w:sz="4" w:space="0"/>
              <w:right w:val="single" w:color="auto" w:sz="4" w:space="0"/>
            </w:tcBorders>
            <w:vAlign w:val="center"/>
          </w:tcPr>
          <w:p>
            <w:pPr>
              <w:widowControl/>
              <w:spacing w:line="0" w:lineRule="atLeast"/>
              <w:jc w:val="left"/>
              <w:rPr>
                <w:b/>
                <w:bCs/>
                <w:color w:val="auto"/>
                <w:sz w:val="17"/>
              </w:rPr>
            </w:pPr>
          </w:p>
        </w:tc>
        <w:tc>
          <w:tcPr>
            <w:tcW w:w="586" w:type="pct"/>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p>
        </w:tc>
        <w:tc>
          <w:tcPr>
            <w:tcW w:w="571" w:type="pct"/>
            <w:gridSpan w:val="2"/>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p>
        </w:tc>
        <w:tc>
          <w:tcPr>
            <w:tcW w:w="282" w:type="pct"/>
            <w:gridSpan w:val="2"/>
            <w:tcBorders>
              <w:top w:val="nil"/>
              <w:left w:val="nil"/>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273" w:type="pct"/>
            <w:tcBorders>
              <w:top w:val="nil"/>
              <w:left w:val="nil"/>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484" w:type="pct"/>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r>
      <w:tr>
        <w:tblPrEx>
          <w:tblCellMar>
            <w:top w:w="0" w:type="dxa"/>
            <w:left w:w="108" w:type="dxa"/>
            <w:bottom w:w="0" w:type="dxa"/>
            <w:right w:w="108" w:type="dxa"/>
          </w:tblCellMar>
        </w:tblPrEx>
        <w:trPr>
          <w:trHeight w:val="462" w:hRule="atLeast"/>
          <w:jc w:val="center"/>
        </w:trPr>
        <w:tc>
          <w:tcPr>
            <w:tcW w:w="507" w:type="pct"/>
            <w:vMerge w:val="continue"/>
            <w:tcBorders>
              <w:left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left w:val="nil"/>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restart"/>
            <w:tcBorders>
              <w:top w:val="nil"/>
              <w:left w:val="nil"/>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生态效</w:t>
            </w:r>
          </w:p>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益指标</w:t>
            </w:r>
          </w:p>
        </w:tc>
        <w:tc>
          <w:tcPr>
            <w:tcW w:w="1521" w:type="pct"/>
            <w:gridSpan w:val="2"/>
            <w:tcBorders>
              <w:top w:val="nil"/>
              <w:left w:val="nil"/>
              <w:bottom w:val="single" w:color="auto" w:sz="4" w:space="0"/>
              <w:right w:val="single" w:color="auto" w:sz="4" w:space="0"/>
            </w:tcBorders>
            <w:vAlign w:val="center"/>
          </w:tcPr>
          <w:p>
            <w:pPr>
              <w:widowControl/>
              <w:spacing w:line="0" w:lineRule="atLeast"/>
              <w:jc w:val="left"/>
              <w:rPr>
                <w:b/>
                <w:bCs/>
                <w:color w:val="auto"/>
                <w:sz w:val="17"/>
              </w:rPr>
            </w:pPr>
            <w:r>
              <w:rPr>
                <w:rFonts w:hint="eastAsia"/>
                <w:b/>
                <w:bCs/>
                <w:color w:val="auto"/>
                <w:sz w:val="17"/>
              </w:rPr>
              <w:t>指标1：转变政府职能、提高行政工作效率。</w:t>
            </w:r>
          </w:p>
        </w:tc>
        <w:tc>
          <w:tcPr>
            <w:tcW w:w="586" w:type="pct"/>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b/>
                <w:bCs/>
                <w:color w:val="auto"/>
                <w:sz w:val="17"/>
              </w:rPr>
              <w:t>有效</w:t>
            </w:r>
          </w:p>
        </w:tc>
        <w:tc>
          <w:tcPr>
            <w:tcW w:w="571" w:type="pct"/>
            <w:gridSpan w:val="2"/>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完成</w:t>
            </w:r>
          </w:p>
        </w:tc>
        <w:tc>
          <w:tcPr>
            <w:tcW w:w="282" w:type="pct"/>
            <w:gridSpan w:val="2"/>
            <w:vMerge w:val="restart"/>
            <w:tcBorders>
              <w:top w:val="nil"/>
              <w:left w:val="nil"/>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5</w:t>
            </w:r>
          </w:p>
          <w:p>
            <w:pPr>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c>
          <w:tcPr>
            <w:tcW w:w="273" w:type="pct"/>
            <w:vMerge w:val="restart"/>
            <w:tcBorders>
              <w:top w:val="nil"/>
              <w:left w:val="nil"/>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5</w:t>
            </w:r>
          </w:p>
          <w:p>
            <w:pPr>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c>
          <w:tcPr>
            <w:tcW w:w="484" w:type="pct"/>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r>
      <w:tr>
        <w:tblPrEx>
          <w:tblCellMar>
            <w:top w:w="0" w:type="dxa"/>
            <w:left w:w="108" w:type="dxa"/>
            <w:bottom w:w="0" w:type="dxa"/>
            <w:right w:w="108" w:type="dxa"/>
          </w:tblCellMar>
        </w:tblPrEx>
        <w:trPr>
          <w:trHeight w:val="462" w:hRule="atLeast"/>
          <w:jc w:val="center"/>
        </w:trPr>
        <w:tc>
          <w:tcPr>
            <w:tcW w:w="507" w:type="pct"/>
            <w:vMerge w:val="continue"/>
            <w:tcBorders>
              <w:left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left w:val="nil"/>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left w:val="nil"/>
              <w:right w:val="single" w:color="auto" w:sz="4" w:space="0"/>
            </w:tcBorders>
            <w:vAlign w:val="center"/>
          </w:tcPr>
          <w:p>
            <w:pPr>
              <w:spacing w:line="0" w:lineRule="atLeast"/>
              <w:jc w:val="left"/>
              <w:rPr>
                <w:rFonts w:ascii="新宋体" w:hAnsi="新宋体" w:eastAsia="新宋体" w:cs="新宋体"/>
                <w:b/>
                <w:bCs/>
                <w:color w:val="auto"/>
                <w:szCs w:val="21"/>
              </w:rPr>
            </w:pPr>
          </w:p>
        </w:tc>
        <w:tc>
          <w:tcPr>
            <w:tcW w:w="1521" w:type="pct"/>
            <w:gridSpan w:val="2"/>
            <w:tcBorders>
              <w:top w:val="nil"/>
              <w:left w:val="nil"/>
              <w:bottom w:val="single" w:color="auto" w:sz="4" w:space="0"/>
              <w:right w:val="single" w:color="auto" w:sz="4" w:space="0"/>
            </w:tcBorders>
            <w:vAlign w:val="center"/>
          </w:tcPr>
          <w:p>
            <w:pPr>
              <w:widowControl/>
              <w:spacing w:line="0" w:lineRule="atLeast"/>
              <w:rPr>
                <w:rFonts w:ascii="新宋体" w:hAnsi="新宋体" w:eastAsia="新宋体" w:cs="新宋体"/>
                <w:b/>
                <w:bCs/>
                <w:color w:val="auto"/>
                <w:szCs w:val="21"/>
              </w:rPr>
            </w:pPr>
            <w:r>
              <w:rPr>
                <w:rFonts w:hint="eastAsia"/>
                <w:b/>
                <w:bCs/>
                <w:color w:val="auto"/>
                <w:sz w:val="17"/>
              </w:rPr>
              <w:t>指标2：优化经济发展环境、推进廉政设。</w:t>
            </w:r>
          </w:p>
        </w:tc>
        <w:tc>
          <w:tcPr>
            <w:tcW w:w="586" w:type="pct"/>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b/>
                <w:bCs/>
                <w:color w:val="auto"/>
                <w:sz w:val="17"/>
              </w:rPr>
              <w:t>有效</w:t>
            </w:r>
          </w:p>
        </w:tc>
        <w:tc>
          <w:tcPr>
            <w:tcW w:w="571" w:type="pct"/>
            <w:gridSpan w:val="2"/>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完成</w:t>
            </w:r>
          </w:p>
        </w:tc>
        <w:tc>
          <w:tcPr>
            <w:tcW w:w="282" w:type="pct"/>
            <w:gridSpan w:val="2"/>
            <w:vMerge w:val="continue"/>
            <w:tcBorders>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p>
        </w:tc>
        <w:tc>
          <w:tcPr>
            <w:tcW w:w="273" w:type="pct"/>
            <w:vMerge w:val="continue"/>
            <w:tcBorders>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p>
        </w:tc>
        <w:tc>
          <w:tcPr>
            <w:tcW w:w="484" w:type="pct"/>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r>
      <w:tr>
        <w:tblPrEx>
          <w:tblCellMar>
            <w:top w:w="0" w:type="dxa"/>
            <w:left w:w="108" w:type="dxa"/>
            <w:bottom w:w="0" w:type="dxa"/>
            <w:right w:w="108" w:type="dxa"/>
          </w:tblCellMar>
        </w:tblPrEx>
        <w:trPr>
          <w:trHeight w:val="462" w:hRule="atLeast"/>
          <w:jc w:val="center"/>
        </w:trPr>
        <w:tc>
          <w:tcPr>
            <w:tcW w:w="507" w:type="pct"/>
            <w:vMerge w:val="continue"/>
            <w:tcBorders>
              <w:left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388" w:type="pct"/>
            <w:vMerge w:val="continue"/>
            <w:tcBorders>
              <w:left w:val="nil"/>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388" w:type="pct"/>
            <w:vMerge w:val="continue"/>
            <w:tcBorders>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p>
        </w:tc>
        <w:tc>
          <w:tcPr>
            <w:tcW w:w="1521" w:type="pct"/>
            <w:gridSpan w:val="2"/>
            <w:tcBorders>
              <w:top w:val="nil"/>
              <w:left w:val="nil"/>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586" w:type="pct"/>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c>
          <w:tcPr>
            <w:tcW w:w="571" w:type="pct"/>
            <w:gridSpan w:val="2"/>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c>
          <w:tcPr>
            <w:tcW w:w="282" w:type="pct"/>
            <w:gridSpan w:val="2"/>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c>
          <w:tcPr>
            <w:tcW w:w="273" w:type="pct"/>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c>
          <w:tcPr>
            <w:tcW w:w="484" w:type="pct"/>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r>
      <w:tr>
        <w:tblPrEx>
          <w:tblCellMar>
            <w:top w:w="0" w:type="dxa"/>
            <w:left w:w="108" w:type="dxa"/>
            <w:bottom w:w="0" w:type="dxa"/>
            <w:right w:w="108" w:type="dxa"/>
          </w:tblCellMar>
        </w:tblPrEx>
        <w:trPr>
          <w:trHeight w:val="462" w:hRule="atLeast"/>
          <w:jc w:val="center"/>
        </w:trPr>
        <w:tc>
          <w:tcPr>
            <w:tcW w:w="507" w:type="pct"/>
            <w:vMerge w:val="continue"/>
            <w:tcBorders>
              <w:left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388" w:type="pct"/>
            <w:vMerge w:val="continue"/>
            <w:tcBorders>
              <w:left w:val="nil"/>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388" w:type="pct"/>
            <w:vMerge w:val="restart"/>
            <w:tcBorders>
              <w:top w:val="single" w:color="auto" w:sz="4" w:space="0"/>
              <w:left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可持续影响指标</w:t>
            </w:r>
          </w:p>
        </w:tc>
        <w:tc>
          <w:tcPr>
            <w:tcW w:w="1521"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b/>
                <w:bCs/>
                <w:color w:val="auto"/>
                <w:sz w:val="17"/>
              </w:rPr>
              <w:t>指标1：产生可持续性影响。</w:t>
            </w:r>
          </w:p>
        </w:tc>
        <w:tc>
          <w:tcPr>
            <w:tcW w:w="586"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可持续</w:t>
            </w:r>
          </w:p>
        </w:tc>
        <w:tc>
          <w:tcPr>
            <w:tcW w:w="571"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完成</w:t>
            </w:r>
          </w:p>
        </w:tc>
        <w:tc>
          <w:tcPr>
            <w:tcW w:w="282" w:type="pct"/>
            <w:gridSpan w:val="2"/>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5</w:t>
            </w:r>
          </w:p>
        </w:tc>
        <w:tc>
          <w:tcPr>
            <w:tcW w:w="273"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5</w:t>
            </w:r>
          </w:p>
        </w:tc>
        <w:tc>
          <w:tcPr>
            <w:tcW w:w="484"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r>
      <w:tr>
        <w:tblPrEx>
          <w:tblCellMar>
            <w:top w:w="0" w:type="dxa"/>
            <w:left w:w="108" w:type="dxa"/>
            <w:bottom w:w="0" w:type="dxa"/>
            <w:right w:w="108" w:type="dxa"/>
          </w:tblCellMar>
        </w:tblPrEx>
        <w:trPr>
          <w:trHeight w:val="462" w:hRule="atLeast"/>
          <w:jc w:val="center"/>
        </w:trPr>
        <w:tc>
          <w:tcPr>
            <w:tcW w:w="507" w:type="pct"/>
            <w:vMerge w:val="continue"/>
            <w:tcBorders>
              <w:left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left w:val="nil"/>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left w:val="single" w:color="auto" w:sz="4" w:space="0"/>
              <w:right w:val="single" w:color="auto" w:sz="4" w:space="0"/>
            </w:tcBorders>
            <w:vAlign w:val="center"/>
          </w:tcPr>
          <w:p>
            <w:pPr>
              <w:spacing w:line="0" w:lineRule="atLeast"/>
              <w:jc w:val="left"/>
              <w:rPr>
                <w:rFonts w:ascii="新宋体" w:hAnsi="新宋体" w:eastAsia="新宋体" w:cs="新宋体"/>
                <w:b/>
                <w:bCs/>
                <w:color w:val="auto"/>
                <w:szCs w:val="21"/>
              </w:rPr>
            </w:pPr>
          </w:p>
        </w:tc>
        <w:tc>
          <w:tcPr>
            <w:tcW w:w="1521" w:type="pct"/>
            <w:gridSpan w:val="2"/>
            <w:tcBorders>
              <w:top w:val="single" w:color="auto" w:sz="4" w:space="0"/>
              <w:left w:val="nil"/>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586" w:type="pct"/>
            <w:tcBorders>
              <w:top w:val="single" w:color="auto" w:sz="4" w:space="0"/>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p>
        </w:tc>
        <w:tc>
          <w:tcPr>
            <w:tcW w:w="571" w:type="pct"/>
            <w:gridSpan w:val="2"/>
            <w:tcBorders>
              <w:top w:val="single" w:color="auto" w:sz="4" w:space="0"/>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p>
        </w:tc>
        <w:tc>
          <w:tcPr>
            <w:tcW w:w="282" w:type="pct"/>
            <w:gridSpan w:val="2"/>
            <w:tcBorders>
              <w:top w:val="single" w:color="auto" w:sz="4" w:space="0"/>
              <w:left w:val="nil"/>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273" w:type="pct"/>
            <w:tcBorders>
              <w:top w:val="single" w:color="auto" w:sz="4" w:space="0"/>
              <w:left w:val="nil"/>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484" w:type="pct"/>
            <w:tcBorders>
              <w:top w:val="single" w:color="auto" w:sz="4" w:space="0"/>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r>
      <w:tr>
        <w:tblPrEx>
          <w:tblCellMar>
            <w:top w:w="0" w:type="dxa"/>
            <w:left w:w="108" w:type="dxa"/>
            <w:bottom w:w="0" w:type="dxa"/>
            <w:right w:w="108" w:type="dxa"/>
          </w:tblCellMar>
        </w:tblPrEx>
        <w:trPr>
          <w:trHeight w:val="462" w:hRule="atLeast"/>
          <w:jc w:val="center"/>
        </w:trPr>
        <w:tc>
          <w:tcPr>
            <w:tcW w:w="507" w:type="pct"/>
            <w:vMerge w:val="continue"/>
            <w:tcBorders>
              <w:left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left w:val="nil"/>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388" w:type="pct"/>
            <w:vMerge w:val="continue"/>
            <w:tcBorders>
              <w:left w:val="single" w:color="auto" w:sz="4" w:space="0"/>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p>
        </w:tc>
        <w:tc>
          <w:tcPr>
            <w:tcW w:w="1521" w:type="pct"/>
            <w:gridSpan w:val="2"/>
            <w:tcBorders>
              <w:top w:val="nil"/>
              <w:left w:val="nil"/>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586" w:type="pct"/>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p>
        </w:tc>
        <w:tc>
          <w:tcPr>
            <w:tcW w:w="571" w:type="pct"/>
            <w:gridSpan w:val="2"/>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p>
        </w:tc>
        <w:tc>
          <w:tcPr>
            <w:tcW w:w="282" w:type="pct"/>
            <w:gridSpan w:val="2"/>
            <w:tcBorders>
              <w:top w:val="nil"/>
              <w:left w:val="nil"/>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273" w:type="pct"/>
            <w:tcBorders>
              <w:top w:val="nil"/>
              <w:left w:val="nil"/>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484" w:type="pct"/>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r>
      <w:tr>
        <w:tblPrEx>
          <w:tblCellMar>
            <w:top w:w="0" w:type="dxa"/>
            <w:left w:w="108" w:type="dxa"/>
            <w:bottom w:w="0" w:type="dxa"/>
            <w:right w:w="108" w:type="dxa"/>
          </w:tblCellMar>
        </w:tblPrEx>
        <w:trPr>
          <w:trHeight w:val="462" w:hRule="atLeast"/>
          <w:jc w:val="center"/>
        </w:trPr>
        <w:tc>
          <w:tcPr>
            <w:tcW w:w="507" w:type="pct"/>
            <w:vMerge w:val="continue"/>
            <w:tcBorders>
              <w:left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restart"/>
            <w:tcBorders>
              <w:top w:val="nil"/>
              <w:left w:val="nil"/>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满意度</w:t>
            </w:r>
          </w:p>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指标</w:t>
            </w:r>
          </w:p>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（10分）</w:t>
            </w:r>
          </w:p>
        </w:tc>
        <w:tc>
          <w:tcPr>
            <w:tcW w:w="388" w:type="pct"/>
            <w:vMerge w:val="restart"/>
            <w:tcBorders>
              <w:top w:val="nil"/>
              <w:left w:val="nil"/>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服务对象满意度指标</w:t>
            </w:r>
          </w:p>
        </w:tc>
        <w:tc>
          <w:tcPr>
            <w:tcW w:w="1521" w:type="pct"/>
            <w:gridSpan w:val="2"/>
            <w:tcBorders>
              <w:top w:val="nil"/>
              <w:left w:val="nil"/>
              <w:bottom w:val="single" w:color="auto" w:sz="4" w:space="0"/>
              <w:right w:val="single" w:color="auto" w:sz="4" w:space="0"/>
            </w:tcBorders>
            <w:vAlign w:val="center"/>
          </w:tcPr>
          <w:p>
            <w:pPr>
              <w:widowControl/>
              <w:spacing w:line="0" w:lineRule="atLeast"/>
              <w:jc w:val="left"/>
              <w:rPr>
                <w:b/>
                <w:bCs/>
                <w:color w:val="auto"/>
                <w:sz w:val="17"/>
              </w:rPr>
            </w:pPr>
            <w:r>
              <w:rPr>
                <w:rFonts w:hint="eastAsia"/>
                <w:b/>
                <w:bCs/>
                <w:color w:val="auto"/>
                <w:sz w:val="17"/>
              </w:rPr>
              <w:t>指标1：社会公众或服务对象满意度</w:t>
            </w:r>
          </w:p>
        </w:tc>
        <w:tc>
          <w:tcPr>
            <w:tcW w:w="586" w:type="pct"/>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b/>
                <w:bCs/>
                <w:color w:val="auto"/>
                <w:sz w:val="17"/>
              </w:rPr>
              <w:t>≥</w:t>
            </w:r>
            <w:r>
              <w:rPr>
                <w:rFonts w:hint="eastAsia" w:ascii="新宋体" w:hAnsi="新宋体" w:eastAsia="新宋体" w:cs="新宋体"/>
                <w:b/>
                <w:bCs/>
                <w:color w:val="auto"/>
                <w:szCs w:val="21"/>
              </w:rPr>
              <w:t>90%</w:t>
            </w:r>
          </w:p>
        </w:tc>
        <w:tc>
          <w:tcPr>
            <w:tcW w:w="571" w:type="pct"/>
            <w:gridSpan w:val="2"/>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完成</w:t>
            </w:r>
          </w:p>
        </w:tc>
        <w:tc>
          <w:tcPr>
            <w:tcW w:w="282" w:type="pct"/>
            <w:gridSpan w:val="2"/>
            <w:vMerge w:val="restart"/>
            <w:tcBorders>
              <w:top w:val="nil"/>
              <w:left w:val="nil"/>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10</w:t>
            </w:r>
          </w:p>
          <w:p>
            <w:pPr>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c>
          <w:tcPr>
            <w:tcW w:w="273" w:type="pct"/>
            <w:vMerge w:val="restart"/>
            <w:tcBorders>
              <w:top w:val="nil"/>
              <w:left w:val="nil"/>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10</w:t>
            </w:r>
          </w:p>
          <w:p>
            <w:pPr>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c>
          <w:tcPr>
            <w:tcW w:w="484" w:type="pct"/>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r>
      <w:tr>
        <w:tblPrEx>
          <w:tblCellMar>
            <w:top w:w="0" w:type="dxa"/>
            <w:left w:w="108" w:type="dxa"/>
            <w:bottom w:w="0" w:type="dxa"/>
            <w:right w:w="108" w:type="dxa"/>
          </w:tblCellMar>
        </w:tblPrEx>
        <w:trPr>
          <w:trHeight w:val="462" w:hRule="atLeast"/>
          <w:jc w:val="center"/>
        </w:trPr>
        <w:tc>
          <w:tcPr>
            <w:tcW w:w="507" w:type="pct"/>
            <w:vMerge w:val="continue"/>
            <w:tcBorders>
              <w:left w:val="single" w:color="auto" w:sz="4" w:space="0"/>
              <w:right w:val="single" w:color="auto" w:sz="4" w:space="0"/>
            </w:tcBorders>
            <w:vAlign w:val="center"/>
          </w:tcPr>
          <w:p>
            <w:pPr>
              <w:spacing w:line="0" w:lineRule="atLeast"/>
              <w:jc w:val="center"/>
              <w:rPr>
                <w:rFonts w:ascii="新宋体" w:hAnsi="新宋体" w:eastAsia="新宋体" w:cs="新宋体"/>
                <w:b/>
                <w:bCs/>
                <w:color w:val="auto"/>
                <w:szCs w:val="21"/>
              </w:rPr>
            </w:pPr>
          </w:p>
        </w:tc>
        <w:tc>
          <w:tcPr>
            <w:tcW w:w="388" w:type="pct"/>
            <w:vMerge w:val="continue"/>
            <w:tcBorders>
              <w:left w:val="nil"/>
              <w:right w:val="single" w:color="auto" w:sz="4" w:space="0"/>
            </w:tcBorders>
            <w:vAlign w:val="center"/>
          </w:tcPr>
          <w:p>
            <w:pPr>
              <w:spacing w:line="0" w:lineRule="atLeast"/>
              <w:jc w:val="left"/>
              <w:rPr>
                <w:rFonts w:ascii="新宋体" w:hAnsi="新宋体" w:eastAsia="新宋体" w:cs="新宋体"/>
                <w:b/>
                <w:bCs/>
                <w:color w:val="auto"/>
                <w:szCs w:val="21"/>
              </w:rPr>
            </w:pPr>
          </w:p>
        </w:tc>
        <w:tc>
          <w:tcPr>
            <w:tcW w:w="388" w:type="pct"/>
            <w:vMerge w:val="continue"/>
            <w:tcBorders>
              <w:left w:val="nil"/>
              <w:right w:val="single" w:color="auto" w:sz="4" w:space="0"/>
            </w:tcBorders>
            <w:vAlign w:val="center"/>
          </w:tcPr>
          <w:p>
            <w:pPr>
              <w:spacing w:line="0" w:lineRule="atLeast"/>
              <w:jc w:val="left"/>
              <w:rPr>
                <w:rFonts w:ascii="新宋体" w:hAnsi="新宋体" w:eastAsia="新宋体" w:cs="新宋体"/>
                <w:b/>
                <w:bCs/>
                <w:color w:val="auto"/>
                <w:szCs w:val="21"/>
              </w:rPr>
            </w:pPr>
          </w:p>
        </w:tc>
        <w:tc>
          <w:tcPr>
            <w:tcW w:w="1521" w:type="pct"/>
            <w:gridSpan w:val="2"/>
            <w:tcBorders>
              <w:top w:val="nil"/>
              <w:left w:val="nil"/>
              <w:bottom w:val="single" w:color="auto" w:sz="4" w:space="0"/>
              <w:right w:val="single" w:color="auto" w:sz="4" w:space="0"/>
            </w:tcBorders>
            <w:vAlign w:val="center"/>
          </w:tcPr>
          <w:p>
            <w:pPr>
              <w:widowControl/>
              <w:spacing w:line="0" w:lineRule="atLeast"/>
              <w:jc w:val="left"/>
              <w:rPr>
                <w:b/>
                <w:bCs/>
                <w:color w:val="auto"/>
                <w:sz w:val="17"/>
              </w:rPr>
            </w:pPr>
          </w:p>
        </w:tc>
        <w:tc>
          <w:tcPr>
            <w:tcW w:w="586" w:type="pct"/>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p>
        </w:tc>
        <w:tc>
          <w:tcPr>
            <w:tcW w:w="571" w:type="pct"/>
            <w:gridSpan w:val="2"/>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p>
        </w:tc>
        <w:tc>
          <w:tcPr>
            <w:tcW w:w="282" w:type="pct"/>
            <w:gridSpan w:val="2"/>
            <w:vMerge w:val="continue"/>
            <w:tcBorders>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p>
        </w:tc>
        <w:tc>
          <w:tcPr>
            <w:tcW w:w="273" w:type="pct"/>
            <w:vMerge w:val="continue"/>
            <w:tcBorders>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p>
        </w:tc>
        <w:tc>
          <w:tcPr>
            <w:tcW w:w="484" w:type="pct"/>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r>
      <w:tr>
        <w:tblPrEx>
          <w:tblCellMar>
            <w:top w:w="0" w:type="dxa"/>
            <w:left w:w="108" w:type="dxa"/>
            <w:bottom w:w="0" w:type="dxa"/>
            <w:right w:w="108" w:type="dxa"/>
          </w:tblCellMar>
        </w:tblPrEx>
        <w:trPr>
          <w:trHeight w:val="361" w:hRule="atLeast"/>
          <w:jc w:val="center"/>
        </w:trPr>
        <w:tc>
          <w:tcPr>
            <w:tcW w:w="507" w:type="pct"/>
            <w:vMerge w:val="continue"/>
            <w:tcBorders>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388" w:type="pct"/>
            <w:vMerge w:val="continue"/>
            <w:tcBorders>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p>
        </w:tc>
        <w:tc>
          <w:tcPr>
            <w:tcW w:w="388" w:type="pct"/>
            <w:vMerge w:val="continue"/>
            <w:tcBorders>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p>
        </w:tc>
        <w:tc>
          <w:tcPr>
            <w:tcW w:w="1521" w:type="pct"/>
            <w:gridSpan w:val="2"/>
            <w:tcBorders>
              <w:top w:val="nil"/>
              <w:left w:val="nil"/>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p>
        </w:tc>
        <w:tc>
          <w:tcPr>
            <w:tcW w:w="586" w:type="pct"/>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c>
          <w:tcPr>
            <w:tcW w:w="571" w:type="pct"/>
            <w:gridSpan w:val="2"/>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c>
          <w:tcPr>
            <w:tcW w:w="282" w:type="pct"/>
            <w:gridSpan w:val="2"/>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c>
          <w:tcPr>
            <w:tcW w:w="273" w:type="pct"/>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c>
          <w:tcPr>
            <w:tcW w:w="484" w:type="pct"/>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r>
      <w:tr>
        <w:tblPrEx>
          <w:tblCellMar>
            <w:top w:w="0" w:type="dxa"/>
            <w:left w:w="108" w:type="dxa"/>
            <w:bottom w:w="0" w:type="dxa"/>
            <w:right w:w="108" w:type="dxa"/>
          </w:tblCellMar>
        </w:tblPrEx>
        <w:trPr>
          <w:trHeight w:val="489" w:hRule="atLeast"/>
          <w:jc w:val="center"/>
        </w:trPr>
        <w:tc>
          <w:tcPr>
            <w:tcW w:w="3961" w:type="pct"/>
            <w:gridSpan w:val="8"/>
            <w:tcBorders>
              <w:top w:val="single" w:color="auto" w:sz="4" w:space="0"/>
              <w:left w:val="single" w:color="auto" w:sz="4" w:space="0"/>
              <w:bottom w:val="single" w:color="auto" w:sz="4" w:space="0"/>
              <w:right w:val="single" w:color="000000"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总分</w:t>
            </w:r>
          </w:p>
        </w:tc>
        <w:tc>
          <w:tcPr>
            <w:tcW w:w="282" w:type="pct"/>
            <w:gridSpan w:val="2"/>
            <w:tcBorders>
              <w:top w:val="nil"/>
              <w:left w:val="nil"/>
              <w:bottom w:val="single" w:color="auto" w:sz="4" w:space="0"/>
              <w:right w:val="single" w:color="auto" w:sz="4" w:space="0"/>
            </w:tcBorders>
            <w:vAlign w:val="center"/>
          </w:tcPr>
          <w:p>
            <w:pPr>
              <w:widowControl/>
              <w:spacing w:line="0" w:lineRule="atLeast"/>
              <w:jc w:val="center"/>
              <w:rPr>
                <w:rFonts w:ascii="新宋体" w:hAnsi="新宋体" w:eastAsia="新宋体" w:cs="新宋体"/>
                <w:b/>
                <w:bCs/>
                <w:color w:val="auto"/>
                <w:szCs w:val="21"/>
              </w:rPr>
            </w:pPr>
            <w:r>
              <w:rPr>
                <w:rFonts w:hint="eastAsia" w:ascii="新宋体" w:hAnsi="新宋体" w:eastAsia="新宋体" w:cs="新宋体"/>
                <w:b/>
                <w:bCs/>
                <w:color w:val="auto"/>
                <w:szCs w:val="21"/>
              </w:rPr>
              <w:t>100</w:t>
            </w:r>
          </w:p>
        </w:tc>
        <w:tc>
          <w:tcPr>
            <w:tcW w:w="273" w:type="pct"/>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98　</w:t>
            </w:r>
          </w:p>
        </w:tc>
        <w:tc>
          <w:tcPr>
            <w:tcW w:w="484" w:type="pct"/>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b/>
                <w:bCs/>
                <w:color w:val="auto"/>
                <w:szCs w:val="21"/>
              </w:rPr>
            </w:pPr>
            <w:r>
              <w:rPr>
                <w:rFonts w:hint="eastAsia" w:ascii="新宋体" w:hAnsi="新宋体" w:eastAsia="新宋体" w:cs="新宋体"/>
                <w:b/>
                <w:bCs/>
                <w:color w:val="auto"/>
                <w:szCs w:val="21"/>
              </w:rPr>
              <w:t>　</w:t>
            </w:r>
          </w:p>
        </w:tc>
      </w:tr>
    </w:tbl>
    <w:p>
      <w:pPr>
        <w:rPr>
          <w:rFonts w:eastAsia="仿宋_GB2312"/>
          <w:b/>
          <w:bCs/>
          <w:color w:val="auto"/>
          <w:sz w:val="22"/>
        </w:rPr>
      </w:pPr>
      <w:r>
        <w:rPr>
          <w:rFonts w:eastAsia="仿宋_GB2312"/>
          <w:b/>
          <w:bCs/>
          <w:color w:val="auto"/>
          <w:sz w:val="22"/>
        </w:rPr>
        <w:t>说明：</w:t>
      </w:r>
      <w:r>
        <w:rPr>
          <w:rFonts w:hint="eastAsia" w:eastAsia="仿宋_GB2312"/>
          <w:b/>
          <w:bCs/>
          <w:color w:val="auto"/>
          <w:sz w:val="22"/>
        </w:rPr>
        <w:t>以上数据参照2022年部门决算报表中的“收入支出决算总表”(财决01表)。</w:t>
      </w:r>
    </w:p>
    <w:p>
      <w:pPr>
        <w:pStyle w:val="2"/>
        <w:rPr>
          <w:b/>
          <w:bCs/>
          <w:color w:val="auto"/>
        </w:rPr>
      </w:pPr>
    </w:p>
    <w:p>
      <w:pPr>
        <w:rPr>
          <w:rFonts w:ascii="黑体" w:hAnsi="黑体" w:eastAsia="黑体" w:cs="黑体"/>
          <w:b/>
          <w:bCs/>
          <w:color w:val="auto"/>
          <w:sz w:val="32"/>
          <w:szCs w:val="32"/>
        </w:rPr>
      </w:pPr>
      <w:r>
        <w:rPr>
          <w:rFonts w:eastAsia="仿宋_GB2312"/>
          <w:b/>
          <w:bCs/>
          <w:color w:val="auto"/>
          <w:sz w:val="22"/>
          <w:szCs w:val="22"/>
        </w:rPr>
        <w:t xml:space="preserve">填表人：      填报日期：         联系电话：     </w:t>
      </w:r>
      <w:r>
        <w:rPr>
          <w:rFonts w:hint="eastAsia" w:eastAsia="仿宋_GB2312"/>
          <w:b/>
          <w:bCs/>
          <w:color w:val="auto"/>
          <w:sz w:val="22"/>
          <w:szCs w:val="22"/>
        </w:rPr>
        <w:t xml:space="preserve">           </w:t>
      </w:r>
      <w:r>
        <w:rPr>
          <w:rFonts w:eastAsia="仿宋_GB2312"/>
          <w:b/>
          <w:bCs/>
          <w:color w:val="auto"/>
          <w:sz w:val="22"/>
          <w:szCs w:val="22"/>
        </w:rPr>
        <w:t>单位负责人签字：</w:t>
      </w:r>
      <w:r>
        <w:rPr>
          <w:rFonts w:eastAsia="仿宋_GB2312"/>
          <w:b/>
          <w:bCs/>
          <w:color w:val="auto"/>
          <w:sz w:val="22"/>
          <w:szCs w:val="22"/>
        </w:rPr>
        <w:br w:type="page"/>
      </w:r>
      <w:r>
        <w:rPr>
          <w:rFonts w:hint="eastAsia" w:ascii="黑体" w:hAnsi="黑体" w:eastAsia="黑体" w:cs="黑体"/>
          <w:b/>
          <w:bCs/>
          <w:color w:val="auto"/>
          <w:sz w:val="32"/>
          <w:szCs w:val="32"/>
        </w:rPr>
        <w:t>附件3</w:t>
      </w:r>
    </w:p>
    <w:p>
      <w:pPr>
        <w:jc w:val="center"/>
        <w:rPr>
          <w:rFonts w:eastAsia="方正小标宋_GBK"/>
          <w:b/>
          <w:bCs/>
          <w:color w:val="auto"/>
          <w:sz w:val="52"/>
          <w:szCs w:val="52"/>
        </w:rPr>
      </w:pPr>
    </w:p>
    <w:p>
      <w:pPr>
        <w:jc w:val="center"/>
        <w:rPr>
          <w:rFonts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b/>
          <w:bCs/>
          <w:color w:val="auto"/>
          <w:sz w:val="44"/>
          <w:szCs w:val="44"/>
        </w:rPr>
        <w:t>2022年度华容县行政审批服务局</w:t>
      </w:r>
    </w:p>
    <w:p>
      <w:pPr>
        <w:jc w:val="center"/>
        <w:rPr>
          <w:rFonts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b/>
          <w:bCs/>
          <w:color w:val="auto"/>
          <w:sz w:val="44"/>
          <w:szCs w:val="44"/>
        </w:rPr>
        <w:t>整体支出绩效自评报告</w:t>
      </w:r>
    </w:p>
    <w:p>
      <w:pPr>
        <w:jc w:val="center"/>
        <w:rPr>
          <w:rFonts w:eastAsia="方正小标宋_GBK"/>
          <w:b/>
          <w:bCs/>
          <w:color w:val="auto"/>
          <w:sz w:val="52"/>
          <w:szCs w:val="52"/>
        </w:rPr>
      </w:pPr>
    </w:p>
    <w:p>
      <w:pPr>
        <w:jc w:val="center"/>
        <w:rPr>
          <w:rFonts w:eastAsia="楷体_GB2312"/>
          <w:b/>
          <w:bCs/>
          <w:color w:val="auto"/>
          <w:sz w:val="32"/>
          <w:szCs w:val="32"/>
        </w:rPr>
      </w:pPr>
    </w:p>
    <w:p>
      <w:pPr>
        <w:jc w:val="center"/>
        <w:rPr>
          <w:rFonts w:eastAsia="楷体_GB2312"/>
          <w:b/>
          <w:bCs/>
          <w:color w:val="auto"/>
          <w:sz w:val="32"/>
          <w:szCs w:val="32"/>
        </w:rPr>
      </w:pPr>
    </w:p>
    <w:p>
      <w:pPr>
        <w:jc w:val="center"/>
        <w:rPr>
          <w:rFonts w:eastAsia="楷体_GB2312"/>
          <w:b/>
          <w:bCs/>
          <w:color w:val="auto"/>
          <w:sz w:val="32"/>
          <w:szCs w:val="32"/>
        </w:rPr>
      </w:pPr>
    </w:p>
    <w:p>
      <w:pPr>
        <w:jc w:val="center"/>
        <w:rPr>
          <w:rFonts w:eastAsia="楷体_GB2312"/>
          <w:b/>
          <w:bCs/>
          <w:color w:val="auto"/>
          <w:sz w:val="32"/>
          <w:szCs w:val="32"/>
        </w:rPr>
      </w:pPr>
    </w:p>
    <w:p>
      <w:pPr>
        <w:jc w:val="center"/>
        <w:rPr>
          <w:rFonts w:eastAsia="楷体_GB2312"/>
          <w:b/>
          <w:bCs/>
          <w:color w:val="auto"/>
          <w:sz w:val="32"/>
          <w:szCs w:val="32"/>
        </w:rPr>
      </w:pPr>
    </w:p>
    <w:p>
      <w:pPr>
        <w:jc w:val="center"/>
        <w:rPr>
          <w:rFonts w:eastAsia="楷体_GB2312"/>
          <w:b/>
          <w:bCs/>
          <w:color w:val="auto"/>
          <w:sz w:val="32"/>
          <w:szCs w:val="32"/>
        </w:rPr>
      </w:pPr>
    </w:p>
    <w:p>
      <w:pPr>
        <w:jc w:val="center"/>
        <w:rPr>
          <w:rFonts w:eastAsia="黑体"/>
          <w:b/>
          <w:bCs/>
          <w:color w:val="auto"/>
          <w:sz w:val="32"/>
          <w:szCs w:val="32"/>
        </w:rPr>
      </w:pPr>
    </w:p>
    <w:p>
      <w:pPr>
        <w:jc w:val="center"/>
        <w:rPr>
          <w:rFonts w:eastAsia="黑体"/>
          <w:b/>
          <w:bCs/>
          <w:color w:val="auto"/>
          <w:sz w:val="32"/>
          <w:szCs w:val="32"/>
        </w:rPr>
      </w:pPr>
    </w:p>
    <w:p>
      <w:pPr>
        <w:jc w:val="center"/>
        <w:rPr>
          <w:rFonts w:eastAsia="黑体"/>
          <w:b/>
          <w:bCs/>
          <w:color w:val="auto"/>
          <w:sz w:val="32"/>
          <w:szCs w:val="32"/>
        </w:rPr>
      </w:pPr>
    </w:p>
    <w:p>
      <w:pPr>
        <w:jc w:val="center"/>
        <w:rPr>
          <w:rFonts w:eastAsia="黑体"/>
          <w:b/>
          <w:bCs/>
          <w:color w:val="auto"/>
          <w:sz w:val="32"/>
          <w:szCs w:val="32"/>
        </w:rPr>
      </w:pPr>
    </w:p>
    <w:p>
      <w:pPr>
        <w:jc w:val="center"/>
        <w:rPr>
          <w:rFonts w:eastAsia="黑体"/>
          <w:b/>
          <w:bCs/>
          <w:color w:val="auto"/>
          <w:sz w:val="32"/>
          <w:szCs w:val="32"/>
        </w:rPr>
      </w:pPr>
    </w:p>
    <w:p>
      <w:pPr>
        <w:rPr>
          <w:rFonts w:eastAsia="黑体"/>
          <w:b/>
          <w:bCs/>
          <w:color w:val="auto"/>
          <w:sz w:val="32"/>
          <w:szCs w:val="32"/>
        </w:rPr>
      </w:pPr>
    </w:p>
    <w:p>
      <w:pPr>
        <w:spacing w:line="600" w:lineRule="exact"/>
        <w:jc w:val="center"/>
        <w:rPr>
          <w:rFonts w:eastAsia="仿宋_GB2312"/>
          <w:b/>
          <w:bCs/>
          <w:color w:val="auto"/>
          <w:sz w:val="32"/>
          <w:szCs w:val="32"/>
          <w:u w:val="single"/>
        </w:rPr>
      </w:pPr>
      <w:r>
        <w:rPr>
          <w:rFonts w:eastAsia="仿宋_GB2312"/>
          <w:b/>
          <w:bCs/>
          <w:color w:val="auto"/>
          <w:sz w:val="32"/>
          <w:szCs w:val="32"/>
        </w:rPr>
        <w:t>部门（单位）名称：</w:t>
      </w:r>
      <w:r>
        <w:rPr>
          <w:rFonts w:eastAsia="仿宋_GB2312"/>
          <w:b/>
          <w:bCs/>
          <w:color w:val="auto"/>
          <w:sz w:val="32"/>
          <w:szCs w:val="32"/>
          <w:u w:val="single"/>
        </w:rPr>
        <w:t>（盖章）</w:t>
      </w:r>
    </w:p>
    <w:p>
      <w:pPr>
        <w:spacing w:line="600" w:lineRule="exact"/>
        <w:jc w:val="center"/>
        <w:rPr>
          <w:rFonts w:eastAsia="楷体_GB2312"/>
          <w:b/>
          <w:bCs/>
          <w:color w:val="auto"/>
          <w:sz w:val="32"/>
          <w:szCs w:val="32"/>
        </w:rPr>
      </w:pPr>
      <w:r>
        <w:rPr>
          <w:rFonts w:eastAsia="楷体_GB2312"/>
          <w:b/>
          <w:bCs/>
          <w:color w:val="auto"/>
          <w:sz w:val="32"/>
          <w:szCs w:val="32"/>
        </w:rPr>
        <w:t>年  月  日</w:t>
      </w:r>
    </w:p>
    <w:p>
      <w:pPr>
        <w:jc w:val="center"/>
        <w:rPr>
          <w:rFonts w:eastAsia="仿宋_GB2312"/>
          <w:b/>
          <w:bCs/>
          <w:color w:val="auto"/>
          <w:sz w:val="32"/>
          <w:szCs w:val="32"/>
        </w:rPr>
        <w:sectPr>
          <w:footerReference r:id="rId3" w:type="default"/>
          <w:pgSz w:w="11906" w:h="16838"/>
          <w:pgMar w:top="1701" w:right="1417" w:bottom="1417" w:left="1417" w:header="851" w:footer="992" w:gutter="0"/>
          <w:cols w:space="0" w:num="1"/>
          <w:docGrid w:type="lines" w:linePitch="312" w:charSpace="0"/>
        </w:sectPr>
      </w:pPr>
      <w:r>
        <w:rPr>
          <w:rFonts w:eastAsia="仿宋_GB2312"/>
          <w:b/>
          <w:bCs/>
          <w:color w:val="auto"/>
          <w:sz w:val="32"/>
          <w:szCs w:val="32"/>
        </w:rPr>
        <w:t>（此页为封面）</w:t>
      </w:r>
    </w:p>
    <w:p>
      <w:pPr>
        <w:spacing w:line="610" w:lineRule="exact"/>
        <w:jc w:val="center"/>
        <w:rPr>
          <w:rFonts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b/>
          <w:bCs/>
          <w:color w:val="auto"/>
          <w:sz w:val="44"/>
          <w:szCs w:val="44"/>
        </w:rPr>
        <w:t>2022年度华容县行政审批服务局</w:t>
      </w:r>
    </w:p>
    <w:p>
      <w:pPr>
        <w:spacing w:line="610" w:lineRule="exact"/>
        <w:jc w:val="center"/>
        <w:rPr>
          <w:rFonts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b/>
          <w:bCs/>
          <w:color w:val="auto"/>
          <w:sz w:val="44"/>
          <w:szCs w:val="44"/>
        </w:rPr>
        <w:t>整体支出绩效自评报告</w:t>
      </w:r>
    </w:p>
    <w:p>
      <w:pPr>
        <w:spacing w:line="610" w:lineRule="exact"/>
        <w:ind w:firstLine="643" w:firstLineChars="200"/>
        <w:rPr>
          <w:rFonts w:eastAsia="仿宋_GB2312"/>
          <w:b/>
          <w:bCs/>
          <w:color w:val="auto"/>
          <w:sz w:val="32"/>
          <w:szCs w:val="32"/>
        </w:rPr>
      </w:pPr>
    </w:p>
    <w:p>
      <w:pPr>
        <w:spacing w:line="610" w:lineRule="exact"/>
        <w:ind w:firstLine="643" w:firstLineChars="200"/>
        <w:rPr>
          <w:rFonts w:eastAsia="黑体"/>
          <w:b/>
          <w:bCs/>
          <w:color w:val="auto"/>
          <w:sz w:val="32"/>
          <w:szCs w:val="32"/>
        </w:rPr>
      </w:pPr>
      <w:r>
        <w:rPr>
          <w:rFonts w:eastAsia="黑体"/>
          <w:b/>
          <w:bCs/>
          <w:color w:val="auto"/>
          <w:sz w:val="32"/>
          <w:szCs w:val="32"/>
        </w:rPr>
        <w:t>一、部门（单位）基本情况</w:t>
      </w:r>
    </w:p>
    <w:p>
      <w:pPr>
        <w:widowControl/>
        <w:spacing w:line="610" w:lineRule="exact"/>
        <w:ind w:firstLine="643" w:firstLineChars="200"/>
        <w:rPr>
          <w:rFonts w:ascii="___WRD_EMBED_SUB_40" w:hAnsi="___WRD_EMBED_SUB_40" w:eastAsia="___WRD_EMBED_SUB_40" w:cs="___WRD_EMBED_SUB_40"/>
          <w:b/>
          <w:bCs/>
          <w:color w:val="auto"/>
          <w:sz w:val="32"/>
          <w:szCs w:val="32"/>
        </w:rPr>
      </w:pPr>
      <w:r>
        <w:rPr>
          <w:rFonts w:hint="eastAsia" w:ascii="___WRD_EMBED_SUB_40" w:hAnsi="___WRD_EMBED_SUB_40" w:eastAsia="___WRD_EMBED_SUB_40" w:cs="___WRD_EMBED_SUB_40"/>
          <w:b/>
          <w:bCs/>
          <w:color w:val="auto"/>
          <w:sz w:val="32"/>
          <w:szCs w:val="32"/>
        </w:rPr>
        <w:t>单位为财政全额预算拨款单位，核定人员编制24人，实有人数为24人。</w:t>
      </w:r>
    </w:p>
    <w:p>
      <w:pPr>
        <w:widowControl/>
        <w:spacing w:line="610" w:lineRule="exact"/>
        <w:ind w:firstLine="643" w:firstLineChars="200"/>
        <w:rPr>
          <w:rFonts w:ascii="___WRD_EMBED_SUB_40" w:hAnsi="___WRD_EMBED_SUB_40" w:eastAsia="___WRD_EMBED_SUB_40" w:cs="___WRD_EMBED_SUB_40"/>
          <w:b/>
          <w:bCs/>
          <w:color w:val="auto"/>
          <w:sz w:val="32"/>
          <w:szCs w:val="32"/>
        </w:rPr>
      </w:pPr>
      <w:r>
        <w:rPr>
          <w:rFonts w:hint="eastAsia" w:ascii="___WRD_EMBED_SUB_40" w:hAnsi="___WRD_EMBED_SUB_40" w:eastAsia="___WRD_EMBED_SUB_40" w:cs="___WRD_EMBED_SUB_40"/>
          <w:b/>
          <w:bCs/>
          <w:color w:val="auto"/>
          <w:sz w:val="32"/>
          <w:szCs w:val="32"/>
        </w:rPr>
        <w:t>职责职能：对全县具有行政许可及行政审批职能的部门进行分类管理；主要负责对窗口办理的行政许可和行政审批事项全过程进行监督协调，并进行日常考勤考核管理；负责对乡镇和县直单位的政务公开和政务服务工作进行检查督促。</w:t>
      </w:r>
    </w:p>
    <w:p>
      <w:pPr>
        <w:widowControl/>
        <w:spacing w:line="610" w:lineRule="exact"/>
        <w:ind w:firstLine="643" w:firstLineChars="200"/>
        <w:rPr>
          <w:rFonts w:ascii="___WRD_EMBED_SUB_40" w:hAnsi="___WRD_EMBED_SUB_40" w:eastAsia="___WRD_EMBED_SUB_40" w:cs="___WRD_EMBED_SUB_40"/>
          <w:b/>
          <w:bCs/>
          <w:color w:val="auto"/>
          <w:sz w:val="32"/>
          <w:szCs w:val="32"/>
        </w:rPr>
      </w:pPr>
      <w:r>
        <w:rPr>
          <w:rFonts w:hint="eastAsia" w:ascii="___WRD_EMBED_SUB_40" w:hAnsi="___WRD_EMBED_SUB_40" w:eastAsia="___WRD_EMBED_SUB_40" w:cs="___WRD_EMBED_SUB_40"/>
          <w:b/>
          <w:bCs/>
          <w:color w:val="auto"/>
          <w:sz w:val="32"/>
          <w:szCs w:val="32"/>
        </w:rPr>
        <w:t>机构构成：华容县行政审批服务局（本级）和华容县政务服务中心。</w:t>
      </w:r>
    </w:p>
    <w:p>
      <w:pPr>
        <w:pStyle w:val="2"/>
        <w:rPr>
          <w:b/>
          <w:bCs/>
          <w:color w:val="auto"/>
        </w:rPr>
      </w:pPr>
    </w:p>
    <w:p>
      <w:pPr>
        <w:pStyle w:val="14"/>
        <w:widowControl/>
        <w:spacing w:line="610" w:lineRule="exact"/>
        <w:ind w:firstLine="640"/>
        <w:rPr>
          <w:rFonts w:ascii="Times New Roman" w:hAnsi="Times New Roman" w:eastAsia="黑体"/>
          <w:b/>
          <w:bCs/>
          <w:color w:val="auto"/>
          <w:sz w:val="32"/>
          <w:szCs w:val="32"/>
        </w:rPr>
      </w:pPr>
      <w:r>
        <w:rPr>
          <w:rFonts w:ascii="Times New Roman" w:hAnsi="Times New Roman" w:eastAsia="黑体"/>
          <w:b/>
          <w:bCs/>
          <w:color w:val="auto"/>
          <w:sz w:val="32"/>
          <w:szCs w:val="32"/>
        </w:rPr>
        <w:t>二、基本支出情况</w:t>
      </w:r>
    </w:p>
    <w:p>
      <w:pPr>
        <w:widowControl/>
        <w:spacing w:line="610" w:lineRule="exact"/>
        <w:ind w:firstLine="643" w:firstLineChars="200"/>
        <w:rPr>
          <w:rFonts w:ascii="___WRD_EMBED_SUB_40" w:hAnsi="___WRD_EMBED_SUB_40" w:eastAsia="___WRD_EMBED_SUB_40" w:cs="___WRD_EMBED_SUB_40"/>
          <w:b/>
          <w:bCs/>
          <w:color w:val="auto"/>
          <w:sz w:val="32"/>
          <w:szCs w:val="32"/>
        </w:rPr>
      </w:pPr>
      <w:r>
        <w:rPr>
          <w:rFonts w:hint="eastAsia" w:ascii="___WRD_EMBED_SUB_40" w:hAnsi="___WRD_EMBED_SUB_40" w:eastAsia="___WRD_EMBED_SUB_40" w:cs="___WRD_EMBED_SUB_40"/>
          <w:b/>
          <w:bCs/>
          <w:color w:val="auto"/>
          <w:sz w:val="32"/>
          <w:szCs w:val="32"/>
        </w:rPr>
        <w:t>2022年基本支</w:t>
      </w:r>
      <w:r>
        <w:rPr>
          <w:rFonts w:hint="eastAsia" w:ascii="___WRD_EMBED_SUB_40" w:hAnsi="___WRD_EMBED_SUB_40" w:eastAsia="___WRD_EMBED_SUB_40" w:cs="___WRD_EMBED_SUB_40"/>
          <w:b/>
          <w:bCs/>
          <w:color w:val="auto"/>
          <w:sz w:val="32"/>
          <w:szCs w:val="32"/>
        </w:rPr>
        <w:t>出651.0</w:t>
      </w:r>
      <w:r>
        <w:rPr>
          <w:rFonts w:hint="eastAsia" w:ascii="宋体" w:hAnsi="宋体" w:cs="宋体"/>
          <w:b/>
          <w:bCs/>
          <w:color w:val="auto"/>
          <w:sz w:val="32"/>
          <w:szCs w:val="32"/>
        </w:rPr>
        <w:t>7</w:t>
      </w:r>
      <w:r>
        <w:rPr>
          <w:rFonts w:hint="eastAsia" w:ascii="___WRD_EMBED_SUB_40" w:hAnsi="___WRD_EMBED_SUB_40" w:eastAsia="___WRD_EMBED_SUB_40" w:cs="___WRD_EMBED_SUB_40"/>
          <w:b/>
          <w:bCs/>
          <w:color w:val="auto"/>
          <w:sz w:val="32"/>
          <w:szCs w:val="32"/>
        </w:rPr>
        <w:t>万元，其中：人员经费支出271.18万元，占基本支出的41.65%，公用经费支出379.89万元，占基本支出的58.35%。单位厉行节约，保障了机构人员工资、社保和福利的及时发放，保障了机构的正常运转。</w:t>
      </w:r>
    </w:p>
    <w:p>
      <w:pPr>
        <w:pStyle w:val="14"/>
        <w:widowControl/>
        <w:spacing w:line="610" w:lineRule="exact"/>
        <w:ind w:firstLine="640"/>
        <w:rPr>
          <w:rFonts w:ascii="Times New Roman" w:hAnsi="Times New Roman" w:eastAsia="黑体"/>
          <w:b/>
          <w:bCs/>
          <w:color w:val="auto"/>
          <w:sz w:val="32"/>
          <w:szCs w:val="32"/>
        </w:rPr>
      </w:pPr>
      <w:r>
        <w:rPr>
          <w:rFonts w:ascii="Times New Roman" w:hAnsi="Times New Roman" w:eastAsia="黑体"/>
          <w:b/>
          <w:bCs/>
          <w:color w:val="auto"/>
          <w:sz w:val="32"/>
          <w:szCs w:val="32"/>
        </w:rPr>
        <w:t>三、项目支出情况</w:t>
      </w:r>
    </w:p>
    <w:p>
      <w:pPr>
        <w:widowControl/>
        <w:spacing w:line="610" w:lineRule="exact"/>
        <w:ind w:firstLine="643" w:firstLineChars="200"/>
        <w:rPr>
          <w:rFonts w:eastAsia="仿宋_GB2312"/>
          <w:b/>
          <w:bCs/>
          <w:color w:val="auto"/>
          <w:sz w:val="32"/>
          <w:szCs w:val="32"/>
        </w:rPr>
      </w:pPr>
      <w:r>
        <w:rPr>
          <w:rFonts w:hint="eastAsia" w:ascii="___WRD_EMBED_SUB_40" w:hAnsi="___WRD_EMBED_SUB_40" w:eastAsia="___WRD_EMBED_SUB_40" w:cs="___WRD_EMBED_SUB_40"/>
          <w:b/>
          <w:bCs/>
          <w:color w:val="auto"/>
          <w:sz w:val="32"/>
          <w:szCs w:val="32"/>
        </w:rPr>
        <w:t>2022年项目支出864.1</w:t>
      </w:r>
      <w:r>
        <w:rPr>
          <w:rFonts w:hint="eastAsia" w:ascii="宋体" w:hAnsi="宋体" w:cs="宋体"/>
          <w:b/>
          <w:bCs/>
          <w:color w:val="auto"/>
          <w:sz w:val="32"/>
          <w:szCs w:val="32"/>
        </w:rPr>
        <w:t>6</w:t>
      </w:r>
      <w:r>
        <w:rPr>
          <w:rFonts w:hint="eastAsia" w:ascii="___WRD_EMBED_SUB_40" w:hAnsi="___WRD_EMBED_SUB_40" w:eastAsia="___WRD_EMBED_SUB_40" w:cs="___WRD_EMBED_SUB_40"/>
          <w:b/>
          <w:bCs/>
          <w:color w:val="auto"/>
          <w:sz w:val="32"/>
          <w:szCs w:val="32"/>
        </w:rPr>
        <w:t>万元。项目指标下达及时，支付按进度完成，项目资金主要用于平台建设运行维护、大厅运转等专项支出。项目资金支付都是按照预算执行，实行专款专用，项目实施完成后，达到了预期经济效益及社会效益，圆满的完成了</w:t>
      </w:r>
      <w:r>
        <w:rPr>
          <w:rFonts w:hint="eastAsia" w:ascii="宋体" w:hAnsi="宋体" w:cs="宋体"/>
          <w:b/>
          <w:bCs/>
          <w:color w:val="auto"/>
          <w:sz w:val="32"/>
          <w:szCs w:val="32"/>
        </w:rPr>
        <w:t>各</w:t>
      </w:r>
      <w:r>
        <w:rPr>
          <w:rFonts w:hint="eastAsia" w:ascii="___WRD_EMBED_SUB_40" w:hAnsi="___WRD_EMBED_SUB_40" w:eastAsia="___WRD_EMBED_SUB_40" w:cs="___WRD_EMBED_SUB_40"/>
          <w:b/>
          <w:bCs/>
          <w:color w:val="auto"/>
          <w:sz w:val="32"/>
          <w:szCs w:val="32"/>
        </w:rPr>
        <w:t>项</w:t>
      </w:r>
      <w:r>
        <w:rPr>
          <w:rFonts w:hint="eastAsia" w:ascii="宋体" w:hAnsi="宋体" w:cs="宋体"/>
          <w:b/>
          <w:bCs/>
          <w:color w:val="auto"/>
          <w:sz w:val="32"/>
          <w:szCs w:val="32"/>
        </w:rPr>
        <w:t>任</w:t>
      </w:r>
      <w:r>
        <w:rPr>
          <w:rFonts w:hint="eastAsia" w:ascii="___WRD_EMBED_SUB_40" w:hAnsi="___WRD_EMBED_SUB_40" w:eastAsia="___WRD_EMBED_SUB_40" w:cs="___WRD_EMBED_SUB_40"/>
          <w:b/>
          <w:bCs/>
          <w:color w:val="auto"/>
          <w:sz w:val="32"/>
          <w:szCs w:val="32"/>
        </w:rPr>
        <w:t>务</w:t>
      </w:r>
      <w:r>
        <w:rPr>
          <w:rFonts w:hint="eastAsia" w:eastAsia="仿宋_GB2312"/>
          <w:b/>
          <w:bCs/>
          <w:color w:val="auto"/>
          <w:sz w:val="32"/>
          <w:szCs w:val="32"/>
        </w:rPr>
        <w:t>。</w:t>
      </w:r>
    </w:p>
    <w:p>
      <w:pPr>
        <w:widowControl/>
        <w:spacing w:line="610" w:lineRule="exact"/>
        <w:ind w:firstLine="643" w:firstLineChars="200"/>
        <w:rPr>
          <w:rFonts w:eastAsia="黑体"/>
          <w:b/>
          <w:bCs/>
          <w:color w:val="auto"/>
          <w:sz w:val="32"/>
          <w:szCs w:val="32"/>
        </w:rPr>
      </w:pPr>
      <w:r>
        <w:rPr>
          <w:rFonts w:hint="eastAsia" w:eastAsia="黑体"/>
          <w:b/>
          <w:bCs/>
          <w:color w:val="auto"/>
          <w:sz w:val="32"/>
          <w:szCs w:val="32"/>
        </w:rPr>
        <w:t>四</w:t>
      </w:r>
      <w:r>
        <w:rPr>
          <w:rFonts w:eastAsia="黑体"/>
          <w:b/>
          <w:bCs/>
          <w:color w:val="auto"/>
          <w:sz w:val="32"/>
          <w:szCs w:val="32"/>
        </w:rPr>
        <w:t>、部门整体支出绩效情况</w:t>
      </w:r>
    </w:p>
    <w:p>
      <w:pPr>
        <w:widowControl/>
        <w:spacing w:line="610" w:lineRule="exact"/>
        <w:ind w:firstLine="643" w:firstLineChars="200"/>
        <w:rPr>
          <w:rFonts w:ascii="___WRD_EMBED_SUB_40" w:hAnsi="___WRD_EMBED_SUB_40" w:eastAsia="___WRD_EMBED_SUB_40" w:cs="___WRD_EMBED_SUB_40"/>
          <w:b/>
          <w:bCs/>
          <w:color w:val="auto"/>
          <w:sz w:val="32"/>
          <w:szCs w:val="32"/>
        </w:rPr>
      </w:pPr>
      <w:r>
        <w:rPr>
          <w:rFonts w:hint="eastAsia" w:ascii="___WRD_EMBED_SUB_40" w:hAnsi="___WRD_EMBED_SUB_40" w:eastAsia="___WRD_EMBED_SUB_40" w:cs="___WRD_EMBED_SUB_40"/>
          <w:b/>
          <w:bCs/>
          <w:color w:val="auto"/>
          <w:sz w:val="32"/>
          <w:szCs w:val="32"/>
        </w:rPr>
        <w:t>2022年，根据年初工作规划和重点工作，围绕县委、县政府的工作部署，积极履行职责，强化管理，较好地完成了年度工作目标，同时加强预算收支的管理，建立健全内部管理制度，严格内部管理流程，部门整体支出管理得到了提升。2022年度部门整体支出绩效情况如下：</w:t>
      </w:r>
    </w:p>
    <w:p>
      <w:pPr>
        <w:widowControl/>
        <w:spacing w:line="610" w:lineRule="exact"/>
        <w:ind w:firstLine="643" w:firstLineChars="200"/>
        <w:rPr>
          <w:rFonts w:ascii="___WRD_EMBED_SUB_40" w:hAnsi="___WRD_EMBED_SUB_40" w:eastAsia="___WRD_EMBED_SUB_40" w:cs="___WRD_EMBED_SUB_40"/>
          <w:b/>
          <w:bCs/>
          <w:color w:val="auto"/>
          <w:sz w:val="32"/>
          <w:szCs w:val="32"/>
        </w:rPr>
      </w:pPr>
      <w:r>
        <w:rPr>
          <w:rFonts w:ascii="___WRD_EMBED_SUB_40" w:hAnsi="___WRD_EMBED_SUB_40" w:eastAsia="___WRD_EMBED_SUB_40" w:cs="___WRD_EMBED_SUB_40"/>
          <w:b/>
          <w:bCs/>
          <w:color w:val="auto"/>
          <w:sz w:val="32"/>
          <w:szCs w:val="32"/>
        </w:rPr>
        <w:t>1.</w:t>
      </w:r>
      <w:r>
        <w:rPr>
          <w:rFonts w:hint="eastAsia" w:ascii="___WRD_EMBED_SUB_40" w:hAnsi="___WRD_EMBED_SUB_40" w:eastAsia="___WRD_EMBED_SUB_40" w:cs="___WRD_EMBED_SUB_40"/>
          <w:b/>
          <w:bCs/>
          <w:color w:val="auto"/>
          <w:sz w:val="32"/>
          <w:szCs w:val="32"/>
        </w:rPr>
        <w:t>严格预算支出管理。严控行政经费，压缩一般性支出，严格控制“三公”经费，资产的配置严格政府采购，保障机构运行成本。</w:t>
      </w:r>
    </w:p>
    <w:p>
      <w:pPr>
        <w:widowControl/>
        <w:spacing w:line="610" w:lineRule="exact"/>
        <w:ind w:firstLine="643" w:firstLineChars="200"/>
        <w:rPr>
          <w:rFonts w:ascii="___WRD_EMBED_SUB_40" w:hAnsi="___WRD_EMBED_SUB_40" w:eastAsia="___WRD_EMBED_SUB_40" w:cs="___WRD_EMBED_SUB_40"/>
          <w:b/>
          <w:bCs/>
          <w:color w:val="auto"/>
          <w:sz w:val="32"/>
          <w:szCs w:val="32"/>
        </w:rPr>
      </w:pPr>
      <w:r>
        <w:rPr>
          <w:rFonts w:ascii="___WRD_EMBED_SUB_40" w:hAnsi="___WRD_EMBED_SUB_40" w:eastAsia="___WRD_EMBED_SUB_40" w:cs="___WRD_EMBED_SUB_40"/>
          <w:b/>
          <w:bCs/>
          <w:color w:val="auto"/>
          <w:sz w:val="32"/>
          <w:szCs w:val="32"/>
        </w:rPr>
        <w:t>2.</w:t>
      </w:r>
      <w:r>
        <w:rPr>
          <w:rFonts w:hint="eastAsia" w:ascii="___WRD_EMBED_SUB_40" w:hAnsi="___WRD_EMBED_SUB_40" w:eastAsia="___WRD_EMBED_SUB_40" w:cs="___WRD_EMBED_SUB_40"/>
          <w:b/>
          <w:bCs/>
          <w:color w:val="auto"/>
          <w:sz w:val="32"/>
          <w:szCs w:val="32"/>
        </w:rPr>
        <w:t>完善财务控制管理。按照国家相关法律法规，制定完善了单位内部控制制度，并严格按照制度管理和执行，防范风险，保证机构运行管理效率。</w:t>
      </w:r>
    </w:p>
    <w:p>
      <w:pPr>
        <w:widowControl/>
        <w:spacing w:line="610" w:lineRule="exact"/>
        <w:ind w:firstLine="643" w:firstLineChars="200"/>
        <w:rPr>
          <w:rFonts w:ascii="___WRD_EMBED_SUB_40" w:hAnsi="___WRD_EMBED_SUB_40" w:eastAsia="___WRD_EMBED_SUB_40" w:cs="___WRD_EMBED_SUB_40"/>
          <w:b/>
          <w:bCs/>
          <w:color w:val="auto"/>
          <w:sz w:val="32"/>
          <w:szCs w:val="32"/>
        </w:rPr>
      </w:pPr>
      <w:r>
        <w:rPr>
          <w:rFonts w:hint="eastAsia" w:ascii="___WRD_EMBED_SUB_40" w:hAnsi="___WRD_EMBED_SUB_40" w:eastAsia="___WRD_EMBED_SUB_40" w:cs="___WRD_EMBED_SUB_40"/>
          <w:b/>
          <w:bCs/>
          <w:color w:val="auto"/>
          <w:sz w:val="32"/>
          <w:szCs w:val="32"/>
        </w:rPr>
        <w:t>通过对2022年的</w:t>
      </w:r>
      <w:r>
        <w:rPr>
          <w:rFonts w:ascii="___WRD_EMBED_SUB_40" w:hAnsi="___WRD_EMBED_SUB_40" w:eastAsia="___WRD_EMBED_SUB_40" w:cs="___WRD_EMBED_SUB_40"/>
          <w:b/>
          <w:bCs/>
          <w:color w:val="auto"/>
          <w:sz w:val="32"/>
          <w:szCs w:val="32"/>
        </w:rPr>
        <w:t>运行成本、管理效率、履职效能、社会效应、可持续发展能力和服务对象满意度等方面</w:t>
      </w:r>
      <w:r>
        <w:rPr>
          <w:rFonts w:hint="eastAsia" w:ascii="___WRD_EMBED_SUB_40" w:hAnsi="___WRD_EMBED_SUB_40" w:eastAsia="___WRD_EMBED_SUB_40" w:cs="___WRD_EMBED_SUB_40"/>
          <w:b/>
          <w:bCs/>
          <w:color w:val="auto"/>
          <w:sz w:val="32"/>
          <w:szCs w:val="32"/>
        </w:rPr>
        <w:t>综合考评， 2022年，较好地完成了年度工作目标，部门整体支出绩效评价为优。</w:t>
      </w:r>
    </w:p>
    <w:p>
      <w:pPr>
        <w:pStyle w:val="14"/>
        <w:widowControl/>
        <w:spacing w:line="610" w:lineRule="exact"/>
        <w:ind w:firstLine="640"/>
        <w:rPr>
          <w:rFonts w:ascii="Times New Roman" w:hAnsi="Times New Roman" w:eastAsia="黑体"/>
          <w:b/>
          <w:bCs/>
          <w:color w:val="auto"/>
          <w:sz w:val="32"/>
          <w:szCs w:val="32"/>
        </w:rPr>
      </w:pPr>
      <w:r>
        <w:rPr>
          <w:rFonts w:hint="eastAsia" w:ascii="Times New Roman" w:hAnsi="Times New Roman" w:eastAsia="黑体"/>
          <w:b/>
          <w:bCs/>
          <w:color w:val="auto"/>
          <w:sz w:val="32"/>
          <w:szCs w:val="32"/>
        </w:rPr>
        <w:t>五</w:t>
      </w:r>
      <w:r>
        <w:rPr>
          <w:rFonts w:ascii="Times New Roman" w:hAnsi="Times New Roman" w:eastAsia="黑体"/>
          <w:b/>
          <w:bCs/>
          <w:color w:val="auto"/>
          <w:sz w:val="32"/>
          <w:szCs w:val="32"/>
        </w:rPr>
        <w:t>、存在的问题及原因分析</w:t>
      </w:r>
    </w:p>
    <w:p>
      <w:pPr>
        <w:widowControl/>
        <w:spacing w:line="610" w:lineRule="exact"/>
        <w:ind w:firstLine="643" w:firstLineChars="200"/>
        <w:rPr>
          <w:rFonts w:ascii="___WRD_EMBED_SUB_40" w:hAnsi="___WRD_EMBED_SUB_40" w:eastAsia="___WRD_EMBED_SUB_40" w:cs="___WRD_EMBED_SUB_40"/>
          <w:b/>
          <w:bCs/>
          <w:color w:val="auto"/>
          <w:sz w:val="32"/>
          <w:szCs w:val="32"/>
        </w:rPr>
      </w:pPr>
      <w:r>
        <w:rPr>
          <w:rFonts w:hint="eastAsia" w:ascii="___WRD_EMBED_SUB_40" w:hAnsi="___WRD_EMBED_SUB_40" w:eastAsia="___WRD_EMBED_SUB_40" w:cs="___WRD_EMBED_SUB_40"/>
          <w:b/>
          <w:bCs/>
          <w:color w:val="auto"/>
          <w:sz w:val="32"/>
          <w:szCs w:val="32"/>
        </w:rPr>
        <w:t>一是进一步加强厉行节约机制，提高单位三保支出的保障能力。</w:t>
      </w:r>
    </w:p>
    <w:p>
      <w:pPr>
        <w:widowControl/>
        <w:spacing w:line="610" w:lineRule="exact"/>
        <w:ind w:firstLine="643" w:firstLineChars="200"/>
        <w:rPr>
          <w:rFonts w:ascii="___WRD_EMBED_SUB_40" w:hAnsi="___WRD_EMBED_SUB_40" w:eastAsia="___WRD_EMBED_SUB_40" w:cs="___WRD_EMBED_SUB_40"/>
          <w:b/>
          <w:bCs/>
          <w:color w:val="auto"/>
          <w:sz w:val="32"/>
          <w:szCs w:val="32"/>
        </w:rPr>
      </w:pPr>
      <w:r>
        <w:rPr>
          <w:rFonts w:hint="eastAsia" w:ascii="___WRD_EMBED_SUB_40" w:hAnsi="___WRD_EMBED_SUB_40" w:eastAsia="___WRD_EMBED_SUB_40" w:cs="___WRD_EMBED_SUB_40"/>
          <w:b/>
          <w:bCs/>
          <w:color w:val="auto"/>
          <w:sz w:val="32"/>
          <w:szCs w:val="32"/>
        </w:rPr>
        <w:t>二是预算编制与实际支出项目有的存在差异，有待进一步优化预算，提高预算编制的准确性。</w:t>
      </w:r>
    </w:p>
    <w:p>
      <w:pPr>
        <w:widowControl/>
        <w:spacing w:line="610" w:lineRule="exact"/>
        <w:ind w:firstLine="643" w:firstLineChars="200"/>
        <w:rPr>
          <w:rFonts w:eastAsia="黑体"/>
          <w:b/>
          <w:bCs/>
          <w:color w:val="auto"/>
          <w:sz w:val="32"/>
          <w:szCs w:val="32"/>
        </w:rPr>
      </w:pPr>
      <w:r>
        <w:rPr>
          <w:rFonts w:hint="eastAsia" w:eastAsia="黑体"/>
          <w:b/>
          <w:bCs/>
          <w:color w:val="auto"/>
          <w:sz w:val="32"/>
          <w:szCs w:val="32"/>
        </w:rPr>
        <w:t>六</w:t>
      </w:r>
      <w:r>
        <w:rPr>
          <w:rFonts w:eastAsia="黑体"/>
          <w:b/>
          <w:bCs/>
          <w:color w:val="auto"/>
          <w:sz w:val="32"/>
          <w:szCs w:val="32"/>
        </w:rPr>
        <w:t>、下一步改进措施</w:t>
      </w:r>
    </w:p>
    <w:p>
      <w:pPr>
        <w:widowControl/>
        <w:spacing w:line="610" w:lineRule="exact"/>
        <w:ind w:firstLine="643" w:firstLineChars="200"/>
        <w:rPr>
          <w:rFonts w:ascii="___WRD_EMBED_SUB_40" w:hAnsi="___WRD_EMBED_SUB_40" w:eastAsia="___WRD_EMBED_SUB_40" w:cs="___WRD_EMBED_SUB_40"/>
          <w:b/>
          <w:bCs/>
          <w:color w:val="auto"/>
          <w:sz w:val="32"/>
          <w:szCs w:val="32"/>
        </w:rPr>
      </w:pPr>
      <w:r>
        <w:rPr>
          <w:rFonts w:hint="eastAsia" w:ascii="___WRD_EMBED_SUB_40" w:hAnsi="___WRD_EMBED_SUB_40" w:eastAsia="___WRD_EMBED_SUB_40" w:cs="___WRD_EMBED_SUB_40"/>
          <w:b/>
          <w:bCs/>
          <w:color w:val="auto"/>
          <w:sz w:val="32"/>
          <w:szCs w:val="32"/>
        </w:rPr>
        <w:t>一是按照预算规定的项目和用途严格财务审核，经费支出严格按预算规定项目的财务支出内容进行财务核算，在预算金额内严格控制费用的支出，先有预算，再有支出。</w:t>
      </w:r>
    </w:p>
    <w:p>
      <w:pPr>
        <w:widowControl/>
        <w:spacing w:line="610" w:lineRule="exact"/>
        <w:ind w:firstLine="643" w:firstLineChars="200"/>
        <w:rPr>
          <w:rFonts w:ascii="___WRD_EMBED_SUB_40" w:hAnsi="___WRD_EMBED_SUB_40" w:eastAsia="___WRD_EMBED_SUB_40" w:cs="___WRD_EMBED_SUB_40"/>
          <w:b/>
          <w:bCs/>
          <w:color w:val="auto"/>
          <w:sz w:val="32"/>
          <w:szCs w:val="32"/>
        </w:rPr>
      </w:pPr>
      <w:r>
        <w:rPr>
          <w:rFonts w:hint="eastAsia" w:ascii="___WRD_EMBED_SUB_40" w:hAnsi="___WRD_EMBED_SUB_40" w:eastAsia="___WRD_EMBED_SUB_40" w:cs="___WRD_EMBED_SUB_40"/>
          <w:b/>
          <w:bCs/>
          <w:color w:val="auto"/>
          <w:sz w:val="32"/>
          <w:szCs w:val="32"/>
        </w:rPr>
        <w:t>二是预算财务分析常态化，定期做好预算支出财务分析，做好部门整体支出预算评价工作。</w:t>
      </w:r>
    </w:p>
    <w:p>
      <w:pPr>
        <w:widowControl/>
        <w:spacing w:line="610" w:lineRule="exact"/>
        <w:ind w:firstLine="643" w:firstLineChars="200"/>
        <w:rPr>
          <w:rFonts w:eastAsia="黑体"/>
          <w:b/>
          <w:bCs/>
          <w:color w:val="auto"/>
          <w:sz w:val="32"/>
          <w:szCs w:val="32"/>
        </w:rPr>
      </w:pPr>
      <w:r>
        <w:rPr>
          <w:rFonts w:hint="eastAsia" w:eastAsia="黑体"/>
          <w:b/>
          <w:bCs/>
          <w:color w:val="auto"/>
          <w:sz w:val="32"/>
          <w:szCs w:val="32"/>
        </w:rPr>
        <w:t>七</w:t>
      </w:r>
      <w:r>
        <w:rPr>
          <w:rFonts w:eastAsia="黑体"/>
          <w:b/>
          <w:bCs/>
          <w:color w:val="auto"/>
          <w:sz w:val="32"/>
          <w:szCs w:val="32"/>
        </w:rPr>
        <w:t>、其他需要说明的情况</w:t>
      </w:r>
    </w:p>
    <w:p>
      <w:pPr>
        <w:widowControl/>
        <w:spacing w:line="610" w:lineRule="exact"/>
        <w:ind w:firstLine="643" w:firstLineChars="200"/>
        <w:rPr>
          <w:rFonts w:ascii="___WRD_EMBED_SUB_40" w:hAnsi="___WRD_EMBED_SUB_40" w:eastAsia="___WRD_EMBED_SUB_40" w:cs="___WRD_EMBED_SUB_40"/>
          <w:b/>
          <w:bCs/>
          <w:color w:val="auto"/>
          <w:sz w:val="32"/>
          <w:szCs w:val="32"/>
        </w:rPr>
      </w:pPr>
    </w:p>
    <w:p>
      <w:pPr>
        <w:widowControl/>
        <w:spacing w:line="610" w:lineRule="exact"/>
        <w:ind w:firstLine="643" w:firstLineChars="200"/>
        <w:rPr>
          <w:rFonts w:eastAsia="仿宋_GB2312"/>
          <w:b/>
          <w:bCs/>
          <w:color w:val="auto"/>
          <w:sz w:val="32"/>
          <w:szCs w:val="32"/>
        </w:rPr>
        <w:sectPr>
          <w:pgSz w:w="11906" w:h="16838"/>
          <w:pgMar w:top="1984" w:right="1701" w:bottom="1984" w:left="1701" w:header="851" w:footer="992" w:gutter="0"/>
          <w:cols w:space="0" w:num="1"/>
          <w:docGrid w:type="lines" w:linePitch="312" w:charSpace="0"/>
        </w:sectPr>
      </w:pPr>
      <w:r>
        <w:rPr>
          <w:rFonts w:hint="eastAsia" w:ascii="___WRD_EMBED_SUB_40" w:hAnsi="___WRD_EMBED_SUB_40" w:eastAsia="___WRD_EMBED_SUB_40" w:cs="___WRD_EMBED_SUB_40"/>
          <w:b/>
          <w:bCs/>
          <w:color w:val="auto"/>
          <w:sz w:val="32"/>
          <w:szCs w:val="32"/>
        </w:rPr>
        <w:t>无</w:t>
      </w:r>
    </w:p>
    <w:p>
      <w:pPr>
        <w:spacing w:line="560" w:lineRule="exact"/>
        <w:rPr>
          <w:rFonts w:ascii="黑体" w:hAnsi="黑体" w:eastAsia="黑体"/>
          <w:b/>
          <w:bCs/>
          <w:color w:val="auto"/>
          <w:sz w:val="32"/>
          <w:szCs w:val="32"/>
        </w:rPr>
      </w:pPr>
      <w:r>
        <w:rPr>
          <w:rFonts w:hint="eastAsia" w:ascii="黑体" w:hAnsi="黑体" w:eastAsia="黑体"/>
          <w:b/>
          <w:bCs/>
          <w:color w:val="auto"/>
          <w:sz w:val="32"/>
          <w:szCs w:val="32"/>
        </w:rPr>
        <w:t>附件4</w:t>
      </w:r>
    </w:p>
    <w:p>
      <w:pPr>
        <w:widowControl/>
        <w:spacing w:beforeLines="50" w:afterLines="100" w:line="600" w:lineRule="exact"/>
        <w:jc w:val="center"/>
        <w:rPr>
          <w:rFonts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b/>
          <w:bCs/>
          <w:color w:val="auto"/>
          <w:sz w:val="44"/>
          <w:szCs w:val="44"/>
        </w:rPr>
        <w:t>项目支出绩效评价评分表（共性）</w:t>
      </w:r>
    </w:p>
    <w:tbl>
      <w:tblPr>
        <w:tblStyle w:val="6"/>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一级</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二级</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三级</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自评</w:t>
            </w:r>
          </w:p>
          <w:p>
            <w:pPr>
              <w:widowControl/>
              <w:spacing w:line="240" w:lineRule="exact"/>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textDirection w:val="tbLrV"/>
            <w:vAlign w:val="center"/>
          </w:tcPr>
          <w:p>
            <w:pPr>
              <w:widowControl/>
              <w:spacing w:line="240" w:lineRule="exact"/>
              <w:ind w:left="113" w:right="113"/>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20</w:t>
            </w:r>
          </w:p>
        </w:tc>
        <w:tc>
          <w:tcPr>
            <w:tcW w:w="703" w:type="dxa"/>
            <w:tcBorders>
              <w:top w:val="nil"/>
              <w:left w:val="nil"/>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项目目标</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4</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目标</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内容</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①设有目标（1分）</w:t>
            </w:r>
          </w:p>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②目标明确（1分）</w:t>
            </w:r>
          </w:p>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③目标细化（1分）</w:t>
            </w:r>
          </w:p>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④目标量化（1分）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决策</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依据</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①符合法律法规（1分）</w:t>
            </w:r>
          </w:p>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②符合经济社会发展规划（1分）</w:t>
            </w:r>
          </w:p>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③部门年度工作计划（1分）</w:t>
            </w:r>
          </w:p>
          <w:p>
            <w:pPr>
              <w:widowControl/>
              <w:spacing w:line="240" w:lineRule="exact"/>
              <w:jc w:val="left"/>
              <w:rPr>
                <w:rFonts w:ascii="仿宋_GB2312" w:hAnsi="宋体" w:eastAsia="仿宋_GB2312" w:cs="宋体"/>
                <w:b/>
                <w:bCs/>
                <w:color w:val="auto"/>
                <w:spacing w:val="-6"/>
                <w:kern w:val="0"/>
                <w:sz w:val="18"/>
                <w:szCs w:val="18"/>
              </w:rPr>
            </w:pPr>
            <w:r>
              <w:rPr>
                <w:rFonts w:hint="eastAsia" w:ascii="仿宋_GB2312" w:hAnsi="宋体" w:eastAsia="仿宋_GB2312" w:cs="宋体"/>
                <w:b/>
                <w:bCs/>
                <w:color w:val="auto"/>
                <w:spacing w:val="-6"/>
                <w:kern w:val="0"/>
                <w:sz w:val="18"/>
                <w:szCs w:val="18"/>
              </w:rPr>
              <w:t>④针对某一实际问题和需求（1分）</w:t>
            </w:r>
          </w:p>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以上③需提供佐证资料。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决策</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程序</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①符合申报条件（2分）</w:t>
            </w:r>
          </w:p>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②项目申报、批复程序符合管理办法（1分）</w:t>
            </w:r>
          </w:p>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分配</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办法</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①有相应的资金管理办法（1分）</w:t>
            </w:r>
          </w:p>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②办法健全、规范（1分）</w:t>
            </w:r>
          </w:p>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③因素全面合理（1分）</w:t>
            </w:r>
          </w:p>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分配</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结果</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5</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①符合分配办法（2分）</w:t>
            </w:r>
          </w:p>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②分配公平合理（3分）</w:t>
            </w:r>
          </w:p>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textDirection w:val="tbLrV"/>
            <w:vAlign w:val="center"/>
          </w:tcPr>
          <w:p>
            <w:pPr>
              <w:widowControl/>
              <w:spacing w:line="240" w:lineRule="exact"/>
              <w:ind w:left="113" w:right="113" w:firstLine="2530" w:firstLineChars="1400"/>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项目管理</w:t>
            </w:r>
          </w:p>
        </w:tc>
        <w:tc>
          <w:tcPr>
            <w:tcW w:w="540" w:type="dxa"/>
            <w:vMerge w:val="restart"/>
            <w:tcBorders>
              <w:top w:val="nil"/>
              <w:left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25</w:t>
            </w:r>
          </w:p>
          <w:p>
            <w:pPr>
              <w:rPr>
                <w:b/>
                <w:bCs/>
                <w:color w:val="auto"/>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5</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到位率</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实际到位/计划到位*100%</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到位</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时效</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2</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①到位及时（2分）</w:t>
            </w:r>
          </w:p>
          <w:p>
            <w:pPr>
              <w:widowControl/>
              <w:spacing w:line="240" w:lineRule="exact"/>
              <w:jc w:val="left"/>
              <w:rPr>
                <w:rFonts w:ascii="仿宋_GB2312" w:hAnsi="宋体" w:eastAsia="仿宋_GB2312" w:cs="宋体"/>
                <w:b/>
                <w:bCs/>
                <w:color w:val="auto"/>
                <w:spacing w:val="-10"/>
                <w:kern w:val="0"/>
                <w:sz w:val="18"/>
                <w:szCs w:val="18"/>
              </w:rPr>
            </w:pPr>
            <w:r>
              <w:rPr>
                <w:rFonts w:hint="eastAsia" w:ascii="仿宋_GB2312" w:hAnsi="宋体" w:eastAsia="仿宋_GB2312" w:cs="宋体"/>
                <w:b/>
                <w:bCs/>
                <w:color w:val="auto"/>
                <w:spacing w:val="-10"/>
                <w:kern w:val="0"/>
                <w:sz w:val="18"/>
                <w:szCs w:val="18"/>
              </w:rPr>
              <w:t>②不及时但未影响项目进度 （1分）</w:t>
            </w:r>
          </w:p>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10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资金</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使用</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7</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 xml:space="preserve">①虚列套取扣4-7分 </w:t>
            </w:r>
          </w:p>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②依据不合规扣2分</w:t>
            </w:r>
          </w:p>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③截留、挤占、挪用扣3-6分</w:t>
            </w:r>
          </w:p>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④超标准开支扣2-5分</w:t>
            </w:r>
          </w:p>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⑤超预算扣2-5分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7</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财务</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管理</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①财务制度健全（1分）</w:t>
            </w:r>
          </w:p>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②严格执行制度（1分）</w:t>
            </w:r>
          </w:p>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③会计核算规范（1分）</w:t>
            </w:r>
          </w:p>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3</w:t>
            </w: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b/>
                <w:bCs/>
                <w:color w:val="auto"/>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rPr>
                <w:b/>
                <w:bCs/>
                <w:color w:val="auto"/>
              </w:rPr>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10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组织</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机构</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支撑</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条件</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项目</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实施</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①按计划开工（1分）</w:t>
            </w:r>
          </w:p>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②按计划开展（1分）</w:t>
            </w:r>
          </w:p>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管理</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制度</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5</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①管理制度健全（2分）</w:t>
            </w:r>
          </w:p>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②制度执行严格（3分）</w:t>
            </w:r>
          </w:p>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5</w:t>
            </w:r>
          </w:p>
        </w:tc>
      </w:tr>
      <w:tr>
        <w:tblPrEx>
          <w:tblCellMar>
            <w:top w:w="0" w:type="dxa"/>
            <w:left w:w="108" w:type="dxa"/>
            <w:bottom w:w="0" w:type="dxa"/>
            <w:right w:w="108" w:type="dxa"/>
          </w:tblCellMar>
        </w:tblPrEx>
        <w:trPr>
          <w:trHeight w:val="1016"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产出</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5</w:t>
            </w:r>
          </w:p>
        </w:tc>
      </w:tr>
      <w:tr>
        <w:tblPrEx>
          <w:tblCellMar>
            <w:top w:w="0" w:type="dxa"/>
            <w:left w:w="108" w:type="dxa"/>
            <w:bottom w:w="0" w:type="dxa"/>
            <w:right w:w="108" w:type="dxa"/>
          </w:tblCellMar>
        </w:tblPrEx>
        <w:trPr>
          <w:trHeight w:val="988"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产出</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质量</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4</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产出</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时效</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3</w:t>
            </w:r>
          </w:p>
        </w:tc>
      </w:tr>
      <w:tr>
        <w:tblPrEx>
          <w:tblCellMar>
            <w:top w:w="0" w:type="dxa"/>
            <w:left w:w="108" w:type="dxa"/>
            <w:bottom w:w="0" w:type="dxa"/>
            <w:right w:w="108" w:type="dxa"/>
          </w:tblCellMar>
        </w:tblPrEx>
        <w:trPr>
          <w:trHeight w:val="962"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产出</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成本</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40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经济</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社会</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8</w:t>
            </w:r>
          </w:p>
        </w:tc>
      </w:tr>
      <w:tr>
        <w:tblPrEx>
          <w:tblCellMar>
            <w:top w:w="0" w:type="dxa"/>
            <w:left w:w="108" w:type="dxa"/>
            <w:bottom w:w="0" w:type="dxa"/>
            <w:right w:w="108" w:type="dxa"/>
          </w:tblCellMar>
        </w:tblPrEx>
        <w:trPr>
          <w:trHeight w:val="1082"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生态</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可持续</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影响</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服务</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对象</w:t>
            </w:r>
          </w:p>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满意度</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8</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vAlign w:val="center"/>
          </w:tcPr>
          <w:p>
            <w:pPr>
              <w:widowControl/>
              <w:spacing w:line="240" w:lineRule="exact"/>
              <w:jc w:val="left"/>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b/>
                <w:bCs/>
                <w:color w:val="auto"/>
                <w:kern w:val="0"/>
                <w:sz w:val="24"/>
              </w:rPr>
            </w:pPr>
            <w:r>
              <w:rPr>
                <w:rFonts w:hint="eastAsia" w:ascii="宋体" w:hAnsi="宋体" w:cs="宋体"/>
                <w:b/>
                <w:bCs/>
                <w:color w:val="auto"/>
                <w:kern w:val="0"/>
                <w:sz w:val="24"/>
              </w:rPr>
              <w:t>8</w:t>
            </w:r>
          </w:p>
        </w:tc>
      </w:tr>
      <w:tr>
        <w:tblPrEx>
          <w:tblCellMar>
            <w:top w:w="0" w:type="dxa"/>
            <w:left w:w="108" w:type="dxa"/>
            <w:bottom w:w="0" w:type="dxa"/>
            <w:right w:w="108" w:type="dxa"/>
          </w:tblCellMar>
        </w:tblPrEx>
        <w:trPr>
          <w:trHeight w:val="621" w:hRule="atLeast"/>
          <w:jc w:val="center"/>
        </w:trPr>
        <w:tc>
          <w:tcPr>
            <w:tcW w:w="702" w:type="dxa"/>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总分</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100</w:t>
            </w:r>
          </w:p>
        </w:tc>
        <w:tc>
          <w:tcPr>
            <w:tcW w:w="7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100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100</w:t>
            </w:r>
          </w:p>
        </w:tc>
        <w:tc>
          <w:tcPr>
            <w:tcW w:w="2407"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color w:val="auto"/>
                <w:kern w:val="0"/>
                <w:sz w:val="18"/>
                <w:szCs w:val="18"/>
              </w:rPr>
            </w:pPr>
          </w:p>
        </w:tc>
        <w:tc>
          <w:tcPr>
            <w:tcW w:w="2772" w:type="dxa"/>
            <w:tcBorders>
              <w:top w:val="nil"/>
              <w:left w:val="nil"/>
              <w:bottom w:val="single" w:color="000000" w:sz="4" w:space="0"/>
              <w:right w:val="nil"/>
            </w:tcBorders>
            <w:vAlign w:val="center"/>
          </w:tcPr>
          <w:p>
            <w:pPr>
              <w:widowControl/>
              <w:spacing w:line="240" w:lineRule="exact"/>
              <w:jc w:val="center"/>
              <w:rPr>
                <w:rFonts w:ascii="仿宋_GB2312" w:hAnsi="宋体" w:eastAsia="仿宋_GB2312" w:cs="宋体"/>
                <w:b/>
                <w:bCs/>
                <w:color w:val="auto"/>
                <w:kern w:val="0"/>
                <w:sz w:val="18"/>
                <w:szCs w:val="18"/>
              </w:rPr>
            </w:pP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b/>
                <w:bCs/>
                <w:color w:val="auto"/>
                <w:kern w:val="0"/>
                <w:sz w:val="24"/>
              </w:rPr>
            </w:pPr>
            <w:r>
              <w:rPr>
                <w:rFonts w:hint="eastAsia" w:ascii="宋体" w:hAnsi="宋体" w:cs="宋体"/>
                <w:b/>
                <w:bCs/>
                <w:color w:val="auto"/>
                <w:kern w:val="0"/>
                <w:sz w:val="24"/>
              </w:rPr>
              <w:t>98</w:t>
            </w:r>
          </w:p>
        </w:tc>
      </w:tr>
    </w:tbl>
    <w:p>
      <w:pPr>
        <w:adjustRightInd w:val="0"/>
        <w:snapToGrid w:val="0"/>
        <w:spacing w:beforeLines="50"/>
        <w:ind w:left="840" w:hanging="843" w:hangingChars="400"/>
        <w:contextualSpacing/>
        <w:rPr>
          <w:rFonts w:ascii="仿宋_GB2312" w:eastAsia="仿宋_GB2312"/>
          <w:b/>
          <w:bCs/>
          <w:color w:val="auto"/>
        </w:rPr>
      </w:pPr>
      <w:r>
        <w:rPr>
          <w:rFonts w:hint="eastAsia" w:ascii="仿宋_GB2312" w:eastAsia="仿宋_GB2312"/>
          <w:b/>
          <w:bCs/>
          <w:color w:val="auto"/>
        </w:rPr>
        <w:t>备注：1、部门（单位）根据项目实际，在《项目支出绩效评价指标评分表（共性）》上进一步完善、量化、细化个性指标，形成本项目的指标体系。</w:t>
      </w:r>
    </w:p>
    <w:p>
      <w:pPr>
        <w:adjustRightInd w:val="0"/>
        <w:snapToGrid w:val="0"/>
        <w:spacing w:beforeLines="50"/>
        <w:ind w:firstLine="632" w:firstLineChars="300"/>
        <w:contextualSpacing/>
        <w:rPr>
          <w:rFonts w:eastAsia="仿宋_GB2312"/>
          <w:b/>
          <w:bCs/>
          <w:color w:val="auto"/>
          <w:sz w:val="32"/>
        </w:rPr>
      </w:pPr>
      <w:r>
        <w:rPr>
          <w:rFonts w:hint="eastAsia" w:ascii="仿宋_GB2312" w:eastAsia="仿宋_GB2312"/>
          <w:b/>
          <w:bCs/>
          <w:color w:val="auto"/>
        </w:rPr>
        <w:t>2、一个一级项目一张表。</w:t>
      </w:r>
    </w:p>
    <w:p>
      <w:pPr>
        <w:rPr>
          <w:b/>
          <w:bCs/>
          <w:color w:val="auto"/>
        </w:rPr>
      </w:pPr>
    </w:p>
    <w:p>
      <w:pPr>
        <w:pStyle w:val="2"/>
        <w:rPr>
          <w:b/>
          <w:bCs/>
          <w:color w:val="auto"/>
        </w:rPr>
        <w:sectPr>
          <w:pgSz w:w="11906" w:h="16838"/>
          <w:pgMar w:top="1701" w:right="1417" w:bottom="1417" w:left="1417" w:header="851" w:footer="992" w:gutter="0"/>
          <w:cols w:space="0" w:num="1"/>
          <w:docGrid w:type="lines" w:linePitch="312" w:charSpace="0"/>
        </w:sectPr>
      </w:pPr>
    </w:p>
    <w:p>
      <w:pPr>
        <w:jc w:val="left"/>
        <w:outlineLvl w:val="0"/>
        <w:rPr>
          <w:rFonts w:eastAsia="黑体"/>
          <w:b/>
          <w:bCs/>
          <w:color w:val="auto"/>
          <w:sz w:val="32"/>
          <w:szCs w:val="32"/>
        </w:rPr>
      </w:pPr>
      <w:r>
        <w:rPr>
          <w:rFonts w:hint="eastAsia" w:ascii="黑体" w:hAnsi="黑体" w:eastAsia="黑体" w:cs="黑体"/>
          <w:b/>
          <w:bCs/>
          <w:color w:val="auto"/>
          <w:sz w:val="32"/>
          <w:szCs w:val="32"/>
        </w:rPr>
        <w:t>附件5</w:t>
      </w:r>
    </w:p>
    <w:p>
      <w:pPr>
        <w:widowControl/>
        <w:spacing w:line="600" w:lineRule="exact"/>
        <w:jc w:val="center"/>
        <w:rPr>
          <w:rFonts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b/>
          <w:bCs/>
          <w:color w:val="auto"/>
          <w:sz w:val="44"/>
          <w:szCs w:val="44"/>
        </w:rPr>
        <w:t>2022年度项目支出绩效自评表</w:t>
      </w:r>
    </w:p>
    <w:tbl>
      <w:tblPr>
        <w:tblStyle w:val="6"/>
        <w:tblW w:w="9851" w:type="dxa"/>
        <w:jc w:val="center"/>
        <w:tblLayout w:type="autofit"/>
        <w:tblCellMar>
          <w:top w:w="0" w:type="dxa"/>
          <w:left w:w="108" w:type="dxa"/>
          <w:bottom w:w="0" w:type="dxa"/>
          <w:right w:w="108" w:type="dxa"/>
        </w:tblCellMar>
      </w:tblPr>
      <w:tblGrid>
        <w:gridCol w:w="1079"/>
        <w:gridCol w:w="1079"/>
        <w:gridCol w:w="1079"/>
        <w:gridCol w:w="2391"/>
        <w:gridCol w:w="993"/>
        <w:gridCol w:w="993"/>
        <w:gridCol w:w="708"/>
        <w:gridCol w:w="716"/>
        <w:gridCol w:w="813"/>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eastAsia="仿宋_GB2312"/>
                <w:b/>
                <w:bCs/>
                <w:color w:val="auto"/>
                <w:sz w:val="20"/>
                <w:szCs w:val="20"/>
              </w:rPr>
            </w:pPr>
            <w:r>
              <w:rPr>
                <w:rFonts w:eastAsia="仿宋_GB2312"/>
                <w:b/>
                <w:bCs/>
                <w:color w:val="auto"/>
                <w:sz w:val="20"/>
                <w:szCs w:val="20"/>
              </w:rPr>
              <w:t>项目支</w:t>
            </w:r>
          </w:p>
          <w:p>
            <w:pPr>
              <w:widowControl/>
              <w:spacing w:line="260" w:lineRule="exact"/>
              <w:jc w:val="center"/>
              <w:rPr>
                <w:rFonts w:eastAsia="仿宋_GB2312"/>
                <w:b/>
                <w:bCs/>
                <w:color w:val="auto"/>
                <w:sz w:val="20"/>
                <w:szCs w:val="20"/>
              </w:rPr>
            </w:pPr>
            <w:r>
              <w:rPr>
                <w:rFonts w:eastAsia="仿宋_GB2312"/>
                <w:b/>
                <w:bCs/>
                <w:color w:val="auto"/>
                <w:sz w:val="20"/>
                <w:szCs w:val="20"/>
              </w:rPr>
              <w:t>出名称</w:t>
            </w:r>
          </w:p>
        </w:tc>
        <w:tc>
          <w:tcPr>
            <w:tcW w:w="8771" w:type="dxa"/>
            <w:gridSpan w:val="8"/>
            <w:tcBorders>
              <w:top w:val="single" w:color="auto" w:sz="4" w:space="0"/>
              <w:left w:val="nil"/>
              <w:bottom w:val="single" w:color="auto" w:sz="4" w:space="0"/>
              <w:right w:val="single" w:color="auto" w:sz="4" w:space="0"/>
            </w:tcBorders>
            <w:vAlign w:val="center"/>
          </w:tcPr>
          <w:p>
            <w:pPr>
              <w:widowControl/>
              <w:spacing w:line="260" w:lineRule="exact"/>
              <w:jc w:val="center"/>
              <w:rPr>
                <w:rFonts w:eastAsia="仿宋_GB2312"/>
                <w:b/>
                <w:bCs/>
                <w:color w:val="auto"/>
                <w:sz w:val="20"/>
                <w:szCs w:val="20"/>
              </w:rPr>
            </w:pPr>
            <w:r>
              <w:rPr>
                <w:rFonts w:hint="eastAsia" w:ascii="新宋体" w:hAnsi="新宋体" w:eastAsia="新宋体" w:cs="新宋体"/>
                <w:b/>
                <w:bCs/>
                <w:color w:val="auto"/>
                <w:szCs w:val="21"/>
              </w:rPr>
              <w:t>县级专项资金（业务工作经费）</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主管部门</w:t>
            </w:r>
          </w:p>
        </w:tc>
        <w:tc>
          <w:tcPr>
            <w:tcW w:w="5547" w:type="dxa"/>
            <w:gridSpan w:val="4"/>
            <w:tcBorders>
              <w:top w:val="single" w:color="auto" w:sz="4" w:space="0"/>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993" w:type="dxa"/>
            <w:tcBorders>
              <w:top w:val="single" w:color="auto" w:sz="4" w:space="0"/>
              <w:left w:val="nil"/>
              <w:bottom w:val="single" w:color="auto" w:sz="4" w:space="0"/>
              <w:right w:val="single" w:color="000000" w:sz="4" w:space="0"/>
            </w:tcBorders>
            <w:vAlign w:val="center"/>
          </w:tcPr>
          <w:p>
            <w:pPr>
              <w:widowControl/>
              <w:spacing w:line="260" w:lineRule="exact"/>
              <w:jc w:val="center"/>
              <w:rPr>
                <w:rFonts w:eastAsia="仿宋_GB2312"/>
                <w:b/>
                <w:bCs/>
                <w:color w:val="auto"/>
                <w:sz w:val="20"/>
                <w:szCs w:val="20"/>
              </w:rPr>
            </w:pPr>
            <w:r>
              <w:rPr>
                <w:rFonts w:eastAsia="仿宋_GB2312"/>
                <w:b/>
                <w:bCs/>
                <w:color w:val="auto"/>
                <w:sz w:val="20"/>
                <w:szCs w:val="20"/>
              </w:rPr>
              <w:t>实施单位</w:t>
            </w:r>
          </w:p>
        </w:tc>
        <w:tc>
          <w:tcPr>
            <w:tcW w:w="2231" w:type="dxa"/>
            <w:gridSpan w:val="3"/>
            <w:tcBorders>
              <w:top w:val="single" w:color="auto" w:sz="4" w:space="0"/>
              <w:left w:val="nil"/>
              <w:bottom w:val="single" w:color="auto" w:sz="4" w:space="0"/>
              <w:right w:val="single" w:color="auto" w:sz="4" w:space="0"/>
            </w:tcBorders>
            <w:vAlign w:val="center"/>
          </w:tcPr>
          <w:p>
            <w:pPr>
              <w:widowControl/>
              <w:spacing w:line="260" w:lineRule="exact"/>
              <w:jc w:val="center"/>
              <w:rPr>
                <w:rFonts w:eastAsia="仿宋_GB2312"/>
                <w:b/>
                <w:bCs/>
                <w:color w:val="auto"/>
                <w:sz w:val="20"/>
                <w:szCs w:val="20"/>
              </w:rPr>
            </w:pPr>
            <w:r>
              <w:rPr>
                <w:rFonts w:hint="eastAsia" w:ascii="新宋体" w:hAnsi="新宋体" w:eastAsia="新宋体" w:cs="新宋体"/>
                <w:b/>
                <w:bCs/>
                <w:color w:val="auto"/>
                <w:szCs w:val="21"/>
              </w:rPr>
              <w:t>华容县行政审批服务局</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vAlign w:val="center"/>
          </w:tcPr>
          <w:p>
            <w:pPr>
              <w:widowControl/>
              <w:spacing w:line="260" w:lineRule="exact"/>
              <w:jc w:val="center"/>
              <w:rPr>
                <w:rFonts w:eastAsia="仿宋_GB2312"/>
                <w:b/>
                <w:bCs/>
                <w:color w:val="auto"/>
                <w:sz w:val="20"/>
                <w:szCs w:val="20"/>
              </w:rPr>
            </w:pPr>
            <w:r>
              <w:rPr>
                <w:rFonts w:eastAsia="仿宋_GB2312"/>
                <w:b/>
                <w:bCs/>
                <w:color w:val="auto"/>
                <w:sz w:val="20"/>
                <w:szCs w:val="20"/>
              </w:rPr>
              <w:t>项目资金</w:t>
            </w:r>
            <w:r>
              <w:rPr>
                <w:rFonts w:eastAsia="仿宋_GB2312"/>
                <w:b/>
                <w:bCs/>
                <w:color w:val="auto"/>
                <w:sz w:val="20"/>
                <w:szCs w:val="20"/>
              </w:rPr>
              <w:br w:type="textWrapping"/>
            </w:r>
            <w:r>
              <w:rPr>
                <w:rFonts w:eastAsia="仿宋_GB2312"/>
                <w:b/>
                <w:bCs/>
                <w:color w:val="auto"/>
                <w:sz w:val="20"/>
                <w:szCs w:val="20"/>
              </w:rPr>
              <w:t>（万元）</w:t>
            </w:r>
          </w:p>
        </w:tc>
        <w:tc>
          <w:tcPr>
            <w:tcW w:w="2160" w:type="dxa"/>
            <w:gridSpan w:val="2"/>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2394" w:type="dxa"/>
            <w:tcBorders>
              <w:top w:val="nil"/>
              <w:left w:val="nil"/>
              <w:bottom w:val="single" w:color="auto" w:sz="4" w:space="0"/>
              <w:right w:val="single" w:color="auto" w:sz="4" w:space="0"/>
            </w:tcBorders>
            <w:vAlign w:val="center"/>
          </w:tcPr>
          <w:p>
            <w:pPr>
              <w:widowControl/>
              <w:spacing w:line="260" w:lineRule="exact"/>
              <w:jc w:val="center"/>
              <w:rPr>
                <w:rFonts w:eastAsia="仿宋_GB2312"/>
                <w:b/>
                <w:bCs/>
                <w:color w:val="auto"/>
                <w:sz w:val="20"/>
                <w:szCs w:val="20"/>
              </w:rPr>
            </w:pPr>
            <w:r>
              <w:rPr>
                <w:rFonts w:eastAsia="仿宋_GB2312"/>
                <w:b/>
                <w:bCs/>
                <w:color w:val="auto"/>
                <w:sz w:val="20"/>
                <w:szCs w:val="20"/>
              </w:rPr>
              <w:t>年初</w:t>
            </w:r>
          </w:p>
          <w:p>
            <w:pPr>
              <w:widowControl/>
              <w:spacing w:line="260" w:lineRule="exact"/>
              <w:jc w:val="center"/>
              <w:rPr>
                <w:rFonts w:eastAsia="仿宋_GB2312"/>
                <w:b/>
                <w:bCs/>
                <w:color w:val="auto"/>
                <w:sz w:val="20"/>
                <w:szCs w:val="20"/>
              </w:rPr>
            </w:pPr>
            <w:r>
              <w:rPr>
                <w:rFonts w:eastAsia="仿宋_GB2312"/>
                <w:b/>
                <w:bCs/>
                <w:color w:val="auto"/>
                <w:sz w:val="20"/>
                <w:szCs w:val="20"/>
              </w:rPr>
              <w:t>预算数</w:t>
            </w:r>
          </w:p>
        </w:tc>
        <w:tc>
          <w:tcPr>
            <w:tcW w:w="993" w:type="dxa"/>
            <w:tcBorders>
              <w:top w:val="nil"/>
              <w:left w:val="nil"/>
              <w:bottom w:val="single" w:color="auto" w:sz="4" w:space="0"/>
              <w:right w:val="single" w:color="auto" w:sz="4" w:space="0"/>
            </w:tcBorders>
            <w:vAlign w:val="center"/>
          </w:tcPr>
          <w:p>
            <w:pPr>
              <w:widowControl/>
              <w:spacing w:line="260" w:lineRule="exact"/>
              <w:jc w:val="center"/>
              <w:rPr>
                <w:rFonts w:eastAsia="仿宋_GB2312"/>
                <w:b/>
                <w:bCs/>
                <w:color w:val="auto"/>
                <w:sz w:val="20"/>
                <w:szCs w:val="20"/>
              </w:rPr>
            </w:pPr>
            <w:r>
              <w:rPr>
                <w:rFonts w:eastAsia="仿宋_GB2312"/>
                <w:b/>
                <w:bCs/>
                <w:color w:val="auto"/>
                <w:sz w:val="20"/>
                <w:szCs w:val="20"/>
              </w:rPr>
              <w:t>全年</w:t>
            </w:r>
          </w:p>
          <w:p>
            <w:pPr>
              <w:widowControl/>
              <w:spacing w:line="260" w:lineRule="exact"/>
              <w:jc w:val="center"/>
              <w:rPr>
                <w:rFonts w:eastAsia="仿宋_GB2312"/>
                <w:b/>
                <w:bCs/>
                <w:color w:val="auto"/>
                <w:sz w:val="20"/>
                <w:szCs w:val="20"/>
              </w:rPr>
            </w:pPr>
            <w:r>
              <w:rPr>
                <w:rFonts w:eastAsia="仿宋_GB2312"/>
                <w:b/>
                <w:bCs/>
                <w:color w:val="auto"/>
                <w:sz w:val="20"/>
                <w:szCs w:val="20"/>
              </w:rPr>
              <w:t>预算数</w:t>
            </w:r>
          </w:p>
        </w:tc>
        <w:tc>
          <w:tcPr>
            <w:tcW w:w="993" w:type="dxa"/>
            <w:tcBorders>
              <w:top w:val="nil"/>
              <w:left w:val="nil"/>
              <w:bottom w:val="single" w:color="auto" w:sz="4" w:space="0"/>
              <w:right w:val="single" w:color="auto" w:sz="4" w:space="0"/>
            </w:tcBorders>
            <w:vAlign w:val="center"/>
          </w:tcPr>
          <w:p>
            <w:pPr>
              <w:spacing w:line="260" w:lineRule="exact"/>
              <w:jc w:val="center"/>
              <w:rPr>
                <w:rFonts w:eastAsia="仿宋_GB2312"/>
                <w:b/>
                <w:bCs/>
                <w:color w:val="auto"/>
                <w:sz w:val="20"/>
                <w:szCs w:val="20"/>
              </w:rPr>
            </w:pPr>
            <w:r>
              <w:rPr>
                <w:rFonts w:eastAsia="仿宋_GB2312"/>
                <w:b/>
                <w:bCs/>
                <w:color w:val="auto"/>
                <w:sz w:val="20"/>
                <w:szCs w:val="20"/>
              </w:rPr>
              <w:t>全年</w:t>
            </w:r>
          </w:p>
          <w:p>
            <w:pPr>
              <w:spacing w:line="260" w:lineRule="exact"/>
              <w:jc w:val="center"/>
              <w:rPr>
                <w:rFonts w:eastAsia="仿宋_GB2312"/>
                <w:b/>
                <w:bCs/>
                <w:color w:val="auto"/>
                <w:sz w:val="20"/>
                <w:szCs w:val="20"/>
              </w:rPr>
            </w:pPr>
            <w:r>
              <w:rPr>
                <w:rFonts w:eastAsia="仿宋_GB2312"/>
                <w:b/>
                <w:bCs/>
                <w:color w:val="auto"/>
                <w:sz w:val="20"/>
                <w:szCs w:val="20"/>
              </w:rPr>
              <w:t>执行数</w:t>
            </w:r>
          </w:p>
        </w:tc>
        <w:tc>
          <w:tcPr>
            <w:tcW w:w="708" w:type="dxa"/>
            <w:tcBorders>
              <w:top w:val="nil"/>
              <w:left w:val="nil"/>
              <w:bottom w:val="single" w:color="auto" w:sz="4" w:space="0"/>
              <w:right w:val="single" w:color="auto" w:sz="4" w:space="0"/>
            </w:tcBorders>
            <w:vAlign w:val="center"/>
          </w:tcPr>
          <w:p>
            <w:pPr>
              <w:spacing w:line="260" w:lineRule="exact"/>
              <w:jc w:val="center"/>
              <w:rPr>
                <w:rFonts w:eastAsia="仿宋_GB2312"/>
                <w:b/>
                <w:bCs/>
                <w:color w:val="auto"/>
                <w:sz w:val="20"/>
                <w:szCs w:val="20"/>
              </w:rPr>
            </w:pPr>
            <w:r>
              <w:rPr>
                <w:rFonts w:eastAsia="仿宋_GB2312"/>
                <w:b/>
                <w:bCs/>
                <w:color w:val="auto"/>
                <w:sz w:val="20"/>
                <w:szCs w:val="20"/>
              </w:rPr>
              <w:t>分值</w:t>
            </w:r>
          </w:p>
        </w:tc>
        <w:tc>
          <w:tcPr>
            <w:tcW w:w="709" w:type="dxa"/>
            <w:tcBorders>
              <w:top w:val="nil"/>
              <w:left w:val="nil"/>
              <w:bottom w:val="single" w:color="auto" w:sz="4" w:space="0"/>
              <w:right w:val="single" w:color="auto" w:sz="4" w:space="0"/>
            </w:tcBorders>
            <w:vAlign w:val="center"/>
          </w:tcPr>
          <w:p>
            <w:pPr>
              <w:spacing w:line="260" w:lineRule="exact"/>
              <w:jc w:val="center"/>
              <w:rPr>
                <w:rFonts w:eastAsia="仿宋_GB2312"/>
                <w:b/>
                <w:bCs/>
                <w:color w:val="auto"/>
                <w:sz w:val="20"/>
                <w:szCs w:val="20"/>
              </w:rPr>
            </w:pPr>
            <w:r>
              <w:rPr>
                <w:rFonts w:eastAsia="仿宋_GB2312"/>
                <w:b/>
                <w:bCs/>
                <w:color w:val="auto"/>
                <w:sz w:val="20"/>
                <w:szCs w:val="20"/>
              </w:rPr>
              <w:t>执行率</w:t>
            </w:r>
          </w:p>
        </w:tc>
        <w:tc>
          <w:tcPr>
            <w:tcW w:w="814" w:type="dxa"/>
            <w:tcBorders>
              <w:top w:val="nil"/>
              <w:left w:val="nil"/>
              <w:bottom w:val="single" w:color="auto" w:sz="4" w:space="0"/>
              <w:right w:val="single" w:color="auto" w:sz="4" w:space="0"/>
            </w:tcBorders>
            <w:vAlign w:val="center"/>
          </w:tcPr>
          <w:p>
            <w:pPr>
              <w:spacing w:line="260" w:lineRule="exact"/>
              <w:jc w:val="center"/>
              <w:rPr>
                <w:rFonts w:eastAsia="仿宋_GB2312"/>
                <w:b/>
                <w:bCs/>
                <w:color w:val="auto"/>
                <w:sz w:val="20"/>
                <w:szCs w:val="20"/>
              </w:rPr>
            </w:pPr>
            <w:r>
              <w:rPr>
                <w:rFonts w:eastAsia="仿宋_GB2312"/>
                <w:b/>
                <w:bCs/>
                <w:color w:val="auto"/>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widowControl/>
              <w:spacing w:line="260" w:lineRule="exact"/>
              <w:jc w:val="left"/>
              <w:rPr>
                <w:rFonts w:eastAsia="仿宋_GB2312"/>
                <w:b/>
                <w:bCs/>
                <w:color w:val="auto"/>
                <w:sz w:val="20"/>
                <w:szCs w:val="20"/>
              </w:rPr>
            </w:pPr>
          </w:p>
        </w:tc>
        <w:tc>
          <w:tcPr>
            <w:tcW w:w="2160" w:type="dxa"/>
            <w:gridSpan w:val="2"/>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年度资金总额</w:t>
            </w:r>
          </w:p>
        </w:tc>
        <w:tc>
          <w:tcPr>
            <w:tcW w:w="239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eastAsia="仿宋_GB2312"/>
                <w:b/>
                <w:bCs/>
                <w:color w:val="auto"/>
                <w:sz w:val="20"/>
                <w:szCs w:val="20"/>
              </w:rPr>
              <w:t>0</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eastAsia="仿宋_GB2312"/>
                <w:b/>
                <w:bCs/>
                <w:color w:val="auto"/>
                <w:sz w:val="20"/>
                <w:szCs w:val="20"/>
              </w:rPr>
              <w:t>864.16</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eastAsia="仿宋_GB2312"/>
                <w:b/>
                <w:bCs/>
                <w:color w:val="auto"/>
                <w:sz w:val="20"/>
                <w:szCs w:val="20"/>
              </w:rPr>
              <w:t>864.16</w:t>
            </w:r>
          </w:p>
        </w:tc>
        <w:tc>
          <w:tcPr>
            <w:tcW w:w="708"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eastAsia="仿宋_GB2312"/>
                <w:b/>
                <w:bCs/>
                <w:color w:val="auto"/>
                <w:sz w:val="20"/>
                <w:szCs w:val="20"/>
              </w:rPr>
              <w:t>10</w:t>
            </w:r>
          </w:p>
        </w:tc>
        <w:tc>
          <w:tcPr>
            <w:tcW w:w="709"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eastAsia="仿宋_GB2312"/>
                <w:b/>
                <w:bCs/>
                <w:color w:val="auto"/>
                <w:sz w:val="20"/>
                <w:szCs w:val="20"/>
              </w:rPr>
              <w:t>100%</w:t>
            </w:r>
          </w:p>
        </w:tc>
        <w:tc>
          <w:tcPr>
            <w:tcW w:w="81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eastAsia="仿宋_GB2312"/>
                <w:b/>
                <w:bCs/>
                <w:color w:val="auto"/>
                <w:sz w:val="20"/>
                <w:szCs w:val="20"/>
              </w:rPr>
              <w:t>10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widowControl/>
              <w:spacing w:line="260" w:lineRule="exact"/>
              <w:jc w:val="left"/>
              <w:rPr>
                <w:rFonts w:eastAsia="仿宋_GB2312"/>
                <w:b/>
                <w:bCs/>
                <w:color w:val="auto"/>
                <w:sz w:val="20"/>
                <w:szCs w:val="20"/>
              </w:rPr>
            </w:pPr>
          </w:p>
        </w:tc>
        <w:tc>
          <w:tcPr>
            <w:tcW w:w="2160" w:type="dxa"/>
            <w:gridSpan w:val="2"/>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其中：当年财政拨款</w:t>
            </w:r>
          </w:p>
        </w:tc>
        <w:tc>
          <w:tcPr>
            <w:tcW w:w="239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eastAsia="仿宋_GB2312"/>
                <w:b/>
                <w:bCs/>
                <w:color w:val="auto"/>
                <w:sz w:val="20"/>
                <w:szCs w:val="20"/>
              </w:rPr>
              <w:t>864.16</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eastAsia="仿宋_GB2312"/>
                <w:b/>
                <w:bCs/>
                <w:color w:val="auto"/>
                <w:sz w:val="20"/>
                <w:szCs w:val="20"/>
              </w:rPr>
              <w:t>864.16</w:t>
            </w:r>
          </w:p>
        </w:tc>
        <w:tc>
          <w:tcPr>
            <w:tcW w:w="708"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709"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81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widowControl/>
              <w:spacing w:line="260" w:lineRule="exact"/>
              <w:jc w:val="left"/>
              <w:rPr>
                <w:rFonts w:eastAsia="仿宋_GB2312"/>
                <w:b/>
                <w:bCs/>
                <w:color w:val="auto"/>
                <w:sz w:val="20"/>
                <w:szCs w:val="20"/>
              </w:rPr>
            </w:pPr>
          </w:p>
        </w:tc>
        <w:tc>
          <w:tcPr>
            <w:tcW w:w="2160" w:type="dxa"/>
            <w:gridSpan w:val="2"/>
            <w:tcBorders>
              <w:top w:val="nil"/>
              <w:left w:val="nil"/>
              <w:bottom w:val="single" w:color="auto" w:sz="4" w:space="0"/>
              <w:right w:val="single" w:color="auto" w:sz="4" w:space="0"/>
            </w:tcBorders>
            <w:vAlign w:val="center"/>
          </w:tcPr>
          <w:p>
            <w:pPr>
              <w:widowControl/>
              <w:spacing w:line="260" w:lineRule="exact"/>
              <w:ind w:firstLine="602" w:firstLineChars="300"/>
              <w:jc w:val="left"/>
              <w:rPr>
                <w:rFonts w:eastAsia="仿宋_GB2312"/>
                <w:b/>
                <w:bCs/>
                <w:color w:val="auto"/>
                <w:sz w:val="20"/>
                <w:szCs w:val="20"/>
              </w:rPr>
            </w:pPr>
            <w:r>
              <w:rPr>
                <w:rFonts w:eastAsia="仿宋_GB2312"/>
                <w:b/>
                <w:bCs/>
                <w:color w:val="auto"/>
                <w:sz w:val="20"/>
                <w:szCs w:val="20"/>
              </w:rPr>
              <w:t>上年结转资金</w:t>
            </w:r>
          </w:p>
        </w:tc>
        <w:tc>
          <w:tcPr>
            <w:tcW w:w="239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708"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709"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81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widowControl/>
              <w:spacing w:line="260" w:lineRule="exact"/>
              <w:jc w:val="left"/>
              <w:rPr>
                <w:rFonts w:eastAsia="仿宋_GB2312"/>
                <w:b/>
                <w:bCs/>
                <w:color w:val="auto"/>
                <w:sz w:val="20"/>
                <w:szCs w:val="20"/>
              </w:rPr>
            </w:pPr>
          </w:p>
        </w:tc>
        <w:tc>
          <w:tcPr>
            <w:tcW w:w="2160" w:type="dxa"/>
            <w:gridSpan w:val="2"/>
            <w:tcBorders>
              <w:top w:val="nil"/>
              <w:left w:val="nil"/>
              <w:bottom w:val="single" w:color="auto" w:sz="4" w:space="0"/>
              <w:right w:val="single" w:color="auto" w:sz="4" w:space="0"/>
            </w:tcBorders>
            <w:vAlign w:val="center"/>
          </w:tcPr>
          <w:p>
            <w:pPr>
              <w:widowControl/>
              <w:spacing w:line="260" w:lineRule="exact"/>
              <w:ind w:firstLine="602" w:firstLineChars="300"/>
              <w:jc w:val="left"/>
              <w:rPr>
                <w:rFonts w:eastAsia="仿宋_GB2312"/>
                <w:b/>
                <w:bCs/>
                <w:color w:val="auto"/>
                <w:sz w:val="20"/>
                <w:szCs w:val="20"/>
              </w:rPr>
            </w:pPr>
            <w:r>
              <w:rPr>
                <w:rFonts w:eastAsia="仿宋_GB2312"/>
                <w:b/>
                <w:bCs/>
                <w:color w:val="auto"/>
                <w:sz w:val="20"/>
                <w:szCs w:val="20"/>
              </w:rPr>
              <w:t>其他资金</w:t>
            </w:r>
          </w:p>
        </w:tc>
        <w:tc>
          <w:tcPr>
            <w:tcW w:w="239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708"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709"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81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r>
      <w:tr>
        <w:tblPrEx>
          <w:tblCellMar>
            <w:top w:w="0" w:type="dxa"/>
            <w:left w:w="108" w:type="dxa"/>
            <w:bottom w:w="0" w:type="dxa"/>
            <w:right w:w="108" w:type="dxa"/>
          </w:tblCellMar>
        </w:tblPrEx>
        <w:trPr>
          <w:trHeight w:val="613" w:hRule="atLeast"/>
          <w:jc w:val="center"/>
        </w:trPr>
        <w:tc>
          <w:tcPr>
            <w:tcW w:w="1080" w:type="dxa"/>
            <w:vMerge w:val="restart"/>
            <w:tcBorders>
              <w:top w:val="nil"/>
              <w:left w:val="single" w:color="auto" w:sz="4" w:space="0"/>
              <w:bottom w:val="single" w:color="000000" w:sz="4" w:space="0"/>
              <w:right w:val="single" w:color="auto" w:sz="4" w:space="0"/>
            </w:tcBorders>
            <w:vAlign w:val="center"/>
          </w:tcPr>
          <w:p>
            <w:pPr>
              <w:widowControl/>
              <w:spacing w:line="260" w:lineRule="exact"/>
              <w:jc w:val="center"/>
              <w:rPr>
                <w:rFonts w:eastAsia="仿宋_GB2312"/>
                <w:b/>
                <w:bCs/>
                <w:color w:val="auto"/>
                <w:sz w:val="20"/>
                <w:szCs w:val="20"/>
              </w:rPr>
            </w:pPr>
            <w:r>
              <w:rPr>
                <w:rFonts w:eastAsia="仿宋_GB2312"/>
                <w:b/>
                <w:bCs/>
                <w:color w:val="auto"/>
                <w:sz w:val="20"/>
                <w:szCs w:val="20"/>
              </w:rPr>
              <w:t>年度总体目标</w:t>
            </w:r>
          </w:p>
        </w:tc>
        <w:tc>
          <w:tcPr>
            <w:tcW w:w="5547" w:type="dxa"/>
            <w:gridSpan w:val="4"/>
            <w:tcBorders>
              <w:top w:val="single" w:color="auto" w:sz="4" w:space="0"/>
              <w:left w:val="nil"/>
              <w:bottom w:val="single" w:color="auto" w:sz="4" w:space="0"/>
              <w:right w:val="single" w:color="000000" w:sz="4" w:space="0"/>
            </w:tcBorders>
            <w:vAlign w:val="center"/>
          </w:tcPr>
          <w:p>
            <w:pPr>
              <w:widowControl/>
              <w:spacing w:line="260" w:lineRule="exact"/>
              <w:jc w:val="center"/>
              <w:rPr>
                <w:rFonts w:eastAsia="仿宋_GB2312"/>
                <w:b/>
                <w:bCs/>
                <w:color w:val="auto"/>
                <w:sz w:val="20"/>
                <w:szCs w:val="20"/>
              </w:rPr>
            </w:pPr>
            <w:r>
              <w:rPr>
                <w:rFonts w:eastAsia="仿宋_GB2312"/>
                <w:b/>
                <w:bCs/>
                <w:color w:val="auto"/>
                <w:sz w:val="20"/>
                <w:szCs w:val="20"/>
              </w:rPr>
              <w:t>预期目标</w:t>
            </w:r>
          </w:p>
        </w:tc>
        <w:tc>
          <w:tcPr>
            <w:tcW w:w="3224" w:type="dxa"/>
            <w:gridSpan w:val="4"/>
            <w:tcBorders>
              <w:top w:val="single" w:color="auto" w:sz="4" w:space="0"/>
              <w:left w:val="nil"/>
              <w:bottom w:val="single" w:color="auto" w:sz="4" w:space="0"/>
              <w:right w:val="single" w:color="auto" w:sz="4" w:space="0"/>
            </w:tcBorders>
            <w:vAlign w:val="center"/>
          </w:tcPr>
          <w:p>
            <w:pPr>
              <w:widowControl/>
              <w:spacing w:line="260" w:lineRule="exact"/>
              <w:jc w:val="center"/>
              <w:rPr>
                <w:rFonts w:eastAsia="仿宋_GB2312"/>
                <w:b/>
                <w:bCs/>
                <w:color w:val="auto"/>
                <w:sz w:val="20"/>
                <w:szCs w:val="20"/>
              </w:rPr>
            </w:pPr>
            <w:r>
              <w:rPr>
                <w:rFonts w:eastAsia="仿宋_GB2312"/>
                <w:b/>
                <w:bCs/>
                <w:color w:val="auto"/>
                <w:sz w:val="20"/>
                <w:szCs w:val="20"/>
              </w:rPr>
              <w:t>实际完成情况　</w:t>
            </w:r>
          </w:p>
        </w:tc>
      </w:tr>
      <w:tr>
        <w:tblPrEx>
          <w:tblCellMar>
            <w:top w:w="0" w:type="dxa"/>
            <w:left w:w="108" w:type="dxa"/>
            <w:bottom w:w="0" w:type="dxa"/>
            <w:right w:w="108" w:type="dxa"/>
          </w:tblCellMar>
        </w:tblPrEx>
        <w:trPr>
          <w:trHeight w:val="2110" w:hRule="atLeast"/>
          <w:jc w:val="center"/>
        </w:trPr>
        <w:tc>
          <w:tcPr>
            <w:tcW w:w="1080" w:type="dxa"/>
            <w:vMerge w:val="continue"/>
            <w:tcBorders>
              <w:top w:val="nil"/>
              <w:left w:val="single" w:color="auto" w:sz="4" w:space="0"/>
              <w:bottom w:val="single" w:color="000000" w:sz="4" w:space="0"/>
              <w:right w:val="single" w:color="auto" w:sz="4" w:space="0"/>
            </w:tcBorders>
            <w:vAlign w:val="center"/>
          </w:tcPr>
          <w:p>
            <w:pPr>
              <w:widowControl/>
              <w:spacing w:line="260" w:lineRule="exact"/>
              <w:jc w:val="left"/>
              <w:rPr>
                <w:rFonts w:eastAsia="仿宋_GB2312"/>
                <w:b/>
                <w:bCs/>
                <w:color w:val="auto"/>
                <w:sz w:val="20"/>
                <w:szCs w:val="20"/>
              </w:rPr>
            </w:pPr>
          </w:p>
        </w:tc>
        <w:tc>
          <w:tcPr>
            <w:tcW w:w="5547" w:type="dxa"/>
            <w:gridSpan w:val="4"/>
            <w:tcBorders>
              <w:top w:val="single" w:color="auto" w:sz="4" w:space="0"/>
              <w:left w:val="nil"/>
              <w:bottom w:val="single" w:color="auto" w:sz="4" w:space="0"/>
              <w:right w:val="single" w:color="000000" w:sz="4" w:space="0"/>
            </w:tcBorders>
            <w:vAlign w:val="center"/>
          </w:tcPr>
          <w:p>
            <w:pPr>
              <w:widowControl/>
              <w:spacing w:line="260" w:lineRule="exact"/>
              <w:jc w:val="left"/>
              <w:rPr>
                <w:b/>
                <w:bCs/>
                <w:color w:val="auto"/>
              </w:rPr>
            </w:pPr>
            <w:r>
              <w:rPr>
                <w:rFonts w:hint="eastAsia"/>
                <w:b/>
                <w:bCs/>
                <w:color w:val="auto"/>
              </w:rPr>
              <w:t>目标1、保障电子政务外网正常运转</w:t>
            </w:r>
          </w:p>
          <w:p>
            <w:pPr>
              <w:widowControl/>
              <w:spacing w:line="260" w:lineRule="exact"/>
              <w:jc w:val="left"/>
              <w:rPr>
                <w:b/>
                <w:bCs/>
                <w:color w:val="auto"/>
              </w:rPr>
            </w:pPr>
            <w:r>
              <w:rPr>
                <w:rFonts w:hint="eastAsia"/>
                <w:b/>
                <w:bCs/>
                <w:color w:val="auto"/>
              </w:rPr>
              <w:t>目标2、保障一门式系统平台正常运转；</w:t>
            </w:r>
          </w:p>
          <w:p>
            <w:pPr>
              <w:widowControl/>
              <w:spacing w:line="260" w:lineRule="exact"/>
              <w:jc w:val="left"/>
              <w:rPr>
                <w:b/>
                <w:bCs/>
                <w:color w:val="auto"/>
              </w:rPr>
            </w:pPr>
            <w:r>
              <w:rPr>
                <w:rFonts w:hint="eastAsia"/>
                <w:b/>
                <w:bCs/>
                <w:color w:val="auto"/>
              </w:rPr>
              <w:t>目标3、保障村镇办系统正常运转；</w:t>
            </w:r>
          </w:p>
          <w:p>
            <w:pPr>
              <w:widowControl/>
              <w:spacing w:line="260" w:lineRule="exact"/>
              <w:jc w:val="left"/>
              <w:rPr>
                <w:b/>
                <w:bCs/>
                <w:color w:val="auto"/>
              </w:rPr>
            </w:pPr>
            <w:r>
              <w:rPr>
                <w:rFonts w:hint="eastAsia"/>
                <w:b/>
                <w:bCs/>
                <w:color w:val="auto"/>
              </w:rPr>
              <w:t>目标4、保障大厅、机构正常运转；</w:t>
            </w:r>
          </w:p>
        </w:tc>
        <w:tc>
          <w:tcPr>
            <w:tcW w:w="3224" w:type="dxa"/>
            <w:gridSpan w:val="4"/>
            <w:tcBorders>
              <w:top w:val="single" w:color="auto" w:sz="4" w:space="0"/>
              <w:left w:val="nil"/>
              <w:bottom w:val="single" w:color="auto" w:sz="4" w:space="0"/>
              <w:right w:val="single" w:color="auto" w:sz="4" w:space="0"/>
            </w:tcBorders>
            <w:vAlign w:val="center"/>
          </w:tcPr>
          <w:p>
            <w:pPr>
              <w:widowControl/>
              <w:spacing w:line="260" w:lineRule="exact"/>
              <w:jc w:val="left"/>
              <w:rPr>
                <w:rFonts w:ascii="宋体" w:hAnsi="宋体" w:cs="宋体"/>
                <w:b/>
                <w:bCs/>
                <w:color w:val="auto"/>
                <w:sz w:val="20"/>
                <w:szCs w:val="20"/>
              </w:rPr>
            </w:pPr>
            <w:r>
              <w:rPr>
                <w:rFonts w:hint="eastAsia" w:ascii="宋体" w:hAnsi="宋体" w:cs="宋体"/>
                <w:b/>
                <w:bCs/>
                <w:color w:val="auto"/>
                <w:sz w:val="20"/>
                <w:szCs w:val="20"/>
              </w:rPr>
              <w:t>完成</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vAlign w:val="center"/>
          </w:tcPr>
          <w:p>
            <w:pPr>
              <w:widowControl/>
              <w:spacing w:line="260" w:lineRule="exact"/>
              <w:jc w:val="center"/>
              <w:rPr>
                <w:rFonts w:eastAsia="仿宋_GB2312"/>
                <w:b/>
                <w:bCs/>
                <w:color w:val="auto"/>
                <w:sz w:val="20"/>
                <w:szCs w:val="20"/>
              </w:rPr>
            </w:pPr>
            <w:r>
              <w:rPr>
                <w:rFonts w:eastAsia="仿宋_GB2312"/>
                <w:b/>
                <w:bCs/>
                <w:color w:val="auto"/>
                <w:sz w:val="20"/>
                <w:szCs w:val="20"/>
              </w:rPr>
              <w:t>绩</w:t>
            </w:r>
          </w:p>
          <w:p>
            <w:pPr>
              <w:widowControl/>
              <w:spacing w:line="260" w:lineRule="exact"/>
              <w:jc w:val="center"/>
              <w:rPr>
                <w:rFonts w:eastAsia="仿宋_GB2312"/>
                <w:b/>
                <w:bCs/>
                <w:color w:val="auto"/>
                <w:sz w:val="20"/>
                <w:szCs w:val="20"/>
              </w:rPr>
            </w:pPr>
            <w:r>
              <w:rPr>
                <w:rFonts w:eastAsia="仿宋_GB2312"/>
                <w:b/>
                <w:bCs/>
                <w:color w:val="auto"/>
                <w:sz w:val="20"/>
                <w:szCs w:val="20"/>
              </w:rPr>
              <w:t>效</w:t>
            </w:r>
          </w:p>
          <w:p>
            <w:pPr>
              <w:widowControl/>
              <w:spacing w:line="260" w:lineRule="exact"/>
              <w:jc w:val="center"/>
              <w:rPr>
                <w:rFonts w:eastAsia="仿宋_GB2312"/>
                <w:b/>
                <w:bCs/>
                <w:color w:val="auto"/>
                <w:sz w:val="20"/>
                <w:szCs w:val="20"/>
              </w:rPr>
            </w:pPr>
            <w:r>
              <w:rPr>
                <w:rFonts w:eastAsia="仿宋_GB2312"/>
                <w:b/>
                <w:bCs/>
                <w:color w:val="auto"/>
                <w:sz w:val="20"/>
                <w:szCs w:val="20"/>
              </w:rPr>
              <w:t>指</w:t>
            </w:r>
          </w:p>
          <w:p>
            <w:pPr>
              <w:widowControl/>
              <w:spacing w:line="260" w:lineRule="exact"/>
              <w:jc w:val="center"/>
              <w:rPr>
                <w:rFonts w:eastAsia="仿宋_GB2312"/>
                <w:b/>
                <w:bCs/>
                <w:color w:val="auto"/>
                <w:sz w:val="20"/>
                <w:szCs w:val="20"/>
              </w:rPr>
            </w:pPr>
            <w:r>
              <w:rPr>
                <w:rFonts w:eastAsia="仿宋_GB2312"/>
                <w:b/>
                <w:bCs/>
                <w:color w:val="auto"/>
                <w:sz w:val="20"/>
                <w:szCs w:val="20"/>
              </w:rPr>
              <w:t>标</w:t>
            </w:r>
          </w:p>
        </w:tc>
        <w:tc>
          <w:tcPr>
            <w:tcW w:w="1080" w:type="dxa"/>
            <w:tcBorders>
              <w:top w:val="nil"/>
              <w:left w:val="nil"/>
              <w:bottom w:val="single" w:color="auto" w:sz="4" w:space="0"/>
              <w:right w:val="single" w:color="auto" w:sz="4" w:space="0"/>
            </w:tcBorders>
            <w:vAlign w:val="center"/>
          </w:tcPr>
          <w:p>
            <w:pPr>
              <w:widowControl/>
              <w:spacing w:line="260" w:lineRule="exact"/>
              <w:jc w:val="center"/>
              <w:rPr>
                <w:rFonts w:eastAsia="仿宋_GB2312"/>
                <w:b/>
                <w:bCs/>
                <w:color w:val="auto"/>
                <w:sz w:val="20"/>
                <w:szCs w:val="20"/>
              </w:rPr>
            </w:pPr>
            <w:r>
              <w:rPr>
                <w:rFonts w:eastAsia="仿宋_GB2312"/>
                <w:b/>
                <w:bCs/>
                <w:color w:val="auto"/>
                <w:sz w:val="20"/>
                <w:szCs w:val="20"/>
              </w:rPr>
              <w:t>一级指标</w:t>
            </w:r>
          </w:p>
        </w:tc>
        <w:tc>
          <w:tcPr>
            <w:tcW w:w="1080" w:type="dxa"/>
            <w:tcBorders>
              <w:top w:val="nil"/>
              <w:left w:val="nil"/>
              <w:bottom w:val="single" w:color="auto" w:sz="4" w:space="0"/>
              <w:right w:val="single" w:color="auto" w:sz="4" w:space="0"/>
            </w:tcBorders>
            <w:vAlign w:val="center"/>
          </w:tcPr>
          <w:p>
            <w:pPr>
              <w:widowControl/>
              <w:spacing w:line="260" w:lineRule="exact"/>
              <w:jc w:val="center"/>
              <w:rPr>
                <w:rFonts w:eastAsia="仿宋_GB2312"/>
                <w:b/>
                <w:bCs/>
                <w:color w:val="auto"/>
                <w:sz w:val="20"/>
                <w:szCs w:val="20"/>
              </w:rPr>
            </w:pPr>
            <w:r>
              <w:rPr>
                <w:rFonts w:eastAsia="仿宋_GB2312"/>
                <w:b/>
                <w:bCs/>
                <w:color w:val="auto"/>
                <w:sz w:val="20"/>
                <w:szCs w:val="20"/>
              </w:rPr>
              <w:t>二级指标</w:t>
            </w:r>
          </w:p>
        </w:tc>
        <w:tc>
          <w:tcPr>
            <w:tcW w:w="2394" w:type="dxa"/>
            <w:tcBorders>
              <w:top w:val="nil"/>
              <w:left w:val="nil"/>
              <w:bottom w:val="single" w:color="auto" w:sz="4" w:space="0"/>
              <w:right w:val="single" w:color="auto" w:sz="4" w:space="0"/>
            </w:tcBorders>
            <w:vAlign w:val="center"/>
          </w:tcPr>
          <w:p>
            <w:pPr>
              <w:widowControl/>
              <w:spacing w:line="260" w:lineRule="exact"/>
              <w:jc w:val="center"/>
              <w:rPr>
                <w:rFonts w:eastAsia="仿宋_GB2312"/>
                <w:b/>
                <w:bCs/>
                <w:color w:val="auto"/>
                <w:sz w:val="20"/>
                <w:szCs w:val="20"/>
              </w:rPr>
            </w:pPr>
            <w:r>
              <w:rPr>
                <w:rFonts w:eastAsia="仿宋_GB2312"/>
                <w:b/>
                <w:bCs/>
                <w:color w:val="auto"/>
                <w:sz w:val="20"/>
                <w:szCs w:val="20"/>
              </w:rPr>
              <w:t>三级指标</w:t>
            </w:r>
          </w:p>
        </w:tc>
        <w:tc>
          <w:tcPr>
            <w:tcW w:w="993" w:type="dxa"/>
            <w:tcBorders>
              <w:top w:val="nil"/>
              <w:left w:val="nil"/>
              <w:bottom w:val="single" w:color="auto" w:sz="4" w:space="0"/>
              <w:right w:val="single" w:color="auto" w:sz="4" w:space="0"/>
            </w:tcBorders>
            <w:vAlign w:val="center"/>
          </w:tcPr>
          <w:p>
            <w:pPr>
              <w:widowControl/>
              <w:spacing w:line="260" w:lineRule="exact"/>
              <w:jc w:val="center"/>
              <w:rPr>
                <w:rFonts w:eastAsia="仿宋_GB2312"/>
                <w:b/>
                <w:bCs/>
                <w:color w:val="auto"/>
                <w:sz w:val="20"/>
                <w:szCs w:val="20"/>
              </w:rPr>
            </w:pPr>
            <w:r>
              <w:rPr>
                <w:rFonts w:eastAsia="仿宋_GB2312"/>
                <w:b/>
                <w:bCs/>
                <w:color w:val="auto"/>
                <w:sz w:val="20"/>
                <w:szCs w:val="20"/>
              </w:rPr>
              <w:t>年度</w:t>
            </w:r>
          </w:p>
          <w:p>
            <w:pPr>
              <w:widowControl/>
              <w:spacing w:line="260" w:lineRule="exact"/>
              <w:jc w:val="center"/>
              <w:rPr>
                <w:rFonts w:eastAsia="仿宋_GB2312"/>
                <w:b/>
                <w:bCs/>
                <w:color w:val="auto"/>
                <w:sz w:val="20"/>
                <w:szCs w:val="20"/>
              </w:rPr>
            </w:pPr>
            <w:r>
              <w:rPr>
                <w:rFonts w:eastAsia="仿宋_GB2312"/>
                <w:b/>
                <w:bCs/>
                <w:color w:val="auto"/>
                <w:sz w:val="20"/>
                <w:szCs w:val="20"/>
              </w:rPr>
              <w:t>指标值</w:t>
            </w:r>
          </w:p>
        </w:tc>
        <w:tc>
          <w:tcPr>
            <w:tcW w:w="993" w:type="dxa"/>
            <w:tcBorders>
              <w:top w:val="nil"/>
              <w:left w:val="nil"/>
              <w:bottom w:val="single" w:color="auto" w:sz="4" w:space="0"/>
              <w:right w:val="single" w:color="auto" w:sz="4" w:space="0"/>
            </w:tcBorders>
            <w:vAlign w:val="center"/>
          </w:tcPr>
          <w:p>
            <w:pPr>
              <w:widowControl/>
              <w:spacing w:line="260" w:lineRule="exact"/>
              <w:jc w:val="center"/>
              <w:rPr>
                <w:rFonts w:eastAsia="仿宋_GB2312"/>
                <w:b/>
                <w:bCs/>
                <w:color w:val="auto"/>
                <w:sz w:val="20"/>
                <w:szCs w:val="20"/>
              </w:rPr>
            </w:pPr>
            <w:r>
              <w:rPr>
                <w:rFonts w:eastAsia="仿宋_GB2312"/>
                <w:b/>
                <w:bCs/>
                <w:color w:val="auto"/>
                <w:sz w:val="20"/>
                <w:szCs w:val="20"/>
              </w:rPr>
              <w:t>实际</w:t>
            </w:r>
          </w:p>
          <w:p>
            <w:pPr>
              <w:widowControl/>
              <w:spacing w:line="260" w:lineRule="exact"/>
              <w:jc w:val="center"/>
              <w:rPr>
                <w:rFonts w:eastAsia="仿宋_GB2312"/>
                <w:b/>
                <w:bCs/>
                <w:color w:val="auto"/>
                <w:sz w:val="20"/>
                <w:szCs w:val="20"/>
              </w:rPr>
            </w:pPr>
            <w:r>
              <w:rPr>
                <w:rFonts w:eastAsia="仿宋_GB2312"/>
                <w:b/>
                <w:bCs/>
                <w:color w:val="auto"/>
                <w:sz w:val="20"/>
                <w:szCs w:val="20"/>
              </w:rPr>
              <w:t>完成值</w:t>
            </w:r>
          </w:p>
        </w:tc>
        <w:tc>
          <w:tcPr>
            <w:tcW w:w="708" w:type="dxa"/>
            <w:tcBorders>
              <w:top w:val="nil"/>
              <w:left w:val="nil"/>
              <w:bottom w:val="single" w:color="auto" w:sz="4" w:space="0"/>
              <w:right w:val="single" w:color="auto" w:sz="4" w:space="0"/>
            </w:tcBorders>
            <w:vAlign w:val="center"/>
          </w:tcPr>
          <w:p>
            <w:pPr>
              <w:widowControl/>
              <w:spacing w:line="260" w:lineRule="exact"/>
              <w:jc w:val="center"/>
              <w:rPr>
                <w:rFonts w:eastAsia="仿宋_GB2312"/>
                <w:b/>
                <w:bCs/>
                <w:color w:val="auto"/>
                <w:sz w:val="20"/>
                <w:szCs w:val="20"/>
              </w:rPr>
            </w:pPr>
            <w:r>
              <w:rPr>
                <w:rFonts w:eastAsia="仿宋_GB2312"/>
                <w:b/>
                <w:bCs/>
                <w:color w:val="auto"/>
                <w:sz w:val="20"/>
                <w:szCs w:val="20"/>
              </w:rPr>
              <w:t>分值</w:t>
            </w:r>
          </w:p>
        </w:tc>
        <w:tc>
          <w:tcPr>
            <w:tcW w:w="709" w:type="dxa"/>
            <w:tcBorders>
              <w:top w:val="nil"/>
              <w:left w:val="nil"/>
              <w:bottom w:val="single" w:color="auto" w:sz="4" w:space="0"/>
              <w:right w:val="single" w:color="auto" w:sz="4" w:space="0"/>
            </w:tcBorders>
            <w:vAlign w:val="center"/>
          </w:tcPr>
          <w:p>
            <w:pPr>
              <w:widowControl/>
              <w:spacing w:line="260" w:lineRule="exact"/>
              <w:jc w:val="center"/>
              <w:rPr>
                <w:rFonts w:eastAsia="仿宋_GB2312"/>
                <w:b/>
                <w:bCs/>
                <w:color w:val="auto"/>
                <w:sz w:val="20"/>
                <w:szCs w:val="20"/>
              </w:rPr>
            </w:pPr>
            <w:r>
              <w:rPr>
                <w:rFonts w:eastAsia="仿宋_GB2312"/>
                <w:b/>
                <w:bCs/>
                <w:color w:val="auto"/>
                <w:sz w:val="20"/>
                <w:szCs w:val="20"/>
              </w:rPr>
              <w:t>得分</w:t>
            </w:r>
          </w:p>
        </w:tc>
        <w:tc>
          <w:tcPr>
            <w:tcW w:w="814" w:type="dxa"/>
            <w:tcBorders>
              <w:top w:val="nil"/>
              <w:left w:val="nil"/>
              <w:bottom w:val="single" w:color="auto" w:sz="4" w:space="0"/>
              <w:right w:val="single" w:color="auto" w:sz="4" w:space="0"/>
            </w:tcBorders>
            <w:vAlign w:val="center"/>
          </w:tcPr>
          <w:p>
            <w:pPr>
              <w:widowControl/>
              <w:spacing w:line="260" w:lineRule="exact"/>
              <w:rPr>
                <w:rFonts w:eastAsia="仿宋_GB2312"/>
                <w:b/>
                <w:bCs/>
                <w:color w:val="auto"/>
                <w:sz w:val="20"/>
                <w:szCs w:val="20"/>
              </w:rPr>
            </w:pPr>
            <w:r>
              <w:rPr>
                <w:rFonts w:eastAsia="仿宋_GB2312"/>
                <w:b/>
                <w:bCs/>
                <w:color w:val="auto"/>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eastAsia="仿宋_GB2312"/>
                <w:b/>
                <w:bCs/>
                <w:color w:val="auto"/>
                <w:sz w:val="20"/>
                <w:szCs w:val="20"/>
              </w:rPr>
            </w:pPr>
          </w:p>
        </w:tc>
        <w:tc>
          <w:tcPr>
            <w:tcW w:w="1080" w:type="dxa"/>
            <w:vMerge w:val="restart"/>
            <w:tcBorders>
              <w:top w:val="nil"/>
              <w:left w:val="nil"/>
              <w:right w:val="single" w:color="auto" w:sz="4" w:space="0"/>
            </w:tcBorders>
            <w:vAlign w:val="center"/>
          </w:tcPr>
          <w:p>
            <w:pPr>
              <w:widowControl/>
              <w:spacing w:line="260" w:lineRule="exact"/>
              <w:jc w:val="center"/>
              <w:rPr>
                <w:rFonts w:eastAsia="仿宋_GB2312"/>
                <w:b/>
                <w:bCs/>
                <w:color w:val="auto"/>
                <w:sz w:val="20"/>
                <w:szCs w:val="20"/>
              </w:rPr>
            </w:pPr>
            <w:r>
              <w:rPr>
                <w:rFonts w:eastAsia="仿宋_GB2312"/>
                <w:b/>
                <w:bCs/>
                <w:color w:val="auto"/>
                <w:sz w:val="20"/>
                <w:szCs w:val="20"/>
              </w:rPr>
              <w:t>产出指标</w:t>
            </w:r>
          </w:p>
          <w:p>
            <w:pPr>
              <w:widowControl/>
              <w:spacing w:line="260" w:lineRule="exact"/>
              <w:jc w:val="center"/>
              <w:rPr>
                <w:rFonts w:eastAsia="仿宋_GB2312"/>
                <w:b/>
                <w:bCs/>
                <w:color w:val="auto"/>
                <w:sz w:val="20"/>
                <w:szCs w:val="20"/>
              </w:rPr>
            </w:pPr>
            <w:r>
              <w:rPr>
                <w:rFonts w:eastAsia="仿宋_GB2312"/>
                <w:b/>
                <w:bCs/>
                <w:color w:val="auto"/>
                <w:sz w:val="20"/>
                <w:szCs w:val="20"/>
              </w:rPr>
              <w:t>(50分)</w:t>
            </w:r>
          </w:p>
        </w:tc>
        <w:tc>
          <w:tcPr>
            <w:tcW w:w="1080" w:type="dxa"/>
            <w:vMerge w:val="restart"/>
            <w:tcBorders>
              <w:top w:val="nil"/>
              <w:left w:val="nil"/>
              <w:right w:val="single" w:color="auto" w:sz="4" w:space="0"/>
            </w:tcBorders>
            <w:vAlign w:val="center"/>
          </w:tcPr>
          <w:p>
            <w:pPr>
              <w:widowControl/>
              <w:spacing w:line="260" w:lineRule="exact"/>
              <w:jc w:val="center"/>
              <w:rPr>
                <w:rFonts w:eastAsia="仿宋_GB2312"/>
                <w:b/>
                <w:bCs/>
                <w:color w:val="auto"/>
                <w:sz w:val="20"/>
                <w:szCs w:val="20"/>
              </w:rPr>
            </w:pPr>
            <w:r>
              <w:rPr>
                <w:rFonts w:eastAsia="仿宋_GB2312"/>
                <w:b/>
                <w:bCs/>
                <w:color w:val="auto"/>
                <w:sz w:val="20"/>
                <w:szCs w:val="20"/>
              </w:rPr>
              <w:t>数量指标</w:t>
            </w:r>
          </w:p>
        </w:tc>
        <w:tc>
          <w:tcPr>
            <w:tcW w:w="239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b/>
                <w:bCs/>
                <w:color w:val="auto"/>
                <w:sz w:val="17"/>
              </w:rPr>
              <w:t>指标1：电子政务外网平台正常运转。</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eastAsia="仿宋_GB2312"/>
                <w:b/>
                <w:bCs/>
                <w:color w:val="auto"/>
                <w:sz w:val="20"/>
                <w:szCs w:val="20"/>
              </w:rPr>
              <w:t>正常</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r>
              <w:rPr>
                <w:rFonts w:hint="eastAsia" w:eastAsia="仿宋_GB2312"/>
                <w:b/>
                <w:bCs/>
                <w:color w:val="auto"/>
                <w:sz w:val="20"/>
                <w:szCs w:val="20"/>
              </w:rPr>
              <w:t>完成</w:t>
            </w:r>
          </w:p>
        </w:tc>
        <w:tc>
          <w:tcPr>
            <w:tcW w:w="708" w:type="dxa"/>
            <w:vMerge w:val="restart"/>
            <w:tcBorders>
              <w:top w:val="nil"/>
              <w:left w:val="nil"/>
              <w:right w:val="single" w:color="auto" w:sz="4" w:space="0"/>
            </w:tcBorders>
            <w:vAlign w:val="center"/>
          </w:tcPr>
          <w:p>
            <w:pPr>
              <w:widowControl/>
              <w:spacing w:line="260" w:lineRule="exact"/>
              <w:jc w:val="left"/>
              <w:rPr>
                <w:rFonts w:eastAsia="仿宋_GB2312"/>
                <w:b/>
                <w:bCs/>
                <w:color w:val="auto"/>
                <w:sz w:val="20"/>
                <w:szCs w:val="20"/>
              </w:rPr>
            </w:pPr>
            <w:r>
              <w:rPr>
                <w:rFonts w:hint="eastAsia" w:eastAsia="仿宋_GB2312"/>
                <w:b/>
                <w:bCs/>
                <w:color w:val="auto"/>
                <w:sz w:val="20"/>
                <w:szCs w:val="20"/>
              </w:rPr>
              <w:t>20</w:t>
            </w:r>
          </w:p>
          <w:p>
            <w:pPr>
              <w:spacing w:line="260" w:lineRule="exact"/>
              <w:jc w:val="left"/>
              <w:rPr>
                <w:rFonts w:eastAsia="仿宋_GB2312"/>
                <w:b/>
                <w:bCs/>
                <w:color w:val="auto"/>
                <w:sz w:val="20"/>
                <w:szCs w:val="20"/>
              </w:rPr>
            </w:pPr>
            <w:r>
              <w:rPr>
                <w:rFonts w:eastAsia="仿宋_GB2312"/>
                <w:b/>
                <w:bCs/>
                <w:color w:val="auto"/>
                <w:sz w:val="20"/>
                <w:szCs w:val="20"/>
              </w:rPr>
              <w:t>　</w:t>
            </w:r>
          </w:p>
        </w:tc>
        <w:tc>
          <w:tcPr>
            <w:tcW w:w="709" w:type="dxa"/>
            <w:vMerge w:val="restart"/>
            <w:tcBorders>
              <w:top w:val="nil"/>
              <w:left w:val="nil"/>
              <w:right w:val="single" w:color="auto" w:sz="4" w:space="0"/>
            </w:tcBorders>
            <w:vAlign w:val="center"/>
          </w:tcPr>
          <w:p>
            <w:pPr>
              <w:widowControl/>
              <w:spacing w:line="260" w:lineRule="exact"/>
              <w:jc w:val="left"/>
              <w:rPr>
                <w:rFonts w:eastAsia="仿宋_GB2312"/>
                <w:b/>
                <w:bCs/>
                <w:color w:val="auto"/>
                <w:sz w:val="20"/>
                <w:szCs w:val="20"/>
              </w:rPr>
            </w:pPr>
            <w:r>
              <w:rPr>
                <w:rFonts w:hint="eastAsia" w:eastAsia="仿宋_GB2312"/>
                <w:b/>
                <w:bCs/>
                <w:color w:val="auto"/>
                <w:sz w:val="20"/>
                <w:szCs w:val="20"/>
              </w:rPr>
              <w:t>20</w:t>
            </w:r>
          </w:p>
          <w:p>
            <w:pPr>
              <w:spacing w:line="260" w:lineRule="exact"/>
              <w:jc w:val="left"/>
              <w:rPr>
                <w:rFonts w:eastAsia="仿宋_GB2312"/>
                <w:b/>
                <w:bCs/>
                <w:color w:val="auto"/>
                <w:sz w:val="20"/>
                <w:szCs w:val="20"/>
              </w:rPr>
            </w:pPr>
            <w:r>
              <w:rPr>
                <w:rFonts w:eastAsia="仿宋_GB2312"/>
                <w:b/>
                <w:bCs/>
                <w:color w:val="auto"/>
                <w:sz w:val="20"/>
                <w:szCs w:val="20"/>
              </w:rPr>
              <w:t>　</w:t>
            </w:r>
          </w:p>
        </w:tc>
        <w:tc>
          <w:tcPr>
            <w:tcW w:w="81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r>
      <w:tr>
        <w:tblPrEx>
          <w:tblCellMar>
            <w:top w:w="0" w:type="dxa"/>
            <w:left w:w="108" w:type="dxa"/>
            <w:bottom w:w="0" w:type="dxa"/>
            <w:right w:w="108" w:type="dxa"/>
          </w:tblCellMar>
        </w:tblPrEx>
        <w:trPr>
          <w:trHeight w:val="459" w:hRule="atLeast"/>
          <w:jc w:val="center"/>
        </w:trPr>
        <w:tc>
          <w:tcPr>
            <w:tcW w:w="1080" w:type="dxa"/>
            <w:vMerge w:val="continue"/>
            <w:tcBorders>
              <w:left w:val="single" w:color="auto" w:sz="4" w:space="0"/>
              <w:right w:val="single" w:color="auto" w:sz="4" w:space="0"/>
            </w:tcBorders>
            <w:vAlign w:val="center"/>
          </w:tcPr>
          <w:p>
            <w:pPr>
              <w:spacing w:line="260" w:lineRule="exact"/>
              <w:jc w:val="left"/>
              <w:rPr>
                <w:rFonts w:eastAsia="仿宋_GB2312"/>
                <w:b/>
                <w:bCs/>
                <w:color w:val="auto"/>
                <w:sz w:val="20"/>
                <w:szCs w:val="20"/>
              </w:rPr>
            </w:pPr>
          </w:p>
        </w:tc>
        <w:tc>
          <w:tcPr>
            <w:tcW w:w="1080" w:type="dxa"/>
            <w:vMerge w:val="continue"/>
            <w:tcBorders>
              <w:left w:val="nil"/>
              <w:right w:val="single" w:color="auto" w:sz="4" w:space="0"/>
            </w:tcBorders>
            <w:vAlign w:val="center"/>
          </w:tcPr>
          <w:p>
            <w:pPr>
              <w:spacing w:line="260" w:lineRule="exact"/>
              <w:jc w:val="left"/>
              <w:rPr>
                <w:rFonts w:eastAsia="仿宋_GB2312"/>
                <w:b/>
                <w:bCs/>
                <w:color w:val="auto"/>
                <w:sz w:val="20"/>
                <w:szCs w:val="20"/>
              </w:rPr>
            </w:pPr>
          </w:p>
        </w:tc>
        <w:tc>
          <w:tcPr>
            <w:tcW w:w="1080" w:type="dxa"/>
            <w:vMerge w:val="continue"/>
            <w:tcBorders>
              <w:left w:val="nil"/>
              <w:right w:val="single" w:color="auto" w:sz="4" w:space="0"/>
            </w:tcBorders>
            <w:vAlign w:val="center"/>
          </w:tcPr>
          <w:p>
            <w:pPr>
              <w:spacing w:line="260" w:lineRule="exact"/>
              <w:jc w:val="center"/>
              <w:rPr>
                <w:rFonts w:eastAsia="仿宋_GB2312"/>
                <w:b/>
                <w:bCs/>
                <w:color w:val="auto"/>
                <w:sz w:val="20"/>
                <w:szCs w:val="20"/>
              </w:rPr>
            </w:pPr>
          </w:p>
        </w:tc>
        <w:tc>
          <w:tcPr>
            <w:tcW w:w="239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b/>
                <w:bCs/>
                <w:color w:val="auto"/>
                <w:sz w:val="17"/>
              </w:rPr>
              <w:t>指标2：一门式系统正常运转。</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eastAsia="仿宋_GB2312"/>
                <w:b/>
                <w:bCs/>
                <w:color w:val="auto"/>
                <w:sz w:val="20"/>
                <w:szCs w:val="20"/>
              </w:rPr>
              <w:t>正常</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r>
              <w:rPr>
                <w:rFonts w:hint="eastAsia" w:eastAsia="仿宋_GB2312"/>
                <w:b/>
                <w:bCs/>
                <w:color w:val="auto"/>
                <w:sz w:val="20"/>
                <w:szCs w:val="20"/>
              </w:rPr>
              <w:t>完成</w:t>
            </w:r>
          </w:p>
        </w:tc>
        <w:tc>
          <w:tcPr>
            <w:tcW w:w="708" w:type="dxa"/>
            <w:vMerge w:val="continue"/>
            <w:tcBorders>
              <w:left w:val="nil"/>
              <w:right w:val="single" w:color="auto" w:sz="4" w:space="0"/>
            </w:tcBorders>
            <w:vAlign w:val="center"/>
          </w:tcPr>
          <w:p>
            <w:pPr>
              <w:spacing w:line="260" w:lineRule="exact"/>
              <w:jc w:val="left"/>
              <w:rPr>
                <w:rFonts w:eastAsia="仿宋_GB2312"/>
                <w:b/>
                <w:bCs/>
                <w:color w:val="auto"/>
                <w:sz w:val="20"/>
                <w:szCs w:val="20"/>
              </w:rPr>
            </w:pPr>
          </w:p>
        </w:tc>
        <w:tc>
          <w:tcPr>
            <w:tcW w:w="709" w:type="dxa"/>
            <w:vMerge w:val="continue"/>
            <w:tcBorders>
              <w:left w:val="nil"/>
              <w:right w:val="single" w:color="auto" w:sz="4" w:space="0"/>
            </w:tcBorders>
            <w:vAlign w:val="center"/>
          </w:tcPr>
          <w:p>
            <w:pPr>
              <w:spacing w:line="260" w:lineRule="exact"/>
              <w:jc w:val="left"/>
              <w:rPr>
                <w:rFonts w:eastAsia="仿宋_GB2312"/>
                <w:b/>
                <w:bCs/>
                <w:color w:val="auto"/>
                <w:sz w:val="20"/>
                <w:szCs w:val="20"/>
              </w:rPr>
            </w:pPr>
          </w:p>
        </w:tc>
        <w:tc>
          <w:tcPr>
            <w:tcW w:w="81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r>
      <w:tr>
        <w:tblPrEx>
          <w:tblCellMar>
            <w:top w:w="0" w:type="dxa"/>
            <w:left w:w="108" w:type="dxa"/>
            <w:bottom w:w="0" w:type="dxa"/>
            <w:right w:w="108" w:type="dxa"/>
          </w:tblCellMar>
        </w:tblPrEx>
        <w:trPr>
          <w:trHeight w:val="509" w:hRule="atLeast"/>
          <w:jc w:val="center"/>
        </w:trPr>
        <w:tc>
          <w:tcPr>
            <w:tcW w:w="1080" w:type="dxa"/>
            <w:vMerge w:val="continue"/>
            <w:tcBorders>
              <w:left w:val="single" w:color="auto" w:sz="4" w:space="0"/>
              <w:right w:val="single" w:color="auto" w:sz="4" w:space="0"/>
            </w:tcBorders>
            <w:vAlign w:val="center"/>
          </w:tcPr>
          <w:p>
            <w:pPr>
              <w:spacing w:line="260" w:lineRule="exact"/>
              <w:jc w:val="left"/>
              <w:rPr>
                <w:rFonts w:eastAsia="仿宋_GB2312"/>
                <w:b/>
                <w:bCs/>
                <w:color w:val="auto"/>
                <w:sz w:val="20"/>
                <w:szCs w:val="20"/>
              </w:rPr>
            </w:pPr>
          </w:p>
        </w:tc>
        <w:tc>
          <w:tcPr>
            <w:tcW w:w="1080" w:type="dxa"/>
            <w:vMerge w:val="continue"/>
            <w:tcBorders>
              <w:left w:val="nil"/>
              <w:right w:val="single" w:color="auto" w:sz="4" w:space="0"/>
            </w:tcBorders>
            <w:vAlign w:val="center"/>
          </w:tcPr>
          <w:p>
            <w:pPr>
              <w:spacing w:line="260" w:lineRule="exact"/>
              <w:jc w:val="left"/>
              <w:rPr>
                <w:rFonts w:eastAsia="仿宋_GB2312"/>
                <w:b/>
                <w:bCs/>
                <w:color w:val="auto"/>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eastAsia="仿宋_GB2312"/>
                <w:b/>
                <w:bCs/>
                <w:color w:val="auto"/>
                <w:sz w:val="20"/>
                <w:szCs w:val="20"/>
              </w:rPr>
            </w:pPr>
          </w:p>
        </w:tc>
        <w:tc>
          <w:tcPr>
            <w:tcW w:w="239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b/>
                <w:bCs/>
                <w:color w:val="auto"/>
                <w:sz w:val="17"/>
              </w:rPr>
              <w:t>指标3：村镇办系统正常运转。</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eastAsia="仿宋_GB2312"/>
                <w:b/>
                <w:bCs/>
                <w:color w:val="auto"/>
                <w:sz w:val="20"/>
                <w:szCs w:val="20"/>
              </w:rPr>
              <w:t>正常</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r>
              <w:rPr>
                <w:rFonts w:hint="eastAsia" w:eastAsia="仿宋_GB2312"/>
                <w:b/>
                <w:bCs/>
                <w:color w:val="auto"/>
                <w:sz w:val="20"/>
                <w:szCs w:val="20"/>
              </w:rPr>
              <w:t>完成</w:t>
            </w:r>
          </w:p>
        </w:tc>
        <w:tc>
          <w:tcPr>
            <w:tcW w:w="708" w:type="dxa"/>
            <w:vMerge w:val="continue"/>
            <w:tcBorders>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709" w:type="dxa"/>
            <w:vMerge w:val="continue"/>
            <w:tcBorders>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81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eastAsia="仿宋_GB2312"/>
                <w:b/>
                <w:bCs/>
                <w:color w:val="auto"/>
                <w:sz w:val="20"/>
                <w:szCs w:val="20"/>
              </w:rPr>
            </w:pPr>
          </w:p>
        </w:tc>
        <w:tc>
          <w:tcPr>
            <w:tcW w:w="1080" w:type="dxa"/>
            <w:vMerge w:val="continue"/>
            <w:tcBorders>
              <w:left w:val="nil"/>
              <w:right w:val="single" w:color="auto" w:sz="4" w:space="0"/>
            </w:tcBorders>
            <w:vAlign w:val="center"/>
          </w:tcPr>
          <w:p>
            <w:pPr>
              <w:spacing w:line="260" w:lineRule="exact"/>
              <w:jc w:val="left"/>
              <w:rPr>
                <w:rFonts w:eastAsia="仿宋_GB2312"/>
                <w:b/>
                <w:bCs/>
                <w:color w:val="auto"/>
                <w:sz w:val="20"/>
                <w:szCs w:val="20"/>
              </w:rPr>
            </w:pPr>
          </w:p>
        </w:tc>
        <w:tc>
          <w:tcPr>
            <w:tcW w:w="1080" w:type="dxa"/>
            <w:vMerge w:val="restart"/>
            <w:tcBorders>
              <w:top w:val="nil"/>
              <w:left w:val="nil"/>
              <w:right w:val="single" w:color="auto" w:sz="4" w:space="0"/>
            </w:tcBorders>
            <w:vAlign w:val="center"/>
          </w:tcPr>
          <w:p>
            <w:pPr>
              <w:widowControl/>
              <w:spacing w:line="260" w:lineRule="exact"/>
              <w:jc w:val="center"/>
              <w:rPr>
                <w:rFonts w:eastAsia="仿宋_GB2312"/>
                <w:b/>
                <w:bCs/>
                <w:color w:val="auto"/>
                <w:sz w:val="20"/>
                <w:szCs w:val="20"/>
              </w:rPr>
            </w:pPr>
            <w:r>
              <w:rPr>
                <w:rFonts w:eastAsia="仿宋_GB2312"/>
                <w:b/>
                <w:bCs/>
                <w:color w:val="auto"/>
                <w:sz w:val="20"/>
                <w:szCs w:val="20"/>
              </w:rPr>
              <w:t>质量指标</w:t>
            </w:r>
          </w:p>
        </w:tc>
        <w:tc>
          <w:tcPr>
            <w:tcW w:w="239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b/>
                <w:bCs/>
                <w:color w:val="auto"/>
                <w:sz w:val="17"/>
              </w:rPr>
              <w:t>指标1：保障机构正常运转。</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eastAsia="仿宋_GB2312"/>
                <w:b/>
                <w:bCs/>
                <w:color w:val="auto"/>
                <w:sz w:val="20"/>
                <w:szCs w:val="20"/>
              </w:rPr>
              <w:t>正常</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r>
              <w:rPr>
                <w:rFonts w:hint="eastAsia" w:eastAsia="仿宋_GB2312"/>
                <w:b/>
                <w:bCs/>
                <w:color w:val="auto"/>
                <w:sz w:val="20"/>
                <w:szCs w:val="20"/>
              </w:rPr>
              <w:t>完成</w:t>
            </w:r>
          </w:p>
        </w:tc>
        <w:tc>
          <w:tcPr>
            <w:tcW w:w="708" w:type="dxa"/>
            <w:vMerge w:val="restart"/>
            <w:tcBorders>
              <w:top w:val="nil"/>
              <w:left w:val="nil"/>
              <w:right w:val="single" w:color="auto" w:sz="4" w:space="0"/>
            </w:tcBorders>
            <w:vAlign w:val="center"/>
          </w:tcPr>
          <w:p>
            <w:pPr>
              <w:widowControl/>
              <w:spacing w:line="260" w:lineRule="exact"/>
              <w:jc w:val="left"/>
              <w:rPr>
                <w:rFonts w:eastAsia="仿宋_GB2312"/>
                <w:b/>
                <w:bCs/>
                <w:color w:val="auto"/>
                <w:sz w:val="20"/>
                <w:szCs w:val="20"/>
              </w:rPr>
            </w:pPr>
            <w:r>
              <w:rPr>
                <w:rFonts w:hint="eastAsia" w:eastAsia="仿宋_GB2312"/>
                <w:b/>
                <w:bCs/>
                <w:color w:val="auto"/>
                <w:sz w:val="20"/>
                <w:szCs w:val="20"/>
              </w:rPr>
              <w:t>10</w:t>
            </w:r>
          </w:p>
          <w:p>
            <w:pPr>
              <w:spacing w:line="260" w:lineRule="exact"/>
              <w:jc w:val="left"/>
              <w:rPr>
                <w:rFonts w:eastAsia="仿宋_GB2312"/>
                <w:b/>
                <w:bCs/>
                <w:color w:val="auto"/>
                <w:sz w:val="20"/>
                <w:szCs w:val="20"/>
              </w:rPr>
            </w:pPr>
            <w:r>
              <w:rPr>
                <w:rFonts w:eastAsia="仿宋_GB2312"/>
                <w:b/>
                <w:bCs/>
                <w:color w:val="auto"/>
                <w:sz w:val="20"/>
                <w:szCs w:val="20"/>
              </w:rPr>
              <w:t>　</w:t>
            </w:r>
          </w:p>
        </w:tc>
        <w:tc>
          <w:tcPr>
            <w:tcW w:w="709" w:type="dxa"/>
            <w:vMerge w:val="restart"/>
            <w:tcBorders>
              <w:top w:val="nil"/>
              <w:left w:val="nil"/>
              <w:right w:val="single" w:color="auto" w:sz="4" w:space="0"/>
            </w:tcBorders>
            <w:vAlign w:val="center"/>
          </w:tcPr>
          <w:p>
            <w:pPr>
              <w:widowControl/>
              <w:spacing w:line="260" w:lineRule="exact"/>
              <w:jc w:val="left"/>
              <w:rPr>
                <w:rFonts w:eastAsia="仿宋_GB2312"/>
                <w:b/>
                <w:bCs/>
                <w:color w:val="auto"/>
                <w:sz w:val="20"/>
                <w:szCs w:val="20"/>
              </w:rPr>
            </w:pPr>
            <w:r>
              <w:rPr>
                <w:rFonts w:hint="eastAsia" w:eastAsia="仿宋_GB2312"/>
                <w:b/>
                <w:bCs/>
                <w:color w:val="auto"/>
                <w:sz w:val="20"/>
                <w:szCs w:val="20"/>
              </w:rPr>
              <w:t>9</w:t>
            </w:r>
          </w:p>
          <w:p>
            <w:pPr>
              <w:spacing w:line="260" w:lineRule="exact"/>
              <w:jc w:val="left"/>
              <w:rPr>
                <w:rFonts w:eastAsia="仿宋_GB2312"/>
                <w:b/>
                <w:bCs/>
                <w:color w:val="auto"/>
                <w:sz w:val="20"/>
                <w:szCs w:val="20"/>
              </w:rPr>
            </w:pPr>
            <w:r>
              <w:rPr>
                <w:rFonts w:eastAsia="仿宋_GB2312"/>
                <w:b/>
                <w:bCs/>
                <w:color w:val="auto"/>
                <w:sz w:val="20"/>
                <w:szCs w:val="20"/>
              </w:rPr>
              <w:t>　</w:t>
            </w:r>
          </w:p>
        </w:tc>
        <w:tc>
          <w:tcPr>
            <w:tcW w:w="81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eastAsia="仿宋_GB2312"/>
                <w:b/>
                <w:bCs/>
                <w:color w:val="auto"/>
                <w:sz w:val="20"/>
                <w:szCs w:val="20"/>
              </w:rPr>
            </w:pPr>
          </w:p>
        </w:tc>
        <w:tc>
          <w:tcPr>
            <w:tcW w:w="1080" w:type="dxa"/>
            <w:vMerge w:val="continue"/>
            <w:tcBorders>
              <w:left w:val="nil"/>
              <w:right w:val="single" w:color="auto" w:sz="4" w:space="0"/>
            </w:tcBorders>
            <w:vAlign w:val="center"/>
          </w:tcPr>
          <w:p>
            <w:pPr>
              <w:spacing w:line="260" w:lineRule="exact"/>
              <w:jc w:val="left"/>
              <w:rPr>
                <w:rFonts w:eastAsia="仿宋_GB2312"/>
                <w:b/>
                <w:bCs/>
                <w:color w:val="auto"/>
                <w:sz w:val="20"/>
                <w:szCs w:val="20"/>
              </w:rPr>
            </w:pPr>
          </w:p>
        </w:tc>
        <w:tc>
          <w:tcPr>
            <w:tcW w:w="1080" w:type="dxa"/>
            <w:vMerge w:val="continue"/>
            <w:tcBorders>
              <w:left w:val="nil"/>
              <w:right w:val="single" w:color="auto" w:sz="4" w:space="0"/>
            </w:tcBorders>
            <w:vAlign w:val="center"/>
          </w:tcPr>
          <w:p>
            <w:pPr>
              <w:spacing w:line="260" w:lineRule="exact"/>
              <w:jc w:val="center"/>
              <w:rPr>
                <w:rFonts w:eastAsia="仿宋_GB2312"/>
                <w:b/>
                <w:bCs/>
                <w:color w:val="auto"/>
                <w:sz w:val="20"/>
                <w:szCs w:val="20"/>
              </w:rPr>
            </w:pPr>
          </w:p>
        </w:tc>
        <w:tc>
          <w:tcPr>
            <w:tcW w:w="239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b/>
                <w:bCs/>
                <w:color w:val="auto"/>
                <w:sz w:val="17"/>
              </w:rPr>
              <w:t>指标2：保障大厅正常运转。</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eastAsia="仿宋_GB2312"/>
                <w:b/>
                <w:bCs/>
                <w:color w:val="auto"/>
                <w:sz w:val="20"/>
                <w:szCs w:val="20"/>
              </w:rPr>
              <w:t>正常</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r>
              <w:rPr>
                <w:rFonts w:hint="eastAsia" w:eastAsia="仿宋_GB2312"/>
                <w:b/>
                <w:bCs/>
                <w:color w:val="auto"/>
                <w:sz w:val="20"/>
                <w:szCs w:val="20"/>
              </w:rPr>
              <w:t>完成</w:t>
            </w:r>
          </w:p>
        </w:tc>
        <w:tc>
          <w:tcPr>
            <w:tcW w:w="708" w:type="dxa"/>
            <w:vMerge w:val="continue"/>
            <w:tcBorders>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709" w:type="dxa"/>
            <w:vMerge w:val="continue"/>
            <w:tcBorders>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81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eastAsia="仿宋_GB2312"/>
                <w:b/>
                <w:bCs/>
                <w:color w:val="auto"/>
                <w:sz w:val="20"/>
                <w:szCs w:val="20"/>
              </w:rPr>
            </w:pPr>
          </w:p>
        </w:tc>
        <w:tc>
          <w:tcPr>
            <w:tcW w:w="1080" w:type="dxa"/>
            <w:vMerge w:val="continue"/>
            <w:tcBorders>
              <w:left w:val="nil"/>
              <w:right w:val="single" w:color="auto" w:sz="4" w:space="0"/>
            </w:tcBorders>
            <w:vAlign w:val="center"/>
          </w:tcPr>
          <w:p>
            <w:pPr>
              <w:spacing w:line="260" w:lineRule="exact"/>
              <w:jc w:val="left"/>
              <w:rPr>
                <w:rFonts w:eastAsia="仿宋_GB2312"/>
                <w:b/>
                <w:bCs/>
                <w:color w:val="auto"/>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eastAsia="仿宋_GB2312"/>
                <w:b/>
                <w:bCs/>
                <w:color w:val="auto"/>
                <w:sz w:val="20"/>
                <w:szCs w:val="20"/>
              </w:rPr>
            </w:pPr>
          </w:p>
        </w:tc>
        <w:tc>
          <w:tcPr>
            <w:tcW w:w="239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708"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709"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81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eastAsia="仿宋_GB2312"/>
                <w:b/>
                <w:bCs/>
                <w:color w:val="auto"/>
                <w:sz w:val="20"/>
                <w:szCs w:val="20"/>
              </w:rPr>
            </w:pPr>
          </w:p>
        </w:tc>
        <w:tc>
          <w:tcPr>
            <w:tcW w:w="1080" w:type="dxa"/>
            <w:vMerge w:val="continue"/>
            <w:tcBorders>
              <w:left w:val="nil"/>
              <w:right w:val="single" w:color="auto" w:sz="4" w:space="0"/>
            </w:tcBorders>
            <w:vAlign w:val="center"/>
          </w:tcPr>
          <w:p>
            <w:pPr>
              <w:spacing w:line="260" w:lineRule="exact"/>
              <w:jc w:val="left"/>
              <w:rPr>
                <w:rFonts w:eastAsia="仿宋_GB2312"/>
                <w:b/>
                <w:bCs/>
                <w:color w:val="auto"/>
                <w:sz w:val="20"/>
                <w:szCs w:val="20"/>
              </w:rPr>
            </w:pPr>
          </w:p>
        </w:tc>
        <w:tc>
          <w:tcPr>
            <w:tcW w:w="1080" w:type="dxa"/>
            <w:vMerge w:val="restart"/>
            <w:tcBorders>
              <w:top w:val="nil"/>
              <w:left w:val="nil"/>
              <w:right w:val="single" w:color="auto" w:sz="4" w:space="0"/>
            </w:tcBorders>
            <w:vAlign w:val="center"/>
          </w:tcPr>
          <w:p>
            <w:pPr>
              <w:widowControl/>
              <w:spacing w:line="260" w:lineRule="exact"/>
              <w:jc w:val="center"/>
              <w:rPr>
                <w:rFonts w:eastAsia="仿宋_GB2312"/>
                <w:b/>
                <w:bCs/>
                <w:color w:val="auto"/>
                <w:sz w:val="20"/>
                <w:szCs w:val="20"/>
              </w:rPr>
            </w:pPr>
            <w:r>
              <w:rPr>
                <w:rFonts w:eastAsia="仿宋_GB2312"/>
                <w:b/>
                <w:bCs/>
                <w:color w:val="auto"/>
                <w:sz w:val="20"/>
                <w:szCs w:val="20"/>
              </w:rPr>
              <w:t>时效指标</w:t>
            </w:r>
          </w:p>
        </w:tc>
        <w:tc>
          <w:tcPr>
            <w:tcW w:w="239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b/>
                <w:bCs/>
                <w:color w:val="auto"/>
                <w:sz w:val="17"/>
              </w:rPr>
              <w:t>指标1：年度内完成任务。</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b/>
                <w:bCs/>
                <w:color w:val="auto"/>
                <w:sz w:val="17"/>
              </w:rPr>
              <w:t>2022年12月31日前完成</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r>
              <w:rPr>
                <w:rFonts w:hint="eastAsia" w:eastAsia="仿宋_GB2312"/>
                <w:b/>
                <w:bCs/>
                <w:color w:val="auto"/>
                <w:sz w:val="20"/>
                <w:szCs w:val="20"/>
              </w:rPr>
              <w:t>完成</w:t>
            </w:r>
          </w:p>
        </w:tc>
        <w:tc>
          <w:tcPr>
            <w:tcW w:w="708"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eastAsia="仿宋_GB2312"/>
                <w:b/>
                <w:bCs/>
                <w:color w:val="auto"/>
                <w:sz w:val="20"/>
                <w:szCs w:val="20"/>
              </w:rPr>
              <w:t>10</w:t>
            </w:r>
          </w:p>
        </w:tc>
        <w:tc>
          <w:tcPr>
            <w:tcW w:w="709"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eastAsia="仿宋_GB2312"/>
                <w:b/>
                <w:bCs/>
                <w:color w:val="auto"/>
                <w:sz w:val="20"/>
                <w:szCs w:val="20"/>
              </w:rPr>
              <w:t>10</w:t>
            </w:r>
          </w:p>
        </w:tc>
        <w:tc>
          <w:tcPr>
            <w:tcW w:w="81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eastAsia="仿宋_GB2312"/>
                <w:b/>
                <w:bCs/>
                <w:color w:val="auto"/>
                <w:sz w:val="20"/>
                <w:szCs w:val="20"/>
              </w:rPr>
            </w:pPr>
          </w:p>
        </w:tc>
        <w:tc>
          <w:tcPr>
            <w:tcW w:w="1080" w:type="dxa"/>
            <w:vMerge w:val="continue"/>
            <w:tcBorders>
              <w:left w:val="nil"/>
              <w:right w:val="single" w:color="auto" w:sz="4" w:space="0"/>
            </w:tcBorders>
            <w:vAlign w:val="center"/>
          </w:tcPr>
          <w:p>
            <w:pPr>
              <w:spacing w:line="260" w:lineRule="exact"/>
              <w:jc w:val="left"/>
              <w:rPr>
                <w:rFonts w:eastAsia="仿宋_GB2312"/>
                <w:b/>
                <w:bCs/>
                <w:color w:val="auto"/>
                <w:sz w:val="20"/>
                <w:szCs w:val="20"/>
              </w:rPr>
            </w:pPr>
          </w:p>
        </w:tc>
        <w:tc>
          <w:tcPr>
            <w:tcW w:w="1080" w:type="dxa"/>
            <w:vMerge w:val="continue"/>
            <w:tcBorders>
              <w:left w:val="nil"/>
              <w:right w:val="single" w:color="auto" w:sz="4" w:space="0"/>
            </w:tcBorders>
            <w:vAlign w:val="center"/>
          </w:tcPr>
          <w:p>
            <w:pPr>
              <w:spacing w:line="260" w:lineRule="exact"/>
              <w:jc w:val="center"/>
              <w:rPr>
                <w:rFonts w:eastAsia="仿宋_GB2312"/>
                <w:b/>
                <w:bCs/>
                <w:color w:val="auto"/>
                <w:sz w:val="20"/>
                <w:szCs w:val="20"/>
              </w:rPr>
            </w:pPr>
          </w:p>
        </w:tc>
        <w:tc>
          <w:tcPr>
            <w:tcW w:w="239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708"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709"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81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eastAsia="仿宋_GB2312"/>
                <w:b/>
                <w:bCs/>
                <w:color w:val="auto"/>
                <w:sz w:val="20"/>
                <w:szCs w:val="20"/>
              </w:rPr>
            </w:pPr>
          </w:p>
        </w:tc>
        <w:tc>
          <w:tcPr>
            <w:tcW w:w="1080" w:type="dxa"/>
            <w:vMerge w:val="continue"/>
            <w:tcBorders>
              <w:left w:val="nil"/>
              <w:right w:val="single" w:color="auto" w:sz="4" w:space="0"/>
            </w:tcBorders>
            <w:vAlign w:val="center"/>
          </w:tcPr>
          <w:p>
            <w:pPr>
              <w:spacing w:line="260" w:lineRule="exact"/>
              <w:jc w:val="left"/>
              <w:rPr>
                <w:rFonts w:eastAsia="仿宋_GB2312"/>
                <w:b/>
                <w:bCs/>
                <w:color w:val="auto"/>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eastAsia="仿宋_GB2312"/>
                <w:b/>
                <w:bCs/>
                <w:color w:val="auto"/>
                <w:sz w:val="20"/>
                <w:szCs w:val="20"/>
              </w:rPr>
            </w:pPr>
          </w:p>
        </w:tc>
        <w:tc>
          <w:tcPr>
            <w:tcW w:w="239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708"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709"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81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eastAsia="仿宋_GB2312"/>
                <w:b/>
                <w:bCs/>
                <w:color w:val="auto"/>
                <w:sz w:val="20"/>
                <w:szCs w:val="20"/>
              </w:rPr>
            </w:pPr>
          </w:p>
        </w:tc>
        <w:tc>
          <w:tcPr>
            <w:tcW w:w="1080" w:type="dxa"/>
            <w:vMerge w:val="continue"/>
            <w:tcBorders>
              <w:left w:val="nil"/>
              <w:right w:val="single" w:color="auto" w:sz="4" w:space="0"/>
            </w:tcBorders>
            <w:vAlign w:val="center"/>
          </w:tcPr>
          <w:p>
            <w:pPr>
              <w:spacing w:line="260" w:lineRule="exact"/>
              <w:jc w:val="left"/>
              <w:rPr>
                <w:rFonts w:eastAsia="仿宋_GB2312"/>
                <w:b/>
                <w:bCs/>
                <w:color w:val="auto"/>
                <w:sz w:val="20"/>
                <w:szCs w:val="20"/>
              </w:rPr>
            </w:pPr>
          </w:p>
        </w:tc>
        <w:tc>
          <w:tcPr>
            <w:tcW w:w="1080" w:type="dxa"/>
            <w:vMerge w:val="restart"/>
            <w:tcBorders>
              <w:top w:val="nil"/>
              <w:left w:val="nil"/>
              <w:right w:val="single" w:color="auto" w:sz="4" w:space="0"/>
            </w:tcBorders>
            <w:vAlign w:val="center"/>
          </w:tcPr>
          <w:p>
            <w:pPr>
              <w:widowControl/>
              <w:spacing w:line="260" w:lineRule="exact"/>
              <w:jc w:val="center"/>
              <w:rPr>
                <w:rFonts w:eastAsia="仿宋_GB2312"/>
                <w:b/>
                <w:bCs/>
                <w:color w:val="auto"/>
                <w:sz w:val="20"/>
                <w:szCs w:val="20"/>
              </w:rPr>
            </w:pPr>
            <w:r>
              <w:rPr>
                <w:rFonts w:eastAsia="仿宋_GB2312"/>
                <w:b/>
                <w:bCs/>
                <w:color w:val="auto"/>
                <w:sz w:val="20"/>
                <w:szCs w:val="20"/>
              </w:rPr>
              <w:t>成本指标</w:t>
            </w:r>
          </w:p>
        </w:tc>
        <w:tc>
          <w:tcPr>
            <w:tcW w:w="239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b/>
                <w:bCs/>
                <w:color w:val="auto"/>
                <w:sz w:val="17"/>
              </w:rPr>
              <w:t>指标1：预算内控制成本。</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b/>
                <w:bCs/>
                <w:color w:val="auto"/>
                <w:sz w:val="17"/>
              </w:rPr>
              <w:t>≤</w:t>
            </w:r>
            <w:r>
              <w:rPr>
                <w:rFonts w:hint="eastAsia" w:eastAsia="仿宋_GB2312"/>
                <w:b/>
                <w:bCs/>
                <w:color w:val="auto"/>
                <w:sz w:val="20"/>
                <w:szCs w:val="20"/>
              </w:rPr>
              <w:t>864.16</w:t>
            </w:r>
            <w:r>
              <w:rPr>
                <w:rFonts w:hint="eastAsia"/>
                <w:b/>
                <w:bCs/>
                <w:color w:val="auto"/>
                <w:sz w:val="17"/>
              </w:rPr>
              <w:t>万元</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r>
              <w:rPr>
                <w:rFonts w:hint="eastAsia" w:eastAsia="仿宋_GB2312"/>
                <w:b/>
                <w:bCs/>
                <w:color w:val="auto"/>
                <w:sz w:val="20"/>
                <w:szCs w:val="20"/>
              </w:rPr>
              <w:t>完成</w:t>
            </w:r>
          </w:p>
        </w:tc>
        <w:tc>
          <w:tcPr>
            <w:tcW w:w="708"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eastAsia="仿宋_GB2312"/>
                <w:b/>
                <w:bCs/>
                <w:color w:val="auto"/>
                <w:sz w:val="20"/>
                <w:szCs w:val="20"/>
              </w:rPr>
              <w:t>10</w:t>
            </w:r>
          </w:p>
        </w:tc>
        <w:tc>
          <w:tcPr>
            <w:tcW w:w="709"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eastAsia="仿宋_GB2312"/>
                <w:b/>
                <w:bCs/>
                <w:color w:val="auto"/>
                <w:sz w:val="20"/>
                <w:szCs w:val="20"/>
              </w:rPr>
              <w:t>10</w:t>
            </w:r>
            <w:r>
              <w:rPr>
                <w:rFonts w:eastAsia="仿宋_GB2312"/>
                <w:b/>
                <w:bCs/>
                <w:color w:val="auto"/>
                <w:sz w:val="20"/>
                <w:szCs w:val="20"/>
              </w:rPr>
              <w:t>　</w:t>
            </w:r>
          </w:p>
        </w:tc>
        <w:tc>
          <w:tcPr>
            <w:tcW w:w="81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eastAsia="仿宋_GB2312"/>
                <w:b/>
                <w:bCs/>
                <w:color w:val="auto"/>
                <w:sz w:val="20"/>
                <w:szCs w:val="20"/>
              </w:rPr>
            </w:pPr>
          </w:p>
        </w:tc>
        <w:tc>
          <w:tcPr>
            <w:tcW w:w="1080" w:type="dxa"/>
            <w:vMerge w:val="continue"/>
            <w:tcBorders>
              <w:left w:val="nil"/>
              <w:right w:val="single" w:color="auto" w:sz="4" w:space="0"/>
            </w:tcBorders>
            <w:vAlign w:val="center"/>
          </w:tcPr>
          <w:p>
            <w:pPr>
              <w:spacing w:line="260" w:lineRule="exact"/>
              <w:jc w:val="left"/>
              <w:rPr>
                <w:rFonts w:eastAsia="仿宋_GB2312"/>
                <w:b/>
                <w:bCs/>
                <w:color w:val="auto"/>
                <w:sz w:val="20"/>
                <w:szCs w:val="20"/>
              </w:rPr>
            </w:pPr>
          </w:p>
        </w:tc>
        <w:tc>
          <w:tcPr>
            <w:tcW w:w="1080" w:type="dxa"/>
            <w:vMerge w:val="continue"/>
            <w:tcBorders>
              <w:left w:val="nil"/>
              <w:right w:val="single" w:color="auto" w:sz="4" w:space="0"/>
            </w:tcBorders>
            <w:vAlign w:val="center"/>
          </w:tcPr>
          <w:p>
            <w:pPr>
              <w:spacing w:line="260" w:lineRule="exact"/>
              <w:jc w:val="left"/>
              <w:rPr>
                <w:rFonts w:eastAsia="仿宋_GB2312"/>
                <w:b/>
                <w:bCs/>
                <w:color w:val="auto"/>
                <w:sz w:val="20"/>
                <w:szCs w:val="20"/>
              </w:rPr>
            </w:pPr>
          </w:p>
        </w:tc>
        <w:tc>
          <w:tcPr>
            <w:tcW w:w="239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708"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709"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81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eastAsia="仿宋_GB2312"/>
                <w:b/>
                <w:bCs/>
                <w:color w:val="auto"/>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239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708"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709"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81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eastAsia="仿宋_GB2312"/>
                <w:b/>
                <w:bCs/>
                <w:color w:val="auto"/>
                <w:sz w:val="20"/>
                <w:szCs w:val="20"/>
              </w:rPr>
            </w:pPr>
          </w:p>
        </w:tc>
        <w:tc>
          <w:tcPr>
            <w:tcW w:w="1080" w:type="dxa"/>
            <w:vMerge w:val="restart"/>
            <w:tcBorders>
              <w:top w:val="nil"/>
              <w:left w:val="nil"/>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效益指标</w:t>
            </w:r>
          </w:p>
          <w:p>
            <w:pPr>
              <w:widowControl/>
              <w:spacing w:line="260" w:lineRule="exact"/>
              <w:jc w:val="left"/>
              <w:rPr>
                <w:rFonts w:eastAsia="仿宋_GB2312"/>
                <w:b/>
                <w:bCs/>
                <w:color w:val="auto"/>
                <w:sz w:val="20"/>
                <w:szCs w:val="20"/>
              </w:rPr>
            </w:pPr>
            <w:r>
              <w:rPr>
                <w:rFonts w:eastAsia="仿宋_GB2312"/>
                <w:b/>
                <w:bCs/>
                <w:color w:val="auto"/>
                <w:sz w:val="20"/>
                <w:szCs w:val="20"/>
              </w:rPr>
              <w:t>（30分）</w:t>
            </w:r>
          </w:p>
        </w:tc>
        <w:tc>
          <w:tcPr>
            <w:tcW w:w="1080" w:type="dxa"/>
            <w:vMerge w:val="restart"/>
            <w:tcBorders>
              <w:top w:val="nil"/>
              <w:left w:val="nil"/>
              <w:right w:val="single" w:color="auto" w:sz="4" w:space="0"/>
            </w:tcBorders>
            <w:vAlign w:val="center"/>
          </w:tcPr>
          <w:p>
            <w:pPr>
              <w:widowControl/>
              <w:spacing w:line="260" w:lineRule="exact"/>
              <w:jc w:val="center"/>
              <w:rPr>
                <w:rFonts w:eastAsia="仿宋_GB2312"/>
                <w:b/>
                <w:bCs/>
                <w:color w:val="auto"/>
                <w:sz w:val="20"/>
                <w:szCs w:val="20"/>
              </w:rPr>
            </w:pPr>
            <w:r>
              <w:rPr>
                <w:rFonts w:eastAsia="仿宋_GB2312"/>
                <w:b/>
                <w:bCs/>
                <w:color w:val="auto"/>
                <w:sz w:val="20"/>
                <w:szCs w:val="20"/>
              </w:rPr>
              <w:t>经济效</w:t>
            </w:r>
          </w:p>
          <w:p>
            <w:pPr>
              <w:widowControl/>
              <w:spacing w:line="260" w:lineRule="exact"/>
              <w:jc w:val="center"/>
              <w:rPr>
                <w:rFonts w:eastAsia="仿宋_GB2312"/>
                <w:b/>
                <w:bCs/>
                <w:color w:val="auto"/>
                <w:sz w:val="20"/>
                <w:szCs w:val="20"/>
              </w:rPr>
            </w:pPr>
            <w:r>
              <w:rPr>
                <w:rFonts w:eastAsia="仿宋_GB2312"/>
                <w:b/>
                <w:bCs/>
                <w:color w:val="auto"/>
                <w:sz w:val="20"/>
                <w:szCs w:val="20"/>
              </w:rPr>
              <w:t>益指标</w:t>
            </w:r>
          </w:p>
        </w:tc>
        <w:tc>
          <w:tcPr>
            <w:tcW w:w="239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b/>
                <w:bCs/>
                <w:color w:val="auto"/>
                <w:sz w:val="17"/>
              </w:rPr>
              <w:t>指标1：提高行政职能运行率。</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ascii="宋体" w:hAnsi="宋体" w:cs="宋体"/>
                <w:b/>
                <w:bCs/>
                <w:color w:val="auto"/>
                <w:sz w:val="20"/>
                <w:szCs w:val="20"/>
              </w:rPr>
            </w:pPr>
            <w:r>
              <w:rPr>
                <w:rFonts w:eastAsia="仿宋_GB2312"/>
                <w:b/>
                <w:bCs/>
                <w:color w:val="auto"/>
                <w:sz w:val="20"/>
                <w:szCs w:val="20"/>
              </w:rPr>
              <w:t>　</w:t>
            </w:r>
            <w:r>
              <w:rPr>
                <w:rFonts w:hint="eastAsia" w:ascii="宋体" w:hAnsi="宋体" w:cs="宋体"/>
                <w:b/>
                <w:bCs/>
                <w:color w:val="auto"/>
                <w:sz w:val="20"/>
                <w:szCs w:val="20"/>
              </w:rPr>
              <w:t>有效</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r>
              <w:rPr>
                <w:rFonts w:hint="eastAsia" w:eastAsia="仿宋_GB2312"/>
                <w:b/>
                <w:bCs/>
                <w:color w:val="auto"/>
                <w:sz w:val="20"/>
                <w:szCs w:val="20"/>
              </w:rPr>
              <w:t>完成</w:t>
            </w:r>
          </w:p>
        </w:tc>
        <w:tc>
          <w:tcPr>
            <w:tcW w:w="708"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eastAsia="仿宋_GB2312"/>
                <w:b/>
                <w:bCs/>
                <w:color w:val="auto"/>
                <w:sz w:val="20"/>
                <w:szCs w:val="20"/>
              </w:rPr>
              <w:t>10</w:t>
            </w:r>
          </w:p>
        </w:tc>
        <w:tc>
          <w:tcPr>
            <w:tcW w:w="709"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eastAsia="仿宋_GB2312"/>
                <w:b/>
                <w:bCs/>
                <w:color w:val="auto"/>
                <w:sz w:val="20"/>
                <w:szCs w:val="20"/>
              </w:rPr>
              <w:t>9</w:t>
            </w:r>
          </w:p>
        </w:tc>
        <w:tc>
          <w:tcPr>
            <w:tcW w:w="81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eastAsia="仿宋_GB2312"/>
                <w:b/>
                <w:bCs/>
                <w:color w:val="auto"/>
                <w:sz w:val="20"/>
                <w:szCs w:val="20"/>
              </w:rPr>
            </w:pPr>
          </w:p>
        </w:tc>
        <w:tc>
          <w:tcPr>
            <w:tcW w:w="1080" w:type="dxa"/>
            <w:vMerge w:val="continue"/>
            <w:tcBorders>
              <w:left w:val="nil"/>
              <w:right w:val="single" w:color="auto" w:sz="4" w:space="0"/>
            </w:tcBorders>
            <w:vAlign w:val="center"/>
          </w:tcPr>
          <w:p>
            <w:pPr>
              <w:spacing w:line="260" w:lineRule="exact"/>
              <w:jc w:val="left"/>
              <w:rPr>
                <w:rFonts w:eastAsia="仿宋_GB2312"/>
                <w:b/>
                <w:bCs/>
                <w:color w:val="auto"/>
                <w:sz w:val="20"/>
                <w:szCs w:val="20"/>
              </w:rPr>
            </w:pPr>
          </w:p>
        </w:tc>
        <w:tc>
          <w:tcPr>
            <w:tcW w:w="1080" w:type="dxa"/>
            <w:vMerge w:val="continue"/>
            <w:tcBorders>
              <w:left w:val="nil"/>
              <w:right w:val="single" w:color="auto" w:sz="4" w:space="0"/>
            </w:tcBorders>
            <w:vAlign w:val="center"/>
          </w:tcPr>
          <w:p>
            <w:pPr>
              <w:spacing w:line="260" w:lineRule="exact"/>
              <w:jc w:val="center"/>
              <w:rPr>
                <w:rFonts w:eastAsia="仿宋_GB2312"/>
                <w:b/>
                <w:bCs/>
                <w:color w:val="auto"/>
                <w:sz w:val="20"/>
                <w:szCs w:val="20"/>
              </w:rPr>
            </w:pPr>
          </w:p>
        </w:tc>
        <w:tc>
          <w:tcPr>
            <w:tcW w:w="239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708"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709"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81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eastAsia="仿宋_GB2312"/>
                <w:b/>
                <w:bCs/>
                <w:color w:val="auto"/>
                <w:sz w:val="20"/>
                <w:szCs w:val="20"/>
              </w:rPr>
            </w:pPr>
          </w:p>
        </w:tc>
        <w:tc>
          <w:tcPr>
            <w:tcW w:w="1080" w:type="dxa"/>
            <w:vMerge w:val="continue"/>
            <w:tcBorders>
              <w:left w:val="nil"/>
              <w:right w:val="single" w:color="auto" w:sz="4" w:space="0"/>
            </w:tcBorders>
            <w:vAlign w:val="center"/>
          </w:tcPr>
          <w:p>
            <w:pPr>
              <w:spacing w:line="260" w:lineRule="exact"/>
              <w:jc w:val="left"/>
              <w:rPr>
                <w:rFonts w:eastAsia="仿宋_GB2312"/>
                <w:b/>
                <w:bCs/>
                <w:color w:val="auto"/>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eastAsia="仿宋_GB2312"/>
                <w:b/>
                <w:bCs/>
                <w:color w:val="auto"/>
                <w:sz w:val="20"/>
                <w:szCs w:val="20"/>
              </w:rPr>
            </w:pPr>
          </w:p>
        </w:tc>
        <w:tc>
          <w:tcPr>
            <w:tcW w:w="239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708"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709"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81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eastAsia="仿宋_GB2312"/>
                <w:b/>
                <w:bCs/>
                <w:color w:val="auto"/>
                <w:sz w:val="20"/>
                <w:szCs w:val="20"/>
              </w:rPr>
            </w:pPr>
          </w:p>
        </w:tc>
        <w:tc>
          <w:tcPr>
            <w:tcW w:w="1080" w:type="dxa"/>
            <w:vMerge w:val="continue"/>
            <w:tcBorders>
              <w:left w:val="nil"/>
              <w:right w:val="single" w:color="auto" w:sz="4" w:space="0"/>
            </w:tcBorders>
            <w:vAlign w:val="center"/>
          </w:tcPr>
          <w:p>
            <w:pPr>
              <w:spacing w:line="260" w:lineRule="exact"/>
              <w:jc w:val="left"/>
              <w:rPr>
                <w:rFonts w:eastAsia="仿宋_GB2312"/>
                <w:b/>
                <w:bCs/>
                <w:color w:val="auto"/>
                <w:sz w:val="20"/>
                <w:szCs w:val="20"/>
              </w:rPr>
            </w:pPr>
          </w:p>
        </w:tc>
        <w:tc>
          <w:tcPr>
            <w:tcW w:w="1080" w:type="dxa"/>
            <w:vMerge w:val="restart"/>
            <w:tcBorders>
              <w:top w:val="nil"/>
              <w:left w:val="nil"/>
              <w:right w:val="single" w:color="auto" w:sz="4" w:space="0"/>
            </w:tcBorders>
            <w:vAlign w:val="center"/>
          </w:tcPr>
          <w:p>
            <w:pPr>
              <w:widowControl/>
              <w:spacing w:line="260" w:lineRule="exact"/>
              <w:jc w:val="center"/>
              <w:rPr>
                <w:rFonts w:eastAsia="仿宋_GB2312"/>
                <w:b/>
                <w:bCs/>
                <w:color w:val="auto"/>
                <w:sz w:val="20"/>
                <w:szCs w:val="20"/>
              </w:rPr>
            </w:pPr>
            <w:r>
              <w:rPr>
                <w:rFonts w:eastAsia="仿宋_GB2312"/>
                <w:b/>
                <w:bCs/>
                <w:color w:val="auto"/>
                <w:sz w:val="20"/>
                <w:szCs w:val="20"/>
              </w:rPr>
              <w:t>社会效</w:t>
            </w:r>
          </w:p>
          <w:p>
            <w:pPr>
              <w:widowControl/>
              <w:spacing w:line="260" w:lineRule="exact"/>
              <w:jc w:val="center"/>
              <w:rPr>
                <w:rFonts w:eastAsia="仿宋_GB2312"/>
                <w:b/>
                <w:bCs/>
                <w:color w:val="auto"/>
                <w:sz w:val="20"/>
                <w:szCs w:val="20"/>
              </w:rPr>
            </w:pPr>
            <w:r>
              <w:rPr>
                <w:rFonts w:eastAsia="仿宋_GB2312"/>
                <w:b/>
                <w:bCs/>
                <w:color w:val="auto"/>
                <w:sz w:val="20"/>
                <w:szCs w:val="20"/>
              </w:rPr>
              <w:t>益指标</w:t>
            </w:r>
          </w:p>
        </w:tc>
        <w:tc>
          <w:tcPr>
            <w:tcW w:w="239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b/>
                <w:bCs/>
                <w:color w:val="auto"/>
                <w:sz w:val="17"/>
              </w:rPr>
              <w:t>指标1：便民高效服务。</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r>
              <w:rPr>
                <w:rFonts w:hint="eastAsia" w:eastAsia="仿宋_GB2312"/>
                <w:b/>
                <w:bCs/>
                <w:color w:val="auto"/>
                <w:sz w:val="20"/>
                <w:szCs w:val="20"/>
              </w:rPr>
              <w:t>有效</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r>
              <w:rPr>
                <w:rFonts w:hint="eastAsia" w:eastAsia="仿宋_GB2312"/>
                <w:b/>
                <w:bCs/>
                <w:color w:val="auto"/>
                <w:sz w:val="20"/>
                <w:szCs w:val="20"/>
              </w:rPr>
              <w:t>完成</w:t>
            </w:r>
          </w:p>
        </w:tc>
        <w:tc>
          <w:tcPr>
            <w:tcW w:w="708"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eastAsia="仿宋_GB2312"/>
                <w:b/>
                <w:bCs/>
                <w:color w:val="auto"/>
                <w:sz w:val="20"/>
                <w:szCs w:val="20"/>
              </w:rPr>
              <w:t>10</w:t>
            </w:r>
          </w:p>
        </w:tc>
        <w:tc>
          <w:tcPr>
            <w:tcW w:w="709"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eastAsia="仿宋_GB2312"/>
                <w:b/>
                <w:bCs/>
                <w:color w:val="auto"/>
                <w:sz w:val="20"/>
                <w:szCs w:val="20"/>
              </w:rPr>
              <w:t>10</w:t>
            </w:r>
          </w:p>
        </w:tc>
        <w:tc>
          <w:tcPr>
            <w:tcW w:w="81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eastAsia="仿宋_GB2312"/>
                <w:b/>
                <w:bCs/>
                <w:color w:val="auto"/>
                <w:sz w:val="20"/>
                <w:szCs w:val="20"/>
              </w:rPr>
            </w:pPr>
          </w:p>
        </w:tc>
        <w:tc>
          <w:tcPr>
            <w:tcW w:w="1080" w:type="dxa"/>
            <w:vMerge w:val="continue"/>
            <w:tcBorders>
              <w:left w:val="nil"/>
              <w:right w:val="single" w:color="auto" w:sz="4" w:space="0"/>
            </w:tcBorders>
            <w:vAlign w:val="center"/>
          </w:tcPr>
          <w:p>
            <w:pPr>
              <w:spacing w:line="260" w:lineRule="exact"/>
              <w:jc w:val="left"/>
              <w:rPr>
                <w:rFonts w:eastAsia="仿宋_GB2312"/>
                <w:b/>
                <w:bCs/>
                <w:color w:val="auto"/>
                <w:sz w:val="20"/>
                <w:szCs w:val="20"/>
              </w:rPr>
            </w:pPr>
          </w:p>
        </w:tc>
        <w:tc>
          <w:tcPr>
            <w:tcW w:w="1080" w:type="dxa"/>
            <w:vMerge w:val="continue"/>
            <w:tcBorders>
              <w:left w:val="nil"/>
              <w:right w:val="single" w:color="auto" w:sz="4" w:space="0"/>
            </w:tcBorders>
            <w:vAlign w:val="center"/>
          </w:tcPr>
          <w:p>
            <w:pPr>
              <w:spacing w:line="260" w:lineRule="exact"/>
              <w:jc w:val="center"/>
              <w:rPr>
                <w:rFonts w:eastAsia="仿宋_GB2312"/>
                <w:b/>
                <w:bCs/>
                <w:color w:val="auto"/>
                <w:sz w:val="20"/>
                <w:szCs w:val="20"/>
              </w:rPr>
            </w:pPr>
          </w:p>
        </w:tc>
        <w:tc>
          <w:tcPr>
            <w:tcW w:w="239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708"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709"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81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eastAsia="仿宋_GB2312"/>
                <w:b/>
                <w:bCs/>
                <w:color w:val="auto"/>
                <w:sz w:val="20"/>
                <w:szCs w:val="20"/>
              </w:rPr>
            </w:pPr>
          </w:p>
        </w:tc>
        <w:tc>
          <w:tcPr>
            <w:tcW w:w="1080" w:type="dxa"/>
            <w:vMerge w:val="continue"/>
            <w:tcBorders>
              <w:left w:val="nil"/>
              <w:right w:val="single" w:color="auto" w:sz="4" w:space="0"/>
            </w:tcBorders>
            <w:vAlign w:val="center"/>
          </w:tcPr>
          <w:p>
            <w:pPr>
              <w:spacing w:line="260" w:lineRule="exact"/>
              <w:jc w:val="left"/>
              <w:rPr>
                <w:rFonts w:eastAsia="仿宋_GB2312"/>
                <w:b/>
                <w:bCs/>
                <w:color w:val="auto"/>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eastAsia="仿宋_GB2312"/>
                <w:b/>
                <w:bCs/>
                <w:color w:val="auto"/>
                <w:sz w:val="20"/>
                <w:szCs w:val="20"/>
              </w:rPr>
            </w:pPr>
          </w:p>
        </w:tc>
        <w:tc>
          <w:tcPr>
            <w:tcW w:w="239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708"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709"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81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eastAsia="仿宋_GB2312"/>
                <w:b/>
                <w:bCs/>
                <w:color w:val="auto"/>
                <w:sz w:val="20"/>
                <w:szCs w:val="20"/>
              </w:rPr>
            </w:pPr>
          </w:p>
        </w:tc>
        <w:tc>
          <w:tcPr>
            <w:tcW w:w="1080" w:type="dxa"/>
            <w:vMerge w:val="continue"/>
            <w:tcBorders>
              <w:left w:val="nil"/>
              <w:right w:val="single" w:color="auto" w:sz="4" w:space="0"/>
            </w:tcBorders>
            <w:vAlign w:val="center"/>
          </w:tcPr>
          <w:p>
            <w:pPr>
              <w:spacing w:line="260" w:lineRule="exact"/>
              <w:jc w:val="left"/>
              <w:rPr>
                <w:rFonts w:eastAsia="仿宋_GB2312"/>
                <w:b/>
                <w:bCs/>
                <w:color w:val="auto"/>
                <w:sz w:val="20"/>
                <w:szCs w:val="20"/>
              </w:rPr>
            </w:pPr>
          </w:p>
        </w:tc>
        <w:tc>
          <w:tcPr>
            <w:tcW w:w="1080" w:type="dxa"/>
            <w:vMerge w:val="restart"/>
            <w:tcBorders>
              <w:top w:val="nil"/>
              <w:left w:val="nil"/>
              <w:right w:val="single" w:color="auto" w:sz="4" w:space="0"/>
            </w:tcBorders>
            <w:vAlign w:val="center"/>
          </w:tcPr>
          <w:p>
            <w:pPr>
              <w:widowControl/>
              <w:spacing w:line="260" w:lineRule="exact"/>
              <w:jc w:val="center"/>
              <w:rPr>
                <w:rFonts w:eastAsia="仿宋_GB2312"/>
                <w:b/>
                <w:bCs/>
                <w:color w:val="auto"/>
                <w:sz w:val="20"/>
                <w:szCs w:val="20"/>
              </w:rPr>
            </w:pPr>
            <w:r>
              <w:rPr>
                <w:rFonts w:eastAsia="仿宋_GB2312"/>
                <w:b/>
                <w:bCs/>
                <w:color w:val="auto"/>
                <w:sz w:val="20"/>
                <w:szCs w:val="20"/>
              </w:rPr>
              <w:t>生态效</w:t>
            </w:r>
          </w:p>
          <w:p>
            <w:pPr>
              <w:widowControl/>
              <w:spacing w:line="260" w:lineRule="exact"/>
              <w:jc w:val="center"/>
              <w:rPr>
                <w:rFonts w:eastAsia="仿宋_GB2312"/>
                <w:b/>
                <w:bCs/>
                <w:color w:val="auto"/>
                <w:sz w:val="20"/>
                <w:szCs w:val="20"/>
              </w:rPr>
            </w:pPr>
            <w:r>
              <w:rPr>
                <w:rFonts w:eastAsia="仿宋_GB2312"/>
                <w:b/>
                <w:bCs/>
                <w:color w:val="auto"/>
                <w:sz w:val="20"/>
                <w:szCs w:val="20"/>
              </w:rPr>
              <w:t>益指标</w:t>
            </w:r>
          </w:p>
        </w:tc>
        <w:tc>
          <w:tcPr>
            <w:tcW w:w="239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b/>
                <w:bCs/>
                <w:color w:val="auto"/>
                <w:sz w:val="17"/>
              </w:rPr>
              <w:t>指标1：节能减排。</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r>
              <w:rPr>
                <w:rFonts w:hint="eastAsia" w:eastAsia="仿宋_GB2312"/>
                <w:b/>
                <w:bCs/>
                <w:color w:val="auto"/>
                <w:sz w:val="20"/>
                <w:szCs w:val="20"/>
              </w:rPr>
              <w:t>有效</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r>
              <w:rPr>
                <w:rFonts w:hint="eastAsia" w:eastAsia="仿宋_GB2312"/>
                <w:b/>
                <w:bCs/>
                <w:color w:val="auto"/>
                <w:sz w:val="20"/>
                <w:szCs w:val="20"/>
              </w:rPr>
              <w:t>完成</w:t>
            </w:r>
          </w:p>
        </w:tc>
        <w:tc>
          <w:tcPr>
            <w:tcW w:w="708"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r>
              <w:rPr>
                <w:rFonts w:hint="eastAsia" w:eastAsia="仿宋_GB2312"/>
                <w:b/>
                <w:bCs/>
                <w:color w:val="auto"/>
                <w:sz w:val="20"/>
                <w:szCs w:val="20"/>
              </w:rPr>
              <w:t>5</w:t>
            </w:r>
          </w:p>
        </w:tc>
        <w:tc>
          <w:tcPr>
            <w:tcW w:w="709"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eastAsia="仿宋_GB2312"/>
                <w:b/>
                <w:bCs/>
                <w:color w:val="auto"/>
                <w:sz w:val="20"/>
                <w:szCs w:val="20"/>
              </w:rPr>
              <w:t>5</w:t>
            </w:r>
            <w:r>
              <w:rPr>
                <w:rFonts w:eastAsia="仿宋_GB2312"/>
                <w:b/>
                <w:bCs/>
                <w:color w:val="auto"/>
                <w:sz w:val="20"/>
                <w:szCs w:val="20"/>
              </w:rPr>
              <w:t>　</w:t>
            </w:r>
          </w:p>
        </w:tc>
        <w:tc>
          <w:tcPr>
            <w:tcW w:w="81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eastAsia="仿宋_GB2312"/>
                <w:b/>
                <w:bCs/>
                <w:color w:val="auto"/>
                <w:sz w:val="20"/>
                <w:szCs w:val="20"/>
              </w:rPr>
            </w:pPr>
          </w:p>
        </w:tc>
        <w:tc>
          <w:tcPr>
            <w:tcW w:w="1080" w:type="dxa"/>
            <w:vMerge w:val="continue"/>
            <w:tcBorders>
              <w:left w:val="nil"/>
              <w:right w:val="single" w:color="auto" w:sz="4" w:space="0"/>
            </w:tcBorders>
            <w:vAlign w:val="center"/>
          </w:tcPr>
          <w:p>
            <w:pPr>
              <w:spacing w:line="260" w:lineRule="exact"/>
              <w:jc w:val="left"/>
              <w:rPr>
                <w:rFonts w:eastAsia="仿宋_GB2312"/>
                <w:b/>
                <w:bCs/>
                <w:color w:val="auto"/>
                <w:sz w:val="20"/>
                <w:szCs w:val="20"/>
              </w:rPr>
            </w:pPr>
          </w:p>
        </w:tc>
        <w:tc>
          <w:tcPr>
            <w:tcW w:w="1080" w:type="dxa"/>
            <w:vMerge w:val="continue"/>
            <w:tcBorders>
              <w:left w:val="nil"/>
              <w:right w:val="single" w:color="auto" w:sz="4" w:space="0"/>
            </w:tcBorders>
            <w:vAlign w:val="center"/>
          </w:tcPr>
          <w:p>
            <w:pPr>
              <w:spacing w:line="260" w:lineRule="exact"/>
              <w:jc w:val="left"/>
              <w:rPr>
                <w:rFonts w:eastAsia="仿宋_GB2312"/>
                <w:b/>
                <w:bCs/>
                <w:color w:val="auto"/>
                <w:sz w:val="20"/>
                <w:szCs w:val="20"/>
              </w:rPr>
            </w:pPr>
          </w:p>
        </w:tc>
        <w:tc>
          <w:tcPr>
            <w:tcW w:w="239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708"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709"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81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1080" w:type="dxa"/>
            <w:vMerge w:val="continue"/>
            <w:tcBorders>
              <w:left w:val="nil"/>
              <w:right w:val="single" w:color="auto" w:sz="4" w:space="0"/>
            </w:tcBorders>
            <w:vAlign w:val="center"/>
          </w:tcPr>
          <w:p>
            <w:pPr>
              <w:widowControl/>
              <w:spacing w:line="260" w:lineRule="exact"/>
              <w:jc w:val="left"/>
              <w:rPr>
                <w:rFonts w:eastAsia="仿宋_GB2312"/>
                <w:b/>
                <w:bCs/>
                <w:color w:val="auto"/>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239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708"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709"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81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widowControl/>
              <w:spacing w:line="260" w:lineRule="exact"/>
              <w:jc w:val="center"/>
              <w:rPr>
                <w:rFonts w:eastAsia="仿宋_GB2312"/>
                <w:b/>
                <w:bCs/>
                <w:color w:val="auto"/>
                <w:sz w:val="20"/>
                <w:szCs w:val="20"/>
              </w:rPr>
            </w:pPr>
          </w:p>
        </w:tc>
        <w:tc>
          <w:tcPr>
            <w:tcW w:w="1080" w:type="dxa"/>
            <w:vMerge w:val="continue"/>
            <w:tcBorders>
              <w:left w:val="nil"/>
              <w:right w:val="single" w:color="auto" w:sz="4" w:space="0"/>
            </w:tcBorders>
            <w:vAlign w:val="center"/>
          </w:tcPr>
          <w:p>
            <w:pPr>
              <w:widowControl/>
              <w:spacing w:line="260" w:lineRule="exact"/>
              <w:jc w:val="left"/>
              <w:rPr>
                <w:rFonts w:eastAsia="仿宋_GB2312"/>
                <w:b/>
                <w:bCs/>
                <w:color w:val="auto"/>
                <w:sz w:val="20"/>
                <w:szCs w:val="20"/>
              </w:rPr>
            </w:pPr>
          </w:p>
        </w:tc>
        <w:tc>
          <w:tcPr>
            <w:tcW w:w="1080" w:type="dxa"/>
            <w:vMerge w:val="restart"/>
            <w:tcBorders>
              <w:top w:val="single" w:color="auto" w:sz="4" w:space="0"/>
              <w:left w:val="single" w:color="auto" w:sz="4" w:space="0"/>
              <w:right w:val="single" w:color="auto" w:sz="4" w:space="0"/>
            </w:tcBorders>
            <w:vAlign w:val="center"/>
          </w:tcPr>
          <w:p>
            <w:pPr>
              <w:widowControl/>
              <w:spacing w:line="260" w:lineRule="exact"/>
              <w:jc w:val="center"/>
              <w:rPr>
                <w:rFonts w:eastAsia="仿宋_GB2312"/>
                <w:b/>
                <w:bCs/>
                <w:color w:val="auto"/>
                <w:sz w:val="20"/>
                <w:szCs w:val="20"/>
              </w:rPr>
            </w:pPr>
            <w:r>
              <w:rPr>
                <w:rFonts w:eastAsia="仿宋_GB2312"/>
                <w:b/>
                <w:bCs/>
                <w:color w:val="auto"/>
                <w:sz w:val="20"/>
                <w:szCs w:val="20"/>
              </w:rPr>
              <w:t>可持续</w:t>
            </w:r>
          </w:p>
          <w:p>
            <w:pPr>
              <w:widowControl/>
              <w:spacing w:line="260" w:lineRule="exact"/>
              <w:jc w:val="center"/>
              <w:rPr>
                <w:rFonts w:eastAsia="仿宋_GB2312"/>
                <w:b/>
                <w:bCs/>
                <w:color w:val="auto"/>
                <w:sz w:val="20"/>
                <w:szCs w:val="20"/>
              </w:rPr>
            </w:pPr>
            <w:r>
              <w:rPr>
                <w:rFonts w:eastAsia="仿宋_GB2312"/>
                <w:b/>
                <w:bCs/>
                <w:color w:val="auto"/>
                <w:sz w:val="20"/>
                <w:szCs w:val="20"/>
              </w:rPr>
              <w:t>影响指标</w:t>
            </w:r>
          </w:p>
        </w:tc>
        <w:tc>
          <w:tcPr>
            <w:tcW w:w="2394"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b/>
                <w:bCs/>
                <w:color w:val="auto"/>
                <w:sz w:val="17"/>
              </w:rPr>
              <w:t>指标1：产生可持续性影响。</w:t>
            </w:r>
          </w:p>
        </w:tc>
        <w:tc>
          <w:tcPr>
            <w:tcW w:w="993"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r>
              <w:rPr>
                <w:rFonts w:hint="eastAsia" w:eastAsia="仿宋_GB2312"/>
                <w:b/>
                <w:bCs/>
                <w:color w:val="auto"/>
                <w:sz w:val="20"/>
                <w:szCs w:val="20"/>
              </w:rPr>
              <w:t>有效</w:t>
            </w:r>
          </w:p>
        </w:tc>
        <w:tc>
          <w:tcPr>
            <w:tcW w:w="993"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r>
              <w:rPr>
                <w:rFonts w:hint="eastAsia" w:eastAsia="仿宋_GB2312"/>
                <w:b/>
                <w:bCs/>
                <w:color w:val="auto"/>
                <w:sz w:val="20"/>
                <w:szCs w:val="20"/>
              </w:rPr>
              <w:t>完成</w:t>
            </w:r>
          </w:p>
        </w:tc>
        <w:tc>
          <w:tcPr>
            <w:tcW w:w="708"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r>
              <w:rPr>
                <w:rFonts w:hint="eastAsia" w:eastAsia="仿宋_GB2312"/>
                <w:b/>
                <w:bCs/>
                <w:color w:val="auto"/>
                <w:sz w:val="20"/>
                <w:szCs w:val="20"/>
              </w:rPr>
              <w:t>5</w:t>
            </w:r>
          </w:p>
        </w:tc>
        <w:tc>
          <w:tcPr>
            <w:tcW w:w="709"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eastAsia="仿宋_GB2312"/>
                <w:b/>
                <w:bCs/>
                <w:color w:val="auto"/>
                <w:sz w:val="20"/>
                <w:szCs w:val="20"/>
              </w:rPr>
              <w:t>5</w:t>
            </w:r>
            <w:r>
              <w:rPr>
                <w:rFonts w:eastAsia="仿宋_GB2312"/>
                <w:b/>
                <w:bCs/>
                <w:color w:val="auto"/>
                <w:sz w:val="20"/>
                <w:szCs w:val="20"/>
              </w:rPr>
              <w:t>　</w:t>
            </w:r>
          </w:p>
        </w:tc>
        <w:tc>
          <w:tcPr>
            <w:tcW w:w="814"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eastAsia="仿宋_GB2312"/>
                <w:b/>
                <w:bCs/>
                <w:color w:val="auto"/>
                <w:sz w:val="20"/>
                <w:szCs w:val="20"/>
              </w:rPr>
            </w:pPr>
          </w:p>
        </w:tc>
        <w:tc>
          <w:tcPr>
            <w:tcW w:w="1080" w:type="dxa"/>
            <w:vMerge w:val="continue"/>
            <w:tcBorders>
              <w:left w:val="nil"/>
              <w:right w:val="single" w:color="auto" w:sz="4" w:space="0"/>
            </w:tcBorders>
            <w:vAlign w:val="center"/>
          </w:tcPr>
          <w:p>
            <w:pPr>
              <w:spacing w:line="260" w:lineRule="exact"/>
              <w:jc w:val="left"/>
              <w:rPr>
                <w:rFonts w:eastAsia="仿宋_GB2312"/>
                <w:b/>
                <w:bCs/>
                <w:color w:val="auto"/>
                <w:sz w:val="20"/>
                <w:szCs w:val="20"/>
              </w:rPr>
            </w:pPr>
          </w:p>
        </w:tc>
        <w:tc>
          <w:tcPr>
            <w:tcW w:w="1080" w:type="dxa"/>
            <w:vMerge w:val="continue"/>
            <w:tcBorders>
              <w:left w:val="single" w:color="auto" w:sz="4" w:space="0"/>
              <w:right w:val="single" w:color="auto" w:sz="4" w:space="0"/>
            </w:tcBorders>
            <w:vAlign w:val="center"/>
          </w:tcPr>
          <w:p>
            <w:pPr>
              <w:spacing w:line="260" w:lineRule="exact"/>
              <w:jc w:val="left"/>
              <w:rPr>
                <w:rFonts w:eastAsia="仿宋_GB2312"/>
                <w:b/>
                <w:bCs/>
                <w:color w:val="auto"/>
                <w:sz w:val="20"/>
                <w:szCs w:val="20"/>
              </w:rPr>
            </w:pPr>
          </w:p>
        </w:tc>
        <w:tc>
          <w:tcPr>
            <w:tcW w:w="2394" w:type="dxa"/>
            <w:tcBorders>
              <w:top w:val="single" w:color="auto" w:sz="4" w:space="0"/>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993" w:type="dxa"/>
            <w:tcBorders>
              <w:top w:val="single" w:color="auto" w:sz="4" w:space="0"/>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993" w:type="dxa"/>
            <w:tcBorders>
              <w:top w:val="single" w:color="auto" w:sz="4" w:space="0"/>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708" w:type="dxa"/>
            <w:tcBorders>
              <w:top w:val="single" w:color="auto" w:sz="4" w:space="0"/>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709" w:type="dxa"/>
            <w:tcBorders>
              <w:top w:val="single" w:color="auto" w:sz="4" w:space="0"/>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814" w:type="dxa"/>
            <w:tcBorders>
              <w:top w:val="single" w:color="auto" w:sz="4" w:space="0"/>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eastAsia="仿宋_GB2312"/>
                <w:b/>
                <w:bCs/>
                <w:color w:val="auto"/>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1080" w:type="dxa"/>
            <w:vMerge w:val="continue"/>
            <w:tcBorders>
              <w:left w:val="single" w:color="auto" w:sz="4" w:space="0"/>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239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708"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709"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81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eastAsia="仿宋_GB2312"/>
                <w:b/>
                <w:bCs/>
                <w:color w:val="auto"/>
                <w:sz w:val="20"/>
                <w:szCs w:val="20"/>
              </w:rPr>
            </w:pPr>
          </w:p>
        </w:tc>
        <w:tc>
          <w:tcPr>
            <w:tcW w:w="1080" w:type="dxa"/>
            <w:vMerge w:val="restart"/>
            <w:tcBorders>
              <w:top w:val="nil"/>
              <w:left w:val="nil"/>
              <w:right w:val="single" w:color="auto" w:sz="4" w:space="0"/>
            </w:tcBorders>
            <w:vAlign w:val="center"/>
          </w:tcPr>
          <w:p>
            <w:pPr>
              <w:widowControl/>
              <w:spacing w:line="260" w:lineRule="exact"/>
              <w:jc w:val="center"/>
              <w:rPr>
                <w:rFonts w:eastAsia="仿宋_GB2312"/>
                <w:b/>
                <w:bCs/>
                <w:color w:val="auto"/>
                <w:sz w:val="20"/>
                <w:szCs w:val="20"/>
              </w:rPr>
            </w:pPr>
            <w:r>
              <w:rPr>
                <w:rFonts w:eastAsia="仿宋_GB2312"/>
                <w:b/>
                <w:bCs/>
                <w:color w:val="auto"/>
                <w:sz w:val="20"/>
                <w:szCs w:val="20"/>
              </w:rPr>
              <w:t>满意度</w:t>
            </w:r>
          </w:p>
          <w:p>
            <w:pPr>
              <w:widowControl/>
              <w:spacing w:line="260" w:lineRule="exact"/>
              <w:jc w:val="center"/>
              <w:rPr>
                <w:rFonts w:eastAsia="仿宋_GB2312"/>
                <w:b/>
                <w:bCs/>
                <w:color w:val="auto"/>
                <w:sz w:val="20"/>
                <w:szCs w:val="20"/>
              </w:rPr>
            </w:pPr>
            <w:r>
              <w:rPr>
                <w:rFonts w:eastAsia="仿宋_GB2312"/>
                <w:b/>
                <w:bCs/>
                <w:color w:val="auto"/>
                <w:sz w:val="20"/>
                <w:szCs w:val="20"/>
              </w:rPr>
              <w:t>指标</w:t>
            </w:r>
          </w:p>
          <w:p>
            <w:pPr>
              <w:widowControl/>
              <w:spacing w:line="260" w:lineRule="exact"/>
              <w:jc w:val="center"/>
              <w:rPr>
                <w:rFonts w:eastAsia="仿宋_GB2312"/>
                <w:b/>
                <w:bCs/>
                <w:color w:val="auto"/>
                <w:sz w:val="20"/>
                <w:szCs w:val="20"/>
              </w:rPr>
            </w:pPr>
            <w:r>
              <w:rPr>
                <w:rFonts w:eastAsia="仿宋_GB2312"/>
                <w:b/>
                <w:bCs/>
                <w:color w:val="auto"/>
                <w:sz w:val="20"/>
                <w:szCs w:val="20"/>
              </w:rPr>
              <w:t>（10分）</w:t>
            </w:r>
          </w:p>
        </w:tc>
        <w:tc>
          <w:tcPr>
            <w:tcW w:w="1080" w:type="dxa"/>
            <w:vMerge w:val="restart"/>
            <w:tcBorders>
              <w:top w:val="nil"/>
              <w:left w:val="nil"/>
              <w:right w:val="single" w:color="auto" w:sz="4" w:space="0"/>
            </w:tcBorders>
            <w:vAlign w:val="center"/>
          </w:tcPr>
          <w:p>
            <w:pPr>
              <w:widowControl/>
              <w:spacing w:line="260" w:lineRule="exact"/>
              <w:jc w:val="center"/>
              <w:rPr>
                <w:rFonts w:eastAsia="仿宋_GB2312"/>
                <w:b/>
                <w:bCs/>
                <w:color w:val="auto"/>
                <w:sz w:val="20"/>
                <w:szCs w:val="20"/>
              </w:rPr>
            </w:pPr>
            <w:r>
              <w:rPr>
                <w:rFonts w:eastAsia="仿宋_GB2312"/>
                <w:b/>
                <w:bCs/>
                <w:color w:val="auto"/>
                <w:sz w:val="20"/>
                <w:szCs w:val="20"/>
              </w:rPr>
              <w:t>服务对象满意度</w:t>
            </w:r>
          </w:p>
          <w:p>
            <w:pPr>
              <w:widowControl/>
              <w:spacing w:line="260" w:lineRule="exact"/>
              <w:jc w:val="center"/>
              <w:rPr>
                <w:rFonts w:eastAsia="仿宋_GB2312"/>
                <w:b/>
                <w:bCs/>
                <w:color w:val="auto"/>
                <w:sz w:val="20"/>
                <w:szCs w:val="20"/>
              </w:rPr>
            </w:pPr>
            <w:r>
              <w:rPr>
                <w:rFonts w:eastAsia="仿宋_GB2312"/>
                <w:b/>
                <w:bCs/>
                <w:color w:val="auto"/>
                <w:sz w:val="20"/>
                <w:szCs w:val="20"/>
              </w:rPr>
              <w:t>指标</w:t>
            </w:r>
          </w:p>
        </w:tc>
        <w:tc>
          <w:tcPr>
            <w:tcW w:w="239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b/>
                <w:bCs/>
                <w:color w:val="auto"/>
                <w:sz w:val="17"/>
              </w:rPr>
              <w:t>指标1：社会公众或服务对象满意度</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r>
              <w:rPr>
                <w:rFonts w:hint="eastAsia"/>
                <w:b/>
                <w:bCs/>
                <w:color w:val="auto"/>
                <w:sz w:val="17"/>
              </w:rPr>
              <w:t>≥90%</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r>
              <w:rPr>
                <w:rFonts w:hint="eastAsia" w:eastAsia="仿宋_GB2312"/>
                <w:b/>
                <w:bCs/>
                <w:color w:val="auto"/>
                <w:sz w:val="20"/>
                <w:szCs w:val="20"/>
              </w:rPr>
              <w:t>完成</w:t>
            </w:r>
          </w:p>
        </w:tc>
        <w:tc>
          <w:tcPr>
            <w:tcW w:w="708"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r>
              <w:rPr>
                <w:rFonts w:hint="eastAsia" w:eastAsia="仿宋_GB2312"/>
                <w:b/>
                <w:bCs/>
                <w:color w:val="auto"/>
                <w:sz w:val="20"/>
                <w:szCs w:val="20"/>
              </w:rPr>
              <w:t>10</w:t>
            </w:r>
          </w:p>
        </w:tc>
        <w:tc>
          <w:tcPr>
            <w:tcW w:w="709"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hint="eastAsia" w:eastAsia="仿宋_GB2312"/>
                <w:b/>
                <w:bCs/>
                <w:color w:val="auto"/>
                <w:sz w:val="20"/>
                <w:szCs w:val="20"/>
              </w:rPr>
              <w:t>10</w:t>
            </w:r>
            <w:r>
              <w:rPr>
                <w:rFonts w:eastAsia="仿宋_GB2312"/>
                <w:b/>
                <w:bCs/>
                <w:color w:val="auto"/>
                <w:sz w:val="20"/>
                <w:szCs w:val="20"/>
              </w:rPr>
              <w:t>　</w:t>
            </w:r>
          </w:p>
        </w:tc>
        <w:tc>
          <w:tcPr>
            <w:tcW w:w="81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left"/>
              <w:rPr>
                <w:rFonts w:eastAsia="仿宋_GB2312"/>
                <w:b/>
                <w:bCs/>
                <w:color w:val="auto"/>
                <w:sz w:val="20"/>
                <w:szCs w:val="20"/>
              </w:rPr>
            </w:pPr>
          </w:p>
        </w:tc>
        <w:tc>
          <w:tcPr>
            <w:tcW w:w="1080" w:type="dxa"/>
            <w:vMerge w:val="continue"/>
            <w:tcBorders>
              <w:left w:val="nil"/>
              <w:right w:val="single" w:color="auto" w:sz="4" w:space="0"/>
            </w:tcBorders>
            <w:vAlign w:val="center"/>
          </w:tcPr>
          <w:p>
            <w:pPr>
              <w:spacing w:line="260" w:lineRule="exact"/>
              <w:jc w:val="left"/>
              <w:rPr>
                <w:rFonts w:eastAsia="仿宋_GB2312"/>
                <w:b/>
                <w:bCs/>
                <w:color w:val="auto"/>
                <w:sz w:val="20"/>
                <w:szCs w:val="20"/>
              </w:rPr>
            </w:pPr>
          </w:p>
        </w:tc>
        <w:tc>
          <w:tcPr>
            <w:tcW w:w="1080" w:type="dxa"/>
            <w:vMerge w:val="continue"/>
            <w:tcBorders>
              <w:left w:val="nil"/>
              <w:right w:val="single" w:color="auto" w:sz="4" w:space="0"/>
            </w:tcBorders>
            <w:vAlign w:val="center"/>
          </w:tcPr>
          <w:p>
            <w:pPr>
              <w:spacing w:line="260" w:lineRule="exact"/>
              <w:jc w:val="left"/>
              <w:rPr>
                <w:rFonts w:eastAsia="仿宋_GB2312"/>
                <w:b/>
                <w:bCs/>
                <w:color w:val="auto"/>
                <w:sz w:val="20"/>
                <w:szCs w:val="20"/>
              </w:rPr>
            </w:pPr>
          </w:p>
        </w:tc>
        <w:tc>
          <w:tcPr>
            <w:tcW w:w="239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708"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709"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81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239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993"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708"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709"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c>
          <w:tcPr>
            <w:tcW w:w="81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r>
      <w:tr>
        <w:tblPrEx>
          <w:tblCellMar>
            <w:top w:w="0" w:type="dxa"/>
            <w:left w:w="108" w:type="dxa"/>
            <w:bottom w:w="0" w:type="dxa"/>
            <w:right w:w="108" w:type="dxa"/>
          </w:tblCellMar>
        </w:tblPrEx>
        <w:trPr>
          <w:jc w:val="center"/>
        </w:trPr>
        <w:tc>
          <w:tcPr>
            <w:tcW w:w="7620" w:type="dxa"/>
            <w:gridSpan w:val="6"/>
            <w:tcBorders>
              <w:top w:val="single" w:color="auto" w:sz="4" w:space="0"/>
              <w:left w:val="single" w:color="auto" w:sz="4" w:space="0"/>
              <w:bottom w:val="single" w:color="auto" w:sz="4" w:space="0"/>
              <w:right w:val="single" w:color="000000" w:sz="4" w:space="0"/>
            </w:tcBorders>
            <w:vAlign w:val="center"/>
          </w:tcPr>
          <w:p>
            <w:pPr>
              <w:widowControl/>
              <w:spacing w:line="260" w:lineRule="exact"/>
              <w:jc w:val="center"/>
              <w:rPr>
                <w:rFonts w:eastAsia="仿宋_GB2312"/>
                <w:b/>
                <w:bCs/>
                <w:color w:val="auto"/>
                <w:sz w:val="20"/>
                <w:szCs w:val="20"/>
              </w:rPr>
            </w:pPr>
            <w:r>
              <w:rPr>
                <w:rFonts w:eastAsia="仿宋_GB2312"/>
                <w:b/>
                <w:bCs/>
                <w:color w:val="auto"/>
                <w:sz w:val="20"/>
                <w:szCs w:val="20"/>
              </w:rPr>
              <w:t>总分</w:t>
            </w:r>
          </w:p>
        </w:tc>
        <w:tc>
          <w:tcPr>
            <w:tcW w:w="708" w:type="dxa"/>
            <w:tcBorders>
              <w:top w:val="nil"/>
              <w:left w:val="nil"/>
              <w:bottom w:val="single" w:color="auto" w:sz="4" w:space="0"/>
              <w:right w:val="single" w:color="auto" w:sz="4" w:space="0"/>
            </w:tcBorders>
            <w:vAlign w:val="center"/>
          </w:tcPr>
          <w:p>
            <w:pPr>
              <w:widowControl/>
              <w:spacing w:line="260" w:lineRule="exact"/>
              <w:jc w:val="center"/>
              <w:rPr>
                <w:rFonts w:eastAsia="仿宋_GB2312"/>
                <w:b/>
                <w:bCs/>
                <w:color w:val="auto"/>
                <w:sz w:val="20"/>
                <w:szCs w:val="20"/>
              </w:rPr>
            </w:pPr>
            <w:r>
              <w:rPr>
                <w:rFonts w:eastAsia="仿宋_GB2312"/>
                <w:b/>
                <w:bCs/>
                <w:color w:val="auto"/>
                <w:sz w:val="20"/>
                <w:szCs w:val="20"/>
              </w:rPr>
              <w:t>100</w:t>
            </w:r>
          </w:p>
        </w:tc>
        <w:tc>
          <w:tcPr>
            <w:tcW w:w="709"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r>
              <w:rPr>
                <w:rFonts w:hint="eastAsia" w:eastAsia="仿宋_GB2312"/>
                <w:b/>
                <w:bCs/>
                <w:color w:val="auto"/>
                <w:sz w:val="20"/>
                <w:szCs w:val="20"/>
              </w:rPr>
              <w:t>98</w:t>
            </w:r>
          </w:p>
        </w:tc>
        <w:tc>
          <w:tcPr>
            <w:tcW w:w="814" w:type="dxa"/>
            <w:tcBorders>
              <w:top w:val="nil"/>
              <w:left w:val="nil"/>
              <w:bottom w:val="single" w:color="auto" w:sz="4" w:space="0"/>
              <w:right w:val="single" w:color="auto" w:sz="4" w:space="0"/>
            </w:tcBorders>
            <w:vAlign w:val="center"/>
          </w:tcPr>
          <w:p>
            <w:pPr>
              <w:widowControl/>
              <w:spacing w:line="260" w:lineRule="exact"/>
              <w:jc w:val="left"/>
              <w:rPr>
                <w:rFonts w:eastAsia="仿宋_GB2312"/>
                <w:b/>
                <w:bCs/>
                <w:color w:val="auto"/>
                <w:sz w:val="20"/>
                <w:szCs w:val="20"/>
              </w:rPr>
            </w:pPr>
            <w:r>
              <w:rPr>
                <w:rFonts w:eastAsia="仿宋_GB2312"/>
                <w:b/>
                <w:bCs/>
                <w:color w:val="auto"/>
                <w:sz w:val="20"/>
                <w:szCs w:val="20"/>
              </w:rPr>
              <w:t>　</w:t>
            </w:r>
          </w:p>
        </w:tc>
      </w:tr>
    </w:tbl>
    <w:p>
      <w:pPr>
        <w:rPr>
          <w:rFonts w:ascii="新宋体" w:hAnsi="新宋体" w:eastAsia="新宋体" w:cs="新宋体"/>
          <w:b/>
          <w:bCs/>
          <w:color w:val="auto"/>
          <w:szCs w:val="21"/>
        </w:rPr>
      </w:pPr>
      <w:r>
        <w:rPr>
          <w:rFonts w:hint="eastAsia" w:ascii="新宋体" w:hAnsi="新宋体" w:eastAsia="新宋体" w:cs="新宋体"/>
          <w:b/>
          <w:bCs/>
          <w:color w:val="auto"/>
          <w:szCs w:val="21"/>
        </w:rPr>
        <w:t>备注：一个一级项目支出一张表。如，业务工作经费，运行维护经费，XX项目资金…各一张表。</w:t>
      </w:r>
    </w:p>
    <w:p>
      <w:pPr>
        <w:pStyle w:val="2"/>
        <w:rPr>
          <w:b/>
          <w:bCs/>
          <w:color w:val="auto"/>
        </w:rPr>
      </w:pPr>
    </w:p>
    <w:p>
      <w:pPr>
        <w:rPr>
          <w:b/>
          <w:bCs/>
          <w:color w:val="auto"/>
        </w:rPr>
      </w:pPr>
    </w:p>
    <w:p>
      <w:pPr>
        <w:jc w:val="left"/>
        <w:rPr>
          <w:rFonts w:ascii="新宋体" w:hAnsi="新宋体" w:eastAsia="新宋体" w:cs="新宋体"/>
          <w:b/>
          <w:bCs/>
          <w:color w:val="auto"/>
          <w:szCs w:val="21"/>
        </w:rPr>
      </w:pPr>
      <w:r>
        <w:rPr>
          <w:rFonts w:hint="eastAsia" w:ascii="新宋体" w:hAnsi="新宋体" w:eastAsia="新宋体" w:cs="新宋体"/>
          <w:b/>
          <w:bCs/>
          <w:color w:val="auto"/>
          <w:szCs w:val="21"/>
        </w:rPr>
        <w:t>填表人：        填报日期：          联系电话：           单位负责人签字：</w:t>
      </w:r>
    </w:p>
    <w:p>
      <w:pPr>
        <w:jc w:val="left"/>
        <w:outlineLvl w:val="0"/>
        <w:rPr>
          <w:rFonts w:ascii="新宋体" w:hAnsi="新宋体" w:eastAsia="新宋体" w:cs="新宋体"/>
          <w:b/>
          <w:bCs/>
          <w:color w:val="auto"/>
          <w:szCs w:val="21"/>
        </w:rPr>
        <w:sectPr>
          <w:pgSz w:w="11906" w:h="16838"/>
          <w:pgMar w:top="1701" w:right="1417" w:bottom="1417" w:left="1417" w:header="851" w:footer="992" w:gutter="0"/>
          <w:cols w:space="0" w:num="1"/>
          <w:docGrid w:type="lines" w:linePitch="312" w:charSpace="0"/>
        </w:sectPr>
      </w:pPr>
    </w:p>
    <w:p>
      <w:pPr>
        <w:rPr>
          <w:rFonts w:ascii="黑体" w:hAnsi="黑体" w:eastAsia="黑体" w:cs="黑体"/>
          <w:b/>
          <w:bCs/>
          <w:color w:val="auto"/>
          <w:sz w:val="32"/>
          <w:szCs w:val="32"/>
        </w:rPr>
      </w:pPr>
      <w:r>
        <w:rPr>
          <w:rFonts w:hint="eastAsia" w:ascii="黑体" w:hAnsi="黑体" w:eastAsia="黑体" w:cs="黑体"/>
          <w:b/>
          <w:bCs/>
          <w:color w:val="auto"/>
          <w:sz w:val="32"/>
          <w:szCs w:val="32"/>
        </w:rPr>
        <w:t>附件6</w:t>
      </w:r>
    </w:p>
    <w:p>
      <w:pPr>
        <w:jc w:val="center"/>
        <w:rPr>
          <w:rFonts w:eastAsia="方正小标宋_GBK"/>
          <w:b/>
          <w:bCs/>
          <w:color w:val="auto"/>
          <w:sz w:val="52"/>
          <w:szCs w:val="52"/>
        </w:rPr>
      </w:pPr>
    </w:p>
    <w:p>
      <w:pPr>
        <w:jc w:val="center"/>
        <w:rPr>
          <w:rFonts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b/>
          <w:bCs/>
          <w:color w:val="auto"/>
          <w:sz w:val="44"/>
          <w:szCs w:val="44"/>
        </w:rPr>
        <w:t>2022年度华容县行政审批服务局</w:t>
      </w:r>
    </w:p>
    <w:p>
      <w:pPr>
        <w:jc w:val="center"/>
        <w:rPr>
          <w:rFonts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b/>
          <w:bCs/>
          <w:color w:val="auto"/>
          <w:sz w:val="44"/>
          <w:szCs w:val="44"/>
        </w:rPr>
        <w:t>县级专项资金（业务工作经费）</w:t>
      </w:r>
    </w:p>
    <w:p>
      <w:pPr>
        <w:jc w:val="center"/>
        <w:rPr>
          <w:rFonts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b/>
          <w:bCs/>
          <w:color w:val="auto"/>
          <w:sz w:val="44"/>
          <w:szCs w:val="44"/>
        </w:rPr>
        <w:t>绩效自评报告</w:t>
      </w:r>
    </w:p>
    <w:p>
      <w:pPr>
        <w:jc w:val="center"/>
        <w:rPr>
          <w:rFonts w:eastAsia="方正小标宋_GBK"/>
          <w:b/>
          <w:bCs/>
          <w:color w:val="auto"/>
          <w:sz w:val="52"/>
          <w:szCs w:val="52"/>
        </w:rPr>
      </w:pPr>
    </w:p>
    <w:p>
      <w:pPr>
        <w:jc w:val="center"/>
        <w:rPr>
          <w:rFonts w:eastAsia="楷体_GB2312"/>
          <w:b/>
          <w:bCs/>
          <w:color w:val="auto"/>
          <w:sz w:val="32"/>
          <w:szCs w:val="32"/>
        </w:rPr>
      </w:pPr>
    </w:p>
    <w:p>
      <w:pPr>
        <w:jc w:val="center"/>
        <w:rPr>
          <w:rFonts w:eastAsia="楷体_GB2312"/>
          <w:b/>
          <w:bCs/>
          <w:color w:val="auto"/>
          <w:sz w:val="32"/>
          <w:szCs w:val="32"/>
        </w:rPr>
      </w:pPr>
    </w:p>
    <w:p>
      <w:pPr>
        <w:jc w:val="center"/>
        <w:rPr>
          <w:rFonts w:eastAsia="楷体_GB2312"/>
          <w:b/>
          <w:bCs/>
          <w:color w:val="auto"/>
          <w:sz w:val="32"/>
          <w:szCs w:val="32"/>
        </w:rPr>
      </w:pPr>
    </w:p>
    <w:p>
      <w:pPr>
        <w:jc w:val="center"/>
        <w:rPr>
          <w:rFonts w:eastAsia="楷体_GB2312"/>
          <w:b/>
          <w:bCs/>
          <w:color w:val="auto"/>
          <w:sz w:val="32"/>
          <w:szCs w:val="32"/>
        </w:rPr>
      </w:pPr>
    </w:p>
    <w:p>
      <w:pPr>
        <w:jc w:val="center"/>
        <w:rPr>
          <w:rFonts w:eastAsia="黑体"/>
          <w:b/>
          <w:bCs/>
          <w:color w:val="auto"/>
          <w:sz w:val="32"/>
          <w:szCs w:val="32"/>
        </w:rPr>
      </w:pPr>
    </w:p>
    <w:p>
      <w:pPr>
        <w:jc w:val="center"/>
        <w:rPr>
          <w:rFonts w:eastAsia="黑体"/>
          <w:b/>
          <w:bCs/>
          <w:color w:val="auto"/>
          <w:sz w:val="32"/>
          <w:szCs w:val="32"/>
        </w:rPr>
      </w:pPr>
    </w:p>
    <w:p>
      <w:pPr>
        <w:rPr>
          <w:rFonts w:eastAsia="黑体"/>
          <w:b/>
          <w:bCs/>
          <w:color w:val="auto"/>
          <w:sz w:val="32"/>
          <w:szCs w:val="32"/>
        </w:rPr>
      </w:pPr>
    </w:p>
    <w:p>
      <w:pPr>
        <w:rPr>
          <w:rFonts w:eastAsia="黑体"/>
          <w:b/>
          <w:bCs/>
          <w:color w:val="auto"/>
          <w:sz w:val="32"/>
          <w:szCs w:val="32"/>
        </w:rPr>
      </w:pPr>
    </w:p>
    <w:p>
      <w:pPr>
        <w:spacing w:line="600" w:lineRule="exact"/>
        <w:jc w:val="center"/>
        <w:rPr>
          <w:rFonts w:eastAsia="仿宋_GB2312"/>
          <w:b/>
          <w:bCs/>
          <w:color w:val="auto"/>
          <w:sz w:val="32"/>
          <w:szCs w:val="32"/>
          <w:u w:val="single"/>
        </w:rPr>
      </w:pPr>
      <w:r>
        <w:rPr>
          <w:rFonts w:eastAsia="仿宋_GB2312"/>
          <w:b/>
          <w:bCs/>
          <w:color w:val="auto"/>
          <w:sz w:val="32"/>
          <w:szCs w:val="32"/>
        </w:rPr>
        <w:t>部门（单位）名称：</w:t>
      </w:r>
      <w:r>
        <w:rPr>
          <w:rFonts w:eastAsia="仿宋_GB2312"/>
          <w:b/>
          <w:bCs/>
          <w:color w:val="auto"/>
          <w:sz w:val="32"/>
          <w:szCs w:val="32"/>
          <w:u w:val="single"/>
        </w:rPr>
        <w:t>（盖章）</w:t>
      </w:r>
    </w:p>
    <w:p>
      <w:pPr>
        <w:spacing w:line="600" w:lineRule="exact"/>
        <w:jc w:val="center"/>
        <w:rPr>
          <w:rFonts w:eastAsia="楷体_GB2312"/>
          <w:b/>
          <w:bCs/>
          <w:color w:val="auto"/>
          <w:sz w:val="32"/>
          <w:szCs w:val="32"/>
        </w:rPr>
      </w:pPr>
      <w:r>
        <w:rPr>
          <w:rFonts w:eastAsia="楷体_GB2312"/>
          <w:b/>
          <w:bCs/>
          <w:color w:val="auto"/>
          <w:sz w:val="32"/>
          <w:szCs w:val="32"/>
        </w:rPr>
        <w:t>年  月  日</w:t>
      </w:r>
    </w:p>
    <w:p>
      <w:pPr>
        <w:jc w:val="center"/>
        <w:rPr>
          <w:rFonts w:eastAsia="仿宋_GB2312"/>
          <w:b/>
          <w:bCs/>
          <w:color w:val="auto"/>
          <w:sz w:val="32"/>
          <w:szCs w:val="32"/>
        </w:rPr>
      </w:pPr>
      <w:r>
        <w:rPr>
          <w:rFonts w:eastAsia="仿宋_GB2312"/>
          <w:b/>
          <w:bCs/>
          <w:color w:val="auto"/>
          <w:sz w:val="32"/>
          <w:szCs w:val="32"/>
        </w:rPr>
        <w:t>（此页为封面）</w:t>
      </w:r>
    </w:p>
    <w:p>
      <w:pPr>
        <w:jc w:val="center"/>
        <w:rPr>
          <w:rFonts w:ascii="方正小标宋简体" w:hAnsi="方正小标宋简体" w:eastAsia="方正小标宋简体" w:cs="方正小标宋简体"/>
          <w:b/>
          <w:bCs/>
          <w:color w:val="auto"/>
          <w:sz w:val="44"/>
          <w:szCs w:val="44"/>
        </w:rPr>
      </w:pPr>
      <w:r>
        <w:rPr>
          <w:rFonts w:eastAsia="仿宋_GB2312"/>
          <w:b/>
          <w:bCs/>
          <w:color w:val="auto"/>
          <w:sz w:val="32"/>
          <w:szCs w:val="32"/>
        </w:rPr>
        <w:br w:type="page"/>
      </w:r>
      <w:r>
        <w:rPr>
          <w:rFonts w:hint="eastAsia" w:ascii="方正小标宋简体" w:hAnsi="方正小标宋简体" w:eastAsia="方正小标宋简体" w:cs="方正小标宋简体"/>
          <w:b/>
          <w:bCs/>
          <w:color w:val="auto"/>
          <w:sz w:val="44"/>
          <w:szCs w:val="44"/>
        </w:rPr>
        <w:t>2022年度华容县行政审批服务局</w:t>
      </w:r>
    </w:p>
    <w:p>
      <w:pPr>
        <w:jc w:val="center"/>
        <w:rPr>
          <w:rFonts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b/>
          <w:bCs/>
          <w:color w:val="auto"/>
          <w:sz w:val="44"/>
          <w:szCs w:val="44"/>
        </w:rPr>
        <w:t>县级专项资金（业务工作经费）</w:t>
      </w:r>
    </w:p>
    <w:p>
      <w:pPr>
        <w:jc w:val="center"/>
        <w:rPr>
          <w:rFonts w:eastAsia="仿宋_GB2312"/>
          <w:b/>
          <w:bCs/>
          <w:color w:val="auto"/>
          <w:sz w:val="32"/>
          <w:szCs w:val="32"/>
        </w:rPr>
      </w:pPr>
      <w:r>
        <w:rPr>
          <w:rFonts w:hint="eastAsia" w:ascii="方正小标宋简体" w:hAnsi="方正小标宋简体" w:eastAsia="方正小标宋简体" w:cs="方正小标宋简体"/>
          <w:b/>
          <w:bCs/>
          <w:color w:val="auto"/>
          <w:sz w:val="44"/>
          <w:szCs w:val="44"/>
        </w:rPr>
        <w:t>绩效自评报告</w:t>
      </w:r>
    </w:p>
    <w:p>
      <w:pPr>
        <w:spacing w:line="610" w:lineRule="exact"/>
        <w:ind w:firstLine="602" w:firstLineChars="200"/>
        <w:rPr>
          <w:rFonts w:ascii="黑体" w:hAnsi="黑体" w:eastAsia="黑体" w:cs="黑体"/>
          <w:b/>
          <w:bCs/>
          <w:color w:val="auto"/>
          <w:sz w:val="30"/>
          <w:szCs w:val="30"/>
        </w:rPr>
      </w:pPr>
    </w:p>
    <w:p>
      <w:pPr>
        <w:spacing w:line="610" w:lineRule="exact"/>
        <w:ind w:firstLine="602" w:firstLineChars="200"/>
        <w:rPr>
          <w:rFonts w:ascii="黑体" w:hAnsi="黑体" w:eastAsia="黑体" w:cs="黑体"/>
          <w:b/>
          <w:bCs/>
          <w:color w:val="auto"/>
          <w:sz w:val="30"/>
          <w:szCs w:val="30"/>
        </w:rPr>
      </w:pPr>
      <w:r>
        <w:rPr>
          <w:rFonts w:hint="eastAsia" w:ascii="黑体" w:hAnsi="黑体" w:eastAsia="黑体" w:cs="黑体"/>
          <w:b/>
          <w:bCs/>
          <w:color w:val="auto"/>
          <w:sz w:val="30"/>
          <w:szCs w:val="30"/>
        </w:rPr>
        <w:t>一、基本情况</w:t>
      </w:r>
    </w:p>
    <w:p>
      <w:pPr>
        <w:spacing w:line="610" w:lineRule="exact"/>
        <w:ind w:firstLine="602" w:firstLineChars="200"/>
        <w:rPr>
          <w:rFonts w:eastAsia="仿宋_GB2312"/>
          <w:b/>
          <w:bCs/>
          <w:color w:val="auto"/>
          <w:sz w:val="30"/>
          <w:szCs w:val="30"/>
        </w:rPr>
      </w:pPr>
      <w:r>
        <w:rPr>
          <w:rFonts w:hint="eastAsia" w:eastAsia="仿宋_GB2312"/>
          <w:b/>
          <w:bCs/>
          <w:color w:val="auto"/>
          <w:sz w:val="30"/>
          <w:szCs w:val="30"/>
        </w:rPr>
        <w:t>(一)项目概况。</w:t>
      </w:r>
    </w:p>
    <w:p>
      <w:pPr>
        <w:spacing w:line="610" w:lineRule="exact"/>
        <w:ind w:firstLine="602" w:firstLineChars="200"/>
        <w:rPr>
          <w:rFonts w:eastAsia="仿宋_GB2312"/>
          <w:b/>
          <w:bCs/>
          <w:color w:val="auto"/>
          <w:sz w:val="30"/>
          <w:szCs w:val="30"/>
        </w:rPr>
      </w:pPr>
      <w:r>
        <w:rPr>
          <w:rFonts w:hint="eastAsia" w:eastAsia="仿宋_GB2312"/>
          <w:b/>
          <w:bCs/>
          <w:color w:val="auto"/>
          <w:sz w:val="30"/>
          <w:szCs w:val="30"/>
        </w:rPr>
        <w:t>2022年单位县级专项资金（</w:t>
      </w:r>
      <w:r>
        <w:rPr>
          <w:rFonts w:hint="eastAsia" w:ascii="宋体" w:hAnsi="宋体" w:cs="宋体"/>
          <w:b/>
          <w:bCs/>
          <w:color w:val="auto"/>
          <w:sz w:val="30"/>
          <w:szCs w:val="30"/>
        </w:rPr>
        <w:t>业</w:t>
      </w:r>
      <w:r>
        <w:rPr>
          <w:rFonts w:hint="eastAsia" w:ascii="___WRD_EMBED_SUB_40" w:hAnsi="___WRD_EMBED_SUB_40" w:eastAsia="___WRD_EMBED_SUB_40" w:cs="___WRD_EMBED_SUB_40"/>
          <w:b/>
          <w:bCs/>
          <w:color w:val="auto"/>
          <w:sz w:val="30"/>
          <w:szCs w:val="30"/>
        </w:rPr>
        <w:t>务工作经费</w:t>
      </w:r>
      <w:r>
        <w:rPr>
          <w:rFonts w:hint="eastAsia" w:eastAsia="仿宋_GB2312"/>
          <w:b/>
          <w:bCs/>
          <w:color w:val="auto"/>
          <w:sz w:val="30"/>
          <w:szCs w:val="30"/>
        </w:rPr>
        <w:t>）收入864.16万元，项目支出864.16万元，主要用</w:t>
      </w:r>
      <w:r>
        <w:rPr>
          <w:rFonts w:hint="eastAsia" w:ascii="宋体" w:hAnsi="宋体" w:cs="宋体"/>
          <w:b/>
          <w:bCs/>
          <w:color w:val="auto"/>
          <w:sz w:val="32"/>
          <w:szCs w:val="32"/>
        </w:rPr>
        <w:t>平台建设运行维护、大厅</w:t>
      </w:r>
      <w:r>
        <w:rPr>
          <w:rFonts w:hint="eastAsia" w:eastAsia="仿宋_GB2312"/>
          <w:b/>
          <w:bCs/>
          <w:color w:val="auto"/>
          <w:sz w:val="32"/>
          <w:szCs w:val="32"/>
        </w:rPr>
        <w:t>运转等</w:t>
      </w:r>
      <w:r>
        <w:rPr>
          <w:rFonts w:hint="eastAsia" w:ascii="宋体" w:hAnsi="宋体" w:cs="宋体"/>
          <w:b/>
          <w:bCs/>
          <w:color w:val="auto"/>
          <w:sz w:val="32"/>
          <w:szCs w:val="32"/>
        </w:rPr>
        <w:t>专</w:t>
      </w:r>
      <w:r>
        <w:rPr>
          <w:rFonts w:hint="eastAsia" w:ascii="___WRD_EMBED_SUB_40" w:hAnsi="___WRD_EMBED_SUB_40" w:eastAsia="___WRD_EMBED_SUB_40" w:cs="___WRD_EMBED_SUB_40"/>
          <w:b/>
          <w:bCs/>
          <w:color w:val="auto"/>
          <w:sz w:val="32"/>
          <w:szCs w:val="32"/>
        </w:rPr>
        <w:t>项支出</w:t>
      </w:r>
      <w:r>
        <w:rPr>
          <w:rFonts w:hint="eastAsia" w:eastAsia="仿宋_GB2312"/>
          <w:b/>
          <w:bCs/>
          <w:color w:val="auto"/>
          <w:sz w:val="30"/>
          <w:szCs w:val="30"/>
        </w:rPr>
        <w:t>。</w:t>
      </w:r>
    </w:p>
    <w:p>
      <w:pPr>
        <w:spacing w:line="610" w:lineRule="exact"/>
        <w:ind w:firstLine="602" w:firstLineChars="200"/>
        <w:rPr>
          <w:rFonts w:eastAsia="仿宋_GB2312"/>
          <w:b/>
          <w:bCs/>
          <w:color w:val="auto"/>
          <w:sz w:val="30"/>
          <w:szCs w:val="30"/>
        </w:rPr>
      </w:pPr>
      <w:r>
        <w:rPr>
          <w:rFonts w:hint="eastAsia" w:eastAsia="仿宋_GB2312"/>
          <w:b/>
          <w:bCs/>
          <w:color w:val="auto"/>
          <w:sz w:val="30"/>
          <w:szCs w:val="30"/>
        </w:rPr>
        <w:t xml:space="preserve"> (二)项目绩效目标。包括总体目标和阶段性目标。</w:t>
      </w:r>
    </w:p>
    <w:p>
      <w:pPr>
        <w:spacing w:line="610" w:lineRule="exact"/>
        <w:ind w:firstLine="602" w:firstLineChars="200"/>
        <w:rPr>
          <w:rFonts w:ascii="黑体" w:hAnsi="黑体" w:eastAsia="黑体" w:cs="黑体"/>
          <w:b/>
          <w:bCs/>
          <w:color w:val="auto"/>
          <w:sz w:val="30"/>
          <w:szCs w:val="30"/>
        </w:rPr>
      </w:pPr>
      <w:r>
        <w:rPr>
          <w:rFonts w:hint="eastAsia" w:eastAsia="仿宋_GB2312"/>
          <w:b/>
          <w:bCs/>
          <w:color w:val="auto"/>
          <w:sz w:val="30"/>
          <w:szCs w:val="30"/>
        </w:rPr>
        <w:t>2022年单位项目资金支</w:t>
      </w:r>
      <w:r>
        <w:rPr>
          <w:rFonts w:hint="eastAsia" w:ascii="宋体" w:hAnsi="宋体" w:cs="宋体"/>
          <w:b/>
          <w:bCs/>
          <w:color w:val="auto"/>
          <w:sz w:val="30"/>
          <w:szCs w:val="30"/>
        </w:rPr>
        <w:t>付都</w:t>
      </w:r>
      <w:r>
        <w:rPr>
          <w:rFonts w:hint="eastAsia" w:ascii="___WRD_EMBED_SUB_40" w:hAnsi="___WRD_EMBED_SUB_40" w:eastAsia="___WRD_EMBED_SUB_40" w:cs="___WRD_EMBED_SUB_40"/>
          <w:b/>
          <w:bCs/>
          <w:color w:val="auto"/>
          <w:sz w:val="30"/>
          <w:szCs w:val="30"/>
        </w:rPr>
        <w:t>是按照预算执行，实行</w:t>
      </w:r>
      <w:r>
        <w:rPr>
          <w:rFonts w:hint="eastAsia" w:ascii="宋体" w:hAnsi="宋体" w:cs="宋体"/>
          <w:b/>
          <w:bCs/>
          <w:color w:val="auto"/>
          <w:sz w:val="30"/>
          <w:szCs w:val="30"/>
        </w:rPr>
        <w:t>专</w:t>
      </w:r>
      <w:r>
        <w:rPr>
          <w:rFonts w:hint="eastAsia" w:ascii="___WRD_EMBED_SUB_40" w:hAnsi="___WRD_EMBED_SUB_40" w:eastAsia="___WRD_EMBED_SUB_40" w:cs="___WRD_EMBED_SUB_40"/>
          <w:b/>
          <w:bCs/>
          <w:color w:val="auto"/>
          <w:sz w:val="30"/>
          <w:szCs w:val="30"/>
        </w:rPr>
        <w:t>款</w:t>
      </w:r>
      <w:r>
        <w:rPr>
          <w:rFonts w:hint="eastAsia" w:ascii="宋体" w:hAnsi="宋体" w:cs="宋体"/>
          <w:b/>
          <w:bCs/>
          <w:color w:val="auto"/>
          <w:sz w:val="30"/>
          <w:szCs w:val="30"/>
        </w:rPr>
        <w:t>专</w:t>
      </w:r>
      <w:r>
        <w:rPr>
          <w:rFonts w:hint="eastAsia" w:ascii="___WRD_EMBED_SUB_40" w:hAnsi="___WRD_EMBED_SUB_40" w:eastAsia="___WRD_EMBED_SUB_40" w:cs="___WRD_EMBED_SUB_40"/>
          <w:b/>
          <w:bCs/>
          <w:color w:val="auto"/>
          <w:sz w:val="30"/>
          <w:szCs w:val="30"/>
        </w:rPr>
        <w:t>用，项目实施完成后，达到了预期经济效益及社会效益，</w:t>
      </w:r>
      <w:r>
        <w:rPr>
          <w:rFonts w:hint="eastAsia" w:ascii="宋体" w:hAnsi="宋体" w:cs="宋体"/>
          <w:b/>
          <w:bCs/>
          <w:color w:val="auto"/>
          <w:sz w:val="30"/>
          <w:szCs w:val="30"/>
        </w:rPr>
        <w:t>圆</w:t>
      </w:r>
      <w:r>
        <w:rPr>
          <w:rFonts w:hint="eastAsia" w:ascii="___WRD_EMBED_SUB_40" w:hAnsi="___WRD_EMBED_SUB_40" w:eastAsia="___WRD_EMBED_SUB_40" w:cs="___WRD_EMBED_SUB_40"/>
          <w:b/>
          <w:bCs/>
          <w:color w:val="auto"/>
          <w:sz w:val="30"/>
          <w:szCs w:val="30"/>
        </w:rPr>
        <w:t>满的完成了</w:t>
      </w:r>
      <w:r>
        <w:rPr>
          <w:rFonts w:hint="eastAsia" w:ascii="宋体" w:hAnsi="宋体" w:cs="宋体"/>
          <w:b/>
          <w:bCs/>
          <w:color w:val="auto"/>
          <w:sz w:val="30"/>
          <w:szCs w:val="30"/>
        </w:rPr>
        <w:t>各</w:t>
      </w:r>
      <w:r>
        <w:rPr>
          <w:rFonts w:hint="eastAsia" w:ascii="___WRD_EMBED_SUB_40" w:hAnsi="___WRD_EMBED_SUB_40" w:eastAsia="___WRD_EMBED_SUB_40" w:cs="___WRD_EMBED_SUB_40"/>
          <w:b/>
          <w:bCs/>
          <w:color w:val="auto"/>
          <w:sz w:val="30"/>
          <w:szCs w:val="30"/>
        </w:rPr>
        <w:t>项</w:t>
      </w:r>
      <w:r>
        <w:rPr>
          <w:rFonts w:hint="eastAsia" w:ascii="宋体" w:hAnsi="宋体" w:cs="宋体"/>
          <w:b/>
          <w:bCs/>
          <w:color w:val="auto"/>
          <w:sz w:val="30"/>
          <w:szCs w:val="30"/>
        </w:rPr>
        <w:t>任</w:t>
      </w:r>
      <w:r>
        <w:rPr>
          <w:rFonts w:hint="eastAsia" w:ascii="___WRD_EMBED_SUB_40" w:hAnsi="___WRD_EMBED_SUB_40" w:eastAsia="___WRD_EMBED_SUB_40" w:cs="___WRD_EMBED_SUB_40"/>
          <w:b/>
          <w:bCs/>
          <w:color w:val="auto"/>
          <w:sz w:val="30"/>
          <w:szCs w:val="30"/>
        </w:rPr>
        <w:t>务</w:t>
      </w:r>
      <w:r>
        <w:rPr>
          <w:rFonts w:hint="eastAsia" w:eastAsia="仿宋_GB2312"/>
          <w:b/>
          <w:bCs/>
          <w:color w:val="auto"/>
          <w:sz w:val="30"/>
          <w:szCs w:val="30"/>
        </w:rPr>
        <w:t>。</w:t>
      </w:r>
    </w:p>
    <w:p>
      <w:pPr>
        <w:spacing w:line="610" w:lineRule="exact"/>
        <w:ind w:firstLine="602" w:firstLineChars="200"/>
        <w:rPr>
          <w:rFonts w:ascii="黑体" w:hAnsi="黑体" w:eastAsia="黑体" w:cs="黑体"/>
          <w:b/>
          <w:bCs/>
          <w:color w:val="auto"/>
          <w:sz w:val="30"/>
          <w:szCs w:val="30"/>
        </w:rPr>
      </w:pPr>
      <w:r>
        <w:rPr>
          <w:rFonts w:hint="eastAsia" w:ascii="黑体" w:hAnsi="黑体" w:eastAsia="黑体" w:cs="黑体"/>
          <w:b/>
          <w:bCs/>
          <w:color w:val="auto"/>
          <w:sz w:val="30"/>
          <w:szCs w:val="30"/>
        </w:rPr>
        <w:t>二、绩效评价工作开展情况</w:t>
      </w:r>
    </w:p>
    <w:p>
      <w:pPr>
        <w:spacing w:line="610" w:lineRule="exact"/>
        <w:ind w:firstLine="602" w:firstLineChars="200"/>
        <w:rPr>
          <w:rFonts w:eastAsia="仿宋_GB2312"/>
          <w:b/>
          <w:bCs/>
          <w:color w:val="auto"/>
          <w:sz w:val="30"/>
          <w:szCs w:val="30"/>
        </w:rPr>
      </w:pPr>
      <w:r>
        <w:rPr>
          <w:rFonts w:hint="eastAsia" w:eastAsia="仿宋_GB2312"/>
          <w:b/>
          <w:bCs/>
          <w:color w:val="auto"/>
          <w:sz w:val="30"/>
          <w:szCs w:val="30"/>
        </w:rPr>
        <w:t>(一)绩效评价目的、对象和范围。</w:t>
      </w:r>
    </w:p>
    <w:p>
      <w:pPr>
        <w:spacing w:line="610" w:lineRule="exact"/>
        <w:ind w:firstLine="602" w:firstLineChars="200"/>
        <w:rPr>
          <w:rFonts w:ascii="___WRD_EMBED_SUB_40" w:hAnsi="___WRD_EMBED_SUB_40" w:eastAsia="___WRD_EMBED_SUB_40" w:cs="___WRD_EMBED_SUB_40"/>
          <w:b/>
          <w:bCs/>
          <w:color w:val="auto"/>
          <w:sz w:val="30"/>
          <w:szCs w:val="30"/>
        </w:rPr>
      </w:pPr>
      <w:r>
        <w:rPr>
          <w:rFonts w:eastAsia="仿宋_GB2312"/>
          <w:b/>
          <w:bCs/>
          <w:color w:val="auto"/>
          <w:sz w:val="30"/>
          <w:szCs w:val="30"/>
        </w:rPr>
        <w:t>20</w:t>
      </w:r>
      <w:r>
        <w:rPr>
          <w:rFonts w:hint="eastAsia" w:eastAsia="仿宋_GB2312"/>
          <w:b/>
          <w:bCs/>
          <w:color w:val="auto"/>
          <w:sz w:val="30"/>
          <w:szCs w:val="30"/>
        </w:rPr>
        <w:t>22年度预算</w:t>
      </w:r>
      <w:r>
        <w:rPr>
          <w:rFonts w:hint="eastAsia" w:ascii="宋体" w:hAnsi="宋体" w:cs="宋体"/>
          <w:b/>
          <w:bCs/>
          <w:color w:val="auto"/>
          <w:sz w:val="30"/>
          <w:szCs w:val="30"/>
        </w:rPr>
        <w:t>安排</w:t>
      </w:r>
      <w:r>
        <w:rPr>
          <w:rFonts w:hint="eastAsia" w:ascii="___WRD_EMBED_SUB_40" w:hAnsi="___WRD_EMBED_SUB_40" w:eastAsia="___WRD_EMBED_SUB_40" w:cs="___WRD_EMBED_SUB_40"/>
          <w:b/>
          <w:bCs/>
          <w:color w:val="auto"/>
          <w:sz w:val="30"/>
          <w:szCs w:val="30"/>
        </w:rPr>
        <w:t>的项目支出</w:t>
      </w:r>
      <w:r>
        <w:rPr>
          <w:rFonts w:hint="eastAsia" w:ascii="宋体" w:hAnsi="宋体" w:cs="宋体"/>
          <w:b/>
          <w:bCs/>
          <w:color w:val="auto"/>
          <w:sz w:val="30"/>
          <w:szCs w:val="30"/>
        </w:rPr>
        <w:t>自</w:t>
      </w:r>
      <w:r>
        <w:rPr>
          <w:rFonts w:hint="eastAsia" w:ascii="___WRD_EMBED_SUB_40" w:hAnsi="___WRD_EMBED_SUB_40" w:eastAsia="___WRD_EMBED_SUB_40" w:cs="___WRD_EMBED_SUB_40"/>
          <w:b/>
          <w:bCs/>
          <w:color w:val="auto"/>
          <w:sz w:val="30"/>
          <w:szCs w:val="30"/>
        </w:rPr>
        <w:t>行开展</w:t>
      </w:r>
      <w:r>
        <w:rPr>
          <w:rFonts w:hint="eastAsia" w:ascii="宋体" w:hAnsi="宋体" w:cs="宋体"/>
          <w:b/>
          <w:bCs/>
          <w:color w:val="auto"/>
          <w:sz w:val="30"/>
          <w:szCs w:val="30"/>
        </w:rPr>
        <w:t>专</w:t>
      </w:r>
      <w:r>
        <w:rPr>
          <w:rFonts w:hint="eastAsia" w:ascii="___WRD_EMBED_SUB_40" w:hAnsi="___WRD_EMBED_SUB_40" w:eastAsia="___WRD_EMBED_SUB_40" w:cs="___WRD_EMBED_SUB_40"/>
          <w:b/>
          <w:bCs/>
          <w:color w:val="auto"/>
          <w:sz w:val="30"/>
          <w:szCs w:val="30"/>
        </w:rPr>
        <w:t>项绩效</w:t>
      </w:r>
      <w:r>
        <w:rPr>
          <w:rFonts w:hint="eastAsia" w:ascii="宋体" w:hAnsi="宋体" w:cs="宋体"/>
          <w:b/>
          <w:bCs/>
          <w:color w:val="auto"/>
          <w:sz w:val="30"/>
          <w:szCs w:val="30"/>
        </w:rPr>
        <w:t>自</w:t>
      </w:r>
      <w:r>
        <w:rPr>
          <w:rFonts w:hint="eastAsia" w:ascii="___WRD_EMBED_SUB_40" w:hAnsi="___WRD_EMBED_SUB_40" w:eastAsia="___WRD_EMBED_SUB_40" w:cs="___WRD_EMBED_SUB_40"/>
          <w:b/>
          <w:bCs/>
          <w:color w:val="auto"/>
          <w:sz w:val="30"/>
          <w:szCs w:val="30"/>
        </w:rPr>
        <w:t>评，其中对预算安排在</w:t>
      </w:r>
      <w:r>
        <w:rPr>
          <w:rFonts w:ascii="___WRD_EMBED_SUB_40" w:hAnsi="___WRD_EMBED_SUB_40" w:eastAsia="___WRD_EMBED_SUB_40" w:cs="___WRD_EMBED_SUB_40"/>
          <w:b/>
          <w:bCs/>
          <w:color w:val="auto"/>
          <w:sz w:val="30"/>
          <w:szCs w:val="30"/>
        </w:rPr>
        <w:t>50</w:t>
      </w:r>
      <w:r>
        <w:rPr>
          <w:rFonts w:hint="eastAsia" w:ascii="___WRD_EMBED_SUB_40" w:hAnsi="___WRD_EMBED_SUB_40" w:eastAsia="___WRD_EMBED_SUB_40" w:cs="___WRD_EMBED_SUB_40"/>
          <w:b/>
          <w:bCs/>
          <w:color w:val="auto"/>
          <w:sz w:val="30"/>
          <w:szCs w:val="30"/>
        </w:rPr>
        <w:t>万元以上专项作为重点绩效评价</w:t>
      </w:r>
      <w:r>
        <w:rPr>
          <w:rFonts w:hint="eastAsia" w:eastAsia="仿宋_GB2312"/>
          <w:b/>
          <w:bCs/>
          <w:color w:val="auto"/>
          <w:sz w:val="30"/>
          <w:szCs w:val="30"/>
        </w:rPr>
        <w:t>。</w:t>
      </w:r>
    </w:p>
    <w:p>
      <w:pPr>
        <w:spacing w:line="610" w:lineRule="exact"/>
        <w:ind w:firstLine="602" w:firstLineChars="200"/>
        <w:rPr>
          <w:rFonts w:eastAsia="仿宋_GB2312"/>
          <w:b/>
          <w:bCs/>
          <w:color w:val="auto"/>
          <w:sz w:val="30"/>
          <w:szCs w:val="30"/>
        </w:rPr>
      </w:pPr>
      <w:r>
        <w:rPr>
          <w:rFonts w:hint="eastAsia" w:eastAsia="仿宋_GB2312"/>
          <w:b/>
          <w:bCs/>
          <w:color w:val="auto"/>
          <w:sz w:val="30"/>
          <w:szCs w:val="30"/>
        </w:rPr>
        <w:t>(二)绩效评价原则、评价指标体系(附表说明)、评价方法、 评价标准等。</w:t>
      </w:r>
    </w:p>
    <w:p>
      <w:pPr>
        <w:spacing w:line="610" w:lineRule="exact"/>
        <w:ind w:firstLine="602" w:firstLineChars="200"/>
        <w:rPr>
          <w:rFonts w:eastAsia="仿宋_GB2312"/>
          <w:b/>
          <w:bCs/>
          <w:color w:val="auto"/>
          <w:sz w:val="30"/>
          <w:szCs w:val="30"/>
        </w:rPr>
      </w:pPr>
      <w:r>
        <w:rPr>
          <w:rFonts w:hint="eastAsia" w:eastAsia="仿宋_GB2312"/>
          <w:b/>
          <w:bCs/>
          <w:color w:val="auto"/>
          <w:sz w:val="30"/>
          <w:szCs w:val="30"/>
        </w:rPr>
        <w:t>根据项目实际，在《项目支出绩效评价指标评分表（共性）》上进一步完善、量化、细化个性指标，形成本项目的指标体系。</w:t>
      </w:r>
    </w:p>
    <w:p>
      <w:pPr>
        <w:spacing w:line="610" w:lineRule="exact"/>
        <w:ind w:firstLine="602" w:firstLineChars="200"/>
        <w:rPr>
          <w:rFonts w:eastAsia="仿宋_GB2312"/>
          <w:b/>
          <w:bCs/>
          <w:color w:val="auto"/>
          <w:sz w:val="30"/>
          <w:szCs w:val="30"/>
        </w:rPr>
      </w:pPr>
      <w:r>
        <w:rPr>
          <w:rFonts w:hint="eastAsia" w:eastAsia="仿宋_GB2312"/>
          <w:b/>
          <w:bCs/>
          <w:color w:val="auto"/>
          <w:sz w:val="30"/>
          <w:szCs w:val="30"/>
        </w:rPr>
        <w:t xml:space="preserve"> (三)绩效评价工作过程。</w:t>
      </w:r>
    </w:p>
    <w:p>
      <w:pPr>
        <w:spacing w:line="610" w:lineRule="exact"/>
        <w:ind w:firstLine="602" w:firstLineChars="200"/>
        <w:rPr>
          <w:rFonts w:eastAsia="仿宋_GB2312"/>
          <w:b/>
          <w:bCs/>
          <w:color w:val="auto"/>
          <w:sz w:val="30"/>
          <w:szCs w:val="30"/>
        </w:rPr>
      </w:pPr>
      <w:r>
        <w:rPr>
          <w:rFonts w:hint="eastAsia" w:eastAsia="仿宋_GB2312"/>
          <w:b/>
          <w:bCs/>
          <w:color w:val="auto"/>
          <w:sz w:val="30"/>
          <w:szCs w:val="30"/>
        </w:rPr>
        <w:t>单位</w:t>
      </w:r>
      <w:r>
        <w:rPr>
          <w:rFonts w:hint="eastAsia" w:ascii="宋体" w:hAnsi="宋体" w:cs="宋体"/>
          <w:b/>
          <w:bCs/>
          <w:color w:val="auto"/>
          <w:sz w:val="30"/>
          <w:szCs w:val="30"/>
        </w:rPr>
        <w:t>高</w:t>
      </w:r>
      <w:r>
        <w:rPr>
          <w:rFonts w:hint="eastAsia" w:ascii="___WRD_EMBED_SUB_40" w:hAnsi="___WRD_EMBED_SUB_40" w:eastAsia="___WRD_EMBED_SUB_40" w:cs="___WRD_EMBED_SUB_40"/>
          <w:b/>
          <w:bCs/>
          <w:color w:val="auto"/>
          <w:sz w:val="30"/>
          <w:szCs w:val="30"/>
        </w:rPr>
        <w:t>度</w:t>
      </w:r>
      <w:r>
        <w:rPr>
          <w:rFonts w:hint="eastAsia" w:ascii="宋体" w:hAnsi="宋体" w:cs="宋体"/>
          <w:b/>
          <w:bCs/>
          <w:color w:val="auto"/>
          <w:sz w:val="30"/>
          <w:szCs w:val="30"/>
        </w:rPr>
        <w:t>重视</w:t>
      </w:r>
      <w:r>
        <w:rPr>
          <w:rFonts w:hint="eastAsia" w:ascii="___WRD_EMBED_SUB_40" w:hAnsi="___WRD_EMBED_SUB_40" w:eastAsia="___WRD_EMBED_SUB_40" w:cs="___WRD_EMBED_SUB_40"/>
          <w:b/>
          <w:bCs/>
          <w:color w:val="auto"/>
          <w:sz w:val="30"/>
          <w:szCs w:val="30"/>
        </w:rPr>
        <w:t>预算支出绩效</w:t>
      </w:r>
      <w:r>
        <w:rPr>
          <w:rFonts w:hint="eastAsia" w:ascii="宋体" w:hAnsi="宋体" w:cs="宋体"/>
          <w:b/>
          <w:bCs/>
          <w:color w:val="auto"/>
          <w:sz w:val="30"/>
          <w:szCs w:val="30"/>
        </w:rPr>
        <w:t>自</w:t>
      </w:r>
      <w:r>
        <w:rPr>
          <w:rFonts w:hint="eastAsia" w:ascii="___WRD_EMBED_SUB_40" w:hAnsi="___WRD_EMBED_SUB_40" w:eastAsia="___WRD_EMBED_SUB_40" w:cs="___WRD_EMBED_SUB_40"/>
          <w:b/>
          <w:bCs/>
          <w:color w:val="auto"/>
          <w:sz w:val="30"/>
          <w:szCs w:val="30"/>
        </w:rPr>
        <w:t>评工作，</w:t>
      </w:r>
      <w:r>
        <w:rPr>
          <w:rFonts w:hint="eastAsia" w:ascii="宋体" w:hAnsi="宋体" w:cs="宋体"/>
          <w:b/>
          <w:bCs/>
          <w:color w:val="auto"/>
          <w:sz w:val="30"/>
          <w:szCs w:val="30"/>
        </w:rPr>
        <w:t>认真</w:t>
      </w:r>
      <w:r>
        <w:rPr>
          <w:rFonts w:hint="eastAsia" w:ascii="___WRD_EMBED_SUB_40" w:hAnsi="___WRD_EMBED_SUB_40" w:eastAsia="___WRD_EMBED_SUB_40" w:cs="___WRD_EMBED_SUB_40"/>
          <w:b/>
          <w:bCs/>
          <w:color w:val="auto"/>
          <w:sz w:val="30"/>
          <w:szCs w:val="30"/>
        </w:rPr>
        <w:t>制定绩效评价工作方案，成立绩效</w:t>
      </w:r>
      <w:r>
        <w:rPr>
          <w:rFonts w:hint="eastAsia" w:ascii="宋体" w:hAnsi="宋体" w:cs="宋体"/>
          <w:b/>
          <w:bCs/>
          <w:color w:val="auto"/>
          <w:sz w:val="30"/>
          <w:szCs w:val="30"/>
        </w:rPr>
        <w:t>自</w:t>
      </w:r>
      <w:r>
        <w:rPr>
          <w:rFonts w:hint="eastAsia" w:ascii="___WRD_EMBED_SUB_40" w:hAnsi="___WRD_EMBED_SUB_40" w:eastAsia="___WRD_EMBED_SUB_40" w:cs="___WRD_EMBED_SUB_40"/>
          <w:b/>
          <w:bCs/>
          <w:color w:val="auto"/>
          <w:sz w:val="30"/>
          <w:szCs w:val="30"/>
        </w:rPr>
        <w:t>评工作组，</w:t>
      </w:r>
      <w:r>
        <w:rPr>
          <w:rFonts w:hint="eastAsia" w:ascii="宋体" w:hAnsi="宋体" w:cs="宋体"/>
          <w:b/>
          <w:bCs/>
          <w:color w:val="auto"/>
          <w:sz w:val="30"/>
          <w:szCs w:val="30"/>
        </w:rPr>
        <w:t>选</w:t>
      </w:r>
      <w:r>
        <w:rPr>
          <w:rFonts w:hint="eastAsia" w:ascii="___WRD_EMBED_SUB_40" w:hAnsi="___WRD_EMBED_SUB_40" w:eastAsia="___WRD_EMBED_SUB_40" w:cs="___WRD_EMBED_SUB_40"/>
          <w:b/>
          <w:bCs/>
          <w:color w:val="auto"/>
          <w:sz w:val="30"/>
          <w:szCs w:val="30"/>
        </w:rPr>
        <w:t>用</w:t>
      </w:r>
      <w:r>
        <w:rPr>
          <w:rFonts w:hint="eastAsia" w:ascii="宋体" w:hAnsi="宋体" w:cs="宋体"/>
          <w:b/>
          <w:bCs/>
          <w:color w:val="auto"/>
          <w:sz w:val="30"/>
          <w:szCs w:val="30"/>
        </w:rPr>
        <w:t>科学</w:t>
      </w:r>
      <w:r>
        <w:rPr>
          <w:rFonts w:hint="eastAsia" w:ascii="___WRD_EMBED_SUB_40" w:hAnsi="___WRD_EMBED_SUB_40" w:eastAsia="___WRD_EMBED_SUB_40" w:cs="___WRD_EMBED_SUB_40"/>
          <w:b/>
          <w:bCs/>
          <w:color w:val="auto"/>
          <w:sz w:val="30"/>
          <w:szCs w:val="30"/>
        </w:rPr>
        <w:t>合理的评价指标</w:t>
      </w:r>
      <w:r>
        <w:rPr>
          <w:rFonts w:hint="eastAsia" w:ascii="宋体" w:hAnsi="宋体" w:cs="宋体"/>
          <w:b/>
          <w:bCs/>
          <w:color w:val="auto"/>
          <w:sz w:val="30"/>
          <w:szCs w:val="30"/>
        </w:rPr>
        <w:t>反</w:t>
      </w:r>
      <w:r>
        <w:rPr>
          <w:rFonts w:hint="eastAsia" w:ascii="___WRD_EMBED_SUB_40" w:hAnsi="___WRD_EMBED_SUB_40" w:eastAsia="___WRD_EMBED_SUB_40" w:cs="___WRD_EMBED_SUB_40"/>
          <w:b/>
          <w:bCs/>
          <w:color w:val="auto"/>
          <w:sz w:val="30"/>
          <w:szCs w:val="30"/>
        </w:rPr>
        <w:t>应预算支出绩效</w:t>
      </w:r>
      <w:r>
        <w:rPr>
          <w:rFonts w:hint="eastAsia" w:ascii="宋体" w:hAnsi="宋体" w:cs="宋体"/>
          <w:b/>
          <w:bCs/>
          <w:color w:val="auto"/>
          <w:sz w:val="30"/>
          <w:szCs w:val="30"/>
        </w:rPr>
        <w:t>水</w:t>
      </w:r>
      <w:r>
        <w:rPr>
          <w:rFonts w:hint="eastAsia" w:ascii="___WRD_EMBED_SUB_40" w:hAnsi="___WRD_EMBED_SUB_40" w:eastAsia="___WRD_EMBED_SUB_40" w:cs="___WRD_EMBED_SUB_40"/>
          <w:b/>
          <w:bCs/>
          <w:color w:val="auto"/>
          <w:sz w:val="30"/>
          <w:szCs w:val="30"/>
        </w:rPr>
        <w:t>平</w:t>
      </w:r>
      <w:r>
        <w:rPr>
          <w:rFonts w:hint="eastAsia" w:eastAsia="仿宋_GB2312"/>
          <w:b/>
          <w:bCs/>
          <w:color w:val="auto"/>
          <w:sz w:val="30"/>
          <w:szCs w:val="30"/>
        </w:rPr>
        <w:t>。</w:t>
      </w:r>
    </w:p>
    <w:p>
      <w:pPr>
        <w:spacing w:line="610" w:lineRule="exact"/>
        <w:ind w:firstLine="602" w:firstLineChars="200"/>
        <w:rPr>
          <w:rFonts w:ascii="黑体" w:hAnsi="黑体" w:eastAsia="黑体" w:cs="黑体"/>
          <w:b/>
          <w:bCs/>
          <w:color w:val="auto"/>
          <w:sz w:val="30"/>
          <w:szCs w:val="30"/>
        </w:rPr>
      </w:pPr>
      <w:r>
        <w:rPr>
          <w:rFonts w:hint="eastAsia" w:ascii="黑体" w:hAnsi="黑体" w:eastAsia="黑体" w:cs="黑体"/>
          <w:b/>
          <w:bCs/>
          <w:color w:val="auto"/>
          <w:sz w:val="30"/>
          <w:szCs w:val="30"/>
        </w:rPr>
        <w:t xml:space="preserve">三、综合评价情况及评价结论 </w:t>
      </w:r>
    </w:p>
    <w:p>
      <w:pPr>
        <w:spacing w:line="560" w:lineRule="exact"/>
        <w:ind w:firstLine="562" w:firstLineChars="200"/>
        <w:rPr>
          <w:rFonts w:ascii="仿宋_GB2312" w:hAnsi="宋体" w:eastAsia="仿宋_GB2312" w:cs="宋体"/>
          <w:b/>
          <w:bCs/>
          <w:color w:val="auto"/>
          <w:sz w:val="28"/>
          <w:szCs w:val="28"/>
          <w:shd w:val="clear" w:color="auto" w:fill="FFFFFF"/>
        </w:rPr>
      </w:pPr>
      <w:r>
        <w:rPr>
          <w:rFonts w:hint="eastAsia" w:ascii="宋体" w:hAnsi="宋体" w:cs="宋体"/>
          <w:b/>
          <w:bCs/>
          <w:color w:val="auto"/>
          <w:sz w:val="28"/>
          <w:szCs w:val="28"/>
          <w:shd w:val="clear" w:color="auto" w:fill="FFFFFF"/>
        </w:rPr>
        <w:t>通</w:t>
      </w:r>
      <w:r>
        <w:rPr>
          <w:rFonts w:hint="eastAsia" w:ascii="___WRD_EMBED_SUB_40" w:hAnsi="___WRD_EMBED_SUB_40" w:eastAsia="___WRD_EMBED_SUB_40" w:cs="___WRD_EMBED_SUB_40"/>
          <w:b/>
          <w:bCs/>
          <w:color w:val="auto"/>
          <w:sz w:val="28"/>
          <w:szCs w:val="28"/>
          <w:shd w:val="clear" w:color="auto" w:fill="FFFFFF"/>
        </w:rPr>
        <w:t>过对</w:t>
      </w:r>
      <w:r>
        <w:rPr>
          <w:rFonts w:hint="eastAsia" w:ascii="仿宋_GB2312" w:hAnsi="宋体" w:eastAsia="仿宋_GB2312" w:cs="宋体"/>
          <w:b/>
          <w:bCs/>
          <w:color w:val="auto"/>
          <w:sz w:val="28"/>
          <w:szCs w:val="28"/>
          <w:shd w:val="clear" w:color="auto" w:fill="FFFFFF"/>
        </w:rPr>
        <w:t>2022年的</w:t>
      </w:r>
      <w:r>
        <w:rPr>
          <w:rFonts w:hint="eastAsia" w:eastAsia="仿宋_GB2312"/>
          <w:b/>
          <w:bCs/>
          <w:color w:val="auto"/>
          <w:sz w:val="30"/>
          <w:szCs w:val="30"/>
        </w:rPr>
        <w:t>项目决策</w:t>
      </w:r>
      <w:r>
        <w:rPr>
          <w:rFonts w:hint="eastAsia" w:ascii="仿宋_GB2312" w:hAnsi="宋体" w:eastAsia="仿宋_GB2312" w:cs="宋体"/>
          <w:b/>
          <w:bCs/>
          <w:color w:val="auto"/>
          <w:sz w:val="28"/>
          <w:szCs w:val="28"/>
          <w:shd w:val="clear" w:color="auto" w:fill="FFFFFF"/>
        </w:rPr>
        <w:t>、</w:t>
      </w:r>
      <w:r>
        <w:rPr>
          <w:rFonts w:hint="eastAsia" w:eastAsia="仿宋_GB2312"/>
          <w:b/>
          <w:bCs/>
          <w:color w:val="auto"/>
          <w:sz w:val="30"/>
          <w:szCs w:val="30"/>
        </w:rPr>
        <w:t>项目过程</w:t>
      </w:r>
      <w:r>
        <w:rPr>
          <w:rFonts w:hint="eastAsia" w:ascii="仿宋_GB2312" w:hAnsi="宋体" w:eastAsia="仿宋_GB2312" w:cs="宋体"/>
          <w:b/>
          <w:bCs/>
          <w:color w:val="auto"/>
          <w:sz w:val="28"/>
          <w:szCs w:val="28"/>
          <w:shd w:val="clear" w:color="auto" w:fill="FFFFFF"/>
        </w:rPr>
        <w:t>、</w:t>
      </w:r>
      <w:r>
        <w:rPr>
          <w:rFonts w:hint="eastAsia" w:eastAsia="仿宋_GB2312"/>
          <w:b/>
          <w:bCs/>
          <w:color w:val="auto"/>
          <w:sz w:val="30"/>
          <w:szCs w:val="30"/>
        </w:rPr>
        <w:t>项目产出</w:t>
      </w:r>
      <w:r>
        <w:rPr>
          <w:rFonts w:hint="eastAsia" w:ascii="仿宋_GB2312" w:hAnsi="宋体" w:eastAsia="仿宋_GB2312" w:cs="宋体"/>
          <w:b/>
          <w:bCs/>
          <w:color w:val="auto"/>
          <w:sz w:val="28"/>
          <w:szCs w:val="28"/>
          <w:shd w:val="clear" w:color="auto" w:fill="FFFFFF"/>
        </w:rPr>
        <w:t>、</w:t>
      </w:r>
      <w:r>
        <w:rPr>
          <w:rFonts w:hint="eastAsia" w:eastAsia="仿宋_GB2312"/>
          <w:b/>
          <w:bCs/>
          <w:color w:val="auto"/>
          <w:sz w:val="30"/>
          <w:szCs w:val="30"/>
        </w:rPr>
        <w:t>项目效益</w:t>
      </w:r>
      <w:r>
        <w:rPr>
          <w:rFonts w:hint="eastAsia" w:ascii="仿宋_GB2312" w:hAnsi="宋体" w:eastAsia="仿宋_GB2312" w:cs="宋体"/>
          <w:b/>
          <w:bCs/>
          <w:color w:val="auto"/>
          <w:sz w:val="28"/>
          <w:szCs w:val="28"/>
          <w:shd w:val="clear" w:color="auto" w:fill="FFFFFF"/>
        </w:rPr>
        <w:t>等内容的绩效</w:t>
      </w:r>
      <w:r>
        <w:rPr>
          <w:rFonts w:hint="eastAsia" w:ascii="宋体" w:hAnsi="宋体" w:cs="宋体"/>
          <w:b/>
          <w:bCs/>
          <w:color w:val="auto"/>
          <w:sz w:val="28"/>
          <w:szCs w:val="28"/>
          <w:shd w:val="clear" w:color="auto" w:fill="FFFFFF"/>
        </w:rPr>
        <w:t>考</w:t>
      </w:r>
      <w:r>
        <w:rPr>
          <w:rFonts w:hint="eastAsia" w:ascii="___WRD_EMBED_SUB_40" w:hAnsi="___WRD_EMBED_SUB_40" w:eastAsia="___WRD_EMBED_SUB_40" w:cs="___WRD_EMBED_SUB_40"/>
          <w:b/>
          <w:bCs/>
          <w:color w:val="auto"/>
          <w:sz w:val="28"/>
          <w:szCs w:val="28"/>
          <w:shd w:val="clear" w:color="auto" w:fill="FFFFFF"/>
        </w:rPr>
        <w:t>评，提</w:t>
      </w:r>
      <w:r>
        <w:rPr>
          <w:rFonts w:hint="eastAsia" w:ascii="宋体" w:hAnsi="宋体" w:cs="宋体"/>
          <w:b/>
          <w:bCs/>
          <w:color w:val="auto"/>
          <w:sz w:val="28"/>
          <w:szCs w:val="28"/>
          <w:shd w:val="clear" w:color="auto" w:fill="FFFFFF"/>
        </w:rPr>
        <w:t>高</w:t>
      </w:r>
      <w:r>
        <w:rPr>
          <w:rFonts w:hint="eastAsia" w:ascii="___WRD_EMBED_SUB_40" w:hAnsi="___WRD_EMBED_SUB_40" w:eastAsia="___WRD_EMBED_SUB_40" w:cs="___WRD_EMBED_SUB_40"/>
          <w:b/>
          <w:bCs/>
          <w:color w:val="auto"/>
          <w:sz w:val="28"/>
          <w:szCs w:val="28"/>
          <w:shd w:val="clear" w:color="auto" w:fill="FFFFFF"/>
        </w:rPr>
        <w:t>财政资金的使用效率，</w:t>
      </w:r>
      <w:r>
        <w:rPr>
          <w:rFonts w:hint="eastAsia" w:ascii="宋体" w:hAnsi="宋体" w:cs="宋体"/>
          <w:b/>
          <w:bCs/>
          <w:color w:val="auto"/>
          <w:sz w:val="28"/>
          <w:szCs w:val="28"/>
          <w:shd w:val="clear" w:color="auto" w:fill="FFFFFF"/>
        </w:rPr>
        <w:t>保障</w:t>
      </w:r>
      <w:r>
        <w:rPr>
          <w:rFonts w:hint="eastAsia" w:ascii="___WRD_EMBED_SUB_40" w:hAnsi="___WRD_EMBED_SUB_40" w:eastAsia="___WRD_EMBED_SUB_40" w:cs="___WRD_EMBED_SUB_40"/>
          <w:b/>
          <w:bCs/>
          <w:color w:val="auto"/>
          <w:sz w:val="28"/>
          <w:szCs w:val="28"/>
          <w:shd w:val="clear" w:color="auto" w:fill="FFFFFF"/>
        </w:rPr>
        <w:t>了机构的</w:t>
      </w:r>
      <w:r>
        <w:rPr>
          <w:rFonts w:hint="eastAsia" w:ascii="宋体" w:hAnsi="宋体" w:cs="宋体"/>
          <w:b/>
          <w:bCs/>
          <w:color w:val="auto"/>
          <w:sz w:val="28"/>
          <w:szCs w:val="28"/>
          <w:shd w:val="clear" w:color="auto" w:fill="FFFFFF"/>
        </w:rPr>
        <w:t>正常</w:t>
      </w:r>
      <w:r>
        <w:rPr>
          <w:rFonts w:hint="eastAsia" w:ascii="___WRD_EMBED_SUB_40" w:hAnsi="___WRD_EMBED_SUB_40" w:eastAsia="___WRD_EMBED_SUB_40" w:cs="___WRD_EMBED_SUB_40"/>
          <w:b/>
          <w:bCs/>
          <w:color w:val="auto"/>
          <w:sz w:val="28"/>
          <w:szCs w:val="28"/>
          <w:shd w:val="clear" w:color="auto" w:fill="FFFFFF"/>
        </w:rPr>
        <w:t>运转。</w:t>
      </w:r>
      <w:r>
        <w:rPr>
          <w:rFonts w:hint="eastAsia" w:ascii="仿宋_GB2312" w:hAnsi="宋体" w:eastAsia="仿宋_GB2312" w:cs="宋体"/>
          <w:b/>
          <w:bCs/>
          <w:color w:val="auto"/>
          <w:sz w:val="28"/>
          <w:szCs w:val="28"/>
          <w:shd w:val="clear" w:color="auto" w:fill="FFFFFF"/>
        </w:rPr>
        <w:t>2022年，</w:t>
      </w:r>
      <w:r>
        <w:rPr>
          <w:rFonts w:hint="eastAsia" w:ascii="宋体" w:hAnsi="宋体" w:cs="宋体"/>
          <w:b/>
          <w:bCs/>
          <w:color w:val="auto"/>
          <w:sz w:val="28"/>
          <w:szCs w:val="28"/>
          <w:shd w:val="clear" w:color="auto" w:fill="FFFFFF"/>
        </w:rPr>
        <w:t>较好</w:t>
      </w:r>
      <w:r>
        <w:rPr>
          <w:rFonts w:hint="eastAsia" w:ascii="___WRD_EMBED_SUB_40" w:hAnsi="___WRD_EMBED_SUB_40" w:eastAsia="___WRD_EMBED_SUB_40" w:cs="___WRD_EMBED_SUB_40"/>
          <w:b/>
          <w:bCs/>
          <w:color w:val="auto"/>
          <w:sz w:val="28"/>
          <w:szCs w:val="28"/>
          <w:shd w:val="clear" w:color="auto" w:fill="FFFFFF"/>
        </w:rPr>
        <w:t>地完成了项目工作目标，部门项目支出绩效评价为</w:t>
      </w:r>
      <w:r>
        <w:rPr>
          <w:rFonts w:hint="eastAsia" w:ascii="宋体" w:hAnsi="宋体" w:cs="宋体"/>
          <w:b/>
          <w:bCs/>
          <w:color w:val="auto"/>
          <w:sz w:val="28"/>
          <w:szCs w:val="28"/>
          <w:shd w:val="clear" w:color="auto" w:fill="FFFFFF"/>
        </w:rPr>
        <w:t>优</w:t>
      </w:r>
      <w:r>
        <w:rPr>
          <w:rFonts w:hint="eastAsia" w:ascii="仿宋_GB2312" w:hAnsi="宋体" w:eastAsia="仿宋_GB2312" w:cs="宋体"/>
          <w:b/>
          <w:bCs/>
          <w:color w:val="auto"/>
          <w:sz w:val="28"/>
          <w:szCs w:val="28"/>
          <w:shd w:val="clear" w:color="auto" w:fill="FFFFFF"/>
        </w:rPr>
        <w:t>。</w:t>
      </w:r>
    </w:p>
    <w:p>
      <w:pPr>
        <w:spacing w:line="610" w:lineRule="exact"/>
        <w:ind w:firstLine="602" w:firstLineChars="200"/>
        <w:rPr>
          <w:rFonts w:ascii="黑体" w:hAnsi="黑体" w:eastAsia="黑体" w:cs="黑体"/>
          <w:b/>
          <w:bCs/>
          <w:color w:val="auto"/>
          <w:sz w:val="30"/>
          <w:szCs w:val="30"/>
        </w:rPr>
      </w:pPr>
      <w:r>
        <w:rPr>
          <w:rFonts w:hint="eastAsia" w:ascii="黑体" w:hAnsi="黑体" w:eastAsia="黑体" w:cs="黑体"/>
          <w:b/>
          <w:bCs/>
          <w:color w:val="auto"/>
          <w:sz w:val="30"/>
          <w:szCs w:val="30"/>
        </w:rPr>
        <w:t>四、绩效评价指标分析</w:t>
      </w:r>
    </w:p>
    <w:p>
      <w:pPr>
        <w:spacing w:line="610" w:lineRule="exact"/>
        <w:ind w:firstLine="602" w:firstLineChars="200"/>
        <w:rPr>
          <w:rFonts w:eastAsia="仿宋_GB2312"/>
          <w:b/>
          <w:bCs/>
          <w:color w:val="auto"/>
          <w:sz w:val="30"/>
          <w:szCs w:val="30"/>
        </w:rPr>
      </w:pPr>
      <w:r>
        <w:rPr>
          <w:rFonts w:hint="eastAsia" w:eastAsia="仿宋_GB2312"/>
          <w:b/>
          <w:bCs/>
          <w:color w:val="auto"/>
          <w:sz w:val="30"/>
          <w:szCs w:val="30"/>
        </w:rPr>
        <w:t>(一)项目决策情况。</w:t>
      </w:r>
    </w:p>
    <w:p>
      <w:pPr>
        <w:spacing w:line="610" w:lineRule="exact"/>
        <w:ind w:firstLine="602" w:firstLineChars="200"/>
        <w:rPr>
          <w:rFonts w:eastAsia="仿宋_GB2312"/>
          <w:b/>
          <w:bCs/>
          <w:color w:val="auto"/>
          <w:sz w:val="30"/>
          <w:szCs w:val="30"/>
        </w:rPr>
      </w:pPr>
      <w:r>
        <w:rPr>
          <w:rFonts w:hint="eastAsia" w:eastAsia="仿宋_GB2312"/>
          <w:b/>
          <w:bCs/>
          <w:color w:val="auto"/>
          <w:sz w:val="30"/>
          <w:szCs w:val="30"/>
        </w:rPr>
        <w:t>2022年单位项目资金下达及时，支</w:t>
      </w:r>
      <w:r>
        <w:rPr>
          <w:rFonts w:hint="eastAsia" w:ascii="宋体" w:hAnsi="宋体" w:cs="宋体"/>
          <w:b/>
          <w:bCs/>
          <w:color w:val="auto"/>
          <w:sz w:val="30"/>
          <w:szCs w:val="30"/>
        </w:rPr>
        <w:t>付都</w:t>
      </w:r>
      <w:r>
        <w:rPr>
          <w:rFonts w:hint="eastAsia" w:ascii="___WRD_EMBED_SUB_40" w:hAnsi="___WRD_EMBED_SUB_40" w:eastAsia="___WRD_EMBED_SUB_40" w:cs="___WRD_EMBED_SUB_40"/>
          <w:b/>
          <w:bCs/>
          <w:color w:val="auto"/>
          <w:sz w:val="30"/>
          <w:szCs w:val="30"/>
        </w:rPr>
        <w:t>是按照预算执行，</w:t>
      </w:r>
      <w:r>
        <w:rPr>
          <w:rFonts w:hint="eastAsia" w:eastAsia="仿宋_GB2312"/>
          <w:b/>
          <w:bCs/>
          <w:color w:val="auto"/>
          <w:sz w:val="30"/>
          <w:szCs w:val="30"/>
        </w:rPr>
        <w:t>及时完成支</w:t>
      </w:r>
      <w:r>
        <w:rPr>
          <w:rFonts w:hint="eastAsia" w:ascii="宋体" w:hAnsi="宋体" w:cs="宋体"/>
          <w:b/>
          <w:bCs/>
          <w:color w:val="auto"/>
          <w:sz w:val="30"/>
          <w:szCs w:val="30"/>
        </w:rPr>
        <w:t>付</w:t>
      </w:r>
      <w:r>
        <w:rPr>
          <w:rFonts w:hint="eastAsia" w:ascii="___WRD_EMBED_SUB_40" w:hAnsi="___WRD_EMBED_SUB_40" w:eastAsia="___WRD_EMBED_SUB_40" w:cs="___WRD_EMBED_SUB_40"/>
          <w:b/>
          <w:bCs/>
          <w:color w:val="auto"/>
          <w:sz w:val="30"/>
          <w:szCs w:val="30"/>
        </w:rPr>
        <w:t>。</w:t>
      </w:r>
    </w:p>
    <w:p>
      <w:pPr>
        <w:spacing w:line="610" w:lineRule="exact"/>
        <w:ind w:firstLine="602" w:firstLineChars="200"/>
        <w:rPr>
          <w:rFonts w:eastAsia="仿宋_GB2312"/>
          <w:b/>
          <w:bCs/>
          <w:color w:val="auto"/>
          <w:sz w:val="30"/>
          <w:szCs w:val="30"/>
        </w:rPr>
      </w:pPr>
      <w:r>
        <w:rPr>
          <w:rFonts w:hint="eastAsia" w:eastAsia="仿宋_GB2312"/>
          <w:b/>
          <w:bCs/>
          <w:color w:val="auto"/>
          <w:sz w:val="30"/>
          <w:szCs w:val="30"/>
        </w:rPr>
        <w:t>(二)项目过程情况。</w:t>
      </w:r>
    </w:p>
    <w:p>
      <w:pPr>
        <w:spacing w:line="610" w:lineRule="exact"/>
        <w:ind w:firstLine="602" w:firstLineChars="200"/>
        <w:rPr>
          <w:rFonts w:eastAsia="仿宋_GB2312"/>
          <w:b/>
          <w:bCs/>
          <w:color w:val="auto"/>
          <w:sz w:val="30"/>
          <w:szCs w:val="30"/>
        </w:rPr>
      </w:pPr>
      <w:r>
        <w:rPr>
          <w:rFonts w:hint="eastAsia" w:eastAsia="仿宋_GB2312"/>
          <w:b/>
          <w:bCs/>
          <w:color w:val="auto"/>
          <w:sz w:val="30"/>
          <w:szCs w:val="30"/>
        </w:rPr>
        <w:t>2022年单位项目资金</w:t>
      </w:r>
      <w:r>
        <w:rPr>
          <w:rFonts w:hint="eastAsia" w:ascii="___WRD_EMBED_SUB_40" w:hAnsi="___WRD_EMBED_SUB_40" w:eastAsia="___WRD_EMBED_SUB_40" w:cs="___WRD_EMBED_SUB_40"/>
          <w:b/>
          <w:bCs/>
          <w:color w:val="auto"/>
          <w:sz w:val="30"/>
          <w:szCs w:val="30"/>
        </w:rPr>
        <w:t>在资金使用和管理中，实际支出</w:t>
      </w:r>
      <w:r>
        <w:rPr>
          <w:rFonts w:hint="eastAsia" w:ascii="宋体" w:hAnsi="宋体" w:cs="宋体"/>
          <w:b/>
          <w:bCs/>
          <w:color w:val="auto"/>
          <w:sz w:val="30"/>
          <w:szCs w:val="30"/>
        </w:rPr>
        <w:t>与</w:t>
      </w:r>
      <w:r>
        <w:rPr>
          <w:rFonts w:hint="eastAsia" w:ascii="___WRD_EMBED_SUB_40" w:hAnsi="___WRD_EMBED_SUB_40" w:eastAsia="___WRD_EMBED_SUB_40" w:cs="___WRD_EMBED_SUB_40"/>
          <w:b/>
          <w:bCs/>
          <w:color w:val="auto"/>
          <w:sz w:val="30"/>
          <w:szCs w:val="30"/>
        </w:rPr>
        <w:t>计划规定的用</w:t>
      </w:r>
      <w:r>
        <w:rPr>
          <w:rFonts w:hint="eastAsia" w:ascii="宋体" w:hAnsi="宋体" w:cs="宋体"/>
          <w:b/>
          <w:bCs/>
          <w:color w:val="auto"/>
          <w:sz w:val="30"/>
          <w:szCs w:val="30"/>
        </w:rPr>
        <w:t>途</w:t>
      </w:r>
      <w:r>
        <w:rPr>
          <w:rFonts w:hint="eastAsia" w:ascii="___WRD_EMBED_SUB_40" w:hAnsi="___WRD_EMBED_SUB_40" w:eastAsia="___WRD_EMBED_SUB_40" w:cs="___WRD_EMBED_SUB_40"/>
          <w:b/>
          <w:bCs/>
          <w:color w:val="auto"/>
          <w:sz w:val="30"/>
          <w:szCs w:val="30"/>
        </w:rPr>
        <w:t>一</w:t>
      </w:r>
      <w:r>
        <w:rPr>
          <w:rFonts w:hint="eastAsia" w:ascii="宋体" w:hAnsi="宋体" w:cs="宋体"/>
          <w:b/>
          <w:bCs/>
          <w:color w:val="auto"/>
          <w:sz w:val="30"/>
          <w:szCs w:val="30"/>
        </w:rPr>
        <w:t>致</w:t>
      </w:r>
      <w:r>
        <w:rPr>
          <w:rFonts w:hint="eastAsia" w:ascii="___WRD_EMBED_SUB_40" w:hAnsi="___WRD_EMBED_SUB_40" w:eastAsia="___WRD_EMBED_SUB_40" w:cs="___WRD_EMBED_SUB_40"/>
          <w:b/>
          <w:bCs/>
          <w:color w:val="auto"/>
          <w:sz w:val="30"/>
          <w:szCs w:val="30"/>
        </w:rPr>
        <w:t>，资金收支平</w:t>
      </w:r>
      <w:r>
        <w:rPr>
          <w:rFonts w:hint="eastAsia" w:ascii="宋体" w:hAnsi="宋体" w:cs="宋体"/>
          <w:b/>
          <w:bCs/>
          <w:color w:val="auto"/>
          <w:sz w:val="30"/>
          <w:szCs w:val="30"/>
        </w:rPr>
        <w:t>衡</w:t>
      </w:r>
      <w:r>
        <w:rPr>
          <w:rFonts w:hint="eastAsia" w:ascii="___WRD_EMBED_SUB_40" w:hAnsi="___WRD_EMBED_SUB_40" w:eastAsia="___WRD_EMBED_SUB_40" w:cs="___WRD_EMBED_SUB_40"/>
          <w:b/>
          <w:bCs/>
          <w:color w:val="auto"/>
          <w:sz w:val="30"/>
          <w:szCs w:val="30"/>
        </w:rPr>
        <w:t>，资金分配</w:t>
      </w:r>
      <w:r>
        <w:rPr>
          <w:rFonts w:hint="eastAsia" w:ascii="宋体" w:hAnsi="宋体" w:cs="宋体"/>
          <w:b/>
          <w:bCs/>
          <w:color w:val="auto"/>
          <w:sz w:val="30"/>
          <w:szCs w:val="30"/>
        </w:rPr>
        <w:t>做</w:t>
      </w:r>
      <w:r>
        <w:rPr>
          <w:rFonts w:hint="eastAsia" w:ascii="___WRD_EMBED_SUB_40" w:hAnsi="___WRD_EMBED_SUB_40" w:eastAsia="___WRD_EMBED_SUB_40" w:cs="___WRD_EMBED_SUB_40"/>
          <w:b/>
          <w:bCs/>
          <w:color w:val="auto"/>
          <w:sz w:val="30"/>
          <w:szCs w:val="30"/>
        </w:rPr>
        <w:t>到公开、公平，按程序上报和</w:t>
      </w:r>
      <w:r>
        <w:rPr>
          <w:rFonts w:hint="eastAsia" w:ascii="宋体" w:hAnsi="宋体" w:cs="宋体"/>
          <w:b/>
          <w:bCs/>
          <w:color w:val="auto"/>
          <w:sz w:val="30"/>
          <w:szCs w:val="30"/>
        </w:rPr>
        <w:t>审</w:t>
      </w:r>
      <w:r>
        <w:rPr>
          <w:rFonts w:hint="eastAsia" w:ascii="___WRD_EMBED_SUB_40" w:hAnsi="___WRD_EMBED_SUB_40" w:eastAsia="___WRD_EMBED_SUB_40" w:cs="___WRD_EMBED_SUB_40"/>
          <w:b/>
          <w:bCs/>
          <w:color w:val="auto"/>
          <w:sz w:val="30"/>
          <w:szCs w:val="30"/>
        </w:rPr>
        <w:t>批，配备了工作能力</w:t>
      </w:r>
      <w:r>
        <w:rPr>
          <w:rFonts w:hint="eastAsia" w:ascii="宋体" w:hAnsi="宋体" w:cs="宋体"/>
          <w:b/>
          <w:bCs/>
          <w:color w:val="auto"/>
          <w:sz w:val="30"/>
          <w:szCs w:val="30"/>
        </w:rPr>
        <w:t>强</w:t>
      </w:r>
      <w:r>
        <w:rPr>
          <w:rFonts w:hint="eastAsia" w:ascii="___WRD_EMBED_SUB_40" w:hAnsi="___WRD_EMBED_SUB_40" w:eastAsia="___WRD_EMBED_SUB_40" w:cs="___WRD_EMBED_SUB_40"/>
          <w:b/>
          <w:bCs/>
          <w:color w:val="auto"/>
          <w:sz w:val="30"/>
          <w:szCs w:val="30"/>
        </w:rPr>
        <w:t>的工作人员，严格执行财务制度，无截留、挤占、挪用资金等</w:t>
      </w:r>
      <w:r>
        <w:rPr>
          <w:rFonts w:hint="eastAsia" w:ascii="宋体" w:hAnsi="宋体" w:cs="宋体"/>
          <w:b/>
          <w:bCs/>
          <w:color w:val="auto"/>
          <w:sz w:val="30"/>
          <w:szCs w:val="30"/>
        </w:rPr>
        <w:t>违</w:t>
      </w:r>
      <w:r>
        <w:rPr>
          <w:rFonts w:hint="eastAsia" w:ascii="___WRD_EMBED_SUB_40" w:hAnsi="___WRD_EMBED_SUB_40" w:eastAsia="___WRD_EMBED_SUB_40" w:cs="___WRD_EMBED_SUB_40"/>
          <w:b/>
          <w:bCs/>
          <w:color w:val="auto"/>
          <w:sz w:val="30"/>
          <w:szCs w:val="30"/>
        </w:rPr>
        <w:t>规行为</w:t>
      </w:r>
      <w:r>
        <w:rPr>
          <w:rFonts w:hint="eastAsia" w:eastAsia="仿宋_GB2312"/>
          <w:b/>
          <w:bCs/>
          <w:color w:val="auto"/>
          <w:sz w:val="30"/>
          <w:szCs w:val="30"/>
        </w:rPr>
        <w:t>，</w:t>
      </w:r>
      <w:r>
        <w:rPr>
          <w:rFonts w:hint="eastAsia" w:ascii="仿宋_GB2312" w:hAnsi="宋体" w:eastAsia="仿宋_GB2312" w:cs="宋体"/>
          <w:b/>
          <w:bCs/>
          <w:color w:val="auto"/>
          <w:sz w:val="28"/>
          <w:szCs w:val="28"/>
          <w:shd w:val="clear" w:color="auto" w:fill="FFFFFF"/>
        </w:rPr>
        <w:t>提</w:t>
      </w:r>
      <w:r>
        <w:rPr>
          <w:rFonts w:hint="eastAsia" w:ascii="宋体" w:hAnsi="宋体" w:cs="宋体"/>
          <w:b/>
          <w:bCs/>
          <w:color w:val="auto"/>
          <w:sz w:val="28"/>
          <w:szCs w:val="28"/>
          <w:shd w:val="clear" w:color="auto" w:fill="FFFFFF"/>
        </w:rPr>
        <w:t>高</w:t>
      </w:r>
      <w:r>
        <w:rPr>
          <w:rFonts w:hint="eastAsia" w:ascii="___WRD_EMBED_SUB_40" w:hAnsi="___WRD_EMBED_SUB_40" w:eastAsia="___WRD_EMBED_SUB_40" w:cs="___WRD_EMBED_SUB_40"/>
          <w:b/>
          <w:bCs/>
          <w:color w:val="auto"/>
          <w:sz w:val="28"/>
          <w:szCs w:val="28"/>
          <w:shd w:val="clear" w:color="auto" w:fill="FFFFFF"/>
        </w:rPr>
        <w:t>财政资金的使用效率。</w:t>
      </w:r>
    </w:p>
    <w:p>
      <w:pPr>
        <w:spacing w:line="610" w:lineRule="exact"/>
        <w:ind w:firstLine="602" w:firstLineChars="200"/>
        <w:rPr>
          <w:rFonts w:eastAsia="仿宋_GB2312"/>
          <w:b/>
          <w:bCs/>
          <w:color w:val="auto"/>
          <w:sz w:val="30"/>
          <w:szCs w:val="30"/>
        </w:rPr>
      </w:pPr>
      <w:r>
        <w:rPr>
          <w:rFonts w:hint="eastAsia" w:eastAsia="仿宋_GB2312"/>
          <w:b/>
          <w:bCs/>
          <w:color w:val="auto"/>
          <w:sz w:val="30"/>
          <w:szCs w:val="30"/>
        </w:rPr>
        <w:t>(三)项目产出情况。</w:t>
      </w:r>
    </w:p>
    <w:p>
      <w:pPr>
        <w:spacing w:line="610" w:lineRule="exact"/>
        <w:ind w:firstLine="602" w:firstLineChars="200"/>
        <w:rPr>
          <w:rFonts w:eastAsia="仿宋_GB2312"/>
          <w:b/>
          <w:bCs/>
          <w:color w:val="auto"/>
          <w:sz w:val="30"/>
          <w:szCs w:val="30"/>
        </w:rPr>
      </w:pPr>
      <w:r>
        <w:rPr>
          <w:rFonts w:hint="eastAsia" w:eastAsia="仿宋_GB2312"/>
          <w:b/>
          <w:bCs/>
          <w:color w:val="auto"/>
          <w:sz w:val="30"/>
          <w:szCs w:val="30"/>
        </w:rPr>
        <w:t>2022年单位项目实施完成后，成</w:t>
      </w:r>
      <w:r>
        <w:rPr>
          <w:rFonts w:hint="eastAsia" w:ascii="宋体" w:hAnsi="宋体" w:cs="宋体"/>
          <w:b/>
          <w:bCs/>
          <w:color w:val="auto"/>
          <w:sz w:val="30"/>
          <w:szCs w:val="30"/>
        </w:rPr>
        <w:t>功</w:t>
      </w:r>
      <w:r>
        <w:rPr>
          <w:rFonts w:hint="eastAsia" w:ascii="___WRD_EMBED_SUB_40" w:hAnsi="___WRD_EMBED_SUB_40" w:eastAsia="___WRD_EMBED_SUB_40" w:cs="___WRD_EMBED_SUB_40"/>
          <w:b/>
          <w:bCs/>
          <w:color w:val="auto"/>
          <w:sz w:val="30"/>
          <w:szCs w:val="30"/>
        </w:rPr>
        <w:t>完成了</w:t>
      </w:r>
      <w:r>
        <w:rPr>
          <w:rFonts w:hint="eastAsia" w:ascii="宋体" w:hAnsi="宋体" w:cs="宋体"/>
          <w:b/>
          <w:bCs/>
          <w:color w:val="auto"/>
          <w:sz w:val="30"/>
          <w:szCs w:val="30"/>
        </w:rPr>
        <w:t>各</w:t>
      </w:r>
      <w:r>
        <w:rPr>
          <w:rFonts w:hint="eastAsia" w:ascii="___WRD_EMBED_SUB_40" w:hAnsi="___WRD_EMBED_SUB_40" w:eastAsia="___WRD_EMBED_SUB_40" w:cs="___WRD_EMBED_SUB_40"/>
          <w:b/>
          <w:bCs/>
          <w:color w:val="auto"/>
          <w:sz w:val="30"/>
          <w:szCs w:val="30"/>
        </w:rPr>
        <w:t>项</w:t>
      </w:r>
      <w:r>
        <w:rPr>
          <w:rFonts w:hint="eastAsia" w:ascii="宋体" w:hAnsi="宋体" w:cs="宋体"/>
          <w:b/>
          <w:bCs/>
          <w:color w:val="auto"/>
          <w:sz w:val="30"/>
          <w:szCs w:val="30"/>
        </w:rPr>
        <w:t>目标</w:t>
      </w:r>
      <w:r>
        <w:rPr>
          <w:rFonts w:hint="eastAsia" w:eastAsia="仿宋_GB2312"/>
          <w:b/>
          <w:bCs/>
          <w:color w:val="auto"/>
          <w:sz w:val="30"/>
          <w:szCs w:val="30"/>
        </w:rPr>
        <w:t>工作</w:t>
      </w:r>
      <w:r>
        <w:rPr>
          <w:rFonts w:hint="eastAsia" w:ascii="宋体" w:hAnsi="宋体" w:cs="宋体"/>
          <w:b/>
          <w:bCs/>
          <w:color w:val="auto"/>
          <w:sz w:val="30"/>
          <w:szCs w:val="30"/>
        </w:rPr>
        <w:t>任</w:t>
      </w:r>
      <w:r>
        <w:rPr>
          <w:rFonts w:hint="eastAsia" w:ascii="___WRD_EMBED_SUB_40" w:hAnsi="___WRD_EMBED_SUB_40" w:eastAsia="___WRD_EMBED_SUB_40" w:cs="___WRD_EMBED_SUB_40"/>
          <w:b/>
          <w:bCs/>
          <w:color w:val="auto"/>
          <w:sz w:val="30"/>
          <w:szCs w:val="30"/>
        </w:rPr>
        <w:t>务。</w:t>
      </w:r>
    </w:p>
    <w:p>
      <w:pPr>
        <w:spacing w:line="610" w:lineRule="exact"/>
        <w:ind w:firstLine="602" w:firstLineChars="200"/>
        <w:rPr>
          <w:rFonts w:eastAsia="仿宋_GB2312"/>
          <w:b/>
          <w:bCs/>
          <w:color w:val="auto"/>
          <w:sz w:val="30"/>
          <w:szCs w:val="30"/>
        </w:rPr>
      </w:pPr>
      <w:r>
        <w:rPr>
          <w:rFonts w:hint="eastAsia" w:eastAsia="仿宋_GB2312"/>
          <w:b/>
          <w:bCs/>
          <w:color w:val="auto"/>
          <w:sz w:val="30"/>
          <w:szCs w:val="30"/>
        </w:rPr>
        <w:t xml:space="preserve"> (四)项目效益情况。</w:t>
      </w:r>
    </w:p>
    <w:p>
      <w:pPr>
        <w:spacing w:line="610" w:lineRule="exact"/>
        <w:ind w:firstLine="602" w:firstLineChars="200"/>
        <w:rPr>
          <w:rFonts w:eastAsia="仿宋_GB2312"/>
          <w:b/>
          <w:bCs/>
          <w:color w:val="auto"/>
          <w:sz w:val="30"/>
          <w:szCs w:val="30"/>
        </w:rPr>
      </w:pPr>
      <w:r>
        <w:rPr>
          <w:rFonts w:hint="eastAsia" w:eastAsia="仿宋_GB2312"/>
          <w:b/>
          <w:bCs/>
          <w:color w:val="auto"/>
          <w:sz w:val="30"/>
          <w:szCs w:val="30"/>
        </w:rPr>
        <w:t>2022年单位</w:t>
      </w:r>
      <w:r>
        <w:rPr>
          <w:rFonts w:hint="eastAsia" w:ascii="宋体" w:hAnsi="宋体" w:cs="宋体"/>
          <w:b/>
          <w:bCs/>
          <w:color w:val="auto"/>
          <w:sz w:val="30"/>
          <w:szCs w:val="30"/>
        </w:rPr>
        <w:t>圆</w:t>
      </w:r>
      <w:r>
        <w:rPr>
          <w:rFonts w:hint="eastAsia" w:ascii="___WRD_EMBED_SUB_40" w:hAnsi="___WRD_EMBED_SUB_40" w:eastAsia="___WRD_EMBED_SUB_40" w:cs="___WRD_EMBED_SUB_40"/>
          <w:b/>
          <w:bCs/>
          <w:color w:val="auto"/>
          <w:sz w:val="30"/>
          <w:szCs w:val="30"/>
        </w:rPr>
        <w:t>满的完成了</w:t>
      </w:r>
      <w:r>
        <w:rPr>
          <w:rFonts w:hint="eastAsia" w:ascii="宋体" w:hAnsi="宋体" w:cs="宋体"/>
          <w:b/>
          <w:bCs/>
          <w:color w:val="auto"/>
          <w:sz w:val="30"/>
          <w:szCs w:val="30"/>
        </w:rPr>
        <w:t>各</w:t>
      </w:r>
      <w:r>
        <w:rPr>
          <w:rFonts w:hint="eastAsia" w:ascii="___WRD_EMBED_SUB_40" w:hAnsi="___WRD_EMBED_SUB_40" w:eastAsia="___WRD_EMBED_SUB_40" w:cs="___WRD_EMBED_SUB_40"/>
          <w:b/>
          <w:bCs/>
          <w:color w:val="auto"/>
          <w:sz w:val="30"/>
          <w:szCs w:val="30"/>
        </w:rPr>
        <w:t>项</w:t>
      </w:r>
      <w:r>
        <w:rPr>
          <w:rFonts w:hint="eastAsia" w:ascii="宋体" w:hAnsi="宋体" w:cs="宋体"/>
          <w:b/>
          <w:bCs/>
          <w:color w:val="auto"/>
          <w:sz w:val="30"/>
          <w:szCs w:val="30"/>
        </w:rPr>
        <w:t>任</w:t>
      </w:r>
      <w:r>
        <w:rPr>
          <w:rFonts w:hint="eastAsia" w:ascii="___WRD_EMBED_SUB_40" w:hAnsi="___WRD_EMBED_SUB_40" w:eastAsia="___WRD_EMBED_SUB_40" w:cs="___WRD_EMBED_SUB_40"/>
          <w:b/>
          <w:bCs/>
          <w:color w:val="auto"/>
          <w:sz w:val="30"/>
          <w:szCs w:val="30"/>
        </w:rPr>
        <w:t>务</w:t>
      </w:r>
      <w:r>
        <w:rPr>
          <w:rFonts w:hint="eastAsia" w:eastAsia="仿宋_GB2312"/>
          <w:b/>
          <w:bCs/>
          <w:color w:val="auto"/>
          <w:sz w:val="30"/>
          <w:szCs w:val="30"/>
        </w:rPr>
        <w:t>，项目达到了预期经济效益及社会效益。</w:t>
      </w:r>
    </w:p>
    <w:p>
      <w:pPr>
        <w:spacing w:line="610" w:lineRule="exact"/>
        <w:ind w:firstLine="602" w:firstLineChars="200"/>
        <w:rPr>
          <w:rFonts w:ascii="黑体" w:hAnsi="黑体" w:eastAsia="黑体" w:cs="黑体"/>
          <w:b/>
          <w:bCs/>
          <w:color w:val="auto"/>
          <w:sz w:val="30"/>
          <w:szCs w:val="30"/>
        </w:rPr>
      </w:pPr>
      <w:r>
        <w:rPr>
          <w:rFonts w:hint="eastAsia" w:ascii="黑体" w:hAnsi="黑体" w:eastAsia="黑体" w:cs="黑体"/>
          <w:b/>
          <w:bCs/>
          <w:color w:val="auto"/>
          <w:sz w:val="30"/>
          <w:szCs w:val="30"/>
        </w:rPr>
        <w:t>五、主要经验及做法、存在的问题及原因分析</w:t>
      </w:r>
    </w:p>
    <w:p>
      <w:pPr>
        <w:spacing w:line="610" w:lineRule="exact"/>
        <w:ind w:firstLine="602" w:firstLineChars="200"/>
        <w:rPr>
          <w:rFonts w:eastAsia="仿宋_GB2312"/>
          <w:b/>
          <w:bCs/>
          <w:color w:val="auto"/>
          <w:sz w:val="30"/>
          <w:szCs w:val="30"/>
        </w:rPr>
      </w:pPr>
      <w:r>
        <w:rPr>
          <w:rFonts w:hint="eastAsia" w:eastAsia="仿宋_GB2312"/>
          <w:b/>
          <w:bCs/>
          <w:color w:val="auto"/>
          <w:sz w:val="30"/>
          <w:szCs w:val="30"/>
        </w:rPr>
        <w:t>1、项目成本（预算）控制:严格成本预算，严格控制成本支出，不</w:t>
      </w:r>
      <w:r>
        <w:rPr>
          <w:rFonts w:hint="eastAsia" w:ascii="宋体" w:hAnsi="宋体" w:cs="宋体"/>
          <w:b/>
          <w:bCs/>
          <w:color w:val="auto"/>
          <w:sz w:val="30"/>
          <w:szCs w:val="30"/>
        </w:rPr>
        <w:t>乱花</w:t>
      </w:r>
      <w:r>
        <w:rPr>
          <w:rFonts w:hint="eastAsia" w:ascii="___WRD_EMBED_SUB_40" w:hAnsi="___WRD_EMBED_SUB_40" w:eastAsia="___WRD_EMBED_SUB_40" w:cs="___WRD_EMBED_SUB_40"/>
          <w:b/>
          <w:bCs/>
          <w:color w:val="auto"/>
          <w:sz w:val="30"/>
          <w:szCs w:val="30"/>
        </w:rPr>
        <w:t>一分</w:t>
      </w:r>
      <w:r>
        <w:rPr>
          <w:rFonts w:hint="eastAsia" w:ascii="宋体" w:hAnsi="宋体" w:cs="宋体"/>
          <w:b/>
          <w:bCs/>
          <w:color w:val="auto"/>
          <w:sz w:val="30"/>
          <w:szCs w:val="30"/>
        </w:rPr>
        <w:t>钱</w:t>
      </w:r>
      <w:r>
        <w:rPr>
          <w:rFonts w:hint="eastAsia" w:ascii="___WRD_EMBED_SUB_40" w:hAnsi="___WRD_EMBED_SUB_40" w:eastAsia="___WRD_EMBED_SUB_40" w:cs="___WRD_EMBED_SUB_40"/>
          <w:b/>
          <w:bCs/>
          <w:color w:val="auto"/>
          <w:sz w:val="30"/>
          <w:szCs w:val="30"/>
        </w:rPr>
        <w:t>。</w:t>
      </w:r>
    </w:p>
    <w:p>
      <w:pPr>
        <w:spacing w:line="610" w:lineRule="exact"/>
        <w:ind w:firstLine="602" w:firstLineChars="200"/>
        <w:rPr>
          <w:rFonts w:eastAsia="仿宋_GB2312"/>
          <w:b/>
          <w:bCs/>
          <w:color w:val="auto"/>
          <w:sz w:val="30"/>
          <w:szCs w:val="30"/>
        </w:rPr>
      </w:pPr>
      <w:r>
        <w:rPr>
          <w:rFonts w:hint="eastAsia" w:eastAsia="仿宋_GB2312"/>
          <w:b/>
          <w:bCs/>
          <w:color w:val="auto"/>
          <w:sz w:val="30"/>
          <w:szCs w:val="30"/>
        </w:rPr>
        <w:t>2、项目成本（预算）</w:t>
      </w:r>
      <w:r>
        <w:rPr>
          <w:rFonts w:hint="eastAsia" w:ascii="宋体" w:hAnsi="宋体" w:cs="宋体"/>
          <w:b/>
          <w:bCs/>
          <w:color w:val="auto"/>
          <w:sz w:val="30"/>
          <w:szCs w:val="30"/>
        </w:rPr>
        <w:t>节约</w:t>
      </w:r>
      <w:r>
        <w:rPr>
          <w:rFonts w:hint="eastAsia" w:eastAsia="仿宋_GB2312"/>
          <w:b/>
          <w:bCs/>
          <w:color w:val="auto"/>
          <w:sz w:val="30"/>
          <w:szCs w:val="30"/>
        </w:rPr>
        <w:t>:</w:t>
      </w:r>
      <w:r>
        <w:rPr>
          <w:rFonts w:hint="eastAsia" w:ascii="宋体" w:hAnsi="宋体" w:cs="宋体"/>
          <w:b/>
          <w:bCs/>
          <w:color w:val="auto"/>
          <w:sz w:val="30"/>
          <w:szCs w:val="30"/>
        </w:rPr>
        <w:t>加强</w:t>
      </w:r>
      <w:r>
        <w:rPr>
          <w:rFonts w:hint="eastAsia" w:ascii="___WRD_EMBED_SUB_40" w:hAnsi="___WRD_EMBED_SUB_40" w:eastAsia="___WRD_EMBED_SUB_40" w:cs="___WRD_EMBED_SUB_40"/>
          <w:b/>
          <w:bCs/>
          <w:color w:val="auto"/>
          <w:sz w:val="30"/>
          <w:szCs w:val="30"/>
        </w:rPr>
        <w:t>成本预算管理，</w:t>
      </w:r>
      <w:r>
        <w:rPr>
          <w:rFonts w:hint="eastAsia" w:ascii="宋体" w:hAnsi="宋体" w:cs="宋体"/>
          <w:b/>
          <w:bCs/>
          <w:color w:val="auto"/>
          <w:sz w:val="30"/>
          <w:szCs w:val="30"/>
        </w:rPr>
        <w:t>杜绝</w:t>
      </w:r>
      <w:r>
        <w:rPr>
          <w:rFonts w:hint="eastAsia" w:ascii="___WRD_EMBED_SUB_40" w:hAnsi="___WRD_EMBED_SUB_40" w:eastAsia="___WRD_EMBED_SUB_40" w:cs="___WRD_EMBED_SUB_40"/>
          <w:b/>
          <w:bCs/>
          <w:color w:val="auto"/>
          <w:sz w:val="30"/>
          <w:szCs w:val="30"/>
        </w:rPr>
        <w:t>不必要开支，</w:t>
      </w:r>
      <w:r>
        <w:rPr>
          <w:rFonts w:hint="eastAsia" w:ascii="宋体" w:hAnsi="宋体" w:cs="宋体"/>
          <w:b/>
          <w:bCs/>
          <w:color w:val="auto"/>
          <w:sz w:val="30"/>
          <w:szCs w:val="30"/>
        </w:rPr>
        <w:t>厉</w:t>
      </w:r>
      <w:r>
        <w:rPr>
          <w:rFonts w:hint="eastAsia" w:ascii="___WRD_EMBED_SUB_40" w:hAnsi="___WRD_EMBED_SUB_40" w:eastAsia="___WRD_EMBED_SUB_40" w:cs="___WRD_EMBED_SUB_40"/>
          <w:b/>
          <w:bCs/>
          <w:color w:val="auto"/>
          <w:sz w:val="30"/>
          <w:szCs w:val="30"/>
        </w:rPr>
        <w:t>行</w:t>
      </w:r>
      <w:r>
        <w:rPr>
          <w:rFonts w:hint="eastAsia" w:ascii="宋体" w:hAnsi="宋体" w:cs="宋体"/>
          <w:b/>
          <w:bCs/>
          <w:color w:val="auto"/>
          <w:sz w:val="30"/>
          <w:szCs w:val="30"/>
        </w:rPr>
        <w:t>节约</w:t>
      </w:r>
      <w:r>
        <w:rPr>
          <w:rFonts w:hint="eastAsia" w:ascii="___WRD_EMBED_SUB_40" w:hAnsi="___WRD_EMBED_SUB_40" w:eastAsia="___WRD_EMBED_SUB_40" w:cs="___WRD_EMBED_SUB_40"/>
          <w:b/>
          <w:bCs/>
          <w:color w:val="auto"/>
          <w:sz w:val="30"/>
          <w:szCs w:val="30"/>
        </w:rPr>
        <w:t>，年度无超预算支出</w:t>
      </w:r>
      <w:r>
        <w:rPr>
          <w:rFonts w:hint="eastAsia" w:eastAsia="仿宋_GB2312"/>
          <w:b/>
          <w:bCs/>
          <w:color w:val="auto"/>
          <w:sz w:val="30"/>
          <w:szCs w:val="30"/>
        </w:rPr>
        <w:t>。</w:t>
      </w:r>
    </w:p>
    <w:p>
      <w:pPr>
        <w:widowControl/>
        <w:spacing w:line="610" w:lineRule="exact"/>
        <w:ind w:firstLine="602" w:firstLineChars="200"/>
        <w:rPr>
          <w:rFonts w:ascii="黑体" w:hAnsi="黑体" w:eastAsia="黑体" w:cs="黑体"/>
          <w:b/>
          <w:bCs/>
          <w:color w:val="auto"/>
          <w:sz w:val="30"/>
          <w:szCs w:val="30"/>
        </w:rPr>
      </w:pPr>
      <w:r>
        <w:rPr>
          <w:rFonts w:hint="eastAsia" w:ascii="黑体" w:hAnsi="黑体" w:eastAsia="黑体" w:cs="黑体"/>
          <w:b/>
          <w:bCs/>
          <w:color w:val="auto"/>
          <w:sz w:val="30"/>
          <w:szCs w:val="30"/>
        </w:rPr>
        <w:t>六、其他需要说明的问题</w:t>
      </w:r>
    </w:p>
    <w:p>
      <w:pPr>
        <w:spacing w:line="610" w:lineRule="exact"/>
        <w:ind w:firstLine="602" w:firstLineChars="200"/>
        <w:rPr>
          <w:rFonts w:eastAsia="仿宋_GB2312"/>
          <w:b/>
          <w:bCs/>
          <w:color w:val="auto"/>
          <w:sz w:val="30"/>
          <w:szCs w:val="30"/>
        </w:rPr>
      </w:pPr>
      <w:r>
        <w:rPr>
          <w:rFonts w:hint="eastAsia" w:ascii="___WRD_EMBED_SUB_40" w:hAnsi="___WRD_EMBED_SUB_40" w:eastAsia="___WRD_EMBED_SUB_40" w:cs="___WRD_EMBED_SUB_40"/>
          <w:b/>
          <w:bCs/>
          <w:color w:val="auto"/>
          <w:sz w:val="30"/>
          <w:szCs w:val="30"/>
        </w:rPr>
        <w:t>无</w:t>
      </w:r>
      <w:r>
        <w:rPr>
          <w:rFonts w:hint="eastAsia" w:eastAsia="仿宋_GB2312"/>
          <w:b/>
          <w:bCs/>
          <w:color w:val="auto"/>
          <w:sz w:val="30"/>
          <w:szCs w:val="30"/>
        </w:rPr>
        <w:t>。</w:t>
      </w:r>
    </w:p>
    <w:p>
      <w:pPr>
        <w:pStyle w:val="2"/>
        <w:rPr>
          <w:b/>
          <w:bCs/>
          <w:color w:val="auto"/>
        </w:rPr>
      </w:pPr>
    </w:p>
    <w:p>
      <w:pPr>
        <w:rPr>
          <w:b/>
          <w:bCs/>
          <w:color w:val="auto"/>
        </w:rPr>
      </w:pPr>
    </w:p>
    <w:bookmarkEnd w:id="0"/>
    <w:sectPr>
      <w:pgSz w:w="11906" w:h="16838"/>
      <w:pgMar w:top="1984" w:right="1701" w:bottom="1984" w:left="170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微软雅黑"/>
    <w:panose1 w:val="00000000000000000000"/>
    <w:charset w:val="86"/>
    <w:family w:val="auto"/>
    <w:pitch w:val="default"/>
    <w:sig w:usb0="00000000" w:usb1="0000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82016"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___WRD_EMBED_SUB_40">
    <w:altName w:val="宋体"/>
    <w:panose1 w:val="02010609030101010101"/>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MS Mincho">
    <w:panose1 w:val="020206090402050803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仿宋_GB2312" w:eastAsia="仿宋_GB2312"/>
        <w:sz w:val="28"/>
        <w:szCs w:val="28"/>
      </w:rPr>
    </w:pPr>
    <w:r>
      <w:pict>
        <v:shape id="_x0000_s1025" o:spid="_x0000_s1025"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path/>
          <v:fill on="f" focussize="0,0"/>
          <v:stroke on="f" weight="0.5pt" joinstyle="miter"/>
          <v:imagedata o:title=""/>
          <o:lock v:ext="edit"/>
          <v:textbox inset="0mm,0mm,0mm,0mm" style="mso-fit-shape-to-text:t;">
            <w:txbxContent>
              <w:p>
                <w:pPr>
                  <w:pStyle w:val="4"/>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GI5N2I2YTM4MzJlNjhmNGU5ZGMyMTAxNTcyNGFlMDIifQ=="/>
    <w:docVar w:name="KSO_WPS_MARK_KEY" w:val="31270d48-696a-47be-abe5-4445557b5f1d"/>
  </w:docVars>
  <w:rsids>
    <w:rsidRoot w:val="00246DE8"/>
    <w:rsid w:val="001C282E"/>
    <w:rsid w:val="00246DE8"/>
    <w:rsid w:val="002D7E99"/>
    <w:rsid w:val="007B50EF"/>
    <w:rsid w:val="00B55E83"/>
    <w:rsid w:val="580312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2"/>
    <w:qFormat/>
    <w:uiPriority w:val="0"/>
    <w:pPr>
      <w:keepNext/>
      <w:keepLines/>
      <w:outlineLvl w:val="0"/>
    </w:pPr>
    <w:rPr>
      <w:rFonts w:eastAsia="黑体"/>
      <w:bCs/>
      <w:kern w:val="44"/>
      <w:szCs w:val="4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1"/>
    <w:link w:val="13"/>
    <w:qFormat/>
    <w:uiPriority w:val="0"/>
    <w:pPr>
      <w:snapToGrid w:val="0"/>
      <w:jc w:val="left"/>
    </w:pPr>
    <w:rPr>
      <w:sz w:val="18"/>
      <w:szCs w:val="18"/>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7">
    <w:name w:val="Table Grid"/>
    <w:basedOn w:val="6"/>
    <w:qFormat/>
    <w:uiPriority w:val="9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99"/>
    <w:rPr>
      <w:rFonts w:cs="Times New Roman"/>
    </w:rPr>
  </w:style>
  <w:style w:type="character" w:customStyle="1" w:styleId="10">
    <w:name w:val="页眉 Char"/>
    <w:basedOn w:val="8"/>
    <w:link w:val="5"/>
    <w:semiHidden/>
    <w:qFormat/>
    <w:uiPriority w:val="99"/>
    <w:rPr>
      <w:sz w:val="18"/>
      <w:szCs w:val="18"/>
    </w:rPr>
  </w:style>
  <w:style w:type="character" w:customStyle="1" w:styleId="11">
    <w:name w:val="页脚 Char"/>
    <w:basedOn w:val="8"/>
    <w:link w:val="4"/>
    <w:semiHidden/>
    <w:qFormat/>
    <w:uiPriority w:val="99"/>
    <w:rPr>
      <w:sz w:val="18"/>
      <w:szCs w:val="18"/>
    </w:rPr>
  </w:style>
  <w:style w:type="character" w:customStyle="1" w:styleId="12">
    <w:name w:val="标题 1 Char"/>
    <w:basedOn w:val="8"/>
    <w:link w:val="3"/>
    <w:qFormat/>
    <w:uiPriority w:val="0"/>
    <w:rPr>
      <w:rFonts w:ascii="Times New Roman" w:hAnsi="Times New Roman" w:eastAsia="黑体" w:cs="Times New Roman"/>
      <w:bCs/>
      <w:kern w:val="44"/>
      <w:szCs w:val="44"/>
    </w:rPr>
  </w:style>
  <w:style w:type="character" w:customStyle="1" w:styleId="13">
    <w:name w:val="脚注文本 Char"/>
    <w:basedOn w:val="8"/>
    <w:link w:val="2"/>
    <w:uiPriority w:val="0"/>
    <w:rPr>
      <w:rFonts w:ascii="Times New Roman" w:hAnsi="Times New Roman" w:eastAsia="宋体" w:cs="Times New Roman"/>
      <w:sz w:val="18"/>
      <w:szCs w:val="18"/>
    </w:rPr>
  </w:style>
  <w:style w:type="paragraph" w:styleId="14">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5700</Words>
  <Characters>6117</Characters>
  <Lines>54</Lines>
  <Paragraphs>15</Paragraphs>
  <TotalTime>2</TotalTime>
  <ScaleCrop>false</ScaleCrop>
  <LinksUpToDate>false</LinksUpToDate>
  <CharactersWithSpaces>6395</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2024-05-24T16:32:00Z</dcterms:created>
  <dc:creator>z</dc:creator>
  <cp:lastModifiedBy>谢莹</cp:lastModifiedBy>
  <dcterms:modified xsi:type="dcterms:W3CDTF">2024-05-27T07:29:04Z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4CFFDE77A1D8401AA3BBF2B30A29A1BC</vt:lpwstr>
  </property>
</Properties>
</file>