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pacing w:val="-23"/>
          <w:sz w:val="44"/>
          <w:szCs w:val="44"/>
        </w:rPr>
      </w:pPr>
      <w:r>
        <w:rPr>
          <w:rFonts w:hint="eastAsia" w:ascii="方正小标宋简体" w:hAnsi="方正小标宋简体" w:eastAsia="方正小标宋简体" w:cs="方正小标宋简体"/>
          <w:spacing w:val="-23"/>
          <w:sz w:val="44"/>
          <w:szCs w:val="44"/>
        </w:rPr>
        <w:t>202</w:t>
      </w:r>
      <w:r>
        <w:rPr>
          <w:rFonts w:hint="eastAsia" w:ascii="方正小标宋简体" w:hAnsi="方正小标宋简体" w:eastAsia="方正小标宋简体" w:cs="方正小标宋简体"/>
          <w:spacing w:val="-23"/>
          <w:sz w:val="44"/>
          <w:szCs w:val="44"/>
          <w:lang w:val="en-US" w:eastAsia="zh-CN"/>
        </w:rPr>
        <w:t>2</w:t>
      </w:r>
      <w:r>
        <w:rPr>
          <w:rFonts w:hint="eastAsia" w:ascii="方正小标宋简体" w:hAnsi="方正小标宋简体" w:eastAsia="方正小标宋简体" w:cs="方正小标宋简体"/>
          <w:spacing w:val="-23"/>
          <w:sz w:val="44"/>
          <w:szCs w:val="44"/>
        </w:rPr>
        <w:t>年度部门整体支出绩效评价基础数据表</w:t>
      </w:r>
    </w:p>
    <w:tbl>
      <w:tblPr>
        <w:tblStyle w:val="8"/>
        <w:tblW w:w="4998" w:type="pct"/>
        <w:jc w:val="center"/>
        <w:tblLayout w:type="autofit"/>
        <w:tblCellMar>
          <w:top w:w="0" w:type="dxa"/>
          <w:left w:w="108" w:type="dxa"/>
          <w:bottom w:w="0" w:type="dxa"/>
          <w:right w:w="108" w:type="dxa"/>
        </w:tblCellMar>
      </w:tblPr>
      <w:tblGrid>
        <w:gridCol w:w="3218"/>
        <w:gridCol w:w="1956"/>
        <w:gridCol w:w="2437"/>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27</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103.84%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551.73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332</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882.69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244.2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p>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（一个专项一行）</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244.2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提高资金使用效益，严格控制三公经费</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val="en-US" w:eastAsia="zh-CN"/>
        </w:rPr>
        <w:t>张超媛</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2023年7月11日</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15197069087</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8"/>
        <w:tblW w:w="5046" w:type="pct"/>
        <w:jc w:val="center"/>
        <w:tblLayout w:type="autofit"/>
        <w:tblCellMar>
          <w:top w:w="0" w:type="dxa"/>
          <w:left w:w="108" w:type="dxa"/>
          <w:bottom w:w="0" w:type="dxa"/>
          <w:right w:w="108" w:type="dxa"/>
        </w:tblCellMar>
      </w:tblPr>
      <w:tblGrid>
        <w:gridCol w:w="1069"/>
        <w:gridCol w:w="861"/>
        <w:gridCol w:w="867"/>
        <w:gridCol w:w="1459"/>
        <w:gridCol w:w="1036"/>
        <w:gridCol w:w="976"/>
        <w:gridCol w:w="655"/>
        <w:gridCol w:w="952"/>
        <w:gridCol w:w="1498"/>
      </w:tblGrid>
      <w:tr>
        <w:tblPrEx>
          <w:tblCellMar>
            <w:top w:w="0" w:type="dxa"/>
            <w:left w:w="108" w:type="dxa"/>
            <w:bottom w:w="0" w:type="dxa"/>
            <w:right w:w="108" w:type="dxa"/>
          </w:tblCellMar>
        </w:tblPrEx>
        <w:trPr>
          <w:trHeight w:val="713" w:hRule="atLeast"/>
          <w:jc w:val="center"/>
        </w:trPr>
        <w:tc>
          <w:tcPr>
            <w:tcW w:w="5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27"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中国共产党华容县委员会政法委员会</w:t>
            </w:r>
          </w:p>
        </w:tc>
      </w:tr>
      <w:tr>
        <w:tblPrEx>
          <w:tblCellMar>
            <w:top w:w="0" w:type="dxa"/>
            <w:left w:w="108" w:type="dxa"/>
            <w:bottom w:w="0" w:type="dxa"/>
            <w:right w:w="108" w:type="dxa"/>
          </w:tblCellMar>
        </w:tblPrEx>
        <w:trPr>
          <w:trHeight w:val="703" w:hRule="atLeast"/>
          <w:jc w:val="center"/>
        </w:trPr>
        <w:tc>
          <w:tcPr>
            <w:tcW w:w="572"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25"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78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53"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2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5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4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0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72"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25"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78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332</w:t>
            </w:r>
          </w:p>
        </w:tc>
        <w:tc>
          <w:tcPr>
            <w:tcW w:w="553"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332</w:t>
            </w:r>
          </w:p>
        </w:tc>
        <w:tc>
          <w:tcPr>
            <w:tcW w:w="52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882.69</w:t>
            </w:r>
          </w:p>
        </w:tc>
        <w:tc>
          <w:tcPr>
            <w:tcW w:w="35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4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265.87%</w:t>
            </w:r>
          </w:p>
        </w:tc>
        <w:tc>
          <w:tcPr>
            <w:tcW w:w="80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27" w:hRule="atLeast"/>
          <w:jc w:val="center"/>
        </w:trPr>
        <w:tc>
          <w:tcPr>
            <w:tcW w:w="5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259"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16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57" w:hRule="atLeast"/>
          <w:jc w:val="center"/>
        </w:trPr>
        <w:tc>
          <w:tcPr>
            <w:tcW w:w="5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259"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882.69</w:t>
            </w:r>
          </w:p>
        </w:tc>
        <w:tc>
          <w:tcPr>
            <w:tcW w:w="216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882.69</w:t>
            </w:r>
          </w:p>
        </w:tc>
      </w:tr>
      <w:tr>
        <w:tblPrEx>
          <w:tblCellMar>
            <w:top w:w="0" w:type="dxa"/>
            <w:left w:w="108" w:type="dxa"/>
            <w:bottom w:w="0" w:type="dxa"/>
            <w:right w:w="108" w:type="dxa"/>
          </w:tblCellMar>
        </w:tblPrEx>
        <w:trPr>
          <w:trHeight w:val="412" w:hRule="atLeast"/>
          <w:jc w:val="center"/>
        </w:trPr>
        <w:tc>
          <w:tcPr>
            <w:tcW w:w="5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259"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政府性基金拨款：</w:t>
            </w:r>
          </w:p>
        </w:tc>
        <w:tc>
          <w:tcPr>
            <w:tcW w:w="216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项目支出：</w:t>
            </w:r>
          </w:p>
        </w:tc>
      </w:tr>
      <w:tr>
        <w:tblPrEx>
          <w:tblCellMar>
            <w:top w:w="0" w:type="dxa"/>
            <w:left w:w="108" w:type="dxa"/>
            <w:bottom w:w="0" w:type="dxa"/>
            <w:right w:w="108" w:type="dxa"/>
          </w:tblCellMar>
        </w:tblPrEx>
        <w:trPr>
          <w:trHeight w:val="457" w:hRule="atLeast"/>
          <w:jc w:val="center"/>
        </w:trPr>
        <w:tc>
          <w:tcPr>
            <w:tcW w:w="5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259"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16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02" w:hRule="atLeast"/>
          <w:jc w:val="center"/>
        </w:trPr>
        <w:tc>
          <w:tcPr>
            <w:tcW w:w="572"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259"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16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32" w:hRule="atLeast"/>
          <w:jc w:val="center"/>
        </w:trPr>
        <w:tc>
          <w:tcPr>
            <w:tcW w:w="572"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259"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168"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572"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259"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 xml:space="preserve">  坚决维护国家政治安全，深入推进平安创建、积极化解涉法涉诉信访矛盾，全面打造法制化营商服务环境，为富美华容现代化强县建设和推动政法工作高质量发展贡献政法智慧和力量。</w:t>
            </w:r>
          </w:p>
        </w:tc>
        <w:tc>
          <w:tcPr>
            <w:tcW w:w="2168"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2022年，全县政法工作在县委、县政府的坚强领导和精心指导下，紧扣党的二十大安全维稳工作主线，坚决维护国家政治安全，着力防范化解重大风险，大力推进社会治理创新，奋力推进政法工作高质量发展，为全县经济社会发展营造了安全稳定的政治社会环境。</w:t>
            </w:r>
          </w:p>
        </w:tc>
      </w:tr>
      <w:tr>
        <w:tblPrEx>
          <w:tblCellMar>
            <w:top w:w="0" w:type="dxa"/>
            <w:left w:w="108" w:type="dxa"/>
            <w:bottom w:w="0" w:type="dxa"/>
            <w:right w:w="108" w:type="dxa"/>
          </w:tblCellMar>
        </w:tblPrEx>
        <w:trPr>
          <w:trHeight w:val="90" w:hRule="atLeast"/>
          <w:jc w:val="center"/>
        </w:trPr>
        <w:tc>
          <w:tcPr>
            <w:tcW w:w="57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4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开展宣传活动次数</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default" w:ascii="Arial" w:hAnsi="Arial" w:eastAsia="新宋体" w:cs="Arial"/>
                <w:color w:val="000000"/>
                <w:sz w:val="21"/>
                <w:szCs w:val="21"/>
              </w:rPr>
              <w:t>≥</w:t>
            </w:r>
            <w:r>
              <w:rPr>
                <w:rFonts w:hint="eastAsia" w:ascii="新宋体" w:hAnsi="新宋体" w:eastAsia="新宋体" w:cs="新宋体"/>
                <w:color w:val="000000"/>
                <w:sz w:val="21"/>
                <w:szCs w:val="21"/>
                <w:lang w:val="en-US" w:eastAsia="zh-CN"/>
              </w:rPr>
              <w:t>14次</w:t>
            </w:r>
          </w:p>
        </w:tc>
        <w:tc>
          <w:tcPr>
            <w:tcW w:w="5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12次</w:t>
            </w:r>
          </w:p>
        </w:tc>
        <w:tc>
          <w:tcPr>
            <w:tcW w:w="3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4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开展全县平安建设工作考核</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1次</w:t>
            </w:r>
          </w:p>
        </w:tc>
        <w:tc>
          <w:tcPr>
            <w:tcW w:w="5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1次</w:t>
            </w:r>
          </w:p>
        </w:tc>
        <w:tc>
          <w:tcPr>
            <w:tcW w:w="3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4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确保政法工作正常运转</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3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4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工作达标率</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5</w:t>
            </w:r>
          </w:p>
        </w:tc>
        <w:tc>
          <w:tcPr>
            <w:tcW w:w="4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5</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各项工作完成及时率</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4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87" w:hRule="atLeast"/>
          <w:jc w:val="center"/>
        </w:trPr>
        <w:tc>
          <w:tcPr>
            <w:tcW w:w="5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严格公务整体支出，加大干部作风建设，落实内部管理制度，推进公用经费使用效果上高质高效</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内部控制率约99%左右</w:t>
            </w:r>
          </w:p>
        </w:tc>
        <w:tc>
          <w:tcPr>
            <w:tcW w:w="5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99%</w:t>
            </w:r>
          </w:p>
        </w:tc>
        <w:tc>
          <w:tcPr>
            <w:tcW w:w="3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rPr>
            </w:pPr>
            <w:r>
              <w:rPr>
                <w:rFonts w:hint="eastAsia" w:ascii="新宋体" w:hAnsi="新宋体" w:eastAsia="新宋体" w:cs="新宋体"/>
                <w:color w:val="000000"/>
                <w:sz w:val="21"/>
                <w:szCs w:val="21"/>
                <w:lang w:val="en-US" w:eastAsia="zh-CN"/>
              </w:rPr>
              <w:t>20</w:t>
            </w:r>
          </w:p>
        </w:tc>
        <w:tc>
          <w:tcPr>
            <w:tcW w:w="4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7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4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不适用</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保持全省平安县称号目标，基层社会治理能力明显改善，信访矛盾存量逐步减少，社会治安形势持续好转</w:t>
            </w:r>
          </w:p>
        </w:tc>
        <w:tc>
          <w:tcPr>
            <w:tcW w:w="5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52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3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w:t>
            </w:r>
          </w:p>
        </w:tc>
        <w:tc>
          <w:tcPr>
            <w:tcW w:w="4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w:t>
            </w:r>
          </w:p>
        </w:tc>
        <w:tc>
          <w:tcPr>
            <w:tcW w:w="80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不适用</w:t>
            </w:r>
          </w:p>
        </w:tc>
        <w:tc>
          <w:tcPr>
            <w:tcW w:w="5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4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7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社会安全稳定形势持续得到巩固，基层社会治理能力明显改善，社会公平正义得到保障，群众获得感、幸福感、安全感显著提升。</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可持续</w:t>
            </w:r>
          </w:p>
        </w:tc>
        <w:tc>
          <w:tcPr>
            <w:tcW w:w="5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可持续</w:t>
            </w:r>
            <w:r>
              <w:rPr>
                <w:rFonts w:hint="eastAsia" w:ascii="新宋体" w:hAnsi="新宋体" w:eastAsia="新宋体" w:cs="新宋体"/>
                <w:color w:val="000000"/>
                <w:sz w:val="21"/>
                <w:szCs w:val="21"/>
              </w:rPr>
              <w:t>　</w:t>
            </w:r>
          </w:p>
        </w:tc>
        <w:tc>
          <w:tcPr>
            <w:tcW w:w="3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4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1" w:type="pct"/>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4" w:type="pct"/>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78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公众安全感满意度测评显著提升，群众认同感和满意度明显好转。</w:t>
            </w:r>
          </w:p>
        </w:tc>
        <w:tc>
          <w:tcPr>
            <w:tcW w:w="5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满意度达95%以上</w:t>
            </w:r>
            <w:r>
              <w:rPr>
                <w:rFonts w:hint="eastAsia" w:ascii="新宋体" w:hAnsi="新宋体" w:eastAsia="新宋体" w:cs="新宋体"/>
                <w:color w:val="000000"/>
                <w:sz w:val="21"/>
                <w:szCs w:val="21"/>
              </w:rPr>
              <w:t>　</w:t>
            </w:r>
          </w:p>
        </w:tc>
        <w:tc>
          <w:tcPr>
            <w:tcW w:w="52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w:t>
            </w:r>
          </w:p>
        </w:tc>
        <w:tc>
          <w:tcPr>
            <w:tcW w:w="4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w:t>
            </w:r>
          </w:p>
        </w:tc>
        <w:tc>
          <w:tcPr>
            <w:tcW w:w="80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352"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4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80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6"/>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val="en-US" w:eastAsia="zh-CN"/>
        </w:rPr>
        <w:t>张超媛</w:t>
      </w:r>
      <w:r>
        <w:rPr>
          <w:rFonts w:hint="default" w:ascii="Times New Roman" w:hAnsi="Times New Roman" w:eastAsia="仿宋_GB2312" w:cs="Times New Roman"/>
          <w:sz w:val="22"/>
          <w:szCs w:val="22"/>
        </w:rPr>
        <w:t xml:space="preserve">  填报日期：</w:t>
      </w:r>
      <w:r>
        <w:rPr>
          <w:rFonts w:hint="eastAsia" w:eastAsia="仿宋_GB2312" w:cs="Times New Roman"/>
          <w:sz w:val="22"/>
          <w:szCs w:val="22"/>
          <w:lang w:val="en-US" w:eastAsia="zh-CN"/>
        </w:rPr>
        <w:t>2023年7月11日</w:t>
      </w:r>
      <w:r>
        <w:rPr>
          <w:rFonts w:hint="default" w:ascii="Times New Roman" w:hAnsi="Times New Roman" w:eastAsia="仿宋_GB2312" w:cs="Times New Roman"/>
          <w:sz w:val="22"/>
          <w:szCs w:val="22"/>
        </w:rPr>
        <w:t xml:space="preserve">  联系电话：</w:t>
      </w:r>
      <w:r>
        <w:rPr>
          <w:rFonts w:hint="eastAsia" w:eastAsia="仿宋_GB2312" w:cs="Times New Roman"/>
          <w:sz w:val="22"/>
          <w:szCs w:val="22"/>
          <w:lang w:val="en-US" w:eastAsia="zh-CN"/>
        </w:rPr>
        <w:t>15197069087</w:t>
      </w:r>
      <w:r>
        <w:rPr>
          <w:rFonts w:hint="default" w:ascii="Times New Roman" w:hAnsi="Times New Roman" w:eastAsia="仿宋_GB2312" w:cs="Times New Roman"/>
          <w:sz w:val="22"/>
          <w:szCs w:val="22"/>
        </w:rPr>
        <w:t xml:space="preserve">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中国共产党华容县委员会政法委员会</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both"/>
        <w:rPr>
          <w:rFonts w:hint="default" w:ascii="Times New Roman" w:hAnsi="Times New Roman" w:eastAsia="黑体" w:cs="Times New Roman"/>
          <w:sz w:val="32"/>
          <w:szCs w:val="32"/>
        </w:rPr>
      </w:pPr>
    </w:p>
    <w:p>
      <w:pPr>
        <w:pStyle w:val="6"/>
        <w:rPr>
          <w:rFonts w:hint="default" w:ascii="Times New Roman" w:hAnsi="Times New Roman" w:eastAsia="黑体" w:cs="Times New Roman"/>
          <w:sz w:val="32"/>
          <w:szCs w:val="32"/>
        </w:rPr>
      </w:pPr>
    </w:p>
    <w:p>
      <w:pPr>
        <w:rPr>
          <w:rFonts w:hint="default" w:ascii="Times New Roman" w:hAnsi="Times New Roman" w:eastAsia="黑体" w:cs="Times New Roman"/>
          <w:sz w:val="32"/>
          <w:szCs w:val="32"/>
        </w:rPr>
      </w:pPr>
    </w:p>
    <w:p>
      <w:pPr>
        <w:pStyle w:val="6"/>
        <w:rPr>
          <w:rFonts w:hint="default"/>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11</w:t>
      </w:r>
      <w:r>
        <w:rPr>
          <w:rFonts w:hint="default" w:ascii="Times New Roman" w:hAnsi="Times New Roman" w:eastAsia="楷体_GB2312" w:cs="Times New Roman"/>
          <w:sz w:val="32"/>
          <w:szCs w:val="32"/>
        </w:rPr>
        <w:t xml:space="preserve"> 日</w:t>
      </w:r>
    </w:p>
    <w:p>
      <w:pPr>
        <w:jc w:val="center"/>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中国共产党华容县委员会政法委员会</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（一）部门（单位）基本情况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县编办核定县委政法委机关行政编制</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名，设书记1名（县委常委兼任），</w:t>
      </w:r>
      <w:r>
        <w:rPr>
          <w:rFonts w:hint="eastAsia" w:ascii="仿宋_GB2312" w:hAnsi="仿宋_GB2312" w:eastAsia="仿宋_GB2312" w:cs="仿宋_GB2312"/>
          <w:bCs/>
          <w:sz w:val="32"/>
          <w:szCs w:val="32"/>
          <w:lang w:val="en-US" w:eastAsia="zh-CN"/>
        </w:rPr>
        <w:t>常务</w:t>
      </w:r>
      <w:r>
        <w:rPr>
          <w:rFonts w:hint="eastAsia" w:ascii="仿宋_GB2312" w:hAnsi="仿宋_GB2312" w:eastAsia="仿宋_GB2312" w:cs="仿宋_GB2312"/>
          <w:bCs/>
          <w:sz w:val="32"/>
          <w:szCs w:val="32"/>
        </w:rPr>
        <w:t>副书记</w:t>
      </w:r>
      <w:r>
        <w:rPr>
          <w:rFonts w:hint="eastAsia" w:ascii="仿宋_GB2312" w:hAnsi="仿宋_GB2312" w:eastAsia="仿宋_GB2312" w:cs="仿宋_GB2312"/>
          <w:bCs/>
          <w:sz w:val="32"/>
          <w:szCs w:val="32"/>
          <w:lang w:val="en-US" w:eastAsia="zh-CN"/>
        </w:rPr>
        <w:t>1名，</w:t>
      </w:r>
      <w:r>
        <w:rPr>
          <w:rFonts w:hint="eastAsia" w:ascii="仿宋_GB2312" w:hAnsi="仿宋_GB2312" w:eastAsia="仿宋_GB2312" w:cs="仿宋_GB2312"/>
          <w:bCs/>
          <w:sz w:val="32"/>
          <w:szCs w:val="32"/>
        </w:rPr>
        <w:t>副书记</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名，政工室主任1名。目前我委现有工作人员</w:t>
      </w:r>
      <w:r>
        <w:rPr>
          <w:rFonts w:hint="eastAsia" w:ascii="仿宋_GB2312" w:hAnsi="仿宋_GB2312" w:eastAsia="仿宋_GB2312" w:cs="仿宋_GB2312"/>
          <w:bCs/>
          <w:sz w:val="32"/>
          <w:szCs w:val="32"/>
          <w:lang w:val="en-US" w:eastAsia="zh-CN"/>
        </w:rPr>
        <w:t>27</w:t>
      </w:r>
      <w:r>
        <w:rPr>
          <w:rFonts w:hint="eastAsia" w:ascii="仿宋_GB2312" w:hAnsi="仿宋_GB2312" w:eastAsia="仿宋_GB2312" w:cs="仿宋_GB2312"/>
          <w:bCs/>
          <w:sz w:val="32"/>
          <w:szCs w:val="32"/>
        </w:rPr>
        <w:t>人，其中行政编</w:t>
      </w:r>
      <w:r>
        <w:rPr>
          <w:rFonts w:hint="eastAsia" w:ascii="仿宋_GB2312" w:hAnsi="仿宋_GB2312" w:eastAsia="仿宋_GB2312" w:cs="仿宋_GB2312"/>
          <w:bCs/>
          <w:sz w:val="32"/>
          <w:szCs w:val="32"/>
          <w:lang w:val="en-US" w:eastAsia="zh-CN"/>
        </w:rPr>
        <w:t>18</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val="en-US" w:eastAsia="zh-CN"/>
        </w:rPr>
        <w:t>工勤编2人，</w:t>
      </w:r>
      <w:r>
        <w:rPr>
          <w:rFonts w:hint="eastAsia" w:ascii="仿宋_GB2312" w:hAnsi="仿宋_GB2312" w:eastAsia="仿宋_GB2312" w:cs="仿宋_GB2312"/>
          <w:bCs/>
          <w:sz w:val="32"/>
          <w:szCs w:val="32"/>
        </w:rPr>
        <w:t>社会治理网格化服务中心事业编工作人员</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名。机关内设政工室、办公室、维稳指导室、执法监督室、综治督导室、政治安全室、基层社会治理室。社会治理网格化服务中心</w:t>
      </w:r>
      <w:r>
        <w:rPr>
          <w:rFonts w:hint="eastAsia" w:ascii="仿宋_GB2312" w:hAnsi="仿宋_GB2312" w:eastAsia="仿宋_GB2312" w:cs="仿宋_GB2312"/>
          <w:bCs/>
          <w:sz w:val="32"/>
          <w:szCs w:val="32"/>
          <w:lang w:eastAsia="zh-CN"/>
        </w:rPr>
        <w:t>为</w:t>
      </w:r>
      <w:r>
        <w:rPr>
          <w:rFonts w:hint="eastAsia" w:ascii="仿宋_GB2312" w:hAnsi="仿宋_GB2312" w:eastAsia="仿宋_GB2312" w:cs="仿宋_GB2312"/>
          <w:bCs/>
          <w:sz w:val="32"/>
          <w:szCs w:val="32"/>
        </w:rPr>
        <w:t>下设独立副科级二级机构</w:t>
      </w:r>
      <w:r>
        <w:rPr>
          <w:rFonts w:hint="eastAsia" w:ascii="仿宋_GB2312" w:hAnsi="仿宋_GB2312" w:eastAsia="仿宋_GB2312" w:cs="仿宋_GB2312"/>
          <w:bCs/>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部门（单位）整体支出规模、使用方向和主要内容、涉及范围等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1.深入贯彻习近平新时代中国特色社会主义思想，深入贯彻党的路线方针政策和决策部署，统一政法各部门思想和行动，坚持党对政法工作的绝对领导，坚决维护党中央权威和集中统一领导。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深入贯彻党中央决定和省委、市委、县委决策，对全县政法工作研究提出全局性部署，推进平安华容、法治华容建设，加强过硬队伍建设，深化智能化建设，坚决维护国家政治安全、确保社会大局稳定、促进社会公平正义、保障人民安居乐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3.了解掌握和分析研判政法工作情况动态，分析社会稳定形势，创新完善多部门参与的维稳工作机制，协调推动预防、化解影响稳定的社会矛盾和风险，协调应对和处置重大突发事件。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4.加强对政法工作的督查，统筹协调社会治安综合治理、维护社会稳定、反邪教有关法律法规政策的实施工作。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sz w:val="32"/>
          <w:szCs w:val="32"/>
          <w:lang w:val="en-US"/>
        </w:rPr>
      </w:pP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组织</w:t>
      </w:r>
      <w:r>
        <w:rPr>
          <w:rFonts w:hint="eastAsia" w:ascii="仿宋_GB2312" w:hAnsi="仿宋_GB2312" w:eastAsia="仿宋_GB2312" w:cs="仿宋_GB2312"/>
          <w:bCs/>
          <w:sz w:val="32"/>
          <w:szCs w:val="32"/>
          <w:lang w:val="en-US" w:eastAsia="zh-CN"/>
        </w:rPr>
        <w:t>开展政法领域的调差研究，研究拟订政法工作的重要措施，及时向县委提出建议。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6.掌握分析政法舆情动态，指导协调政法部门媒体网络宣传工作，指导政法部门做好涉及政法工作的重大宣传工作。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7.监督和支持政法各部门依法行使职权，指导和协调政法各部门密切配合，研究和协调重大、疑难案件，推进严格执法、公正司法。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sz w:val="32"/>
          <w:szCs w:val="32"/>
          <w:lang w:val="en-US"/>
        </w:rPr>
      </w:pPr>
      <w:r>
        <w:rPr>
          <w:rFonts w:hint="eastAsia" w:ascii="仿宋_GB2312" w:hAnsi="仿宋_GB2312" w:eastAsia="仿宋_GB2312" w:cs="仿宋_GB2312"/>
          <w:bCs/>
          <w:sz w:val="32"/>
          <w:szCs w:val="32"/>
          <w:lang w:val="en-US" w:eastAsia="zh-CN"/>
        </w:rPr>
        <w:t>8.组织研究政法改革中带有方向性、倾向性和普遍性的重大问题，深化政法改革。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9.指导推动政法系统党的建设和政法队伍建设。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sz w:val="32"/>
          <w:szCs w:val="32"/>
        </w:rPr>
      </w:pPr>
      <w:r>
        <w:rPr>
          <w:rFonts w:hint="eastAsia" w:ascii="仿宋_GB2312" w:hAnsi="仿宋_GB2312" w:eastAsia="仿宋_GB2312" w:cs="仿宋_GB2312"/>
          <w:bCs/>
          <w:sz w:val="32"/>
          <w:szCs w:val="32"/>
          <w:lang w:val="en-US" w:eastAsia="zh-CN"/>
        </w:rPr>
        <w:t>10.完成县委交办的其他事项。</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二、基本支出情况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（1）收入情况：全年收入</w:t>
      </w:r>
      <w:r>
        <w:rPr>
          <w:rFonts w:hint="eastAsia" w:ascii="仿宋_GB2312" w:hAnsi="仿宋_GB2312" w:eastAsia="仿宋_GB2312" w:cs="仿宋_GB2312"/>
          <w:bCs/>
          <w:sz w:val="32"/>
          <w:szCs w:val="32"/>
          <w:lang w:val="en-US" w:eastAsia="zh-CN"/>
        </w:rPr>
        <w:t>882.69</w:t>
      </w:r>
      <w:r>
        <w:rPr>
          <w:rFonts w:hint="eastAsia" w:ascii="仿宋_GB2312" w:hAnsi="仿宋_GB2312" w:eastAsia="仿宋_GB2312" w:cs="仿宋_GB2312"/>
          <w:bCs/>
          <w:sz w:val="32"/>
          <w:szCs w:val="32"/>
        </w:rPr>
        <w:t>万元，财政拨款收入</w:t>
      </w:r>
      <w:r>
        <w:rPr>
          <w:rFonts w:hint="eastAsia" w:ascii="仿宋_GB2312" w:hAnsi="仿宋_GB2312" w:eastAsia="仿宋_GB2312" w:cs="仿宋_GB2312"/>
          <w:bCs/>
          <w:sz w:val="32"/>
          <w:szCs w:val="32"/>
          <w:lang w:val="en-US" w:eastAsia="zh-CN"/>
        </w:rPr>
        <w:t>882.69</w:t>
      </w:r>
      <w:r>
        <w:rPr>
          <w:rFonts w:hint="eastAsia" w:ascii="仿宋_GB2312" w:hAnsi="仿宋_GB2312" w:eastAsia="仿宋_GB2312" w:cs="仿宋_GB2312"/>
          <w:bCs/>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（2）支出情况:支出</w:t>
      </w:r>
      <w:r>
        <w:rPr>
          <w:rFonts w:hint="eastAsia" w:ascii="仿宋_GB2312" w:hAnsi="仿宋_GB2312" w:eastAsia="仿宋_GB2312" w:cs="仿宋_GB2312"/>
          <w:bCs/>
          <w:sz w:val="32"/>
          <w:szCs w:val="32"/>
          <w:lang w:val="en-US" w:eastAsia="zh-CN"/>
        </w:rPr>
        <w:t>882.69</w:t>
      </w:r>
      <w:r>
        <w:rPr>
          <w:rFonts w:hint="eastAsia" w:ascii="仿宋_GB2312" w:hAnsi="仿宋_GB2312" w:eastAsia="仿宋_GB2312" w:cs="仿宋_GB2312"/>
          <w:bCs/>
          <w:sz w:val="32"/>
          <w:szCs w:val="32"/>
        </w:rPr>
        <w:t>万元， 其中：基本支出</w:t>
      </w:r>
      <w:r>
        <w:rPr>
          <w:rFonts w:hint="eastAsia" w:ascii="仿宋_GB2312" w:hAnsi="仿宋_GB2312" w:eastAsia="仿宋_GB2312" w:cs="仿宋_GB2312"/>
          <w:bCs/>
          <w:sz w:val="32"/>
          <w:szCs w:val="32"/>
          <w:lang w:val="en-US" w:eastAsia="zh-CN"/>
        </w:rPr>
        <w:t>882.69万</w:t>
      </w:r>
      <w:r>
        <w:rPr>
          <w:rFonts w:hint="eastAsia" w:ascii="仿宋_GB2312" w:hAnsi="仿宋_GB2312" w:eastAsia="仿宋_GB2312" w:cs="仿宋_GB2312"/>
          <w:bCs/>
          <w:sz w:val="32"/>
          <w:szCs w:val="32"/>
        </w:rPr>
        <w:t>元</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其中</w:t>
      </w:r>
      <w:r>
        <w:rPr>
          <w:rFonts w:hint="eastAsia" w:ascii="仿宋_GB2312" w:hAnsi="仿宋_GB2312" w:eastAsia="仿宋_GB2312" w:cs="仿宋_GB2312"/>
          <w:bCs/>
          <w:sz w:val="32"/>
          <w:szCs w:val="32"/>
          <w:lang w:eastAsia="zh-CN"/>
        </w:rPr>
        <w:t>人员</w:t>
      </w:r>
      <w:r>
        <w:rPr>
          <w:rFonts w:hint="eastAsia" w:ascii="仿宋_GB2312" w:hAnsi="仿宋_GB2312" w:eastAsia="仿宋_GB2312" w:cs="仿宋_GB2312"/>
          <w:bCs/>
          <w:sz w:val="32"/>
          <w:szCs w:val="32"/>
        </w:rPr>
        <w:t>支出</w:t>
      </w:r>
      <w:r>
        <w:rPr>
          <w:rFonts w:hint="eastAsia" w:ascii="仿宋_GB2312" w:hAnsi="仿宋_GB2312" w:eastAsia="仿宋_GB2312" w:cs="仿宋_GB2312"/>
          <w:bCs/>
          <w:sz w:val="32"/>
          <w:szCs w:val="32"/>
          <w:lang w:val="en-US" w:eastAsia="zh-CN"/>
        </w:rPr>
        <w:t>474.92</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公用支出</w:t>
      </w:r>
      <w:r>
        <w:rPr>
          <w:rFonts w:hint="eastAsia" w:ascii="仿宋_GB2312" w:hAnsi="仿宋_GB2312" w:eastAsia="仿宋_GB2312" w:cs="仿宋_GB2312"/>
          <w:bCs/>
          <w:sz w:val="32"/>
          <w:szCs w:val="32"/>
          <w:lang w:val="en-US" w:eastAsia="zh-CN"/>
        </w:rPr>
        <w:t>407.77万元</w:t>
      </w:r>
      <w:r>
        <w:rPr>
          <w:rFonts w:hint="eastAsia" w:ascii="仿宋_GB2312" w:hAnsi="仿宋_GB2312" w:eastAsia="仿宋_GB2312" w:cs="仿宋_GB2312"/>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2"/>
          <w:sz w:val="32"/>
          <w:szCs w:val="32"/>
          <w:lang w:val="en-US" w:eastAsia="zh-CN" w:bidi="ar-SA"/>
        </w:rPr>
      </w:pPr>
      <w:r>
        <w:rPr>
          <w:rFonts w:hint="eastAsia" w:ascii="仿宋_GB2312" w:hAnsi="仿宋_GB2312" w:eastAsia="仿宋_GB2312" w:cs="仿宋_GB2312"/>
          <w:bCs/>
          <w:sz w:val="32"/>
          <w:szCs w:val="32"/>
        </w:rPr>
        <w:t>（3）三公经费支出情况：20</w:t>
      </w:r>
      <w:r>
        <w:rPr>
          <w:rFonts w:hint="eastAsia" w:ascii="仿宋_GB2312" w:hAnsi="仿宋_GB2312" w:eastAsia="仿宋_GB2312" w:cs="仿宋_GB2312"/>
          <w:bCs/>
          <w:sz w:val="32"/>
          <w:szCs w:val="32"/>
          <w:lang w:val="en-US" w:eastAsia="zh-CN"/>
        </w:rPr>
        <w:t>22</w:t>
      </w:r>
      <w:r>
        <w:rPr>
          <w:rFonts w:hint="eastAsia" w:ascii="仿宋_GB2312" w:hAnsi="仿宋_GB2312" w:eastAsia="仿宋_GB2312" w:cs="仿宋_GB2312"/>
          <w:bCs/>
          <w:sz w:val="32"/>
          <w:szCs w:val="32"/>
        </w:rPr>
        <w:t>年部门预算安排“三公”经费</w:t>
      </w:r>
      <w:r>
        <w:rPr>
          <w:rFonts w:hint="eastAsia" w:ascii="仿宋_GB2312" w:hAnsi="仿宋_GB2312" w:eastAsia="仿宋_GB2312" w:cs="仿宋_GB2312"/>
          <w:bCs/>
          <w:sz w:val="32"/>
          <w:szCs w:val="32"/>
          <w:lang w:val="en-US" w:eastAsia="zh-CN"/>
        </w:rPr>
        <w:t>1.22</w:t>
      </w:r>
      <w:r>
        <w:rPr>
          <w:rFonts w:hint="eastAsia" w:ascii="仿宋_GB2312" w:hAnsi="仿宋_GB2312" w:eastAsia="仿宋_GB2312" w:cs="仿宋_GB2312"/>
          <w:bCs/>
          <w:sz w:val="32"/>
          <w:szCs w:val="32"/>
        </w:rPr>
        <w:t>万元，实际支出</w:t>
      </w:r>
      <w:r>
        <w:rPr>
          <w:rFonts w:hint="eastAsia" w:ascii="仿宋_GB2312" w:hAnsi="仿宋_GB2312" w:eastAsia="仿宋_GB2312" w:cs="仿宋_GB2312"/>
          <w:bCs/>
          <w:sz w:val="32"/>
          <w:szCs w:val="32"/>
          <w:lang w:val="en-US" w:eastAsia="zh-CN"/>
        </w:rPr>
        <w:t>1.22</w:t>
      </w:r>
      <w:r>
        <w:rPr>
          <w:rFonts w:hint="eastAsia" w:ascii="仿宋_GB2312" w:hAnsi="仿宋_GB2312" w:eastAsia="仿宋_GB2312" w:cs="仿宋_GB2312"/>
          <w:bCs/>
          <w:sz w:val="32"/>
          <w:szCs w:val="32"/>
        </w:rPr>
        <w:t>万元，其中公务接待费</w:t>
      </w:r>
      <w:r>
        <w:rPr>
          <w:rFonts w:hint="eastAsia" w:ascii="仿宋_GB2312" w:hAnsi="仿宋_GB2312" w:eastAsia="仿宋_GB2312" w:cs="仿宋_GB2312"/>
          <w:bCs/>
          <w:sz w:val="32"/>
          <w:szCs w:val="32"/>
          <w:lang w:val="en-US" w:eastAsia="zh-CN"/>
        </w:rPr>
        <w:t>1.22</w:t>
      </w:r>
      <w:r>
        <w:rPr>
          <w:rFonts w:hint="eastAsia" w:ascii="仿宋_GB2312" w:hAnsi="仿宋_GB2312" w:eastAsia="仿宋_GB2312" w:cs="仿宋_GB2312"/>
          <w:bCs/>
          <w:sz w:val="32"/>
          <w:szCs w:val="32"/>
        </w:rPr>
        <w:t>万元。</w:t>
      </w:r>
    </w:p>
    <w:p>
      <w:pPr>
        <w:pStyle w:val="14"/>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三、项目支出情况</w:t>
      </w:r>
    </w:p>
    <w:p>
      <w:pPr>
        <w:pStyle w:val="14"/>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无。</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年初工作规划和重点性工作，积极履职，强化管理，较好的完成了年度工作目标。通过加强预算收支的管理，不断建立健全内部管理制度，理顺内部管理流程，部门整体支出管理情况得到了提升。部门整体支出绩效情况如下：</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(一)经济性评价</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1、本年预算安排控制较好，“三公”经费预算总额未突破上年。</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2、预算执行方面，支出总额控制在预算总额以内。</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(二)行政效能评价</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为强化部门整体支出，加强国有资产管理，提高资金使用效益，提升财务管理，建立节约型机关，在强化业务管理、财务管理和厉行节约方面开展了大量工作，行政效能显著。</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1、在原有相对健全的财务管理制度基础上，适时地、针对性的进行了相关制度的增补，制度的建立更为完善。</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2、重视制度的学习和宣讲工作，并已逐步形成了崇尚厉行节约反对浪费的机关文化。</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建立了经费支出定期汇报和公示机制，经费支出的公开透明性得到提高。根据经费支出情况，定期进行经费支出财务统计和分析，并及时向分管领导和绩效评价领导小组进行汇报，对经费支出的管理状况提出建设性的意见</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使各项经费管理和监督发挥了较好的作用。</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4、严格执行了国库集中支付、公务卡结算制度、政府采购等有关规定</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政府采购目录内的货物与服务全部按要求实施了政府采购</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确保了支出管理流程、审批手续的完整。</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5、加强了会计核算工作。根据《行政单位会计制度》进行了全面系统的学习，提高了财务核算质量。</w:t>
      </w:r>
    </w:p>
    <w:p>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1、预</w:t>
      </w:r>
      <w:r>
        <w:rPr>
          <w:rFonts w:hint="eastAsia" w:eastAsia="仿宋_GB2312" w:cs="Times New Roman"/>
          <w:sz w:val="32"/>
          <w:szCs w:val="32"/>
          <w:lang w:val="en-US" w:eastAsia="zh-CN"/>
        </w:rPr>
        <w:t>算精细化不够，准确性有待提高。</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sz w:val="32"/>
          <w:szCs w:val="32"/>
          <w:lang w:val="en-US" w:eastAsia="zh-CN"/>
        </w:rPr>
      </w:pPr>
      <w:r>
        <w:rPr>
          <w:rFonts w:hint="eastAsia" w:eastAsia="仿宋_GB2312" w:cs="Times New Roman"/>
          <w:sz w:val="32"/>
          <w:szCs w:val="32"/>
          <w:lang w:val="en-US" w:eastAsia="zh-CN"/>
        </w:rPr>
        <w:t>2、资产管理报废处置欠及时。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六</w:t>
      </w:r>
      <w:r>
        <w:rPr>
          <w:rFonts w:hint="default" w:ascii="Times New Roman" w:hAnsi="Times New Roman" w:eastAsia="黑体" w:cs="Times New Roman"/>
          <w:sz w:val="32"/>
          <w:szCs w:val="32"/>
        </w:rPr>
        <w:t>、下一步改进措施</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1、强化预算管理。提高会计人员预算编报水平，增强各股室预算参与度，结合单位实际，精细化预算管理。</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2、强化资产管理。从上而下提高国有资产管理重视度，执行严格的资产报废处置制度，强化相关责任追究。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仿宋_GB2312" w:eastAsia="仿宋_GB2312"/>
          <w:sz w:val="32"/>
          <w:szCs w:val="32"/>
          <w:lang w:val="en-US" w:eastAsia="zh-CN"/>
        </w:rPr>
        <w:t>无。</w:t>
      </w:r>
    </w:p>
    <w:p>
      <w:pPr>
        <w:keepNext w:val="0"/>
        <w:keepLines w:val="0"/>
        <w:pageBreakBefore w:val="0"/>
        <w:widowControl/>
        <w:kinsoku/>
        <w:wordWrap/>
        <w:overflowPunct/>
        <w:topLinePunct w:val="0"/>
        <w:autoSpaceDE/>
        <w:autoSpaceDN/>
        <w:bidi w:val="0"/>
        <w:adjustRightInd/>
        <w:snapToGrid/>
        <w:spacing w:line="610" w:lineRule="exact"/>
        <w:jc w:val="both"/>
        <w:textAlignment w:val="auto"/>
        <w:rPr>
          <w:rFonts w:hint="eastAsia" w:ascii="仿宋_GB2312" w:eastAsia="仿宋_GB2312"/>
          <w:sz w:val="32"/>
          <w:szCs w:val="32"/>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3C27800-D4EE-488A-82D6-72E7D783E48F}"/>
  </w:font>
  <w:font w:name="Arial">
    <w:panose1 w:val="020B0604020202020204"/>
    <w:charset w:val="01"/>
    <w:family w:val="swiss"/>
    <w:pitch w:val="default"/>
    <w:sig w:usb0="E0002EFF" w:usb1="C000785B" w:usb2="00000009" w:usb3="00000000" w:csb0="400001FF" w:csb1="FFFF0000"/>
    <w:embedRegular r:id="rId2" w:fontKey="{8EA54967-FC68-466D-8F2F-76EFD4E21040}"/>
  </w:font>
  <w:font w:name="黑体">
    <w:panose1 w:val="02010609060101010101"/>
    <w:charset w:val="86"/>
    <w:family w:val="auto"/>
    <w:pitch w:val="default"/>
    <w:sig w:usb0="800002BF" w:usb1="38CF7CFA" w:usb2="00000016" w:usb3="00000000" w:csb0="00040001" w:csb1="00000000"/>
    <w:embedRegular r:id="rId3" w:fontKey="{00E49E9D-3270-4FF6-B0C4-FD940E7E9C33}"/>
  </w:font>
  <w:font w:name="Courier New">
    <w:panose1 w:val="02070309020205020404"/>
    <w:charset w:val="01"/>
    <w:family w:val="modern"/>
    <w:pitch w:val="default"/>
    <w:sig w:usb0="E0002EFF" w:usb1="C0007843" w:usb2="00000009" w:usb3="00000000" w:csb0="400001FF" w:csb1="FFFF0000"/>
    <w:embedRegular r:id="rId4" w:fontKey="{4E07A6A7-1469-4FFF-AF0B-A949E9E18AB6}"/>
  </w:font>
  <w:font w:name="Symbol">
    <w:panose1 w:val="05050102010706020507"/>
    <w:charset w:val="02"/>
    <w:family w:val="roman"/>
    <w:pitch w:val="default"/>
    <w:sig w:usb0="00000000" w:usb1="00000000" w:usb2="00000000" w:usb3="00000000" w:csb0="80000000" w:csb1="00000000"/>
    <w:embedRegular r:id="rId5" w:fontKey="{0EA7B6C2-9211-4AD2-A13B-20D2B96DC3D7}"/>
  </w:font>
  <w:font w:name="Calibri">
    <w:panose1 w:val="020F0502020204030204"/>
    <w:charset w:val="00"/>
    <w:family w:val="swiss"/>
    <w:pitch w:val="default"/>
    <w:sig w:usb0="E4002EFF" w:usb1="C000247B" w:usb2="00000009" w:usb3="00000000" w:csb0="200001FF" w:csb1="00000000"/>
    <w:embedRegular r:id="rId6" w:fontKey="{3823E836-25B7-4A11-9493-DA7FE70E95EC}"/>
  </w:font>
  <w:font w:name="方正小标宋简体">
    <w:panose1 w:val="03000509000000000000"/>
    <w:charset w:val="86"/>
    <w:family w:val="auto"/>
    <w:pitch w:val="default"/>
    <w:sig w:usb0="00000001" w:usb1="080E0000" w:usb2="00000000" w:usb3="00000000" w:csb0="00040000" w:csb1="00000000"/>
    <w:embedRegular r:id="rId7" w:fontKey="{653692AD-B98B-4FD8-98FD-76FF322C1202}"/>
  </w:font>
  <w:font w:name="新宋体">
    <w:panose1 w:val="02010609030101010101"/>
    <w:charset w:val="86"/>
    <w:family w:val="auto"/>
    <w:pitch w:val="default"/>
    <w:sig w:usb0="00000203" w:usb1="288F0000" w:usb2="00000006" w:usb3="00000000" w:csb0="00040001" w:csb1="00000000"/>
    <w:embedRegular r:id="rId8" w:fontKey="{8B8A17B6-6D2C-4BFC-94A2-CD882EF262A1}"/>
  </w:font>
  <w:font w:name="仿宋_GB2312">
    <w:panose1 w:val="02010609030101010101"/>
    <w:charset w:val="86"/>
    <w:family w:val="auto"/>
    <w:pitch w:val="default"/>
    <w:sig w:usb0="00000001" w:usb1="080E0000" w:usb2="00000000" w:usb3="00000000" w:csb0="00040000" w:csb1="00000000"/>
    <w:embedRegular r:id="rId9" w:fontKey="{679A76BF-BA86-46F6-AAFA-DB398C70DAA3}"/>
  </w:font>
  <w:font w:name="方正小标宋_GBK">
    <w:panose1 w:val="03000509000000000000"/>
    <w:charset w:val="86"/>
    <w:family w:val="script"/>
    <w:pitch w:val="default"/>
    <w:sig w:usb0="00000001" w:usb1="080E0000" w:usb2="00000000" w:usb3="00000000" w:csb0="00040000" w:csb1="00000000"/>
    <w:embedRegular r:id="rId10" w:fontKey="{AC5E43BD-E3A8-4448-8D5A-4FA98114EABE}"/>
  </w:font>
  <w:font w:name="楷体_GB2312">
    <w:panose1 w:val="02010609030101010101"/>
    <w:charset w:val="86"/>
    <w:family w:val="auto"/>
    <w:pitch w:val="default"/>
    <w:sig w:usb0="00000001" w:usb1="080E0000" w:usb2="00000000" w:usb3="00000000" w:csb0="00040000" w:csb1="00000000"/>
    <w:embedRegular r:id="rId11" w:fontKey="{872521FE-AA2E-4DA6-9C41-A809CA4AFD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3A470"/>
    <w:multiLevelType w:val="singleLevel"/>
    <w:tmpl w:val="A6D3A470"/>
    <w:lvl w:ilvl="0" w:tentative="0">
      <w:start w:val="1"/>
      <w:numFmt w:val="chineseCounting"/>
      <w:suff w:val="nothing"/>
      <w:lvlText w:val="%1、"/>
      <w:lvlJc w:val="left"/>
      <w:rPr>
        <w:rFonts w:hint="eastAsia"/>
      </w:rPr>
    </w:lvl>
  </w:abstractNum>
  <w:abstractNum w:abstractNumId="1">
    <w:nsid w:val="249E06C6"/>
    <w:multiLevelType w:val="singleLevel"/>
    <w:tmpl w:val="249E06C6"/>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OTViMTgzZmM3NWUxZjYyOGVlNGU1ZjEwOTM2MjMifQ=="/>
    <w:docVar w:name="KSO_WPS_MARK_KEY" w:val="dc95419d-e877-46b8-8218-cfda7a83bb0e"/>
  </w:docVars>
  <w:rsids>
    <w:rsidRoot w:val="0CCB7736"/>
    <w:rsid w:val="00047FEF"/>
    <w:rsid w:val="000A3906"/>
    <w:rsid w:val="001776F1"/>
    <w:rsid w:val="006F0A16"/>
    <w:rsid w:val="00773328"/>
    <w:rsid w:val="00821883"/>
    <w:rsid w:val="00917857"/>
    <w:rsid w:val="00A755C2"/>
    <w:rsid w:val="016A347B"/>
    <w:rsid w:val="02B50488"/>
    <w:rsid w:val="0338470A"/>
    <w:rsid w:val="034822A9"/>
    <w:rsid w:val="03D86621"/>
    <w:rsid w:val="04EE6171"/>
    <w:rsid w:val="05395EA9"/>
    <w:rsid w:val="0ABD557B"/>
    <w:rsid w:val="0BBB5A8D"/>
    <w:rsid w:val="0C104906"/>
    <w:rsid w:val="0CA94B23"/>
    <w:rsid w:val="0CCB7736"/>
    <w:rsid w:val="0D9E0E8D"/>
    <w:rsid w:val="0EAB7397"/>
    <w:rsid w:val="0EF755B3"/>
    <w:rsid w:val="0F17035E"/>
    <w:rsid w:val="0F4E168D"/>
    <w:rsid w:val="11404466"/>
    <w:rsid w:val="11963ADD"/>
    <w:rsid w:val="11EB0F5C"/>
    <w:rsid w:val="11F20483"/>
    <w:rsid w:val="136F31F8"/>
    <w:rsid w:val="138750E0"/>
    <w:rsid w:val="15A620D3"/>
    <w:rsid w:val="16A3369E"/>
    <w:rsid w:val="16CC25CE"/>
    <w:rsid w:val="178536BD"/>
    <w:rsid w:val="19516372"/>
    <w:rsid w:val="19575CC2"/>
    <w:rsid w:val="19A80228"/>
    <w:rsid w:val="1A101464"/>
    <w:rsid w:val="1A687910"/>
    <w:rsid w:val="1AB74849"/>
    <w:rsid w:val="1AC52FF2"/>
    <w:rsid w:val="1AE6175D"/>
    <w:rsid w:val="1B742AA7"/>
    <w:rsid w:val="1CA34935"/>
    <w:rsid w:val="1D58666F"/>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3A2935"/>
    <w:rsid w:val="2BF35971"/>
    <w:rsid w:val="2C487650"/>
    <w:rsid w:val="2E4F43C0"/>
    <w:rsid w:val="2EC7368E"/>
    <w:rsid w:val="30FB4B41"/>
    <w:rsid w:val="31621165"/>
    <w:rsid w:val="323C5548"/>
    <w:rsid w:val="35904557"/>
    <w:rsid w:val="36625EF3"/>
    <w:rsid w:val="37450F88"/>
    <w:rsid w:val="37D6106F"/>
    <w:rsid w:val="38A913C7"/>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4147F0D"/>
    <w:rsid w:val="64D66362"/>
    <w:rsid w:val="65860217"/>
    <w:rsid w:val="667E0AA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DD96C0E"/>
    <w:rsid w:val="7E474F7B"/>
    <w:rsid w:val="7E8F7AC1"/>
    <w:rsid w:val="7FEA019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10">
    <w:name w:val="Default Paragraph Font"/>
    <w:semiHidden/>
    <w:qFormat/>
    <w:uiPriority w:val="99"/>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next w:val="1"/>
    <w:qFormat/>
    <w:uiPriority w:val="0"/>
    <w:pPr>
      <w:snapToGrid w:val="0"/>
      <w:jc w:val="left"/>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Footer Char"/>
    <w:basedOn w:val="10"/>
    <w:link w:val="4"/>
    <w:semiHidden/>
    <w:qFormat/>
    <w:uiPriority w:val="99"/>
    <w:rPr>
      <w:sz w:val="18"/>
      <w:szCs w:val="18"/>
    </w:rPr>
  </w:style>
  <w:style w:type="character" w:customStyle="1" w:styleId="13">
    <w:name w:val="Header Char"/>
    <w:basedOn w:val="10"/>
    <w:link w:val="5"/>
    <w:semiHidden/>
    <w:qFormat/>
    <w:uiPriority w:val="99"/>
    <w:rPr>
      <w:sz w:val="18"/>
      <w:szCs w:val="18"/>
    </w:rPr>
  </w:style>
  <w:style w:type="paragraph" w:styleId="14">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9</Pages>
  <Words>2922</Words>
  <Characters>3188</Characters>
  <Lines>0</Lines>
  <Paragraphs>0</Paragraphs>
  <TotalTime>0</TotalTime>
  <ScaleCrop>false</ScaleCrop>
  <LinksUpToDate>false</LinksUpToDate>
  <CharactersWithSpaces>3241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张超媛</cp:lastModifiedBy>
  <cp:lastPrinted>2023-07-12T02:01:00Z</cp:lastPrinted>
  <dcterms:modified xsi:type="dcterms:W3CDTF">2024-05-24T02:55:09Z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386772509_embed</vt:lpwstr>
  </property>
  <property fmtid="{D5CDD505-2E9C-101B-9397-08002B2CF9AE}" pid="4" name="ICV">
    <vt:lpwstr>F792A2C0892247C8A797250ECBEA1EDD</vt:lpwstr>
  </property>
</Properties>
</file>