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6" w:line="220" w:lineRule="auto"/>
        <w:ind w:left="1032"/>
        <w:rPr>
          <w:rFonts w:ascii="SimSun" w:hAnsi="SimSun" w:eastAsia="SimSun" w:cs="SimSun"/>
          <w:sz w:val="90"/>
          <w:szCs w:val="90"/>
        </w:rPr>
      </w:pP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华</w:t>
      </w:r>
      <w:r>
        <w:rPr>
          <w:rFonts w:ascii="SimSun" w:hAnsi="SimSun" w:eastAsia="SimSun" w:cs="SimSun"/>
          <w:color w:val="DB0700"/>
          <w:spacing w:val="-127"/>
          <w:sz w:val="90"/>
          <w:szCs w:val="90"/>
        </w:rPr>
        <w:t xml:space="preserve"> </w:t>
      </w: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容</w:t>
      </w:r>
      <w:r>
        <w:rPr>
          <w:rFonts w:ascii="SimSun" w:hAnsi="SimSun" w:eastAsia="SimSun" w:cs="SimSun"/>
          <w:color w:val="DB0700"/>
          <w:spacing w:val="-135"/>
          <w:sz w:val="90"/>
          <w:szCs w:val="90"/>
        </w:rPr>
        <w:t xml:space="preserve"> </w:t>
      </w: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县</w:t>
      </w:r>
      <w:r>
        <w:rPr>
          <w:rFonts w:ascii="SimSun" w:hAnsi="SimSun" w:eastAsia="SimSun" w:cs="SimSun"/>
          <w:color w:val="DB0700"/>
          <w:spacing w:val="-134"/>
          <w:sz w:val="90"/>
          <w:szCs w:val="90"/>
        </w:rPr>
        <w:t xml:space="preserve"> </w:t>
      </w: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财</w:t>
      </w:r>
      <w:r>
        <w:rPr>
          <w:rFonts w:ascii="SimSun" w:hAnsi="SimSun" w:eastAsia="SimSun" w:cs="SimSun"/>
          <w:color w:val="DB0700"/>
          <w:spacing w:val="-142"/>
          <w:sz w:val="90"/>
          <w:szCs w:val="90"/>
        </w:rPr>
        <w:t xml:space="preserve"> </w:t>
      </w: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政</w:t>
      </w:r>
      <w:r>
        <w:rPr>
          <w:rFonts w:ascii="SimSun" w:hAnsi="SimSun" w:eastAsia="SimSun" w:cs="SimSun"/>
          <w:color w:val="DB0700"/>
          <w:spacing w:val="-127"/>
          <w:sz w:val="90"/>
          <w:szCs w:val="90"/>
        </w:rPr>
        <w:t xml:space="preserve"> </w:t>
      </w:r>
      <w:r>
        <w:rPr>
          <w:rFonts w:ascii="SimSun" w:hAnsi="SimSun" w:eastAsia="SimSun" w:cs="SimSun"/>
          <w:b/>
          <w:bCs/>
          <w:color w:val="DB0700"/>
          <w:spacing w:val="-42"/>
          <w:sz w:val="90"/>
          <w:szCs w:val="90"/>
        </w:rPr>
        <w:t>局</w:t>
      </w:r>
    </w:p>
    <w:p>
      <w:pPr>
        <w:spacing w:before="60" w:line="60" w:lineRule="exact"/>
        <w:textAlignment w:val="center"/>
      </w:pPr>
      <w:r>
        <w:drawing>
          <wp:inline distT="0" distB="0" distL="0" distR="0">
            <wp:extent cx="5568950" cy="374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68989" cy="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9" w:line="222" w:lineRule="auto"/>
        <w:ind w:right="88"/>
        <w:jc w:val="right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10"/>
          <w:sz w:val="34"/>
          <w:szCs w:val="34"/>
        </w:rPr>
        <w:t>华财函〔2023〕63号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43" w:line="228" w:lineRule="auto"/>
        <w:ind w:left="3336" w:right="259" w:hanging="2970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6"/>
          <w:sz w:val="44"/>
          <w:szCs w:val="44"/>
        </w:rPr>
        <w:t>关于开展2022年度财政预算支出绩效自评</w:t>
      </w:r>
      <w:r>
        <w:rPr>
          <w:rFonts w:ascii="SimSun" w:hAnsi="SimSun" w:eastAsia="SimSun" w:cs="SimSun"/>
          <w:spacing w:val="11"/>
          <w:sz w:val="44"/>
          <w:szCs w:val="44"/>
        </w:rPr>
        <w:t xml:space="preserve"> </w:t>
      </w:r>
      <w:r>
        <w:rPr>
          <w:rFonts w:ascii="SimSun" w:hAnsi="SimSun" w:eastAsia="SimSun" w:cs="SimSun"/>
          <w:b/>
          <w:bCs/>
          <w:spacing w:val="1"/>
          <w:sz w:val="44"/>
          <w:szCs w:val="44"/>
        </w:rPr>
        <w:t>工作的通知</w:t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111" w:line="221" w:lineRule="auto"/>
        <w:ind w:left="120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26"/>
          <w:sz w:val="34"/>
          <w:szCs w:val="34"/>
        </w:rPr>
        <w:t>各预算单位：</w:t>
      </w:r>
    </w:p>
    <w:p>
      <w:pPr>
        <w:spacing w:before="171" w:line="315" w:lineRule="auto"/>
        <w:ind w:left="120" w:right="94" w:firstLine="729"/>
        <w:jc w:val="both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14"/>
          <w:sz w:val="34"/>
          <w:szCs w:val="34"/>
        </w:rPr>
        <w:t>为贯彻落实《中共中央国务院关于全面实施预算绩效管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25"/>
          <w:sz w:val="34"/>
          <w:szCs w:val="34"/>
        </w:rPr>
        <w:t>理的意见》精神和省财政厅“绩效管理提升年”行动方案，有</w:t>
      </w:r>
      <w:r>
        <w:rPr>
          <w:rFonts w:ascii="FangSong" w:hAnsi="FangSong" w:eastAsia="FangSong" w:cs="FangSong"/>
          <w:spacing w:val="6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25"/>
          <w:sz w:val="34"/>
          <w:szCs w:val="34"/>
        </w:rPr>
        <w:t>序推进我县全面实施预算绩效管理工作，强化财</w:t>
      </w:r>
      <w:r>
        <w:rPr>
          <w:rFonts w:ascii="FangSong" w:hAnsi="FangSong" w:eastAsia="FangSong" w:cs="FangSong"/>
          <w:spacing w:val="-26"/>
          <w:sz w:val="34"/>
          <w:szCs w:val="34"/>
        </w:rPr>
        <w:t>政支出绩效理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24"/>
          <w:sz w:val="34"/>
          <w:szCs w:val="34"/>
        </w:rPr>
        <w:t>念和责任意识，提高财政资源配置效率和使用效益，</w:t>
      </w:r>
      <w:r>
        <w:rPr>
          <w:rFonts w:ascii="FangSong" w:hAnsi="FangSong" w:eastAsia="FangSong" w:cs="FangSong"/>
          <w:spacing w:val="-25"/>
          <w:sz w:val="34"/>
          <w:szCs w:val="34"/>
        </w:rPr>
        <w:t>现就开展</w:t>
      </w:r>
    </w:p>
    <w:p>
      <w:pPr>
        <w:spacing w:line="220" w:lineRule="auto"/>
        <w:ind w:left="120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17"/>
          <w:sz w:val="34"/>
          <w:szCs w:val="34"/>
        </w:rPr>
        <w:t>2022年度财政预算支出绩效自评工作通知如下：</w:t>
      </w:r>
    </w:p>
    <w:p>
      <w:pPr>
        <w:spacing w:before="154" w:line="222" w:lineRule="auto"/>
        <w:ind w:left="784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b/>
          <w:bCs/>
          <w:spacing w:val="-19"/>
          <w:sz w:val="34"/>
          <w:szCs w:val="34"/>
        </w:rPr>
        <w:t>一、评价对象</w:t>
      </w:r>
    </w:p>
    <w:p>
      <w:pPr>
        <w:spacing w:before="184" w:line="312" w:lineRule="auto"/>
        <w:ind w:left="120" w:right="105" w:firstLine="794"/>
        <w:rPr>
          <w:rFonts w:ascii="FangSong" w:hAnsi="FangSong" w:eastAsia="FangSong" w:cs="FangSong"/>
          <w:sz w:val="34"/>
          <w:szCs w:val="34"/>
        </w:rPr>
      </w:pPr>
      <w:r>
        <w:rPr>
          <w:rFonts w:ascii="KaiTi" w:hAnsi="KaiTi" w:eastAsia="KaiTi" w:cs="KaiTi"/>
          <w:b/>
          <w:bCs/>
          <w:spacing w:val="-20"/>
          <w:sz w:val="34"/>
          <w:szCs w:val="34"/>
        </w:rPr>
        <w:t>(一)整体支出评价对象：</w:t>
      </w:r>
      <w:r>
        <w:rPr>
          <w:rFonts w:ascii="KaiTi" w:hAnsi="KaiTi" w:eastAsia="KaiTi" w:cs="KaiTi"/>
          <w:spacing w:val="-84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20"/>
          <w:sz w:val="34"/>
          <w:szCs w:val="34"/>
        </w:rPr>
        <w:t>所有各预算单位2022年度一般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24"/>
          <w:sz w:val="34"/>
          <w:szCs w:val="34"/>
        </w:rPr>
        <w:t>公共预算支出、政府性基金预算支出、国有资</w:t>
      </w:r>
      <w:r>
        <w:rPr>
          <w:rFonts w:ascii="FangSong" w:hAnsi="FangSong" w:eastAsia="FangSong" w:cs="FangSong"/>
          <w:spacing w:val="-25"/>
          <w:sz w:val="34"/>
          <w:szCs w:val="34"/>
        </w:rPr>
        <w:t>本经营预算支出</w:t>
      </w:r>
    </w:p>
    <w:p>
      <w:pPr>
        <w:spacing w:before="1" w:line="220" w:lineRule="auto"/>
        <w:ind w:left="120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23"/>
          <w:sz w:val="34"/>
          <w:szCs w:val="34"/>
        </w:rPr>
        <w:t>和社会保险基金预算支出。</w:t>
      </w:r>
    </w:p>
    <w:p>
      <w:pPr>
        <w:spacing w:before="157" w:line="311" w:lineRule="auto"/>
        <w:ind w:left="120" w:right="123" w:firstLine="784"/>
        <w:rPr>
          <w:rFonts w:ascii="FangSong" w:hAnsi="FangSong" w:eastAsia="FangSong" w:cs="FangSong"/>
          <w:sz w:val="34"/>
          <w:szCs w:val="34"/>
        </w:rPr>
      </w:pPr>
      <w:r>
        <w:rPr>
          <w:rFonts w:ascii="KaiTi" w:hAnsi="KaiTi" w:eastAsia="KaiTi" w:cs="KaiTi"/>
          <w:b/>
          <w:bCs/>
          <w:spacing w:val="-13"/>
          <w:sz w:val="34"/>
          <w:szCs w:val="34"/>
        </w:rPr>
        <w:t>(二)专项支出评价对象：</w:t>
      </w:r>
      <w:r>
        <w:rPr>
          <w:rFonts w:ascii="KaiTi" w:hAnsi="KaiTi" w:eastAsia="KaiTi" w:cs="KaiTi"/>
          <w:spacing w:val="45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13"/>
          <w:sz w:val="34"/>
          <w:szCs w:val="34"/>
        </w:rPr>
        <w:t>各预算单位对2022年度预算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pacing w:val="-13"/>
          <w:sz w:val="34"/>
          <w:szCs w:val="34"/>
        </w:rPr>
        <w:t>安排的项目支出自行开展专项绩效自评，其中对预算安排在</w:t>
      </w:r>
    </w:p>
    <w:p>
      <w:pPr>
        <w:spacing w:line="220" w:lineRule="auto"/>
        <w:ind w:left="120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18"/>
          <w:sz w:val="34"/>
          <w:szCs w:val="34"/>
        </w:rPr>
        <w:t>50万元以上专项作为重点绩效评价项目报送县财政局。</w:t>
      </w:r>
    </w:p>
    <w:p>
      <w:pPr>
        <w:spacing w:before="204" w:line="222" w:lineRule="auto"/>
        <w:ind w:left="744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b/>
          <w:bCs/>
          <w:spacing w:val="-20"/>
          <w:sz w:val="34"/>
          <w:szCs w:val="34"/>
        </w:rPr>
        <w:t>二、评价实施</w:t>
      </w:r>
    </w:p>
    <w:p>
      <w:pPr>
        <w:spacing w:before="202" w:line="220" w:lineRule="auto"/>
        <w:ind w:left="740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pacing w:val="-24"/>
          <w:sz w:val="34"/>
          <w:szCs w:val="34"/>
        </w:rPr>
        <w:t>各预算单位要高度重视预算支出绩效自评工作，认真制定</w:t>
      </w:r>
    </w:p>
    <w:p>
      <w:pPr>
        <w:sectPr>
          <w:footerReference r:id="rId5" w:type="default"/>
          <w:pgSz w:w="11900" w:h="16830"/>
          <w:pgMar w:top="1430" w:right="1609" w:bottom="1196" w:left="1519" w:header="0" w:footer="931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0" w:line="593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position w:val="21"/>
          <w:sz w:val="31"/>
          <w:szCs w:val="31"/>
        </w:rPr>
        <w:t>绩效评价工作方案，成立绩效自评工作组，选用科学合理的评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价指标反应预算支出绩效水平。</w:t>
      </w:r>
    </w:p>
    <w:p>
      <w:pPr>
        <w:spacing w:before="195" w:line="346" w:lineRule="auto"/>
        <w:ind w:right="22" w:firstLine="79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3"/>
          <w:sz w:val="31"/>
          <w:szCs w:val="31"/>
        </w:rPr>
        <w:t>(一)整体支出绩效自评。</w:t>
      </w:r>
      <w:r>
        <w:rPr>
          <w:rFonts w:ascii="FangSong" w:hAnsi="FangSong" w:eastAsia="FangSong" w:cs="FangSong"/>
          <w:spacing w:val="-3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各预算单位，填报部门整体支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0"/>
          <w:sz w:val="31"/>
          <w:szCs w:val="31"/>
        </w:rPr>
        <w:t>出绩效评价基础数据表(附件1)、部门整体支出绩效自评表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6"/>
          <w:sz w:val="31"/>
          <w:szCs w:val="31"/>
        </w:rPr>
        <w:t>(附件2)。按照规定的文本格式(附件3)和要求撰写部门整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体支出绩效评价报告。对未完成绩效目标或超过年</w:t>
      </w:r>
      <w:r>
        <w:rPr>
          <w:rFonts w:ascii="FangSong" w:hAnsi="FangSong" w:eastAsia="FangSong" w:cs="FangSong"/>
          <w:spacing w:val="4"/>
          <w:sz w:val="31"/>
          <w:szCs w:val="31"/>
        </w:rPr>
        <w:t>初设定的绩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效指标值较多项目，应在总结报告中逐个说明项目情况、偏差</w:t>
      </w:r>
    </w:p>
    <w:p>
      <w:pPr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2"/>
          <w:sz w:val="31"/>
          <w:szCs w:val="31"/>
        </w:rPr>
        <w:t>原因和整改措施等。</w:t>
      </w:r>
    </w:p>
    <w:p>
      <w:pPr>
        <w:spacing w:before="202" w:line="581" w:lineRule="exact"/>
        <w:ind w:left="65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6"/>
          <w:position w:val="19"/>
          <w:sz w:val="31"/>
          <w:szCs w:val="31"/>
        </w:rPr>
        <w:t>有二级机构的主管部门需汇总本部门整体支出数据形成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部门汇总自评。</w:t>
      </w:r>
    </w:p>
    <w:p>
      <w:pPr>
        <w:spacing w:before="193" w:line="341" w:lineRule="auto"/>
        <w:ind w:right="22" w:firstLine="79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4"/>
          <w:sz w:val="31"/>
          <w:szCs w:val="31"/>
        </w:rPr>
        <w:t>(二)项目支出绩效自评。</w:t>
      </w:r>
      <w:r>
        <w:rPr>
          <w:rFonts w:ascii="FangSong" w:hAnsi="FangSong" w:eastAsia="FangSong" w:cs="FangSong"/>
          <w:spacing w:val="-3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各预算单位，填报项目支出绩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6"/>
          <w:sz w:val="31"/>
          <w:szCs w:val="31"/>
        </w:rPr>
        <w:t>效评价评分表(共性)(附件4)、项目支出绩效自评表(附件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5)。按照专项资金绩效自评报告参考格式完成自评</w:t>
      </w:r>
      <w:r>
        <w:rPr>
          <w:rFonts w:ascii="FangSong" w:hAnsi="FangSong" w:eastAsia="FangSong" w:cs="FangSong"/>
          <w:spacing w:val="9"/>
          <w:sz w:val="31"/>
          <w:szCs w:val="31"/>
        </w:rPr>
        <w:t>报告(附件</w:t>
      </w:r>
    </w:p>
    <w:p>
      <w:pPr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10"/>
          <w:sz w:val="31"/>
          <w:szCs w:val="31"/>
        </w:rPr>
        <w:t>6)。</w:t>
      </w:r>
    </w:p>
    <w:p>
      <w:pPr>
        <w:spacing w:before="210" w:line="222" w:lineRule="auto"/>
        <w:ind w:left="664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-14"/>
          <w:sz w:val="31"/>
          <w:szCs w:val="31"/>
        </w:rPr>
        <w:t>三、</w:t>
      </w:r>
      <w:r>
        <w:rPr>
          <w:rFonts w:ascii="SimHei" w:hAnsi="SimHei" w:eastAsia="SimHei" w:cs="SimHei"/>
          <w:spacing w:val="-54"/>
          <w:sz w:val="31"/>
          <w:szCs w:val="31"/>
        </w:rPr>
        <w:t xml:space="preserve"> </w:t>
      </w:r>
      <w:r>
        <w:rPr>
          <w:rFonts w:ascii="SimHei" w:hAnsi="SimHei" w:eastAsia="SimHei" w:cs="SimHei"/>
          <w:b/>
          <w:bCs/>
          <w:spacing w:val="-14"/>
          <w:sz w:val="31"/>
          <w:szCs w:val="31"/>
        </w:rPr>
        <w:t>有关要求</w:t>
      </w:r>
    </w:p>
    <w:p>
      <w:pPr>
        <w:spacing w:before="184" w:line="583" w:lineRule="exact"/>
        <w:ind w:left="79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22"/>
          <w:position w:val="20"/>
          <w:sz w:val="31"/>
          <w:szCs w:val="31"/>
        </w:rPr>
        <w:t>(一)报送时间：</w:t>
      </w:r>
      <w:r>
        <w:rPr>
          <w:rFonts w:ascii="FangSong" w:hAnsi="FangSong" w:eastAsia="FangSong" w:cs="FangSong"/>
          <w:spacing w:val="-21"/>
          <w:position w:val="2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2"/>
          <w:position w:val="20"/>
          <w:sz w:val="31"/>
          <w:szCs w:val="31"/>
        </w:rPr>
        <w:t>各预算单位应于2023年7月17日前</w:t>
      </w:r>
      <w:r>
        <w:rPr>
          <w:rFonts w:ascii="FangSong" w:hAnsi="FangSong" w:eastAsia="FangSong" w:cs="FangSong"/>
          <w:spacing w:val="21"/>
          <w:position w:val="20"/>
          <w:sz w:val="31"/>
          <w:szCs w:val="31"/>
        </w:rPr>
        <w:t>将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2"/>
          <w:sz w:val="31"/>
          <w:szCs w:val="31"/>
        </w:rPr>
        <w:t>自评报告及相关表格报送县财政局。</w:t>
      </w:r>
    </w:p>
    <w:p>
      <w:pPr>
        <w:spacing w:before="201" w:line="346" w:lineRule="auto"/>
        <w:ind w:right="2" w:firstLine="79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4"/>
          <w:sz w:val="31"/>
          <w:szCs w:val="31"/>
        </w:rPr>
        <w:t>(二)报送要求：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①各预算单位加盖单位行政公章的整体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"/>
          <w:sz w:val="31"/>
          <w:szCs w:val="31"/>
        </w:rPr>
        <w:t>支出绩效自评和择选的重点项目自评。②同时报送纸质版和电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子版(</w:t>
      </w:r>
      <w:r>
        <w:rPr>
          <w:rFonts w:ascii="FangSong" w:hAnsi="FangSong" w:eastAsia="FangSong" w:cs="FangSong"/>
          <w:sz w:val="31"/>
          <w:szCs w:val="31"/>
        </w:rPr>
        <w:t>word</w:t>
      </w:r>
      <w:r>
        <w:rPr>
          <w:rFonts w:ascii="FangSong" w:hAnsi="FangSong" w:eastAsia="FangSong" w:cs="FangSong"/>
          <w:spacing w:val="6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文档格式),电子档报送邮箱5932363910</w:t>
      </w:r>
      <w:r>
        <w:rPr>
          <w:rFonts w:ascii="FangSong" w:hAnsi="FangSong" w:eastAsia="FangSong" w:cs="FangSong"/>
          <w:sz w:val="31"/>
          <w:szCs w:val="31"/>
        </w:rPr>
        <w:t>qq</w:t>
      </w:r>
      <w:r>
        <w:rPr>
          <w:rFonts w:ascii="FangSong" w:hAnsi="FangSong" w:eastAsia="FangSong" w:cs="FangSong"/>
          <w:spacing w:val="14"/>
          <w:sz w:val="31"/>
          <w:szCs w:val="31"/>
        </w:rPr>
        <w:t>.</w:t>
      </w:r>
      <w:r>
        <w:rPr>
          <w:rFonts w:ascii="FangSong" w:hAnsi="FangSong" w:eastAsia="FangSong" w:cs="FangSong"/>
          <w:sz w:val="31"/>
          <w:szCs w:val="31"/>
        </w:rPr>
        <w:t>com</w:t>
      </w:r>
      <w:r>
        <w:rPr>
          <w:rFonts w:ascii="FangSong" w:hAnsi="FangSong" w:eastAsia="FangSong" w:cs="FangSong"/>
          <w:spacing w:val="14"/>
          <w:sz w:val="31"/>
          <w:szCs w:val="31"/>
        </w:rPr>
        <w:t>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纸质档先经县财政局归口业务股室审核签章，后报送绩效管理</w:t>
      </w:r>
    </w:p>
    <w:p>
      <w:pPr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股。③各预算单位对报送数据材料的真实性、</w:t>
      </w:r>
      <w:r>
        <w:rPr>
          <w:rFonts w:ascii="FangSong" w:hAnsi="FangSong" w:eastAsia="FangSong" w:cs="FangSong"/>
          <w:spacing w:val="3"/>
          <w:sz w:val="31"/>
          <w:szCs w:val="31"/>
        </w:rPr>
        <w:t>准确性和完整性</w:t>
      </w:r>
    </w:p>
    <w:p>
      <w:pPr>
        <w:sectPr>
          <w:footerReference r:id="rId6" w:type="default"/>
          <w:pgSz w:w="11900" w:h="16830"/>
          <w:pgMar w:top="1430" w:right="1697" w:bottom="1259" w:left="1680" w:header="0" w:footer="991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7"/>
          <w:sz w:val="32"/>
          <w:szCs w:val="32"/>
        </w:rPr>
        <w:t>负责。</w:t>
      </w:r>
    </w:p>
    <w:p>
      <w:pPr>
        <w:spacing w:before="155" w:line="335" w:lineRule="auto"/>
        <w:ind w:firstLine="79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(三)结果应用：</w:t>
      </w:r>
      <w:r>
        <w:rPr>
          <w:rFonts w:ascii="FangSong" w:hAnsi="FangSong" w:eastAsia="FangSong" w:cs="FangSong"/>
          <w:spacing w:val="108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5"/>
          <w:sz w:val="32"/>
          <w:szCs w:val="32"/>
        </w:rPr>
        <w:t>一是对绩效自评工作进行评审</w:t>
      </w:r>
      <w:r>
        <w:rPr>
          <w:rFonts w:ascii="FangSong" w:hAnsi="FangSong" w:eastAsia="FangSong" w:cs="FangSong"/>
          <w:spacing w:val="-6"/>
          <w:sz w:val="32"/>
          <w:szCs w:val="32"/>
        </w:rPr>
        <w:t>和抽查。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7"/>
          <w:sz w:val="32"/>
          <w:szCs w:val="32"/>
        </w:rPr>
        <w:t>县财政局对各预算单位绩效自评工作质量进行评审并通报</w:t>
      </w:r>
      <w:r>
        <w:rPr>
          <w:rFonts w:ascii="FangSong" w:hAnsi="FangSong" w:eastAsia="FangSong" w:cs="FangSong"/>
          <w:spacing w:val="6"/>
          <w:sz w:val="32"/>
          <w:szCs w:val="32"/>
        </w:rPr>
        <w:t>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4"/>
          <w:sz w:val="32"/>
          <w:szCs w:val="32"/>
        </w:rPr>
        <w:t>审结果。二是全面公开绩效自评报告。除涉密事项外，各预算</w:t>
      </w:r>
      <w:r>
        <w:rPr>
          <w:rFonts w:ascii="FangSong" w:hAnsi="FangSong" w:eastAsia="FangSong" w:cs="FangSong"/>
          <w:spacing w:val="1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7"/>
          <w:sz w:val="32"/>
          <w:szCs w:val="32"/>
        </w:rPr>
        <w:t>单位要将部门整体支出绩效自评报告和项目自评报告同部门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"/>
          <w:sz w:val="32"/>
          <w:szCs w:val="32"/>
        </w:rPr>
        <w:t>决算报告同步在网站公开。三是与预算调整和项目安</w:t>
      </w:r>
      <w:r>
        <w:rPr>
          <w:rFonts w:ascii="FangSong" w:hAnsi="FangSong" w:eastAsia="FangSong" w:cs="FangSong"/>
          <w:spacing w:val="-2"/>
          <w:sz w:val="32"/>
          <w:szCs w:val="32"/>
        </w:rPr>
        <w:t>排挂钩。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8"/>
          <w:sz w:val="32"/>
          <w:szCs w:val="32"/>
        </w:rPr>
        <w:t>各预算单位应将绩效自评结果应用到下一年度的资金安排和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4"/>
          <w:sz w:val="32"/>
          <w:szCs w:val="32"/>
        </w:rPr>
        <w:t>项目立项中，真正体现奖优罚劣的绩效导向。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before="104" w:line="583" w:lineRule="exact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"/>
          <w:position w:val="19"/>
          <w:sz w:val="32"/>
          <w:szCs w:val="32"/>
        </w:rPr>
        <w:t>联系人：县财政局预算绩效管理股</w:t>
      </w:r>
      <w:r>
        <w:rPr>
          <w:rFonts w:ascii="FangSong" w:hAnsi="FangSong" w:eastAsia="FangSong" w:cs="FangSong"/>
          <w:spacing w:val="70"/>
          <w:position w:val="19"/>
          <w:sz w:val="32"/>
          <w:szCs w:val="32"/>
        </w:rPr>
        <w:t xml:space="preserve">  </w:t>
      </w:r>
      <w:r>
        <w:rPr>
          <w:rFonts w:ascii="FangSong" w:hAnsi="FangSong" w:eastAsia="FangSong" w:cs="FangSong"/>
          <w:spacing w:val="1"/>
          <w:position w:val="19"/>
          <w:sz w:val="32"/>
          <w:szCs w:val="32"/>
        </w:rPr>
        <w:t>422301</w:t>
      </w:r>
      <w:r>
        <w:rPr>
          <w:rFonts w:ascii="FangSong" w:hAnsi="FangSong" w:eastAsia="FangSong" w:cs="FangSong"/>
          <w:position w:val="19"/>
          <w:sz w:val="32"/>
          <w:szCs w:val="32"/>
        </w:rPr>
        <w:t>9</w:t>
      </w:r>
    </w:p>
    <w:p>
      <w:pPr>
        <w:spacing w:line="223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刘夏容</w:t>
      </w:r>
      <w:r>
        <w:rPr>
          <w:rFonts w:ascii="FangSong" w:hAnsi="FangSong" w:eastAsia="FangSong" w:cs="FangSong"/>
          <w:spacing w:val="157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"/>
          <w:sz w:val="32"/>
          <w:szCs w:val="32"/>
        </w:rPr>
        <w:t>15115037688</w:t>
      </w:r>
      <w:r>
        <w:rPr>
          <w:rFonts w:ascii="FangSong" w:hAnsi="FangSong" w:eastAsia="FangSong" w:cs="FangSong"/>
          <w:spacing w:val="11"/>
          <w:sz w:val="32"/>
          <w:szCs w:val="32"/>
        </w:rPr>
        <w:t xml:space="preserve">   </w:t>
      </w:r>
      <w:r>
        <w:rPr>
          <w:rFonts w:ascii="FangSong" w:hAnsi="FangSong" w:eastAsia="FangSong" w:cs="FangSong"/>
          <w:spacing w:val="-1"/>
          <w:sz w:val="32"/>
          <w:szCs w:val="32"/>
        </w:rPr>
        <w:t>向会盈</w:t>
      </w:r>
      <w:r>
        <w:rPr>
          <w:rFonts w:ascii="FangSong" w:hAnsi="FangSong" w:eastAsia="FangSong" w:cs="FangSong"/>
          <w:spacing w:val="145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"/>
          <w:sz w:val="32"/>
          <w:szCs w:val="32"/>
        </w:rPr>
        <w:t>15200282228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spacing w:before="104" w:line="222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24"/>
          <w:sz w:val="32"/>
          <w:szCs w:val="32"/>
        </w:rPr>
        <w:t>附件：</w:t>
      </w:r>
    </w:p>
    <w:p>
      <w:pPr>
        <w:spacing w:before="184" w:line="570" w:lineRule="exact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position w:val="18"/>
          <w:sz w:val="32"/>
          <w:szCs w:val="32"/>
        </w:rPr>
        <w:t>1.2022年度部门整体支出绩效评价基础数据表</w:t>
      </w:r>
    </w:p>
    <w:p>
      <w:pPr>
        <w:spacing w:before="1" w:line="221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sz w:val="32"/>
          <w:szCs w:val="32"/>
        </w:rPr>
        <w:t>2.2022年度部门整体支出绩效自评表</w:t>
      </w:r>
    </w:p>
    <w:p>
      <w:pPr>
        <w:spacing w:before="185" w:line="222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sz w:val="32"/>
          <w:szCs w:val="32"/>
        </w:rPr>
        <w:t>3.2022年度部门整体支出绩效自评报告</w:t>
      </w:r>
    </w:p>
    <w:p>
      <w:pPr>
        <w:spacing w:before="183" w:line="220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4"/>
          <w:sz w:val="32"/>
          <w:szCs w:val="32"/>
        </w:rPr>
        <w:t>4.2022年度项目支出绩效评价评分表(共性)</w:t>
      </w:r>
    </w:p>
    <w:p>
      <w:pPr>
        <w:spacing w:before="193" w:line="222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5"/>
          <w:sz w:val="32"/>
          <w:szCs w:val="32"/>
        </w:rPr>
        <w:t>5.2022年度项目支出绩效自评表</w:t>
      </w:r>
    </w:p>
    <w:p>
      <w:pPr>
        <w:spacing w:before="185" w:line="222" w:lineRule="auto"/>
        <w:ind w:left="63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5"/>
          <w:sz w:val="32"/>
          <w:szCs w:val="32"/>
        </w:rPr>
        <w:t>6.2022年度项目支出绩效自评报告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105" w:line="582" w:lineRule="exact"/>
        <w:ind w:left="574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position w:val="19"/>
          <w:sz w:val="32"/>
          <w:szCs w:val="32"/>
        </w:rPr>
        <w:t>华容县财政局</w:t>
      </w:r>
    </w:p>
    <w:p>
      <w:pPr>
        <w:spacing w:line="222" w:lineRule="auto"/>
        <w:ind w:left="54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38"/>
          <w:sz w:val="32"/>
          <w:szCs w:val="32"/>
        </w:rPr>
        <w:t>2023年6月27日</w:t>
      </w:r>
    </w:p>
    <w:p>
      <w:pPr>
        <w:sectPr>
          <w:footerReference r:id="rId7" w:type="default"/>
          <w:pgSz w:w="12080" w:h="16950"/>
          <w:pgMar w:top="1440" w:right="1729" w:bottom="1283" w:left="1740" w:header="0" w:footer="995" w:gutter="0"/>
          <w:cols w:space="720" w:num="1"/>
        </w:sectPr>
      </w:pPr>
    </w:p>
    <w:p>
      <w:pPr>
        <w:spacing w:line="412" w:lineRule="auto"/>
        <w:jc w:val="both"/>
        <w:rPr>
          <w:rFonts w:ascii="Arial"/>
          <w:sz w:val="21"/>
        </w:rPr>
      </w:pPr>
    </w:p>
    <w:p>
      <w:pPr>
        <w:spacing w:before="108" w:line="224" w:lineRule="auto"/>
        <w:ind w:left="99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b/>
          <w:bCs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1"/>
          <w:sz w:val="44"/>
          <w:szCs w:val="44"/>
        </w:rPr>
        <w:t>2022年度部门整体支出绩效评价基础数据表</w:t>
      </w:r>
    </w:p>
    <w:p/>
    <w:p>
      <w:pPr>
        <w:spacing w:line="65" w:lineRule="exact"/>
      </w:pPr>
    </w:p>
    <w:tbl>
      <w:tblPr>
        <w:tblStyle w:val="4"/>
        <w:tblW w:w="9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2"/>
        <w:gridCol w:w="1968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42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1968" w:type="dxa"/>
            <w:vAlign w:val="top"/>
          </w:tcPr>
          <w:p>
            <w:pPr>
              <w:spacing w:before="163" w:line="219" w:lineRule="auto"/>
              <w:ind w:left="66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427" w:type="dxa"/>
            <w:vAlign w:val="top"/>
          </w:tcPr>
          <w:p>
            <w:pPr>
              <w:spacing w:before="163" w:line="219" w:lineRule="auto"/>
              <w:ind w:left="26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1"/>
                <w:sz w:val="21"/>
                <w:szCs w:val="21"/>
              </w:rPr>
              <w:t>2022年实际在职人数</w:t>
            </w:r>
          </w:p>
        </w:tc>
        <w:tc>
          <w:tcPr>
            <w:tcW w:w="1673" w:type="dxa"/>
            <w:vAlign w:val="top"/>
          </w:tcPr>
          <w:p>
            <w:pPr>
              <w:spacing w:before="163" w:line="219" w:lineRule="auto"/>
              <w:ind w:left="51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28</w:t>
            </w:r>
          </w:p>
        </w:tc>
        <w:tc>
          <w:tcPr>
            <w:tcW w:w="2427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29</w:t>
            </w:r>
          </w:p>
        </w:tc>
        <w:tc>
          <w:tcPr>
            <w:tcW w:w="1673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0" w:line="220" w:lineRule="auto"/>
              <w:ind w:left="52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1968" w:type="dxa"/>
            <w:vAlign w:val="top"/>
          </w:tcPr>
          <w:p>
            <w:pPr>
              <w:spacing w:before="169" w:line="219" w:lineRule="auto"/>
              <w:ind w:left="343"/>
              <w:jc w:val="center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2021年决算数</w:t>
            </w:r>
          </w:p>
        </w:tc>
        <w:tc>
          <w:tcPr>
            <w:tcW w:w="2427" w:type="dxa"/>
            <w:vAlign w:val="top"/>
          </w:tcPr>
          <w:p>
            <w:pPr>
              <w:spacing w:before="169" w:line="219" w:lineRule="auto"/>
              <w:ind w:left="575"/>
              <w:jc w:val="center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2022年预算数</w:t>
            </w:r>
          </w:p>
        </w:tc>
        <w:tc>
          <w:tcPr>
            <w:tcW w:w="1673" w:type="dxa"/>
            <w:vAlign w:val="top"/>
          </w:tcPr>
          <w:p>
            <w:pPr>
              <w:spacing w:before="169" w:line="219" w:lineRule="auto"/>
              <w:ind w:left="198"/>
              <w:jc w:val="center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7"/>
                <w:sz w:val="21"/>
                <w:szCs w:val="21"/>
              </w:rPr>
              <w:t>一</w:t>
            </w:r>
            <w:r>
              <w:rPr>
                <w:rFonts w:ascii="SimSun" w:hAnsi="SimSun" w:eastAsia="SimSun" w:cs="SimSun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7"/>
                <w:sz w:val="21"/>
                <w:szCs w:val="21"/>
              </w:rPr>
              <w:t>、基本支出：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430.86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681.36</w:t>
            </w:r>
          </w:p>
        </w:tc>
        <w:tc>
          <w:tcPr>
            <w:tcW w:w="1673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  <w:p>
            <w:pPr>
              <w:bidi w:val="0"/>
              <w:ind w:firstLine="474" w:firstLineChars="0"/>
              <w:jc w:val="both"/>
              <w:rPr>
                <w:rFonts w:hint="default" w:ascii="Arial" w:hAnsi="Arial" w:eastAsia="SimSun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SimSun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681.36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spacing w:before="161" w:line="220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>其中：三公经费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1.62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0.82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1.公务用车购置和维护经费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2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spacing w:before="163" w:line="220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2.出国经费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3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>3.公务接待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1.62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0.82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5" w:line="220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5"/>
                <w:sz w:val="21"/>
                <w:szCs w:val="21"/>
              </w:rPr>
              <w:t>二、项目支出：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137.5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-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192" w:type="dxa"/>
            <w:vAlign w:val="top"/>
          </w:tcPr>
          <w:p>
            <w:pPr>
              <w:spacing w:before="105" w:line="369" w:lineRule="exact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position w:val="11"/>
                <w:sz w:val="21"/>
                <w:szCs w:val="21"/>
              </w:rPr>
              <w:t>1.县级专项资金</w:t>
            </w:r>
          </w:p>
          <w:p>
            <w:pPr>
              <w:spacing w:line="215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5"/>
                <w:sz w:val="21"/>
                <w:szCs w:val="21"/>
              </w:rPr>
              <w:t>(一个专项一行)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6" w:line="220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0"/>
                <w:sz w:val="21"/>
                <w:szCs w:val="21"/>
              </w:rPr>
              <w:t>2.</w:t>
            </w:r>
            <w:r>
              <w:rPr>
                <w:rFonts w:ascii="SimSun" w:hAnsi="SimSun" w:eastAsia="SimSun" w:cs="SimSun"/>
                <w:sz w:val="21"/>
                <w:szCs w:val="21"/>
              </w:rPr>
              <w:t>XX</w:t>
            </w:r>
            <w:r>
              <w:rPr>
                <w:rFonts w:ascii="SimSun" w:hAnsi="SimSun" w:eastAsia="SimSun" w:cs="SimSun"/>
                <w:spacing w:val="10"/>
                <w:sz w:val="21"/>
                <w:szCs w:val="21"/>
              </w:rPr>
              <w:t>项目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6" w:line="220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0"/>
                <w:sz w:val="21"/>
                <w:szCs w:val="21"/>
              </w:rPr>
              <w:t>3.</w:t>
            </w:r>
            <w:r>
              <w:rPr>
                <w:rFonts w:ascii="SimSun" w:hAnsi="SimSun" w:eastAsia="SimSun" w:cs="SimSun"/>
                <w:sz w:val="21"/>
                <w:szCs w:val="21"/>
              </w:rPr>
              <w:t>XX</w:t>
            </w:r>
            <w:r>
              <w:rPr>
                <w:rFonts w:ascii="SimSun" w:hAnsi="SimSun" w:eastAsia="SimSun" w:cs="SimSun"/>
                <w:spacing w:val="10"/>
                <w:sz w:val="21"/>
                <w:szCs w:val="21"/>
              </w:rPr>
              <w:t>项目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>厉行节约保障措施</w:t>
            </w:r>
          </w:p>
        </w:tc>
        <w:tc>
          <w:tcPr>
            <w:tcW w:w="60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32" w:line="336" w:lineRule="auto"/>
        <w:ind w:left="95" w:right="101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SimSun" w:hAnsi="SimSun" w:eastAsia="SimSun" w:cs="SimSun"/>
          <w:spacing w:val="6"/>
          <w:sz w:val="22"/>
          <w:szCs w:val="22"/>
        </w:rPr>
        <w:t xml:space="preserve"> </w:t>
      </w:r>
      <w:r>
        <w:rPr>
          <w:rFonts w:ascii="SimSun" w:hAnsi="SimSun" w:eastAsia="SimSun" w:cs="SimSun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SimSun" w:hAnsi="SimSun" w:eastAsia="SimSun" w:cs="SimSun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pacing w:val="9"/>
          <w:sz w:val="22"/>
          <w:szCs w:val="22"/>
        </w:rPr>
        <w:t>细表(财决05-2表)。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72" w:line="232" w:lineRule="auto"/>
        <w:ind w:left="95"/>
        <w:rPr>
          <w:rFonts w:hint="default" w:ascii="FangSong" w:hAnsi="FangSong" w:eastAsia="FangSong" w:cs="FangSong"/>
          <w:sz w:val="22"/>
          <w:szCs w:val="22"/>
          <w:lang w:val="en-US" w:eastAsia="zh-CN"/>
        </w:rPr>
      </w:pPr>
      <w:r>
        <w:rPr>
          <w:rFonts w:ascii="FangSong" w:hAnsi="FangSong" w:eastAsia="FangSong" w:cs="FangSong"/>
          <w:spacing w:val="-22"/>
          <w:position w:val="-1"/>
          <w:sz w:val="22"/>
          <w:szCs w:val="22"/>
        </w:rPr>
        <w:t>填表人：</w:t>
      </w:r>
      <w:r>
        <w:rPr>
          <w:rFonts w:hint="eastAsia" w:ascii="FangSong" w:hAnsi="FangSong" w:eastAsia="FangSong" w:cs="FangSong"/>
          <w:spacing w:val="-22"/>
          <w:position w:val="-1"/>
          <w:sz w:val="22"/>
          <w:szCs w:val="22"/>
          <w:lang w:val="en-US" w:eastAsia="zh-CN"/>
        </w:rPr>
        <w:t>兰蔚</w:t>
      </w:r>
      <w:r>
        <w:rPr>
          <w:rFonts w:ascii="FangSong" w:hAnsi="FangSong" w:eastAsia="FangSong" w:cs="FangSong"/>
          <w:spacing w:val="3"/>
          <w:position w:val="-1"/>
          <w:sz w:val="22"/>
          <w:szCs w:val="22"/>
        </w:rPr>
        <w:t xml:space="preserve">      </w:t>
      </w:r>
      <w:r>
        <w:rPr>
          <w:rFonts w:ascii="FangSong" w:hAnsi="FangSong" w:eastAsia="FangSong" w:cs="FangSong"/>
          <w:spacing w:val="-22"/>
          <w:sz w:val="22"/>
          <w:szCs w:val="22"/>
        </w:rPr>
        <w:t>填报日期：</w:t>
      </w:r>
      <w:r>
        <w:rPr>
          <w:rFonts w:hint="eastAsia" w:ascii="FangSong" w:hAnsi="FangSong" w:eastAsia="FangSong" w:cs="FangSong"/>
          <w:spacing w:val="-22"/>
          <w:sz w:val="22"/>
          <w:szCs w:val="22"/>
          <w:lang w:val="en-US" w:eastAsia="zh-CN"/>
        </w:rPr>
        <w:t>2023.7.13</w:t>
      </w:r>
      <w:r>
        <w:rPr>
          <w:rFonts w:ascii="FangSong" w:hAnsi="FangSong" w:eastAsia="FangSong" w:cs="FangSong"/>
          <w:spacing w:val="2"/>
          <w:sz w:val="22"/>
          <w:szCs w:val="22"/>
        </w:rPr>
        <w:t xml:space="preserve">       </w:t>
      </w:r>
      <w:r>
        <w:rPr>
          <w:rFonts w:ascii="FangSong" w:hAnsi="FangSong" w:eastAsia="FangSong" w:cs="FangSong"/>
          <w:spacing w:val="-22"/>
          <w:sz w:val="22"/>
          <w:szCs w:val="22"/>
        </w:rPr>
        <w:t>联系电话：</w:t>
      </w:r>
      <w:r>
        <w:rPr>
          <w:rFonts w:hint="eastAsia" w:ascii="FangSong" w:hAnsi="FangSong" w:eastAsia="FangSong" w:cs="FangSong"/>
          <w:spacing w:val="-22"/>
          <w:sz w:val="22"/>
          <w:szCs w:val="22"/>
          <w:lang w:val="en-US" w:eastAsia="zh-CN"/>
        </w:rPr>
        <w:t>4606108</w:t>
      </w:r>
      <w:r>
        <w:rPr>
          <w:rFonts w:ascii="FangSong" w:hAnsi="FangSong" w:eastAsia="FangSong" w:cs="FangSong"/>
          <w:spacing w:val="3"/>
          <w:sz w:val="22"/>
          <w:szCs w:val="22"/>
        </w:rPr>
        <w:t xml:space="preserve">       </w:t>
      </w:r>
      <w:r>
        <w:rPr>
          <w:rFonts w:ascii="FangSong" w:hAnsi="FangSong" w:eastAsia="FangSong" w:cs="FangSong"/>
          <w:spacing w:val="-22"/>
          <w:sz w:val="22"/>
          <w:szCs w:val="22"/>
        </w:rPr>
        <w:t>单位负责人签字：</w:t>
      </w:r>
      <w:r>
        <w:rPr>
          <w:rFonts w:hint="eastAsia" w:ascii="FangSong" w:hAnsi="FangSong" w:eastAsia="FangSong" w:cs="FangSong"/>
          <w:spacing w:val="-22"/>
          <w:sz w:val="22"/>
          <w:szCs w:val="22"/>
          <w:lang w:val="en-US" w:eastAsia="zh-CN"/>
        </w:rPr>
        <w:t>易超平</w:t>
      </w:r>
    </w:p>
    <w:p>
      <w:pPr>
        <w:sectPr>
          <w:footerReference r:id="rId8" w:type="default"/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13" w:line="224" w:lineRule="auto"/>
        <w:ind w:left="699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b/>
          <w:bCs/>
          <w:spacing w:val="1"/>
          <w:sz w:val="35"/>
          <w:szCs w:val="35"/>
        </w:rPr>
        <w:t>附件2</w:t>
      </w:r>
    </w:p>
    <w:p>
      <w:pPr>
        <w:spacing w:before="273" w:line="219" w:lineRule="auto"/>
        <w:ind w:left="1871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2"/>
          <w:sz w:val="44"/>
          <w:szCs w:val="44"/>
        </w:rPr>
        <w:t>2022年度部门整体支出绩效自评表</w:t>
      </w:r>
    </w:p>
    <w:p/>
    <w:p>
      <w:pPr>
        <w:spacing w:line="49" w:lineRule="exact"/>
      </w:pPr>
    </w:p>
    <w:tbl>
      <w:tblPr>
        <w:tblStyle w:val="4"/>
        <w:tblW w:w="10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79"/>
        <w:gridCol w:w="959"/>
        <w:gridCol w:w="1169"/>
        <w:gridCol w:w="1228"/>
        <w:gridCol w:w="1179"/>
        <w:gridCol w:w="757"/>
        <w:gridCol w:w="1031"/>
        <w:gridCol w:w="17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204" w:type="dxa"/>
            <w:vAlign w:val="top"/>
          </w:tcPr>
          <w:p>
            <w:pPr>
              <w:spacing w:before="232" w:line="242" w:lineRule="auto"/>
              <w:ind w:left="174" w:right="1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县级预算</w:t>
            </w: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部门名称</w:t>
            </w:r>
          </w:p>
        </w:tc>
        <w:tc>
          <w:tcPr>
            <w:tcW w:w="9075" w:type="dxa"/>
            <w:gridSpan w:val="8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44"/>
                <w:szCs w:val="44"/>
                <w:lang w:val="en-US" w:eastAsia="zh-CN"/>
              </w:rPr>
              <w:t>华容县水运事务中心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04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8" w:line="242" w:lineRule="auto"/>
              <w:ind w:left="384" w:right="188" w:hanging="21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年度预算</w:t>
            </w: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申请</w:t>
            </w:r>
          </w:p>
          <w:p>
            <w:pPr>
              <w:spacing w:before="1" w:line="220" w:lineRule="auto"/>
              <w:ind w:left="27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19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spacing w:before="158" w:line="229" w:lineRule="auto"/>
              <w:ind w:left="36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5"/>
                <w:sz w:val="21"/>
                <w:szCs w:val="21"/>
              </w:rPr>
              <w:t>年初</w:t>
            </w:r>
          </w:p>
          <w:p>
            <w:pPr>
              <w:spacing w:line="219" w:lineRule="auto"/>
              <w:ind w:left="26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228" w:type="dxa"/>
            <w:vAlign w:val="top"/>
          </w:tcPr>
          <w:p>
            <w:pPr>
              <w:spacing w:before="159" w:line="280" w:lineRule="exact"/>
              <w:ind w:left="3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position w:val="4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179" w:type="dxa"/>
            <w:vAlign w:val="top"/>
          </w:tcPr>
          <w:p>
            <w:pPr>
              <w:spacing w:before="139" w:line="300" w:lineRule="exact"/>
              <w:ind w:left="37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position w:val="6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6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执行数</w:t>
            </w:r>
          </w:p>
        </w:tc>
        <w:tc>
          <w:tcPr>
            <w:tcW w:w="75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03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47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执行率</w:t>
            </w:r>
          </w:p>
        </w:tc>
        <w:tc>
          <w:tcPr>
            <w:tcW w:w="177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2"/>
            <w:vAlign w:val="top"/>
          </w:tcPr>
          <w:p>
            <w:pPr>
              <w:spacing w:before="130" w:line="219" w:lineRule="auto"/>
              <w:ind w:left="33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年度资金总额</w:t>
            </w:r>
          </w:p>
        </w:tc>
        <w:tc>
          <w:tcPr>
            <w:tcW w:w="1169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413</w:t>
            </w:r>
          </w:p>
        </w:tc>
        <w:tc>
          <w:tcPr>
            <w:tcW w:w="1228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default" w:ascii="Arial"/>
                <w:sz w:val="21"/>
              </w:rPr>
              <w:t>681</w:t>
            </w:r>
            <w:r>
              <w:rPr>
                <w:rFonts w:hint="eastAsia" w:eastAsia="SimSun"/>
                <w:sz w:val="21"/>
                <w:lang w:val="en-US" w:eastAsia="zh-CN"/>
              </w:rPr>
              <w:t>.36</w:t>
            </w:r>
          </w:p>
        </w:tc>
        <w:tc>
          <w:tcPr>
            <w:tcW w:w="1179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default" w:ascii="Arial"/>
                <w:sz w:val="21"/>
              </w:rPr>
              <w:t>681</w:t>
            </w:r>
            <w:r>
              <w:rPr>
                <w:rFonts w:hint="eastAsia" w:eastAsia="SimSun"/>
                <w:sz w:val="21"/>
                <w:lang w:val="en-US" w:eastAsia="zh-CN"/>
              </w:rPr>
              <w:t>.36</w:t>
            </w:r>
          </w:p>
        </w:tc>
        <w:tc>
          <w:tcPr>
            <w:tcW w:w="757" w:type="dxa"/>
            <w:vAlign w:val="top"/>
          </w:tcPr>
          <w:p>
            <w:pPr>
              <w:spacing w:before="183" w:line="184" w:lineRule="auto"/>
              <w:ind w:left="386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6"/>
                <w:sz w:val="21"/>
                <w:szCs w:val="21"/>
              </w:rPr>
              <w:t>10</w:t>
            </w:r>
          </w:p>
        </w:tc>
        <w:tc>
          <w:tcPr>
            <w:tcW w:w="1031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10</w:t>
            </w:r>
          </w:p>
        </w:tc>
        <w:tc>
          <w:tcPr>
            <w:tcW w:w="1773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spacing w:before="130" w:line="219" w:lineRule="auto"/>
              <w:ind w:left="60"/>
              <w:rPr>
                <w:rFonts w:hint="default" w:ascii="SimSun" w:hAnsi="SimSun" w:eastAsia="SimSun" w:cs="SimSun"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eastAsia="SimSun" w:cs="SimSun"/>
                <w:spacing w:val="15"/>
                <w:sz w:val="21"/>
                <w:szCs w:val="21"/>
              </w:rPr>
              <w:t>按收入性质分：</w:t>
            </w:r>
            <w:r>
              <w:rPr>
                <w:rFonts w:hint="eastAsia" w:ascii="SimSun" w:hAnsi="SimSun" w:eastAsia="SimSun" w:cs="SimSun"/>
                <w:spacing w:val="15"/>
                <w:sz w:val="21"/>
                <w:szCs w:val="21"/>
                <w:lang w:val="en-US" w:eastAsia="zh-CN"/>
              </w:rPr>
              <w:t>681.36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SimSun" w:hAnsi="SimSun" w:eastAsia="SimSun" w:cs="SimSun"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eastAsia="SimSun" w:cs="SimSun"/>
                <w:spacing w:val="14"/>
                <w:sz w:val="21"/>
                <w:szCs w:val="21"/>
              </w:rPr>
              <w:t>按支出性质分：</w:t>
            </w:r>
            <w:r>
              <w:rPr>
                <w:rFonts w:hint="eastAsia" w:ascii="SimSun" w:hAnsi="SimSun" w:eastAsia="SimSun" w:cs="SimSun"/>
                <w:spacing w:val="14"/>
                <w:sz w:val="21"/>
                <w:szCs w:val="21"/>
                <w:lang w:val="en-US" w:eastAsia="zh-CN"/>
              </w:rPr>
              <w:t>681.36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hint="default" w:ascii="SimSun" w:hAnsi="SimSun" w:eastAsia="SimSun" w:cs="SimSun"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eastAsia="SimSun" w:cs="SimSun"/>
                <w:spacing w:val="-8"/>
                <w:sz w:val="21"/>
                <w:szCs w:val="21"/>
              </w:rPr>
              <w:t>其中：</w:t>
            </w:r>
            <w:r>
              <w:rPr>
                <w:rFonts w:ascii="SimSun" w:hAnsi="SimSun" w:eastAsia="SimSun" w:cs="SimSun"/>
                <w:spacing w:val="18"/>
                <w:sz w:val="21"/>
                <w:szCs w:val="21"/>
              </w:rPr>
              <w:t xml:space="preserve">    </w:t>
            </w:r>
            <w:r>
              <w:rPr>
                <w:rFonts w:ascii="SimSun" w:hAnsi="SimSun" w:eastAsia="SimSun" w:cs="SimSun"/>
                <w:spacing w:val="-8"/>
                <w:sz w:val="21"/>
                <w:szCs w:val="21"/>
              </w:rPr>
              <w:t>一般公共预算：</w:t>
            </w:r>
            <w:r>
              <w:rPr>
                <w:rFonts w:hint="eastAsia" w:ascii="SimSun" w:hAnsi="SimSun" w:eastAsia="SimSun" w:cs="SimSun"/>
                <w:spacing w:val="-8"/>
                <w:sz w:val="21"/>
                <w:szCs w:val="21"/>
                <w:lang w:val="en-US" w:eastAsia="zh-CN"/>
              </w:rPr>
              <w:t>681.36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SimSun" w:hAnsi="SimSun" w:eastAsia="SimSun" w:cs="SimSun"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eastAsia="SimSun" w:cs="SimSun"/>
                <w:spacing w:val="13"/>
                <w:sz w:val="21"/>
                <w:szCs w:val="21"/>
              </w:rPr>
              <w:t>其中：基本支出：</w:t>
            </w:r>
            <w:r>
              <w:rPr>
                <w:rFonts w:hint="eastAsia" w:ascii="SimSun" w:hAnsi="SimSun" w:eastAsia="SimSun" w:cs="SimSun"/>
                <w:spacing w:val="13"/>
                <w:sz w:val="21"/>
                <w:szCs w:val="21"/>
                <w:lang w:val="en-US" w:eastAsia="zh-CN"/>
              </w:rPr>
              <w:t>681.36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spacing w:before="130" w:line="219" w:lineRule="auto"/>
              <w:ind w:left="70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3"/>
                <w:sz w:val="21"/>
                <w:szCs w:val="21"/>
              </w:rPr>
              <w:t>政府性基金拨款：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spacing w:before="132" w:line="220" w:lineRule="auto"/>
              <w:ind w:left="70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0"/>
                <w:sz w:val="21"/>
                <w:szCs w:val="21"/>
              </w:rPr>
              <w:t>项目支出：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7"/>
                <w:sz w:val="21"/>
                <w:szCs w:val="21"/>
              </w:rPr>
              <w:t>纳入专户管理的非税收入拨款：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spacing w:before="133" w:line="220" w:lineRule="auto"/>
              <w:ind w:left="135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1"/>
                <w:sz w:val="21"/>
                <w:szCs w:val="21"/>
              </w:rPr>
              <w:t>其他资金：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restart"/>
            <w:tcBorders>
              <w:bottom w:val="nil"/>
            </w:tcBorders>
            <w:vAlign w:val="top"/>
          </w:tcPr>
          <w:p>
            <w:pPr>
              <w:spacing w:before="213" w:line="220" w:lineRule="auto"/>
              <w:ind w:left="134" w:right="210" w:firstLine="25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6"/>
                <w:sz w:val="21"/>
                <w:szCs w:val="21"/>
              </w:rPr>
              <w:t>年度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</w:t>
            </w: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总体目标</w:t>
            </w:r>
          </w:p>
        </w:tc>
        <w:tc>
          <w:tcPr>
            <w:tcW w:w="4335" w:type="dxa"/>
            <w:gridSpan w:val="4"/>
            <w:vAlign w:val="top"/>
          </w:tcPr>
          <w:p>
            <w:pPr>
              <w:spacing w:before="123" w:line="220" w:lineRule="auto"/>
              <w:ind w:left="171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740" w:type="dxa"/>
            <w:gridSpan w:val="4"/>
            <w:vAlign w:val="top"/>
          </w:tcPr>
          <w:p>
            <w:pPr>
              <w:spacing w:before="122" w:line="219" w:lineRule="auto"/>
              <w:ind w:left="170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4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0" w:line="217" w:lineRule="auto"/>
              <w:ind w:left="281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绩效指标</w:t>
            </w:r>
          </w:p>
        </w:tc>
        <w:tc>
          <w:tcPr>
            <w:tcW w:w="979" w:type="dxa"/>
            <w:vAlign w:val="top"/>
          </w:tcPr>
          <w:p>
            <w:pPr>
              <w:spacing w:before="175" w:line="236" w:lineRule="auto"/>
              <w:ind w:left="27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2"/>
                <w:sz w:val="21"/>
                <w:szCs w:val="21"/>
              </w:rPr>
              <w:t>一级</w:t>
            </w:r>
          </w:p>
          <w:p>
            <w:pPr>
              <w:spacing w:line="220" w:lineRule="auto"/>
              <w:ind w:left="27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959" w:type="dxa"/>
            <w:vAlign w:val="top"/>
          </w:tcPr>
          <w:p>
            <w:pPr>
              <w:spacing w:before="175" w:line="279" w:lineRule="exact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6"/>
                <w:position w:val="4"/>
                <w:sz w:val="21"/>
                <w:szCs w:val="21"/>
              </w:rPr>
              <w:t>二级</w:t>
            </w:r>
          </w:p>
          <w:p>
            <w:pPr>
              <w:spacing w:line="220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top"/>
          </w:tcPr>
          <w:p>
            <w:pPr>
              <w:spacing w:before="176" w:line="227" w:lineRule="auto"/>
              <w:ind w:left="36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6"/>
                <w:sz w:val="21"/>
                <w:szCs w:val="21"/>
              </w:rPr>
              <w:t>三级</w:t>
            </w:r>
          </w:p>
          <w:p>
            <w:pPr>
              <w:spacing w:line="220" w:lineRule="auto"/>
              <w:ind w:left="36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228" w:type="dxa"/>
            <w:vAlign w:val="top"/>
          </w:tcPr>
          <w:p>
            <w:pPr>
              <w:spacing w:before="173" w:line="237" w:lineRule="auto"/>
              <w:ind w:left="3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6"/>
                <w:sz w:val="21"/>
                <w:szCs w:val="21"/>
              </w:rPr>
              <w:t>年度</w:t>
            </w:r>
          </w:p>
          <w:p>
            <w:pPr>
              <w:spacing w:line="219" w:lineRule="auto"/>
              <w:ind w:left="2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指标值</w:t>
            </w:r>
          </w:p>
        </w:tc>
        <w:tc>
          <w:tcPr>
            <w:tcW w:w="1179" w:type="dxa"/>
            <w:vAlign w:val="top"/>
          </w:tcPr>
          <w:p>
            <w:pPr>
              <w:spacing w:before="154" w:line="279" w:lineRule="exact"/>
              <w:ind w:left="37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position w:val="4"/>
                <w:sz w:val="21"/>
                <w:szCs w:val="21"/>
              </w:rPr>
              <w:t>实际</w:t>
            </w:r>
          </w:p>
          <w:p>
            <w:pPr>
              <w:spacing w:line="219" w:lineRule="auto"/>
              <w:ind w:left="26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完成值</w:t>
            </w:r>
          </w:p>
        </w:tc>
        <w:tc>
          <w:tcPr>
            <w:tcW w:w="7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03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34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773" w:type="dxa"/>
            <w:vAlign w:val="top"/>
          </w:tcPr>
          <w:p>
            <w:pPr>
              <w:spacing w:before="143" w:line="246" w:lineRule="auto"/>
              <w:ind w:left="457" w:right="152" w:hanging="30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偏差原因分析及</w:t>
            </w: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7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2"/>
                <w:sz w:val="21"/>
                <w:szCs w:val="21"/>
              </w:rPr>
              <w:t>产出</w:t>
            </w:r>
          </w:p>
          <w:p>
            <w:pPr>
              <w:spacing w:before="31" w:line="233" w:lineRule="auto"/>
              <w:ind w:left="160" w:right="132" w:firstLine="11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6"/>
                <w:sz w:val="21"/>
                <w:szCs w:val="21"/>
              </w:rPr>
              <w:t>指标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</w:t>
            </w:r>
            <w:r>
              <w:rPr>
                <w:rFonts w:ascii="SimSun" w:hAnsi="SimSun" w:eastAsia="SimSun" w:cs="SimSun"/>
                <w:spacing w:val="9"/>
                <w:sz w:val="21"/>
                <w:szCs w:val="21"/>
              </w:rPr>
              <w:t>(50分)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数量</w:t>
            </w:r>
          </w:p>
          <w:p>
            <w:pPr>
              <w:spacing w:line="220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开展重点主</w:t>
            </w:r>
          </w:p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题宣传策划</w:t>
            </w:r>
          </w:p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安全生产、文明创建、市场维稳主题宣传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4次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开展党风廉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政教育活动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2次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学法考法合</w:t>
            </w:r>
          </w:p>
          <w:p>
            <w:pPr>
              <w:jc w:val="center"/>
              <w:rPr>
                <w:rFonts w:ascii="SimSun" w:hAnsi="SimSun" w:eastAsia="SimSun" w:cs="SimSun"/>
                <w:sz w:val="11"/>
                <w:szCs w:val="1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格率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质量</w:t>
            </w:r>
          </w:p>
          <w:p>
            <w:pPr>
              <w:spacing w:line="220" w:lineRule="auto"/>
              <w:ind w:left="24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服务质量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imSun" w:hAnsi="SimSun" w:eastAsia="SimSun" w:cs="SimSun"/>
                <w:color w:val="auto"/>
                <w:sz w:val="18"/>
                <w:szCs w:val="18"/>
              </w:rPr>
              <w:t>100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乡镇渡口成品油补贴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sz w:val="11"/>
                <w:szCs w:val="1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年度目标任务完成情况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98%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时效</w:t>
            </w:r>
          </w:p>
          <w:p>
            <w:pPr>
              <w:spacing w:line="220" w:lineRule="auto"/>
              <w:ind w:left="23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常态化安全生产隐患排查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98%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预算执行率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资金使用效率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spacing w:before="69" w:line="230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成本</w:t>
            </w:r>
          </w:p>
          <w:p>
            <w:pPr>
              <w:spacing w:line="220" w:lineRule="auto"/>
              <w:ind w:left="2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开展重点主</w:t>
            </w:r>
          </w:p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题宣传策划</w:t>
            </w:r>
          </w:p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安全生产、文明创建、市场维稳主题宣传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4次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开展党风廉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政教育活动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2次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学法考法合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格率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63" w:line="182" w:lineRule="auto"/>
        <w:ind w:left="9154"/>
        <w:sectPr>
          <w:footerReference r:id="rId9" w:type="default"/>
          <w:pgSz w:w="11900" w:h="16830"/>
          <w:pgMar w:top="1430" w:right="845" w:bottom="400" w:left="76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4"/>
        <w:tblW w:w="102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89"/>
        <w:gridCol w:w="949"/>
        <w:gridCol w:w="1169"/>
        <w:gridCol w:w="1228"/>
        <w:gridCol w:w="1179"/>
        <w:gridCol w:w="659"/>
        <w:gridCol w:w="1119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spacing w:before="77" w:line="217" w:lineRule="auto"/>
              <w:ind w:left="3643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绩效指标</w:t>
            </w:r>
          </w:p>
        </w:tc>
        <w:tc>
          <w:tcPr>
            <w:tcW w:w="989" w:type="dxa"/>
            <w:vAlign w:val="top"/>
          </w:tcPr>
          <w:p>
            <w:pPr>
              <w:spacing w:before="147" w:line="231" w:lineRule="auto"/>
              <w:ind w:left="251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13"/>
                <w:sz w:val="23"/>
                <w:szCs w:val="23"/>
              </w:rPr>
              <w:t>一级</w:t>
            </w:r>
          </w:p>
          <w:p>
            <w:pPr>
              <w:spacing w:line="220" w:lineRule="auto"/>
              <w:ind w:left="251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949" w:type="dxa"/>
            <w:vAlign w:val="top"/>
          </w:tcPr>
          <w:p>
            <w:pPr>
              <w:spacing w:before="167" w:line="207" w:lineRule="auto"/>
              <w:ind w:left="231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7"/>
                <w:sz w:val="23"/>
                <w:szCs w:val="23"/>
              </w:rPr>
              <w:t>二级</w:t>
            </w:r>
          </w:p>
          <w:p>
            <w:pPr>
              <w:spacing w:line="220" w:lineRule="auto"/>
              <w:ind w:left="231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169" w:type="dxa"/>
            <w:vAlign w:val="top"/>
          </w:tcPr>
          <w:p>
            <w:pPr>
              <w:spacing w:before="167" w:line="207" w:lineRule="auto"/>
              <w:ind w:left="343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7"/>
                <w:sz w:val="23"/>
                <w:szCs w:val="23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228" w:type="dxa"/>
            <w:vAlign w:val="top"/>
          </w:tcPr>
          <w:p>
            <w:pPr>
              <w:spacing w:before="144" w:line="225" w:lineRule="auto"/>
              <w:ind w:left="374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6"/>
                <w:sz w:val="23"/>
                <w:szCs w:val="23"/>
              </w:rPr>
              <w:t>年度</w:t>
            </w:r>
          </w:p>
          <w:p>
            <w:pPr>
              <w:spacing w:line="219" w:lineRule="auto"/>
              <w:ind w:left="263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3"/>
                <w:sz w:val="23"/>
                <w:szCs w:val="23"/>
              </w:rPr>
              <w:t>指标值</w:t>
            </w:r>
          </w:p>
        </w:tc>
        <w:tc>
          <w:tcPr>
            <w:tcW w:w="1179" w:type="dxa"/>
            <w:vAlign w:val="top"/>
          </w:tcPr>
          <w:p>
            <w:pPr>
              <w:spacing w:before="145" w:line="232" w:lineRule="auto"/>
              <w:ind w:left="356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实际</w:t>
            </w:r>
          </w:p>
          <w:p>
            <w:pPr>
              <w:spacing w:line="219" w:lineRule="auto"/>
              <w:ind w:left="235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完成值</w:t>
            </w:r>
          </w:p>
        </w:tc>
        <w:tc>
          <w:tcPr>
            <w:tcW w:w="659" w:type="dxa"/>
            <w:vAlign w:val="top"/>
          </w:tcPr>
          <w:p>
            <w:pPr>
              <w:spacing w:before="314" w:line="219" w:lineRule="auto"/>
              <w:ind w:left="97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1119" w:type="dxa"/>
            <w:vAlign w:val="top"/>
          </w:tcPr>
          <w:p>
            <w:pPr>
              <w:spacing w:before="314" w:line="219" w:lineRule="auto"/>
              <w:ind w:left="328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得分</w:t>
            </w:r>
          </w:p>
        </w:tc>
        <w:tc>
          <w:tcPr>
            <w:tcW w:w="1753" w:type="dxa"/>
            <w:vAlign w:val="top"/>
          </w:tcPr>
          <w:p>
            <w:pPr>
              <w:spacing w:before="184" w:line="222" w:lineRule="auto"/>
              <w:ind w:left="408" w:right="51" w:hanging="339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1"/>
                <w:sz w:val="23"/>
                <w:szCs w:val="23"/>
              </w:rPr>
              <w:t>偏差原因分析及</w:t>
            </w: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2"/>
                <w:sz w:val="23"/>
                <w:szCs w:val="23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140" w:right="97" w:firstLine="110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5"/>
                <w:sz w:val="23"/>
                <w:szCs w:val="23"/>
              </w:rPr>
              <w:t>效益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5" w:line="214" w:lineRule="auto"/>
              <w:ind w:left="122" w:right="117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3"/>
                <w:sz w:val="23"/>
                <w:szCs w:val="23"/>
              </w:rPr>
              <w:t>经济效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18"/>
                <w:szCs w:val="18"/>
                <w:lang w:val="en-US" w:eastAsia="zh-CN"/>
              </w:rPr>
            </w:pPr>
            <w:r>
              <w:rPr>
                <w:rFonts w:hint="eastAsia" w:eastAsia="SimSun"/>
                <w:sz w:val="18"/>
                <w:szCs w:val="18"/>
                <w:lang w:val="en-US" w:eastAsia="zh-CN"/>
              </w:rPr>
              <w:t>减少乡镇渡口营运成本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default" w:ascii="Arial" w:eastAsia="SimSun"/>
                <w:sz w:val="18"/>
                <w:szCs w:val="18"/>
                <w:lang w:val="en-US" w:eastAsia="zh-CN"/>
              </w:rPr>
            </w:pPr>
            <w:r>
              <w:rPr>
                <w:rFonts w:hint="eastAsia" w:eastAsia="SimSun"/>
                <w:sz w:val="18"/>
                <w:szCs w:val="18"/>
                <w:lang w:val="en-US" w:eastAsia="zh-CN"/>
              </w:rPr>
              <w:t>保障乡镇民众出行便利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4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培育、升级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水路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运输市场，打造良好营商环境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社会公众出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行成本下降、安全指标提高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出行方式多元化、安全事故下降。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sz w:val="11"/>
                <w:szCs w:val="1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提高安全生产和应急管理水平，维护社会稳定，提高人民群众幸福感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提高安全生产和应急管理水平，维护社会稳定，提高人民群众幸福感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22" w:right="117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3"/>
                <w:sz w:val="23"/>
                <w:szCs w:val="23"/>
              </w:rPr>
              <w:t>社会效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水运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交通运输领域环境保护管理水平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交通运输行业安全稳定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3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122" w:right="117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3"/>
                <w:sz w:val="23"/>
                <w:szCs w:val="23"/>
              </w:rPr>
              <w:t>生态效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服务乡村振兴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2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水运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运输服务对象满意度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98%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增加城市公交车收入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公交车票价调整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before="315" w:line="218" w:lineRule="auto"/>
              <w:ind w:left="122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3"/>
                <w:sz w:val="23"/>
                <w:szCs w:val="23"/>
              </w:rPr>
              <w:t>可持续</w:t>
            </w:r>
          </w:p>
          <w:p>
            <w:pPr>
              <w:spacing w:before="1" w:line="215" w:lineRule="auto"/>
              <w:ind w:left="122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5"/>
                <w:sz w:val="23"/>
                <w:szCs w:val="23"/>
              </w:rPr>
              <w:t>影响指</w:t>
            </w:r>
          </w:p>
          <w:p>
            <w:pPr>
              <w:spacing w:line="220" w:lineRule="auto"/>
              <w:ind w:left="351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培育、升级运输市场，打造良好营商环境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color w:val="auto"/>
                <w:sz w:val="18"/>
                <w:szCs w:val="18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社会公众出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行成本下降、安全指标提高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出行方式多元化、安全事故下降。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提高安全生产和应急管理水平，维护社会稳定，提高人民群众幸福感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提高安全生产和应急管理水平，维护社会稳定，提高人民群众幸福感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sz w:val="11"/>
                <w:szCs w:val="1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140" w:right="97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满意度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pacing w:val="10"/>
                <w:sz w:val="23"/>
                <w:szCs w:val="23"/>
              </w:rPr>
              <w:t>(10分)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122" w:right="111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-3"/>
                <w:sz w:val="23"/>
                <w:szCs w:val="23"/>
              </w:rPr>
              <w:t>服务对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5"/>
                <w:sz w:val="23"/>
                <w:szCs w:val="23"/>
              </w:rPr>
              <w:t>象满意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23"/>
                <w:szCs w:val="23"/>
              </w:rPr>
              <w:t>度指标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水运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交通运输领域环境保护管理水平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提高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水运</w:t>
            </w: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交通运输行业安全稳定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3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SimSun" w:hAnsi="SimSun" w:eastAsia="SimSun" w:cs="SimSun"/>
                <w:sz w:val="11"/>
                <w:szCs w:val="1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服务乡村振兴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SimSun" w:hAnsi="SimSun" w:eastAsia="SimSun" w:cs="SimSun"/>
                <w:color w:val="auto"/>
                <w:sz w:val="18"/>
                <w:szCs w:val="18"/>
              </w:rPr>
              <w:t>2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718" w:type="dxa"/>
            <w:gridSpan w:val="6"/>
            <w:vAlign w:val="top"/>
          </w:tcPr>
          <w:p>
            <w:pPr>
              <w:spacing w:before="139" w:line="220" w:lineRule="auto"/>
              <w:ind w:left="3124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659" w:type="dxa"/>
            <w:vAlign w:val="top"/>
          </w:tcPr>
          <w:p>
            <w:pPr>
              <w:spacing w:before="196" w:line="184" w:lineRule="auto"/>
              <w:ind w:left="146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pacing w:val="-6"/>
                <w:sz w:val="23"/>
                <w:szCs w:val="23"/>
              </w:rPr>
              <w:t>100</w:t>
            </w:r>
          </w:p>
        </w:tc>
        <w:tc>
          <w:tcPr>
            <w:tcW w:w="1119" w:type="dxa"/>
            <w:vAlign w:val="top"/>
          </w:tcPr>
          <w:p>
            <w:pPr>
              <w:jc w:val="center"/>
              <w:rPr>
                <w:rFonts w:hint="default" w:ascii="Arial" w:eastAsia="SimSun"/>
                <w:sz w:val="21"/>
                <w:lang w:val="en-US" w:eastAsia="zh-CN"/>
              </w:rPr>
            </w:pPr>
            <w:r>
              <w:rPr>
                <w:rFonts w:hint="eastAsia" w:eastAsia="SimSun"/>
                <w:sz w:val="21"/>
                <w:lang w:val="en-US" w:eastAsia="zh-CN"/>
              </w:rPr>
              <w:t>99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4" w:line="219" w:lineRule="auto"/>
        <w:ind w:left="585"/>
        <w:rPr>
          <w:rFonts w:ascii="SimSun" w:hAnsi="SimSun" w:eastAsia="SimSun" w:cs="SimSun"/>
          <w:spacing w:val="2"/>
          <w:sz w:val="23"/>
          <w:szCs w:val="23"/>
        </w:rPr>
      </w:pPr>
      <w:r>
        <w:rPr>
          <w:rFonts w:ascii="SimSun" w:hAnsi="SimSun" w:eastAsia="SimSun" w:cs="SimSun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SimSun" w:hAnsi="SimSun" w:eastAsia="SimSun" w:cs="SimSun"/>
          <w:spacing w:val="2"/>
          <w:sz w:val="23"/>
          <w:szCs w:val="23"/>
        </w:rPr>
        <w:t>决01表)。</w:t>
      </w:r>
    </w:p>
    <w:p>
      <w:pPr>
        <w:spacing w:before="34" w:line="219" w:lineRule="auto"/>
        <w:ind w:left="585"/>
        <w:rPr>
          <w:rFonts w:hint="default" w:ascii="FangSong" w:hAnsi="FangSong" w:eastAsia="FangSong" w:cs="FangSong"/>
          <w:sz w:val="23"/>
          <w:szCs w:val="23"/>
          <w:lang w:val="en-US" w:eastAsia="zh-CN"/>
        </w:rPr>
      </w:pPr>
      <w:r>
        <w:rPr>
          <w:rFonts w:ascii="FangSong" w:hAnsi="FangSong" w:eastAsia="FangSong" w:cs="FangSong"/>
          <w:spacing w:val="-26"/>
          <w:sz w:val="23"/>
          <w:szCs w:val="23"/>
        </w:rPr>
        <w:t>填表人：</w:t>
      </w:r>
      <w:r>
        <w:rPr>
          <w:rFonts w:hint="eastAsia" w:ascii="FangSong" w:hAnsi="FangSong" w:eastAsia="FangSong" w:cs="FangSong"/>
          <w:spacing w:val="11"/>
          <w:sz w:val="23"/>
          <w:szCs w:val="23"/>
          <w:lang w:val="en-US" w:eastAsia="zh-CN"/>
        </w:rPr>
        <w:t>兰蔚</w:t>
      </w:r>
      <w:r>
        <w:rPr>
          <w:rFonts w:ascii="FangSong" w:hAnsi="FangSong" w:eastAsia="FangSong" w:cs="FangSong"/>
          <w:spacing w:val="11"/>
          <w:sz w:val="23"/>
          <w:szCs w:val="23"/>
        </w:rPr>
        <w:t xml:space="preserve">    </w:t>
      </w:r>
      <w:r>
        <w:rPr>
          <w:rFonts w:ascii="FangSong" w:hAnsi="FangSong" w:eastAsia="FangSong" w:cs="FangSong"/>
          <w:spacing w:val="-26"/>
          <w:sz w:val="23"/>
          <w:szCs w:val="23"/>
        </w:rPr>
        <w:t>填报日期：</w:t>
      </w:r>
      <w:r>
        <w:rPr>
          <w:rFonts w:hint="eastAsia" w:ascii="FangSong" w:hAnsi="FangSong" w:eastAsia="FangSong" w:cs="FangSong"/>
          <w:spacing w:val="-26"/>
          <w:sz w:val="23"/>
          <w:szCs w:val="23"/>
          <w:lang w:val="en-US" w:eastAsia="zh-CN"/>
        </w:rPr>
        <w:t>2023.7.13</w:t>
      </w:r>
      <w:r>
        <w:rPr>
          <w:rFonts w:ascii="FangSong" w:hAnsi="FangSong" w:eastAsia="FangSong" w:cs="FangSong"/>
          <w:spacing w:val="5"/>
          <w:sz w:val="23"/>
          <w:szCs w:val="23"/>
        </w:rPr>
        <w:t xml:space="preserve">        </w:t>
      </w:r>
      <w:r>
        <w:rPr>
          <w:rFonts w:ascii="FangSong" w:hAnsi="FangSong" w:eastAsia="FangSong" w:cs="FangSong"/>
          <w:spacing w:val="-26"/>
          <w:sz w:val="23"/>
          <w:szCs w:val="23"/>
        </w:rPr>
        <w:t>联系电话：</w:t>
      </w:r>
      <w:r>
        <w:rPr>
          <w:rFonts w:hint="eastAsia" w:ascii="FangSong" w:hAnsi="FangSong" w:eastAsia="FangSong" w:cs="FangSong"/>
          <w:spacing w:val="2"/>
          <w:sz w:val="23"/>
          <w:szCs w:val="23"/>
          <w:lang w:val="en-US" w:eastAsia="zh-CN"/>
        </w:rPr>
        <w:t>4606108</w:t>
      </w:r>
      <w:r>
        <w:rPr>
          <w:rFonts w:ascii="FangSong" w:hAnsi="FangSong" w:eastAsia="FangSong" w:cs="FangSong"/>
          <w:spacing w:val="2"/>
          <w:sz w:val="23"/>
          <w:szCs w:val="23"/>
        </w:rPr>
        <w:t xml:space="preserve">      </w:t>
      </w:r>
      <w:r>
        <w:rPr>
          <w:rFonts w:ascii="FangSong" w:hAnsi="FangSong" w:eastAsia="FangSong" w:cs="FangSong"/>
          <w:spacing w:val="-26"/>
          <w:sz w:val="23"/>
          <w:szCs w:val="23"/>
        </w:rPr>
        <w:t>单位负责人签字：</w:t>
      </w:r>
      <w:r>
        <w:rPr>
          <w:rFonts w:hint="eastAsia" w:ascii="FangSong" w:hAnsi="FangSong" w:eastAsia="FangSong" w:cs="FangSong"/>
          <w:spacing w:val="-26"/>
          <w:sz w:val="23"/>
          <w:szCs w:val="23"/>
          <w:lang w:val="en-US" w:eastAsia="zh-CN"/>
        </w:rPr>
        <w:t>易超平</w:t>
      </w:r>
    </w:p>
    <w:p>
      <w:pPr>
        <w:sectPr>
          <w:footerReference r:id="rId10" w:type="default"/>
          <w:pgSz w:w="11900" w:h="16830"/>
          <w:pgMar w:top="1430" w:right="815" w:bottom="1233" w:left="825" w:header="0" w:footer="945" w:gutter="0"/>
          <w:cols w:space="720" w:num="1"/>
        </w:sectPr>
      </w:pPr>
    </w:p>
    <w:p>
      <w:pPr>
        <w:spacing w:line="402" w:lineRule="auto"/>
        <w:rPr>
          <w:rFonts w:ascii="Arial"/>
          <w:sz w:val="21"/>
        </w:rPr>
      </w:pPr>
    </w:p>
    <w:p>
      <w:pPr>
        <w:spacing w:before="108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b/>
          <w:bCs/>
          <w:spacing w:val="14"/>
          <w:sz w:val="33"/>
          <w:szCs w:val="33"/>
        </w:rPr>
        <w:t>附件3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3" w:line="917" w:lineRule="exact"/>
        <w:ind w:left="931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27"/>
          <w:position w:val="35"/>
          <w:sz w:val="44"/>
          <w:szCs w:val="44"/>
        </w:rPr>
        <w:t>2022年度</w:t>
      </w:r>
      <w:r>
        <w:rPr>
          <w:rFonts w:hint="eastAsia" w:ascii="SimSun" w:hAnsi="SimSun" w:eastAsia="SimSun" w:cs="SimSun"/>
          <w:b/>
          <w:bCs/>
          <w:spacing w:val="27"/>
          <w:position w:val="35"/>
          <w:sz w:val="44"/>
          <w:szCs w:val="44"/>
          <w:lang w:val="en-US" w:eastAsia="zh-CN"/>
        </w:rPr>
        <w:t>水运事务中心</w:t>
      </w:r>
      <w:r>
        <w:rPr>
          <w:rFonts w:ascii="SimSun" w:hAnsi="SimSun" w:eastAsia="SimSun" w:cs="SimSun"/>
          <w:b/>
          <w:bCs/>
          <w:spacing w:val="27"/>
          <w:position w:val="35"/>
          <w:sz w:val="44"/>
          <w:szCs w:val="44"/>
        </w:rPr>
        <w:t>整体支出</w:t>
      </w:r>
    </w:p>
    <w:p>
      <w:pPr>
        <w:spacing w:before="2" w:line="217" w:lineRule="auto"/>
        <w:ind w:left="3181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-2"/>
          <w:sz w:val="44"/>
          <w:szCs w:val="44"/>
        </w:rPr>
        <w:t>绩效自评报告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326" w:lineRule="auto"/>
        <w:jc w:val="righ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4"/>
          <w:sz w:val="33"/>
          <w:szCs w:val="33"/>
        </w:rPr>
        <w:t>部门(单位)名称：</w:t>
      </w:r>
      <w:r>
        <w:rPr>
          <w:rFonts w:hint="eastAsia" w:ascii="FangSong" w:hAnsi="FangSong" w:eastAsia="FangSong" w:cs="FangSong"/>
          <w:spacing w:val="4"/>
          <w:sz w:val="33"/>
          <w:szCs w:val="33"/>
          <w:lang w:val="en-US" w:eastAsia="zh-CN"/>
        </w:rPr>
        <w:t>华容县水运事务中心</w:t>
      </w:r>
      <w:r>
        <w:rPr>
          <w:rFonts w:ascii="FangSong" w:hAnsi="FangSong" w:eastAsia="FangSong" w:cs="FangSong"/>
          <w:spacing w:val="15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95"/>
          <w:sz w:val="33"/>
          <w:szCs w:val="33"/>
          <w:u w:val="single" w:color="auto"/>
        </w:rPr>
        <w:t xml:space="preserve"> </w:t>
      </w:r>
      <w:r>
        <w:rPr>
          <w:rFonts w:ascii="FangSong" w:hAnsi="FangSong" w:eastAsia="FangSong" w:cs="FangSong"/>
          <w:spacing w:val="4"/>
          <w:sz w:val="33"/>
          <w:szCs w:val="33"/>
          <w:u w:val="single" w:color="auto"/>
        </w:rPr>
        <w:t>(盖章)</w:t>
      </w:r>
    </w:p>
    <w:p>
      <w:pPr>
        <w:spacing w:line="222" w:lineRule="auto"/>
        <w:ind w:firstLine="5148" w:firstLineChars="1800"/>
        <w:rPr>
          <w:rFonts w:ascii="FangSong" w:hAnsi="FangSong" w:eastAsia="FangSong" w:cs="FangSong"/>
          <w:sz w:val="33"/>
          <w:szCs w:val="33"/>
        </w:rPr>
      </w:pPr>
      <w:r>
        <w:rPr>
          <w:rFonts w:hint="eastAsia" w:ascii="FangSong" w:hAnsi="FangSong" w:eastAsia="FangSong" w:cs="FangSong"/>
          <w:spacing w:val="-22"/>
          <w:sz w:val="33"/>
          <w:szCs w:val="33"/>
          <w:lang w:val="en-US" w:eastAsia="zh-CN"/>
        </w:rPr>
        <w:t xml:space="preserve">2023 </w:t>
      </w:r>
      <w:r>
        <w:rPr>
          <w:rFonts w:ascii="FangSong" w:hAnsi="FangSong" w:eastAsia="FangSong" w:cs="FangSong"/>
          <w:spacing w:val="-22"/>
          <w:sz w:val="33"/>
          <w:szCs w:val="33"/>
        </w:rPr>
        <w:t>年</w:t>
      </w:r>
      <w:r>
        <w:rPr>
          <w:rFonts w:ascii="FangSong" w:hAnsi="FangSong" w:eastAsia="FangSong" w:cs="FangSong"/>
          <w:spacing w:val="163"/>
          <w:sz w:val="33"/>
          <w:szCs w:val="33"/>
        </w:rPr>
        <w:t xml:space="preserve"> </w:t>
      </w:r>
      <w:r>
        <w:rPr>
          <w:rFonts w:hint="eastAsia" w:ascii="FangSong" w:hAnsi="FangSong" w:eastAsia="FangSong" w:cs="FangSong"/>
          <w:spacing w:val="163"/>
          <w:sz w:val="33"/>
          <w:szCs w:val="33"/>
          <w:lang w:val="en-US" w:eastAsia="zh-CN"/>
        </w:rPr>
        <w:t>7</w:t>
      </w:r>
      <w:r>
        <w:rPr>
          <w:rFonts w:ascii="FangSong" w:hAnsi="FangSong" w:eastAsia="FangSong" w:cs="FangSong"/>
          <w:spacing w:val="-22"/>
          <w:sz w:val="33"/>
          <w:szCs w:val="33"/>
        </w:rPr>
        <w:t>月</w:t>
      </w:r>
      <w:r>
        <w:rPr>
          <w:rFonts w:ascii="FangSong" w:hAnsi="FangSong" w:eastAsia="FangSong" w:cs="FangSong"/>
          <w:spacing w:val="13"/>
          <w:sz w:val="33"/>
          <w:szCs w:val="33"/>
        </w:rPr>
        <w:t xml:space="preserve"> </w:t>
      </w:r>
      <w:r>
        <w:rPr>
          <w:rFonts w:hint="eastAsia" w:ascii="FangSong" w:hAnsi="FangSong" w:eastAsia="FangSong" w:cs="FangSong"/>
          <w:spacing w:val="13"/>
          <w:sz w:val="33"/>
          <w:szCs w:val="33"/>
          <w:lang w:val="en-US" w:eastAsia="zh-CN"/>
        </w:rPr>
        <w:t>13</w:t>
      </w:r>
      <w:r>
        <w:rPr>
          <w:rFonts w:ascii="FangSong" w:hAnsi="FangSong" w:eastAsia="FangSong" w:cs="FangSong"/>
          <w:spacing w:val="13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2"/>
          <w:sz w:val="33"/>
          <w:szCs w:val="33"/>
        </w:rPr>
        <w:t>日</w:t>
      </w:r>
    </w:p>
    <w:p>
      <w:pPr>
        <w:spacing w:before="179" w:line="224" w:lineRule="auto"/>
        <w:ind w:left="3409"/>
        <w:sectPr>
          <w:footerReference r:id="rId11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spacing w:before="143" w:line="232" w:lineRule="auto"/>
        <w:ind w:right="763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</w:rPr>
        <w:t>2022年度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  <w:t>水运事务中心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</w:rPr>
        <w:t>整体支出</w:t>
      </w:r>
    </w:p>
    <w:p>
      <w:pPr>
        <w:spacing w:before="143" w:line="232" w:lineRule="auto"/>
        <w:ind w:right="763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"/>
          <w:sz w:val="44"/>
          <w:szCs w:val="44"/>
        </w:rPr>
        <w:t>绩效自评报告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  <w:lang w:val="en-US" w:eastAsia="zh-CN"/>
        </w:rPr>
        <w:t>一、</w:t>
      </w: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部门(单位)基本情况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</w:rPr>
        <w:t>单位基本情况：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1、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华容县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水运事务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中心是县财政全额预算拨款单位，2022年编制部门核定县道路运输服务中心人员编制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28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人，实有人数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29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人，本单位内设机构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4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个：综合股、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航道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股、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港口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股、安全法制股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  <w:lang w:val="en-US" w:eastAsia="zh-CN"/>
        </w:rPr>
        <w:t>（二）</w:t>
      </w:r>
      <w:r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</w:rPr>
        <w:t>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1、宣传、贯彻和执行国家有关港口、航道、水路运输业的法律、法规、规章和政策；负责组织实施水路交通规则和技术规范；依据法律法规授权对全县港口、航道、水路运输实施行政管理。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2、负责编制全县港口、航道等水路交通发展规划和计划，编报内河港口、航道的新建、改建（养护）工程项目年度计划并组织实施。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3、审查与通航有关的拦河、跨河、临河建筑物的通航标准与技术要求。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4、负责对全县港口岸线使用的审查申报，对港口企业、水路运输企业、水路运输辅助企业的开业审批进行初审。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5、负责对全县航道、港口生产经营的安全监管和应急管理工作。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6、协调相关乡镇搞好乡镇船舶和渡口安全管理工作。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7、承办县委、县政府和县交通运输局交办的其他事项。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二、基本支出情况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工资福利支出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380.82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万元，商品和服务支出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300.54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万元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b/>
          <w:bCs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2022年“三公”经费实际支出0.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82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万元，比2021年“三公”经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highlight w:val="none"/>
        </w:rPr>
        <w:t>费支出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1.62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万元减少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0.8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万元，减少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49.3</w:t>
      </w:r>
      <w:r>
        <w:rPr>
          <w:rFonts w:hint="eastAsia" w:ascii="FangSong_GB2312" w:hAnsi="FangSong_GB2312" w:eastAsia="FangSong_GB2312" w:cs="FangSong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highlight w:val="none"/>
        </w:rPr>
        <w:t>主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要是根据中央八项规定，厉行节约压减机关运行经费。其中公务接待费0.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  <w:lang w:val="en-US" w:eastAsia="zh-CN"/>
        </w:rPr>
        <w:t>82</w:t>
      </w: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万元，无公务用车运维费。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三、</w:t>
      </w: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项目支出情况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四、 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2022年，根据该中心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2022年度部门整体支出绩效情况如下：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1、预算执行方面，该单位预算资金按规定管理使用。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2、预算管理方面，制定了切实有效的内部财务、资产内部管理制度，执行总体较为有效。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3、重大项目建设协调推进有力。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五、存在的问题及原因分析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预算编制有待更严格执行，预算编制与实际支出项目有的存在差异。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六、</w:t>
      </w: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二是严格控制“三公”经费支出，杜绝挪用和挤占其他预算资金；进一步细化“三公”经费管理，压缩“三公”经费支出。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FangSong_GB2312" w:hAnsi="FangSong_GB2312" w:eastAsia="FangSong_GB2312" w:cs="FangSong_GB2312"/>
          <w:spacing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pacing w:val="0"/>
          <w:sz w:val="32"/>
          <w:szCs w:val="32"/>
        </w:rPr>
        <w:t>三是预算财务分析常态化，定期做好预算支出财务分析，做好单位整体支出预算评价工作。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</w:pPr>
      <w:r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t>七、其他需要说明的情况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baseline"/>
        <w:rPr>
          <w:rFonts w:hint="eastAsia" w:ascii="SimHei" w:hAnsi="SimHei" w:eastAsia="SimHei" w:cs="SimHei"/>
          <w:b w:val="0"/>
          <w:bCs w:val="0"/>
          <w:spacing w:val="0"/>
          <w:sz w:val="32"/>
          <w:szCs w:val="32"/>
        </w:rPr>
        <w:sectPr>
          <w:footerReference r:id="rId12" w:type="default"/>
          <w:pgSz w:w="11900" w:h="16830"/>
          <w:pgMar w:top="1430" w:right="1619" w:bottom="1219" w:left="1670" w:header="0" w:footer="95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14" w:line="224" w:lineRule="auto"/>
        <w:ind w:left="35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b/>
          <w:bCs/>
          <w:sz w:val="35"/>
          <w:szCs w:val="35"/>
        </w:rPr>
        <w:t>附件4</w:t>
      </w:r>
    </w:p>
    <w:p>
      <w:pPr>
        <w:spacing w:before="229" w:line="218" w:lineRule="auto"/>
        <w:ind w:left="1561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b/>
          <w:bCs/>
          <w:spacing w:val="11"/>
          <w:sz w:val="45"/>
          <w:szCs w:val="45"/>
        </w:rPr>
        <w:t>项目支出绩效评价评分表(共性)</w:t>
      </w:r>
    </w:p>
    <w:p/>
    <w:p>
      <w:pPr>
        <w:spacing w:line="44" w:lineRule="exact"/>
      </w:pPr>
    </w:p>
    <w:tbl>
      <w:tblPr>
        <w:tblStyle w:val="4"/>
        <w:tblW w:w="9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0"/>
        <w:gridCol w:w="709"/>
        <w:gridCol w:w="549"/>
        <w:gridCol w:w="789"/>
        <w:gridCol w:w="559"/>
        <w:gridCol w:w="2408"/>
        <w:gridCol w:w="2777"/>
        <w:gridCol w:w="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0" w:type="dxa"/>
            <w:textDirection w:val="tbRlV"/>
            <w:vAlign w:val="top"/>
          </w:tcPr>
          <w:p>
            <w:pPr>
              <w:spacing w:before="179" w:line="216" w:lineRule="auto"/>
              <w:ind w:left="9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71" w:line="239" w:lineRule="exact"/>
              <w:ind w:left="16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7" w:line="216" w:lineRule="auto"/>
              <w:ind w:left="9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9" w:type="dxa"/>
            <w:vAlign w:val="top"/>
          </w:tcPr>
          <w:p>
            <w:pPr>
              <w:spacing w:before="61" w:line="239" w:lineRule="exact"/>
              <w:ind w:left="20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9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  <w:vAlign w:val="top"/>
          </w:tcPr>
          <w:p>
            <w:pPr>
              <w:spacing w:before="200" w:line="220" w:lineRule="auto"/>
              <w:ind w:left="80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777" w:type="dxa"/>
            <w:vAlign w:val="top"/>
          </w:tcPr>
          <w:p>
            <w:pPr>
              <w:spacing w:before="198" w:line="218" w:lineRule="auto"/>
              <w:ind w:left="100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804" w:type="dxa"/>
            <w:vAlign w:val="top"/>
          </w:tcPr>
          <w:p>
            <w:pPr>
              <w:spacing w:before="70" w:line="249" w:lineRule="exact"/>
              <w:ind w:left="22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>
            <w:pPr>
              <w:spacing w:line="219" w:lineRule="auto"/>
              <w:ind w:left="22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10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7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20</w:t>
            </w:r>
          </w:p>
        </w:tc>
        <w:tc>
          <w:tcPr>
            <w:tcW w:w="709" w:type="dxa"/>
            <w:textDirection w:val="tbRlV"/>
            <w:vAlign w:val="top"/>
          </w:tcPr>
          <w:p>
            <w:pPr>
              <w:spacing w:before="267" w:line="217" w:lineRule="auto"/>
              <w:ind w:left="12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789" w:type="dxa"/>
            <w:vAlign w:val="top"/>
          </w:tcPr>
          <w:p>
            <w:pPr>
              <w:spacing w:before="248" w:line="24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7"/>
                <w:position w:val="4"/>
                <w:sz w:val="18"/>
                <w:szCs w:val="18"/>
              </w:rPr>
              <w:t>目标</w:t>
            </w:r>
          </w:p>
          <w:p>
            <w:pPr>
              <w:spacing w:line="219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259" w:line="227" w:lineRule="auto"/>
              <w:ind w:left="84" w:right="14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设立了项目绩效目标；目标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</w:rPr>
              <w:t>明确；目标细化；目标量化</w:t>
            </w:r>
          </w:p>
        </w:tc>
        <w:tc>
          <w:tcPr>
            <w:tcW w:w="2777" w:type="dxa"/>
            <w:vAlign w:val="top"/>
          </w:tcPr>
          <w:p>
            <w:pPr>
              <w:spacing w:before="26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1"/>
                <w:sz w:val="18"/>
                <w:szCs w:val="18"/>
              </w:rPr>
              <w:t>①设有目标(1分)</w:t>
            </w:r>
          </w:p>
          <w:p>
            <w:pPr>
              <w:spacing w:before="3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1"/>
                <w:sz w:val="18"/>
                <w:szCs w:val="18"/>
              </w:rPr>
              <w:t>②目标明确(1分)</w:t>
            </w:r>
          </w:p>
          <w:p>
            <w:pPr>
              <w:spacing w:before="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1"/>
                <w:sz w:val="18"/>
                <w:szCs w:val="18"/>
              </w:rPr>
              <w:t>③目标细化(1分)</w:t>
            </w:r>
          </w:p>
          <w:p>
            <w:pPr>
              <w:spacing w:before="3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3"/>
                <w:sz w:val="18"/>
                <w:szCs w:val="18"/>
              </w:rPr>
              <w:t>④目标量化(1分)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5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决策过程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position w:val="5"/>
                <w:sz w:val="18"/>
                <w:szCs w:val="18"/>
              </w:rPr>
              <w:t>决策</w:t>
            </w:r>
          </w:p>
          <w:p>
            <w:pPr>
              <w:spacing w:line="218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188"/>
              <w:ind w:left="84" w:right="62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某一经济社会发展规划；某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部门年度工作计划；某一实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际问题和需求</w:t>
            </w:r>
          </w:p>
        </w:tc>
        <w:tc>
          <w:tcPr>
            <w:tcW w:w="2777" w:type="dxa"/>
            <w:vAlign w:val="top"/>
          </w:tcPr>
          <w:p>
            <w:pPr>
              <w:spacing w:before="57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7"/>
                <w:sz w:val="18"/>
                <w:szCs w:val="18"/>
              </w:rPr>
              <w:t>①符合法律法规(1分)</w:t>
            </w:r>
          </w:p>
          <w:p>
            <w:pPr>
              <w:spacing w:before="28" w:line="217" w:lineRule="auto"/>
              <w:ind w:left="10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>②符合经济社会发展规划(1分)</w:t>
            </w:r>
          </w:p>
          <w:p>
            <w:pPr>
              <w:spacing w:before="4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4"/>
                <w:sz w:val="18"/>
                <w:szCs w:val="18"/>
              </w:rPr>
              <w:t>③部门年度工作计划(1分)</w:t>
            </w:r>
          </w:p>
          <w:p>
            <w:pPr>
              <w:spacing w:before="28" w:line="216" w:lineRule="auto"/>
              <w:ind w:left="86" w:right="20" w:firstLine="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④针对某一实际问题和需求(1分)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以上③需提供佐证资料。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70" w:line="24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position w:val="4"/>
                <w:sz w:val="18"/>
                <w:szCs w:val="18"/>
              </w:rPr>
              <w:t>决策</w:t>
            </w:r>
          </w:p>
          <w:p>
            <w:pPr>
              <w:spacing w:line="220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9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39" w:line="228" w:lineRule="auto"/>
              <w:ind w:left="84" w:right="6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批复程序符合相关管理办</w:t>
            </w:r>
          </w:p>
          <w:p>
            <w:pPr>
              <w:spacing w:before="26" w:line="223" w:lineRule="auto"/>
              <w:ind w:left="84" w:right="16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</w:rPr>
              <w:t>续</w:t>
            </w:r>
          </w:p>
        </w:tc>
        <w:tc>
          <w:tcPr>
            <w:tcW w:w="2777" w:type="dxa"/>
            <w:vAlign w:val="top"/>
          </w:tcPr>
          <w:p>
            <w:pPr>
              <w:spacing w:before="4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7"/>
                <w:sz w:val="18"/>
                <w:szCs w:val="18"/>
              </w:rPr>
              <w:t>①符合申报条件(2分)</w:t>
            </w:r>
          </w:p>
          <w:p>
            <w:pPr>
              <w:spacing w:before="17" w:line="234" w:lineRule="auto"/>
              <w:ind w:left="86" w:right="16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31"/>
                <w:sz w:val="18"/>
                <w:szCs w:val="18"/>
              </w:rPr>
              <w:t>办法(1分)</w:t>
            </w:r>
          </w:p>
          <w:p>
            <w:pPr>
              <w:spacing w:before="24" w:line="216" w:lineRule="auto"/>
              <w:ind w:left="10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③项目调整履行了相应手续(1分)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48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before="271" w:line="25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5"/>
                <w:sz w:val="18"/>
                <w:szCs w:val="18"/>
              </w:rPr>
              <w:t>分配</w:t>
            </w:r>
          </w:p>
          <w:p>
            <w:pPr>
              <w:spacing w:line="219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42" w:line="235" w:lineRule="auto"/>
              <w:ind w:left="84" w:right="134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777" w:type="dxa"/>
            <w:vAlign w:val="top"/>
          </w:tcPr>
          <w:p>
            <w:pPr>
              <w:spacing w:before="39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3"/>
                <w:sz w:val="18"/>
                <w:szCs w:val="18"/>
              </w:rPr>
              <w:t>①有相应的资金管理办法(1分)</w:t>
            </w:r>
          </w:p>
          <w:p>
            <w:pPr>
              <w:spacing w:before="1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②办法健全、规范(1分)</w:t>
            </w:r>
          </w:p>
          <w:p>
            <w:pPr>
              <w:spacing w:before="37" w:line="226" w:lineRule="auto"/>
              <w:ind w:left="86" w:right="61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3" w:line="225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分配</w:t>
            </w:r>
          </w:p>
          <w:p>
            <w:pPr>
              <w:spacing w:line="220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61" w:line="244" w:lineRule="auto"/>
              <w:ind w:left="84" w:right="32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资金分配符合相关管理办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777" w:type="dxa"/>
            <w:vAlign w:val="top"/>
          </w:tcPr>
          <w:p>
            <w:pPr>
              <w:spacing w:before="60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9"/>
                <w:sz w:val="18"/>
                <w:szCs w:val="18"/>
              </w:rPr>
              <w:t>①符合分配办法(2分)</w:t>
            </w:r>
          </w:p>
          <w:p>
            <w:pPr>
              <w:spacing w:before="2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9"/>
                <w:sz w:val="18"/>
                <w:szCs w:val="18"/>
              </w:rPr>
              <w:t>②分配公平合理(3分)</w:t>
            </w:r>
          </w:p>
          <w:p>
            <w:pPr>
              <w:spacing w:before="19" w:line="229" w:lineRule="auto"/>
              <w:ind w:left="86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71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17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25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26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5</w:t>
            </w:r>
          </w:p>
        </w:tc>
        <w:tc>
          <w:tcPr>
            <w:tcW w:w="789" w:type="dxa"/>
            <w:vAlign w:val="top"/>
          </w:tcPr>
          <w:p>
            <w:pPr>
              <w:spacing w:before="162" w:line="219" w:lineRule="auto"/>
              <w:ind w:left="11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9" w:type="dxa"/>
            <w:vAlign w:val="top"/>
          </w:tcPr>
          <w:p>
            <w:pPr>
              <w:spacing w:before="208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2" w:line="220" w:lineRule="auto"/>
              <w:ind w:left="8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777" w:type="dxa"/>
            <w:vAlign w:val="top"/>
          </w:tcPr>
          <w:p>
            <w:pPr>
              <w:spacing w:before="31" w:line="235" w:lineRule="auto"/>
              <w:ind w:left="86" w:right="16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52" w:line="24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4"/>
                <w:sz w:val="18"/>
                <w:szCs w:val="18"/>
              </w:rPr>
              <w:t>到位</w:t>
            </w:r>
          </w:p>
          <w:p>
            <w:pPr>
              <w:spacing w:line="220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2</w:t>
            </w:r>
          </w:p>
        </w:tc>
        <w:tc>
          <w:tcPr>
            <w:tcW w:w="2408" w:type="dxa"/>
            <w:vAlign w:val="top"/>
          </w:tcPr>
          <w:p>
            <w:pPr>
              <w:spacing w:before="152" w:line="228" w:lineRule="auto"/>
              <w:ind w:left="84" w:right="14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777" w:type="dxa"/>
            <w:vAlign w:val="top"/>
          </w:tcPr>
          <w:p>
            <w:pPr>
              <w:spacing w:before="40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3"/>
                <w:sz w:val="18"/>
                <w:szCs w:val="18"/>
              </w:rPr>
              <w:t>①到位及时(2分)</w:t>
            </w:r>
          </w:p>
          <w:p>
            <w:pPr>
              <w:spacing w:before="2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②不及时但未影响项目进度(1分)</w:t>
            </w:r>
          </w:p>
          <w:p>
            <w:pPr>
              <w:spacing w:before="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0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资金管理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58" w:line="234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资金</w:t>
            </w:r>
          </w:p>
          <w:p>
            <w:pPr>
              <w:spacing w:line="219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7</w:t>
            </w:r>
          </w:p>
        </w:tc>
        <w:tc>
          <w:tcPr>
            <w:tcW w:w="2408" w:type="dxa"/>
            <w:vAlign w:val="top"/>
          </w:tcPr>
          <w:p>
            <w:pPr>
              <w:spacing w:before="143" w:line="242" w:lineRule="auto"/>
              <w:ind w:left="84" w:right="62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777" w:type="dxa"/>
            <w:vAlign w:val="top"/>
          </w:tcPr>
          <w:p>
            <w:pPr>
              <w:spacing w:before="21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>①虚列套取扣4-7分</w:t>
            </w:r>
          </w:p>
          <w:p>
            <w:pPr>
              <w:spacing w:before="3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3"/>
                <w:sz w:val="18"/>
                <w:szCs w:val="18"/>
              </w:rPr>
              <w:t>②依据不合规扣2分</w:t>
            </w:r>
          </w:p>
          <w:p>
            <w:pPr>
              <w:spacing w:before="3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>③截留、挤占、挪用扣3-6分</w:t>
            </w:r>
          </w:p>
          <w:p>
            <w:pPr>
              <w:spacing w:before="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④超标准开支扣2-5分</w:t>
            </w:r>
          </w:p>
          <w:p>
            <w:pPr>
              <w:spacing w:before="38" w:line="203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64" w:line="24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position w:val="4"/>
                <w:sz w:val="18"/>
                <w:szCs w:val="18"/>
              </w:rPr>
              <w:t>财务</w:t>
            </w:r>
          </w:p>
          <w:p>
            <w:pPr>
              <w:spacing w:line="219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9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4" w:line="237" w:lineRule="auto"/>
              <w:ind w:left="84" w:right="142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资金管理、费用支出等制度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777" w:type="dxa"/>
            <w:vAlign w:val="top"/>
          </w:tcPr>
          <w:p>
            <w:pPr>
              <w:spacing w:before="42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7"/>
                <w:sz w:val="18"/>
                <w:szCs w:val="18"/>
              </w:rPr>
              <w:t>①财务制度健全(1分)</w:t>
            </w:r>
          </w:p>
          <w:p>
            <w:pPr>
              <w:spacing w:before="1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②严格执行制度(1分)</w:t>
            </w:r>
          </w:p>
          <w:p>
            <w:pPr>
              <w:spacing w:before="38" w:line="224" w:lineRule="auto"/>
              <w:ind w:left="86" w:right="80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100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before="69" w:line="245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4"/>
                <w:sz w:val="18"/>
                <w:szCs w:val="18"/>
              </w:rPr>
              <w:t>组织</w:t>
            </w:r>
          </w:p>
          <w:p>
            <w:pPr>
              <w:spacing w:line="218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9" w:type="dxa"/>
            <w:vAlign w:val="top"/>
          </w:tcPr>
          <w:p>
            <w:pPr>
              <w:spacing w:before="230" w:line="184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184" w:line="219" w:lineRule="auto"/>
              <w:ind w:left="8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777" w:type="dxa"/>
            <w:vAlign w:val="top"/>
          </w:tcPr>
          <w:p>
            <w:pPr>
              <w:spacing w:before="183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SimSun" w:hAnsi="SimSun" w:eastAsia="SimSun" w:cs="SimSun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(1分)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55" w:line="25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position w:val="5"/>
                <w:sz w:val="18"/>
                <w:szCs w:val="18"/>
              </w:rPr>
              <w:t>支撑</w:t>
            </w:r>
          </w:p>
          <w:p>
            <w:pPr>
              <w:spacing w:line="219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条件</w:t>
            </w:r>
          </w:p>
        </w:tc>
        <w:tc>
          <w:tcPr>
            <w:tcW w:w="55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34" w:line="234" w:lineRule="auto"/>
              <w:ind w:left="84" w:right="162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项目实施单位是否提供或具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备了必备的人员、场地和设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备等条件</w:t>
            </w:r>
          </w:p>
        </w:tc>
        <w:tc>
          <w:tcPr>
            <w:tcW w:w="2777" w:type="dxa"/>
            <w:vAlign w:val="top"/>
          </w:tcPr>
          <w:p>
            <w:pPr>
              <w:spacing w:before="154" w:line="239" w:lineRule="auto"/>
              <w:ind w:left="86" w:right="22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具备人员、场地、设备条件(1</w:t>
            </w: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分</w:t>
            </w:r>
            <w:r>
              <w:rPr>
                <w:rFonts w:ascii="SimSun" w:hAnsi="SimSun" w:eastAsia="SimSun" w:cs="SimSun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15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项 目</w:t>
            </w:r>
          </w:p>
          <w:p>
            <w:pPr>
              <w:spacing w:line="220" w:lineRule="auto"/>
              <w:ind w:left="18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5" w:line="228" w:lineRule="auto"/>
              <w:ind w:left="84" w:right="16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777" w:type="dxa"/>
            <w:vAlign w:val="top"/>
          </w:tcPr>
          <w:p>
            <w:pPr>
              <w:spacing w:before="44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8"/>
                <w:sz w:val="18"/>
                <w:szCs w:val="18"/>
              </w:rPr>
              <w:t>①按计划开工(1分)</w:t>
            </w:r>
          </w:p>
          <w:p>
            <w:pPr>
              <w:spacing w:before="48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8"/>
                <w:sz w:val="18"/>
                <w:szCs w:val="18"/>
              </w:rPr>
              <w:t>②按计划开展(1分)</w:t>
            </w:r>
          </w:p>
          <w:p>
            <w:pPr>
              <w:spacing w:before="17" w:line="190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50" w:lineRule="exact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5"/>
                <w:sz w:val="18"/>
                <w:szCs w:val="18"/>
              </w:rPr>
              <w:t>管理</w:t>
            </w:r>
          </w:p>
          <w:p>
            <w:pPr>
              <w:spacing w:line="220" w:lineRule="auto"/>
              <w:ind w:left="20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77" w:line="243" w:lineRule="auto"/>
              <w:ind w:left="84" w:right="16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777" w:type="dxa"/>
            <w:vAlign w:val="top"/>
          </w:tcPr>
          <w:p>
            <w:pPr>
              <w:spacing w:before="65" w:line="217" w:lineRule="auto"/>
              <w:ind w:left="86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7"/>
                <w:sz w:val="18"/>
                <w:szCs w:val="18"/>
              </w:rPr>
              <w:t>①管理制度健全(2分)</w:t>
            </w:r>
          </w:p>
          <w:p>
            <w:pPr>
              <w:spacing w:before="18" w:line="235" w:lineRule="auto"/>
              <w:ind w:left="86" w:right="61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 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16" w:lineRule="auto"/>
        <w:rPr>
          <w:rFonts w:ascii="Arial"/>
          <w:sz w:val="21"/>
        </w:rPr>
      </w:pPr>
    </w:p>
    <w:p>
      <w:pPr>
        <w:spacing w:before="87" w:line="183" w:lineRule="auto"/>
        <w:ind w:right="254"/>
        <w:jc w:val="right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pacing w:val="-9"/>
          <w:w w:val="69"/>
          <w:sz w:val="27"/>
          <w:szCs w:val="27"/>
        </w:rPr>
        <w:t>—</w:t>
      </w:r>
      <w:r>
        <w:rPr>
          <w:rFonts w:ascii="SimSun" w:hAnsi="SimSun" w:eastAsia="SimSun" w:cs="SimSun"/>
          <w:spacing w:val="-18"/>
          <w:w w:val="98"/>
          <w:sz w:val="27"/>
          <w:szCs w:val="27"/>
        </w:rPr>
        <w:t>9—</w:t>
      </w:r>
    </w:p>
    <w:p>
      <w:pPr>
        <w:sectPr>
          <w:footerReference r:id="rId13" w:type="default"/>
          <w:pgSz w:w="12130" w:h="16990"/>
          <w:pgMar w:top="1444" w:right="1165" w:bottom="400" w:left="112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4"/>
        <w:tblW w:w="9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5" w:hRule="atLeast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8" w:line="216" w:lineRule="auto"/>
              <w:ind w:left="10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64" w:line="249" w:lineRule="exact"/>
              <w:ind w:left="16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  <w:vAlign w:val="top"/>
          </w:tcPr>
          <w:p>
            <w:pPr>
              <w:spacing w:before="177" w:line="216" w:lineRule="auto"/>
              <w:ind w:left="10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  <w:vAlign w:val="top"/>
          </w:tcPr>
          <w:p>
            <w:pPr>
              <w:spacing w:before="74" w:line="259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position w:val="5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10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  <w:vAlign w:val="top"/>
          </w:tcPr>
          <w:p>
            <w:pPr>
              <w:spacing w:before="213" w:line="220" w:lineRule="auto"/>
              <w:ind w:left="84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  <w:vAlign w:val="top"/>
          </w:tcPr>
          <w:p>
            <w:pPr>
              <w:spacing w:before="208" w:line="218" w:lineRule="auto"/>
              <w:ind w:left="99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  <w:vAlign w:val="top"/>
          </w:tcPr>
          <w:p>
            <w:pPr>
              <w:spacing w:before="82" w:line="220" w:lineRule="auto"/>
              <w:ind w:left="20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自评</w:t>
            </w:r>
          </w:p>
          <w:p>
            <w:pPr>
              <w:spacing w:before="22" w:line="219" w:lineRule="auto"/>
              <w:ind w:left="21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8" w:line="217" w:lineRule="auto"/>
              <w:ind w:left="474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17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6" w:lineRule="auto"/>
              <w:ind w:left="190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6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19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5</w:t>
            </w:r>
          </w:p>
        </w:tc>
        <w:tc>
          <w:tcPr>
            <w:tcW w:w="241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15" w:firstLine="1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目标完成率=目标完成数/预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16" w:right="81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8" w:line="251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241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218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  <w:vAlign w:val="top"/>
          </w:tcPr>
          <w:p>
            <w:pPr>
              <w:spacing w:before="247" w:line="235" w:lineRule="auto"/>
              <w:ind w:left="116" w:right="54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4"/>
                <w:sz w:val="18"/>
                <w:szCs w:val="18"/>
              </w:rPr>
              <w:t>减</w:t>
            </w:r>
            <w:r>
              <w:rPr>
                <w:rFonts w:ascii="SimSun" w:hAnsi="SimSun" w:eastAsia="SimSun" w:cs="SimSun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59" w:line="271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0"/>
                <w:position w:val="6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before="249" w:line="241" w:lineRule="auto"/>
              <w:ind w:left="104" w:right="101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  <w:vAlign w:val="top"/>
          </w:tcPr>
          <w:p>
            <w:pPr>
              <w:spacing w:before="248" w:line="238" w:lineRule="auto"/>
              <w:ind w:left="116" w:right="96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SimSun" w:hAnsi="SimSun" w:eastAsia="SimSun" w:cs="SimSun"/>
                <w:sz w:val="18"/>
                <w:szCs w:val="18"/>
              </w:rPr>
              <w:t>分，未如期完成且无充分理由的</w:t>
            </w:r>
            <w:r>
              <w:rPr>
                <w:rFonts w:ascii="SimSun" w:hAnsi="SimSun" w:eastAsia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8"/>
                <w:sz w:val="18"/>
                <w:szCs w:val="18"/>
              </w:rPr>
              <w:t>扣</w:t>
            </w:r>
            <w:r>
              <w:rPr>
                <w:rFonts w:ascii="SimSun" w:hAnsi="SimSun" w:eastAsia="SimSun" w:cs="SimSun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8"/>
                <w:sz w:val="18"/>
                <w:szCs w:val="18"/>
              </w:rPr>
              <w:t>3</w:t>
            </w:r>
            <w:r>
              <w:rPr>
                <w:rFonts w:ascii="SimSun" w:hAnsi="SimSun" w:eastAsia="SimSun" w:cs="SimSun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8"/>
                <w:sz w:val="18"/>
                <w:szCs w:val="18"/>
              </w:rPr>
              <w:t>分</w:t>
            </w:r>
            <w:r>
              <w:rPr>
                <w:rFonts w:ascii="SimSun" w:hAnsi="SimSun" w:eastAsia="SimSun" w:cs="SimSun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235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0"/>
                <w:sz w:val="18"/>
                <w:szCs w:val="18"/>
              </w:rPr>
              <w:t>产出</w:t>
            </w:r>
          </w:p>
          <w:p>
            <w:pPr>
              <w:spacing w:line="218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9" w:line="229" w:lineRule="auto"/>
              <w:ind w:left="104" w:right="108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  <w:vAlign w:val="top"/>
          </w:tcPr>
          <w:p>
            <w:pPr>
              <w:spacing w:before="268" w:line="232" w:lineRule="auto"/>
              <w:ind w:left="116" w:right="119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4"/>
                <w:sz w:val="18"/>
                <w:szCs w:val="18"/>
              </w:rPr>
              <w:t>减</w:t>
            </w:r>
            <w:r>
              <w:rPr>
                <w:rFonts w:ascii="SimSun" w:hAnsi="SimSun" w:eastAsia="SimSun" w:cs="SimSun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6" w:line="217" w:lineRule="auto"/>
              <w:ind w:left="246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6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59" w:line="250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4"/>
                <w:sz w:val="18"/>
                <w:szCs w:val="18"/>
              </w:rPr>
              <w:t>经济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104" w:right="11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50" w:line="238" w:lineRule="auto"/>
              <w:ind w:left="116" w:right="118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SimSun" w:hAnsi="SimSun" w:eastAsia="SimSun" w:cs="SimSun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8" w:line="252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5"/>
                <w:sz w:val="18"/>
                <w:szCs w:val="18"/>
              </w:rPr>
              <w:t>社会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11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1" w:line="238" w:lineRule="auto"/>
              <w:ind w:left="116" w:right="118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SimSun" w:hAnsi="SimSun" w:eastAsia="SimSun" w:cs="SimSun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9" w:line="246" w:lineRule="exact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position w:val="4"/>
                <w:sz w:val="18"/>
                <w:szCs w:val="18"/>
              </w:rPr>
              <w:t>生态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28" w:lineRule="auto"/>
              <w:ind w:left="104" w:right="15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2" w:line="238" w:lineRule="auto"/>
              <w:ind w:left="116" w:right="101"/>
              <w:jc w:val="both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1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可持续</w:t>
            </w:r>
          </w:p>
          <w:p>
            <w:pPr>
              <w:spacing w:before="28" w:line="221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08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SimSun" w:hAnsi="SimSun" w:eastAsia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33" w:lineRule="auto"/>
              <w:ind w:left="116" w:right="20" w:firstLine="9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before="255" w:line="219" w:lineRule="auto"/>
              <w:ind w:left="202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2"/>
                <w:sz w:val="18"/>
                <w:szCs w:val="18"/>
              </w:rPr>
              <w:t>服务</w:t>
            </w:r>
          </w:p>
          <w:p>
            <w:pPr>
              <w:spacing w:before="15" w:line="233" w:lineRule="auto"/>
              <w:ind w:left="112" w:right="123" w:firstLine="9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4"/>
                <w:sz w:val="18"/>
                <w:szCs w:val="18"/>
              </w:rPr>
              <w:t>对象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before="126" w:line="242" w:lineRule="auto"/>
              <w:ind w:left="104" w:right="10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SimSun" w:hAnsi="SimSun" w:eastAsia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  <w:vAlign w:val="top"/>
          </w:tcPr>
          <w:p>
            <w:pPr>
              <w:spacing w:before="146" w:line="239" w:lineRule="auto"/>
              <w:ind w:left="116" w:right="45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SimSun" w:hAnsi="SimSun" w:eastAsia="SimSun" w:cs="SimSun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SimSun" w:hAnsi="SimSun" w:eastAsia="SimSun" w:cs="SimSun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SimSun" w:hAnsi="SimSun" w:eastAsia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SimSun" w:hAnsi="SimSun" w:eastAsia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4" w:hRule="atLeast"/>
        </w:trPr>
        <w:tc>
          <w:tcPr>
            <w:tcW w:w="6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154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0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2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3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69" w:line="242" w:lineRule="auto"/>
        <w:ind w:left="1194" w:right="299" w:hanging="840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5"/>
          <w:sz w:val="21"/>
          <w:szCs w:val="21"/>
        </w:rPr>
        <w:t>备注：1、部门(单位)根据项目实际，在《项目支出绩效评价指标评分表(共性)》上进</w:t>
      </w:r>
      <w:r>
        <w:rPr>
          <w:rFonts w:ascii="FangSong" w:hAnsi="FangSong" w:eastAsia="FangSong" w:cs="FangSong"/>
          <w:spacing w:val="4"/>
          <w:sz w:val="21"/>
          <w:szCs w:val="21"/>
        </w:rPr>
        <w:t>一步完善、</w:t>
      </w:r>
      <w:r>
        <w:rPr>
          <w:rFonts w:ascii="FangSong" w:hAnsi="FangSong" w:eastAsia="FangSong" w:cs="FangSong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2"/>
          <w:sz w:val="21"/>
          <w:szCs w:val="21"/>
        </w:rPr>
        <w:t>量化、细化个性指标，形成本项目的指标体系。</w:t>
      </w:r>
    </w:p>
    <w:p>
      <w:pPr>
        <w:spacing w:before="23" w:line="223" w:lineRule="auto"/>
        <w:ind w:left="974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7"/>
          <w:sz w:val="21"/>
          <w:szCs w:val="21"/>
        </w:rPr>
        <w:t>2、</w:t>
      </w:r>
      <w:r>
        <w:rPr>
          <w:rFonts w:ascii="FangSong" w:hAnsi="FangSong" w:eastAsia="FangSong" w:cs="FangSong"/>
          <w:spacing w:val="-38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7"/>
          <w:sz w:val="21"/>
          <w:szCs w:val="21"/>
        </w:rPr>
        <w:t>一个一级项目一张表。</w:t>
      </w:r>
    </w:p>
    <w:p>
      <w:pPr>
        <w:sectPr>
          <w:footerReference r:id="rId14" w:type="default"/>
          <w:pgSz w:w="11900" w:h="16830"/>
          <w:pgMar w:top="1430" w:right="1055" w:bottom="1234" w:left="1045" w:header="0" w:footer="945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7" w:line="224" w:lineRule="auto"/>
        <w:ind w:left="400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b/>
          <w:bCs/>
          <w:spacing w:val="-4"/>
          <w:sz w:val="36"/>
          <w:szCs w:val="36"/>
        </w:rPr>
        <w:t>附件5</w:t>
      </w:r>
    </w:p>
    <w:p>
      <w:pPr>
        <w:spacing w:before="180" w:line="207" w:lineRule="auto"/>
        <w:ind w:left="2011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4"/>
        <w:tblW w:w="9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079"/>
        <w:gridCol w:w="1079"/>
        <w:gridCol w:w="1209"/>
        <w:gridCol w:w="1159"/>
        <w:gridCol w:w="1129"/>
        <w:gridCol w:w="829"/>
        <w:gridCol w:w="869"/>
        <w:gridCol w:w="14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 w:hRule="atLeast"/>
        </w:trPr>
        <w:tc>
          <w:tcPr>
            <w:tcW w:w="1074" w:type="dxa"/>
            <w:vAlign w:val="top"/>
          </w:tcPr>
          <w:p>
            <w:pPr>
              <w:spacing w:before="34" w:line="226" w:lineRule="auto"/>
              <w:ind w:left="215" w:right="207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pacing w:val="13"/>
                <w:sz w:val="20"/>
                <w:szCs w:val="20"/>
              </w:rPr>
              <w:t>项目支</w:t>
            </w:r>
            <w:r>
              <w:rPr>
                <w:rFonts w:ascii="SimSun" w:hAnsi="SimSun" w:eastAsia="SimSun" w:cs="SimSu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pacing w:val="13"/>
                <w:sz w:val="20"/>
                <w:szCs w:val="20"/>
              </w:rPr>
              <w:t>出名称</w:t>
            </w:r>
          </w:p>
        </w:tc>
        <w:tc>
          <w:tcPr>
            <w:tcW w:w="8786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Align w:val="top"/>
          </w:tcPr>
          <w:p>
            <w:pPr>
              <w:spacing w:before="59" w:line="185" w:lineRule="auto"/>
              <w:ind w:left="104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pacing w:val="15"/>
                <w:sz w:val="20"/>
                <w:szCs w:val="20"/>
              </w:rPr>
              <w:t>主管部门</w:t>
            </w:r>
          </w:p>
        </w:tc>
        <w:tc>
          <w:tcPr>
            <w:tcW w:w="452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spacing w:before="30" w:line="202" w:lineRule="auto"/>
              <w:ind w:left="13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实施单位</w:t>
            </w:r>
          </w:p>
        </w:tc>
        <w:tc>
          <w:tcPr>
            <w:tcW w:w="313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0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项目资金</w:t>
            </w:r>
          </w:p>
          <w:p>
            <w:pPr>
              <w:spacing w:before="19" w:line="220" w:lineRule="auto"/>
              <w:ind w:left="21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21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before="19" w:line="237" w:lineRule="auto"/>
              <w:ind w:left="38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5"/>
                <w:sz w:val="21"/>
                <w:szCs w:val="21"/>
              </w:rPr>
              <w:t>年初</w:t>
            </w:r>
          </w:p>
          <w:p>
            <w:pPr>
              <w:spacing w:line="193" w:lineRule="auto"/>
              <w:ind w:left="28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159" w:type="dxa"/>
            <w:vAlign w:val="top"/>
          </w:tcPr>
          <w:p>
            <w:pPr>
              <w:spacing w:before="39" w:line="202" w:lineRule="auto"/>
              <w:ind w:left="36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全年</w:t>
            </w:r>
          </w:p>
          <w:p>
            <w:pPr>
              <w:spacing w:line="210" w:lineRule="auto"/>
              <w:ind w:left="25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129" w:type="dxa"/>
            <w:vAlign w:val="top"/>
          </w:tcPr>
          <w:p>
            <w:pPr>
              <w:spacing w:before="39" w:line="202" w:lineRule="auto"/>
              <w:ind w:left="34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全年</w:t>
            </w:r>
          </w:p>
          <w:p>
            <w:pPr>
              <w:spacing w:line="210" w:lineRule="auto"/>
              <w:ind w:left="24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执行数</w:t>
            </w:r>
          </w:p>
        </w:tc>
        <w:tc>
          <w:tcPr>
            <w:tcW w:w="829" w:type="dxa"/>
            <w:vAlign w:val="top"/>
          </w:tcPr>
          <w:p>
            <w:pPr>
              <w:spacing w:before="149" w:line="219" w:lineRule="auto"/>
              <w:ind w:left="19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869" w:type="dxa"/>
            <w:vAlign w:val="top"/>
          </w:tcPr>
          <w:p>
            <w:pPr>
              <w:spacing w:before="149" w:line="219" w:lineRule="auto"/>
              <w:ind w:left="117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执行率</w:t>
            </w:r>
          </w:p>
        </w:tc>
        <w:tc>
          <w:tcPr>
            <w:tcW w:w="1433" w:type="dxa"/>
            <w:vAlign w:val="top"/>
          </w:tcPr>
          <w:p>
            <w:pPr>
              <w:spacing w:before="149" w:line="219" w:lineRule="auto"/>
              <w:ind w:left="48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19" w:line="219" w:lineRule="auto"/>
              <w:ind w:left="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年度资金总额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spacing w:before="83" w:line="163" w:lineRule="auto"/>
              <w:ind w:left="7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6"/>
                <w:sz w:val="21"/>
                <w:szCs w:val="21"/>
              </w:rPr>
              <w:t>10</w:t>
            </w: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21" w:line="201" w:lineRule="auto"/>
              <w:ind w:left="6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1"/>
                <w:sz w:val="21"/>
                <w:szCs w:val="21"/>
              </w:rPr>
              <w:t>其中：当年财政拨款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31" w:line="201" w:lineRule="auto"/>
              <w:ind w:left="67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上年结转资金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vAlign w:val="top"/>
          </w:tcPr>
          <w:p>
            <w:pPr>
              <w:spacing w:before="51" w:line="192" w:lineRule="auto"/>
              <w:ind w:left="701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pacing w:val="7"/>
                <w:sz w:val="20"/>
                <w:szCs w:val="20"/>
              </w:rPr>
              <w:t>其他资金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>
            <w:pPr>
              <w:spacing w:before="60" w:line="206" w:lineRule="auto"/>
              <w:ind w:left="314" w:right="128" w:hanging="21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年度总体</w:t>
            </w: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526" w:type="dxa"/>
            <w:gridSpan w:val="4"/>
            <w:vAlign w:val="top"/>
          </w:tcPr>
          <w:p>
            <w:pPr>
              <w:spacing w:before="32" w:line="200" w:lineRule="auto"/>
              <w:ind w:left="183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260" w:type="dxa"/>
            <w:gridSpan w:val="4"/>
            <w:vAlign w:val="top"/>
          </w:tcPr>
          <w:p>
            <w:pPr>
              <w:spacing w:before="21" w:line="210" w:lineRule="auto"/>
              <w:ind w:left="149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1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70" w:line="217" w:lineRule="auto"/>
              <w:ind w:left="346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绩效指标</w:t>
            </w:r>
          </w:p>
        </w:tc>
        <w:tc>
          <w:tcPr>
            <w:tcW w:w="1079" w:type="dxa"/>
            <w:vAlign w:val="top"/>
          </w:tcPr>
          <w:p>
            <w:pPr>
              <w:spacing w:before="153" w:line="220" w:lineRule="auto"/>
              <w:ind w:left="11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一级指标</w:t>
            </w:r>
          </w:p>
        </w:tc>
        <w:tc>
          <w:tcPr>
            <w:tcW w:w="1079" w:type="dxa"/>
            <w:vAlign w:val="top"/>
          </w:tcPr>
          <w:p>
            <w:pPr>
              <w:spacing w:before="153" w:line="220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209" w:type="dxa"/>
            <w:vAlign w:val="top"/>
          </w:tcPr>
          <w:p>
            <w:pPr>
              <w:spacing w:before="153" w:line="220" w:lineRule="auto"/>
              <w:ind w:left="17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1159" w:type="dxa"/>
            <w:vAlign w:val="top"/>
          </w:tcPr>
          <w:p>
            <w:pPr>
              <w:spacing w:before="32" w:line="202" w:lineRule="auto"/>
              <w:ind w:left="36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6"/>
                <w:sz w:val="21"/>
                <w:szCs w:val="21"/>
              </w:rPr>
              <w:t>年度</w:t>
            </w:r>
          </w:p>
          <w:p>
            <w:pPr>
              <w:spacing w:line="216" w:lineRule="auto"/>
              <w:ind w:left="254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指标值</w:t>
            </w:r>
          </w:p>
        </w:tc>
        <w:tc>
          <w:tcPr>
            <w:tcW w:w="1129" w:type="dxa"/>
            <w:vAlign w:val="top"/>
          </w:tcPr>
          <w:p>
            <w:pPr>
              <w:spacing w:before="33" w:line="267" w:lineRule="exact"/>
              <w:ind w:left="345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pacing w:val="14"/>
                <w:position w:val="4"/>
                <w:sz w:val="20"/>
                <w:szCs w:val="20"/>
              </w:rPr>
              <w:t>实际</w:t>
            </w:r>
          </w:p>
          <w:p>
            <w:pPr>
              <w:spacing w:line="192" w:lineRule="auto"/>
              <w:ind w:left="245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pacing w:val="6"/>
                <w:sz w:val="20"/>
                <w:szCs w:val="20"/>
              </w:rPr>
              <w:t>完成值</w:t>
            </w:r>
          </w:p>
        </w:tc>
        <w:tc>
          <w:tcPr>
            <w:tcW w:w="829" w:type="dxa"/>
            <w:vAlign w:val="top"/>
          </w:tcPr>
          <w:p>
            <w:pPr>
              <w:spacing w:before="152" w:line="219" w:lineRule="auto"/>
              <w:ind w:left="19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869" w:type="dxa"/>
            <w:vAlign w:val="top"/>
          </w:tcPr>
          <w:p>
            <w:pPr>
              <w:spacing w:before="152" w:line="219" w:lineRule="auto"/>
              <w:ind w:left="217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433" w:type="dxa"/>
            <w:vAlign w:val="top"/>
          </w:tcPr>
          <w:p>
            <w:pPr>
              <w:spacing w:before="12" w:line="215" w:lineRule="auto"/>
              <w:ind w:left="78" w:right="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偏差原因分析</w:t>
            </w: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及改进措施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8" w:line="233" w:lineRule="auto"/>
              <w:ind w:left="210" w:right="126" w:hanging="9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产出指标</w:t>
            </w: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9"/>
                <w:sz w:val="21"/>
                <w:szCs w:val="21"/>
              </w:rPr>
              <w:t>(50分)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303" w:line="219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294" w:line="220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296" w:line="220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294" w:line="219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8" w:line="233" w:lineRule="auto"/>
              <w:ind w:left="210" w:right="109" w:hanging="9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2"/>
                <w:sz w:val="21"/>
                <w:szCs w:val="21"/>
              </w:rPr>
              <w:t>效益指标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9"/>
                <w:sz w:val="21"/>
                <w:szCs w:val="21"/>
              </w:rPr>
              <w:t>(30分)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167" w:line="228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经济效</w:t>
            </w:r>
          </w:p>
          <w:p>
            <w:pPr>
              <w:spacing w:line="220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155" w:line="221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社会效</w:t>
            </w:r>
          </w:p>
          <w:p>
            <w:pPr>
              <w:spacing w:line="220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158" w:line="228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生态效</w:t>
            </w:r>
          </w:p>
          <w:p>
            <w:pPr>
              <w:spacing w:line="220" w:lineRule="auto"/>
              <w:ind w:left="20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166" w:line="212" w:lineRule="auto"/>
              <w:ind w:left="92" w:right="145" w:firstLine="11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3"/>
                <w:sz w:val="21"/>
                <w:szCs w:val="21"/>
              </w:rPr>
              <w:t>可持续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影响指标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47" w:line="219" w:lineRule="auto"/>
              <w:ind w:left="21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满意度</w:t>
            </w:r>
          </w:p>
          <w:p>
            <w:pPr>
              <w:spacing w:before="21" w:line="220" w:lineRule="auto"/>
              <w:ind w:left="32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  <w:p>
            <w:pPr>
              <w:spacing w:before="20" w:line="185" w:lineRule="auto"/>
              <w:ind w:left="21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9"/>
                <w:sz w:val="21"/>
                <w:szCs w:val="21"/>
              </w:rPr>
              <w:t>(10分)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17" w:line="219" w:lineRule="auto"/>
              <w:ind w:left="1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2"/>
                <w:sz w:val="21"/>
                <w:szCs w:val="21"/>
              </w:rPr>
              <w:t>服务对象</w:t>
            </w:r>
          </w:p>
          <w:p>
            <w:pPr>
              <w:spacing w:before="40" w:line="219" w:lineRule="auto"/>
              <w:ind w:left="21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满意度</w:t>
            </w:r>
          </w:p>
          <w:p>
            <w:pPr>
              <w:spacing w:before="21" w:line="194" w:lineRule="auto"/>
              <w:ind w:left="32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729" w:type="dxa"/>
            <w:gridSpan w:val="6"/>
            <w:vAlign w:val="top"/>
          </w:tcPr>
          <w:p>
            <w:pPr>
              <w:spacing w:before="38" w:line="190" w:lineRule="auto"/>
              <w:ind w:left="314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29" w:type="dxa"/>
            <w:vAlign w:val="top"/>
          </w:tcPr>
          <w:p>
            <w:pPr>
              <w:spacing w:before="91" w:line="163" w:lineRule="exact"/>
              <w:ind w:left="24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pacing w:val="-6"/>
                <w:position w:val="-2"/>
                <w:sz w:val="21"/>
                <w:szCs w:val="21"/>
              </w:rPr>
              <w:t>100</w:t>
            </w: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3" w:line="219" w:lineRule="auto"/>
        <w:ind w:left="345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pacing w:val="-1"/>
          <w:sz w:val="21"/>
          <w:szCs w:val="21"/>
        </w:rPr>
        <w:t>备注：</w:t>
      </w:r>
      <w:r>
        <w:rPr>
          <w:rFonts w:ascii="SimSun" w:hAnsi="SimSun" w:eastAsia="SimSun" w:cs="SimSun"/>
          <w:spacing w:val="29"/>
          <w:sz w:val="21"/>
          <w:szCs w:val="21"/>
        </w:rPr>
        <w:t xml:space="preserve"> </w:t>
      </w:r>
      <w:r>
        <w:rPr>
          <w:rFonts w:ascii="SimSun" w:hAnsi="SimSun" w:eastAsia="SimSun" w:cs="SimSun"/>
          <w:spacing w:val="-1"/>
          <w:sz w:val="21"/>
          <w:szCs w:val="21"/>
        </w:rPr>
        <w:t>一个一级项目支出一张表。如，业务工作经费，运行维护经费，XX项目资金</w:t>
      </w:r>
      <w:r>
        <w:rPr>
          <w:rFonts w:ascii="SimSun" w:hAnsi="SimSun" w:eastAsia="SimSun" w:cs="SimSun"/>
          <w:spacing w:val="-80"/>
          <w:sz w:val="21"/>
          <w:szCs w:val="21"/>
        </w:rPr>
        <w:t xml:space="preserve"> </w:t>
      </w:r>
      <w:r>
        <w:rPr>
          <w:rFonts w:ascii="SimSun" w:hAnsi="SimSun" w:eastAsia="SimSun" w:cs="SimSun"/>
          <w:spacing w:val="-1"/>
          <w:sz w:val="21"/>
          <w:szCs w:val="21"/>
        </w:rPr>
        <w:t>…各一张表。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72" w:line="228" w:lineRule="auto"/>
        <w:ind w:left="364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pacing w:val="-22"/>
          <w:sz w:val="22"/>
          <w:szCs w:val="22"/>
        </w:rPr>
        <w:t>填表人：</w:t>
      </w:r>
      <w:r>
        <w:rPr>
          <w:rFonts w:ascii="SimSun" w:hAnsi="SimSun" w:eastAsia="SimSun" w:cs="SimSun"/>
          <w:spacing w:val="6"/>
          <w:sz w:val="22"/>
          <w:szCs w:val="22"/>
        </w:rPr>
        <w:t xml:space="preserve">        </w:t>
      </w:r>
      <w:r>
        <w:rPr>
          <w:rFonts w:ascii="SimSun" w:hAnsi="SimSun" w:eastAsia="SimSun" w:cs="SimSun"/>
          <w:spacing w:val="-22"/>
          <w:sz w:val="22"/>
          <w:szCs w:val="22"/>
        </w:rPr>
        <w:t>填报日期：</w:t>
      </w:r>
      <w:r>
        <w:rPr>
          <w:rFonts w:ascii="SimSun" w:hAnsi="SimSun" w:eastAsia="SimSun" w:cs="SimSun"/>
          <w:spacing w:val="4"/>
          <w:sz w:val="22"/>
          <w:szCs w:val="22"/>
        </w:rPr>
        <w:t xml:space="preserve">          </w:t>
      </w:r>
      <w:r>
        <w:rPr>
          <w:rFonts w:ascii="SimSun" w:hAnsi="SimSun" w:eastAsia="SimSun" w:cs="SimSun"/>
          <w:spacing w:val="-22"/>
          <w:sz w:val="22"/>
          <w:szCs w:val="22"/>
        </w:rPr>
        <w:t>联系电话：</w:t>
      </w:r>
      <w:r>
        <w:rPr>
          <w:rFonts w:ascii="SimSun" w:hAnsi="SimSun" w:eastAsia="SimSun" w:cs="SimSun"/>
          <w:spacing w:val="4"/>
          <w:sz w:val="22"/>
          <w:szCs w:val="22"/>
        </w:rPr>
        <w:t xml:space="preserve">           </w:t>
      </w:r>
      <w:r>
        <w:rPr>
          <w:rFonts w:ascii="SimSun" w:hAnsi="SimSun" w:eastAsia="SimSun" w:cs="SimSun"/>
          <w:spacing w:val="-22"/>
          <w:position w:val="-1"/>
          <w:sz w:val="22"/>
          <w:szCs w:val="22"/>
        </w:rPr>
        <w:t>单位负责人签字；</w:t>
      </w:r>
    </w:p>
    <w:p>
      <w:pPr>
        <w:spacing w:line="349" w:lineRule="auto"/>
        <w:rPr>
          <w:rFonts w:ascii="Arial"/>
          <w:sz w:val="21"/>
        </w:rPr>
      </w:pPr>
    </w:p>
    <w:p>
      <w:pPr>
        <w:spacing w:before="88" w:line="184" w:lineRule="auto"/>
        <w:ind w:right="316"/>
        <w:jc w:val="right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pacing w:val="-34"/>
          <w:w w:val="97"/>
          <w:sz w:val="27"/>
          <w:szCs w:val="27"/>
        </w:rPr>
        <w:t>—</w:t>
      </w:r>
      <w:r>
        <w:rPr>
          <w:rFonts w:ascii="SimSun" w:hAnsi="SimSun" w:eastAsia="SimSun" w:cs="SimSun"/>
          <w:spacing w:val="-108"/>
          <w:sz w:val="27"/>
          <w:szCs w:val="27"/>
        </w:rPr>
        <w:t xml:space="preserve"> </w:t>
      </w:r>
      <w:r>
        <w:rPr>
          <w:rFonts w:ascii="SimSun" w:hAnsi="SimSun" w:eastAsia="SimSun" w:cs="SimSun"/>
          <w:spacing w:val="-34"/>
          <w:w w:val="97"/>
          <w:sz w:val="27"/>
          <w:szCs w:val="27"/>
        </w:rPr>
        <w:t>11—</w:t>
      </w:r>
    </w:p>
    <w:p>
      <w:pPr>
        <w:sectPr>
          <w:footerReference r:id="rId15" w:type="default"/>
          <w:pgSz w:w="12060" w:h="16940"/>
          <w:pgMar w:top="1439" w:right="1135" w:bottom="400" w:left="1054" w:header="0" w:footer="0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224" w:lineRule="auto"/>
        <w:ind w:left="24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b/>
          <w:bCs/>
          <w:spacing w:val="17"/>
          <w:sz w:val="33"/>
          <w:szCs w:val="33"/>
        </w:rPr>
        <w:t>附件6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47" w:line="907" w:lineRule="exact"/>
        <w:ind w:left="246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b/>
          <w:bCs/>
          <w:spacing w:val="14"/>
          <w:position w:val="34"/>
          <w:sz w:val="45"/>
          <w:szCs w:val="45"/>
        </w:rPr>
        <w:t>2022年度××部门(单位)××项目支出</w:t>
      </w:r>
    </w:p>
    <w:p>
      <w:pPr>
        <w:spacing w:before="2" w:line="217" w:lineRule="auto"/>
        <w:ind w:left="2956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b/>
          <w:bCs/>
          <w:spacing w:val="-14"/>
          <w:sz w:val="45"/>
          <w:szCs w:val="45"/>
        </w:rPr>
        <w:t>绩效自评报告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7" w:line="221" w:lineRule="auto"/>
        <w:ind w:left="2279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1"/>
          <w:sz w:val="33"/>
          <w:szCs w:val="33"/>
        </w:rPr>
        <w:t>部门(单位)名称：</w:t>
      </w:r>
      <w:r>
        <w:rPr>
          <w:rFonts w:ascii="FangSong" w:hAnsi="FangSong" w:eastAsia="FangSong" w:cs="FangSong"/>
          <w:spacing w:val="34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95"/>
          <w:sz w:val="33"/>
          <w:szCs w:val="33"/>
          <w:u w:val="single" w:color="auto"/>
        </w:rPr>
        <w:t xml:space="preserve"> </w:t>
      </w:r>
      <w:r>
        <w:rPr>
          <w:rFonts w:ascii="FangSong" w:hAnsi="FangSong" w:eastAsia="FangSong" w:cs="FangSong"/>
          <w:spacing w:val="1"/>
          <w:sz w:val="33"/>
          <w:szCs w:val="33"/>
          <w:u w:val="single" w:color="auto"/>
        </w:rPr>
        <w:t>(盖章)</w:t>
      </w:r>
    </w:p>
    <w:p>
      <w:pPr>
        <w:spacing w:before="178" w:line="222" w:lineRule="auto"/>
        <w:ind w:left="3459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-22"/>
          <w:sz w:val="33"/>
          <w:szCs w:val="33"/>
        </w:rPr>
        <w:t>年</w:t>
      </w:r>
      <w:r>
        <w:rPr>
          <w:rFonts w:ascii="FangSong" w:hAnsi="FangSong" w:eastAsia="FangSong" w:cs="FangSong"/>
          <w:spacing w:val="163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2"/>
          <w:sz w:val="33"/>
          <w:szCs w:val="33"/>
        </w:rPr>
        <w:t>月</w:t>
      </w:r>
      <w:r>
        <w:rPr>
          <w:rFonts w:ascii="FangSong" w:hAnsi="FangSong" w:eastAsia="FangSong" w:cs="FangSong"/>
          <w:spacing w:val="28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22"/>
          <w:sz w:val="33"/>
          <w:szCs w:val="33"/>
        </w:rPr>
        <w:t>日</w:t>
      </w:r>
    </w:p>
    <w:p>
      <w:pPr>
        <w:spacing w:before="174" w:line="224" w:lineRule="auto"/>
        <w:ind w:left="3270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7"/>
          <w:sz w:val="33"/>
          <w:szCs w:val="33"/>
        </w:rPr>
        <w:t>(此页为封面)</w:t>
      </w:r>
    </w:p>
    <w:p>
      <w:pPr>
        <w:sectPr>
          <w:footerReference r:id="rId16" w:type="default"/>
          <w:pgSz w:w="11900" w:h="16830"/>
          <w:pgMar w:top="1430" w:right="1785" w:bottom="1193" w:left="1680" w:header="0" w:footer="918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43" w:line="607" w:lineRule="exact"/>
        <w:ind w:left="256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23"/>
          <w:position w:val="11"/>
          <w:sz w:val="44"/>
          <w:szCs w:val="44"/>
        </w:rPr>
        <w:t>2022年度××部门(单位)××项目支出</w:t>
      </w:r>
    </w:p>
    <w:p>
      <w:pPr>
        <w:spacing w:before="2" w:line="217" w:lineRule="auto"/>
        <w:ind w:left="2966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b/>
          <w:bCs/>
          <w:spacing w:val="-5"/>
          <w:sz w:val="44"/>
          <w:szCs w:val="44"/>
        </w:rPr>
        <w:t>绩效自评报告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98" w:line="223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1"/>
          <w:sz w:val="30"/>
          <w:szCs w:val="30"/>
        </w:rPr>
        <w:t>一、基本情况</w:t>
      </w:r>
    </w:p>
    <w:p>
      <w:pPr>
        <w:spacing w:before="258" w:line="610" w:lineRule="exact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6"/>
          <w:position w:val="23"/>
          <w:sz w:val="30"/>
          <w:szCs w:val="30"/>
        </w:rPr>
        <w:t>(一)项目概况。包括项目背景、主要内容及实施情况、资</w:t>
      </w:r>
      <w:r>
        <w:rPr>
          <w:rFonts w:ascii="FangSong" w:hAnsi="FangSong" w:eastAsia="FangSong" w:cs="FangSong"/>
          <w:spacing w:val="-7"/>
          <w:position w:val="23"/>
          <w:sz w:val="30"/>
          <w:szCs w:val="30"/>
        </w:rPr>
        <w:t>金投</w:t>
      </w:r>
    </w:p>
    <w:p>
      <w:pPr>
        <w:spacing w:line="222" w:lineRule="auto"/>
        <w:ind w:left="1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4"/>
          <w:sz w:val="30"/>
          <w:szCs w:val="30"/>
        </w:rPr>
        <w:t>入和使用情况等。</w:t>
      </w:r>
    </w:p>
    <w:p>
      <w:pPr>
        <w:spacing w:before="245" w:line="220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6"/>
          <w:sz w:val="30"/>
          <w:szCs w:val="30"/>
        </w:rPr>
        <w:t>(二)项目绩效目标。包括总体目标和阶段性目标。</w:t>
      </w:r>
    </w:p>
    <w:p>
      <w:pPr>
        <w:spacing w:before="241" w:line="221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10"/>
          <w:sz w:val="30"/>
          <w:szCs w:val="30"/>
        </w:rPr>
        <w:t>二、</w:t>
      </w:r>
      <w:r>
        <w:rPr>
          <w:rFonts w:ascii="SimHei" w:hAnsi="SimHei" w:eastAsia="SimHei" w:cs="SimHei"/>
          <w:spacing w:val="-56"/>
          <w:sz w:val="30"/>
          <w:szCs w:val="30"/>
        </w:rPr>
        <w:t xml:space="preserve"> </w:t>
      </w:r>
      <w:r>
        <w:rPr>
          <w:rFonts w:ascii="SimHei" w:hAnsi="SimHei" w:eastAsia="SimHei" w:cs="SimHei"/>
          <w:b/>
          <w:bCs/>
          <w:spacing w:val="-10"/>
          <w:sz w:val="30"/>
          <w:szCs w:val="30"/>
        </w:rPr>
        <w:t>绩效评价工作开展情况</w:t>
      </w:r>
    </w:p>
    <w:p>
      <w:pPr>
        <w:spacing w:before="246" w:line="222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8"/>
          <w:sz w:val="30"/>
          <w:szCs w:val="30"/>
        </w:rPr>
        <w:t>(一)绩效评价目的、对象和范围。</w:t>
      </w:r>
    </w:p>
    <w:p>
      <w:pPr>
        <w:spacing w:before="248" w:line="610" w:lineRule="exact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6"/>
          <w:position w:val="23"/>
          <w:sz w:val="30"/>
          <w:szCs w:val="30"/>
        </w:rPr>
        <w:t>(二)绩效评价原则、评价指标体系(附表说明)、评价方法、评</w:t>
      </w:r>
    </w:p>
    <w:p>
      <w:pPr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7"/>
          <w:sz w:val="30"/>
          <w:szCs w:val="30"/>
        </w:rPr>
        <w:t>价标准等。</w:t>
      </w:r>
    </w:p>
    <w:p>
      <w:pPr>
        <w:spacing w:before="245" w:line="220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10"/>
          <w:sz w:val="30"/>
          <w:szCs w:val="30"/>
        </w:rPr>
        <w:t>(三)绩效评价工作过程。</w:t>
      </w:r>
    </w:p>
    <w:p>
      <w:pPr>
        <w:spacing w:before="242" w:line="222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9"/>
          <w:sz w:val="30"/>
          <w:szCs w:val="30"/>
        </w:rPr>
        <w:t>三、</w:t>
      </w:r>
      <w:r>
        <w:rPr>
          <w:rFonts w:ascii="SimHei" w:hAnsi="SimHei" w:eastAsia="SimHei" w:cs="SimHei"/>
          <w:spacing w:val="-64"/>
          <w:sz w:val="30"/>
          <w:szCs w:val="30"/>
        </w:rPr>
        <w:t xml:space="preserve"> </w:t>
      </w:r>
      <w:r>
        <w:rPr>
          <w:rFonts w:ascii="SimHei" w:hAnsi="SimHei" w:eastAsia="SimHei" w:cs="SimHei"/>
          <w:b/>
          <w:bCs/>
          <w:spacing w:val="-9"/>
          <w:sz w:val="30"/>
          <w:szCs w:val="30"/>
        </w:rPr>
        <w:t>综合评价情况及评价结论</w:t>
      </w:r>
    </w:p>
    <w:p>
      <w:pPr>
        <w:spacing w:before="229" w:line="221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11"/>
          <w:sz w:val="30"/>
          <w:szCs w:val="30"/>
        </w:rPr>
        <w:t>四、</w:t>
      </w:r>
      <w:r>
        <w:rPr>
          <w:rFonts w:ascii="SimHei" w:hAnsi="SimHei" w:eastAsia="SimHei" w:cs="SimHei"/>
          <w:spacing w:val="-70"/>
          <w:sz w:val="30"/>
          <w:szCs w:val="30"/>
        </w:rPr>
        <w:t xml:space="preserve"> </w:t>
      </w:r>
      <w:r>
        <w:rPr>
          <w:rFonts w:ascii="SimHei" w:hAnsi="SimHei" w:eastAsia="SimHei" w:cs="SimHei"/>
          <w:b/>
          <w:bCs/>
          <w:spacing w:val="-11"/>
          <w:sz w:val="30"/>
          <w:szCs w:val="30"/>
        </w:rPr>
        <w:t>绩效评价指标分析</w:t>
      </w:r>
    </w:p>
    <w:p>
      <w:pPr>
        <w:spacing w:before="266" w:line="222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13"/>
          <w:sz w:val="30"/>
          <w:szCs w:val="30"/>
        </w:rPr>
        <w:t>(一)项目决策情况。</w:t>
      </w:r>
    </w:p>
    <w:p>
      <w:pPr>
        <w:spacing w:before="249" w:line="222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13"/>
          <w:sz w:val="30"/>
          <w:szCs w:val="30"/>
        </w:rPr>
        <w:t>(二)项目过程情况。</w:t>
      </w:r>
    </w:p>
    <w:p>
      <w:pPr>
        <w:spacing w:before="249" w:line="222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13"/>
          <w:sz w:val="30"/>
          <w:szCs w:val="30"/>
        </w:rPr>
        <w:t>(三)项目产出情况。</w:t>
      </w:r>
    </w:p>
    <w:p>
      <w:pPr>
        <w:spacing w:before="249" w:line="222" w:lineRule="auto"/>
        <w:ind w:left="58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-13"/>
          <w:sz w:val="30"/>
          <w:szCs w:val="30"/>
        </w:rPr>
        <w:t>(四)项目效益情况。</w:t>
      </w:r>
    </w:p>
    <w:p>
      <w:pPr>
        <w:spacing w:before="255" w:line="222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7"/>
          <w:sz w:val="30"/>
          <w:szCs w:val="30"/>
        </w:rPr>
        <w:t>五、</w:t>
      </w:r>
      <w:r>
        <w:rPr>
          <w:rFonts w:ascii="SimHei" w:hAnsi="SimHei" w:eastAsia="SimHei" w:cs="SimHei"/>
          <w:spacing w:val="-71"/>
          <w:sz w:val="30"/>
          <w:szCs w:val="30"/>
        </w:rPr>
        <w:t xml:space="preserve"> </w:t>
      </w:r>
      <w:r>
        <w:rPr>
          <w:rFonts w:ascii="SimHei" w:hAnsi="SimHei" w:eastAsia="SimHei" w:cs="SimHei"/>
          <w:b/>
          <w:bCs/>
          <w:spacing w:val="-7"/>
          <w:sz w:val="30"/>
          <w:szCs w:val="30"/>
        </w:rPr>
        <w:t>主要经验及做法、存在的问题及原因分析</w:t>
      </w:r>
    </w:p>
    <w:p>
      <w:pPr>
        <w:spacing w:before="219" w:line="221" w:lineRule="auto"/>
        <w:ind w:left="584"/>
        <w:outlineLvl w:val="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-11"/>
          <w:sz w:val="30"/>
          <w:szCs w:val="30"/>
        </w:rPr>
        <w:t>六、</w:t>
      </w:r>
      <w:r>
        <w:rPr>
          <w:rFonts w:ascii="SimHei" w:hAnsi="SimHei" w:eastAsia="SimHei" w:cs="SimHei"/>
          <w:spacing w:val="-70"/>
          <w:sz w:val="30"/>
          <w:szCs w:val="30"/>
        </w:rPr>
        <w:t xml:space="preserve"> </w:t>
      </w:r>
      <w:r>
        <w:rPr>
          <w:rFonts w:ascii="SimHei" w:hAnsi="SimHei" w:eastAsia="SimHei" w:cs="SimHei"/>
          <w:b/>
          <w:bCs/>
          <w:spacing w:val="-11"/>
          <w:sz w:val="30"/>
          <w:szCs w:val="30"/>
        </w:rPr>
        <w:t>其他需要说明的问题</w:t>
      </w:r>
    </w:p>
    <w:p>
      <w:pPr>
        <w:sectPr>
          <w:footerReference r:id="rId17" w:type="default"/>
          <w:pgSz w:w="12080" w:h="16950"/>
          <w:pgMar w:top="1440" w:right="1799" w:bottom="1271" w:left="1769" w:header="0" w:footer="972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headerReference r:id="rId18" w:type="default"/>
      <w:footerReference r:id="rId19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right="83"/>
      <w:jc w:val="right"/>
      <w:rPr>
        <w:rFonts w:ascii="FangSong" w:hAnsi="FangSong" w:eastAsia="FangSong" w:cs="FangSong"/>
        <w:sz w:val="27"/>
        <w:szCs w:val="27"/>
      </w:rPr>
    </w:pPr>
    <w:r>
      <w:rPr>
        <w:rFonts w:ascii="FangSong" w:hAnsi="FangSong" w:eastAsia="FangSong" w:cs="FangSong"/>
        <w:spacing w:val="-9"/>
        <w:w w:val="70"/>
        <w:sz w:val="27"/>
        <w:szCs w:val="27"/>
      </w:rPr>
      <w:t>—</w:t>
    </w:r>
    <w:r>
      <w:rPr>
        <w:rFonts w:ascii="FangSong" w:hAnsi="FangSong" w:eastAsia="FangSong" w:cs="FangSong"/>
        <w:spacing w:val="-115"/>
        <w:sz w:val="27"/>
        <w:szCs w:val="27"/>
      </w:rPr>
      <w:t xml:space="preserve"> </w:t>
    </w:r>
    <w:r>
      <w:rPr>
        <w:rFonts w:ascii="FangSong" w:hAnsi="FangSong" w:eastAsia="FangSong" w:cs="FangSong"/>
        <w:spacing w:val="-30"/>
        <w:sz w:val="27"/>
        <w:szCs w:val="27"/>
      </w:rPr>
      <w:t>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344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pacing w:val="-25"/>
        <w:w w:val="86"/>
        <w:sz w:val="29"/>
        <w:szCs w:val="29"/>
      </w:rPr>
      <w:t>—</w:t>
    </w:r>
    <w:r>
      <w:rPr>
        <w:rFonts w:ascii="SimSun" w:hAnsi="SimSun" w:eastAsia="SimSun" w:cs="SimSun"/>
        <w:spacing w:val="-117"/>
        <w:sz w:val="29"/>
        <w:szCs w:val="29"/>
      </w:rPr>
      <w:t xml:space="preserve"> </w:t>
    </w:r>
    <w:r>
      <w:rPr>
        <w:rFonts w:ascii="SimSun" w:hAnsi="SimSun" w:eastAsia="SimSun" w:cs="SimSun"/>
        <w:spacing w:val="-25"/>
        <w:w w:val="86"/>
        <w:sz w:val="29"/>
        <w:szCs w:val="29"/>
      </w:rPr>
      <w:t>10—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pacing w:val="-26"/>
        <w:w w:val="91"/>
        <w:sz w:val="28"/>
        <w:szCs w:val="28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jc w:val="right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pacing w:val="-23"/>
        <w:w w:val="73"/>
        <w:sz w:val="30"/>
        <w:szCs w:val="30"/>
      </w:rPr>
      <w:t>—</w:t>
    </w:r>
    <w:r>
      <w:rPr>
        <w:rFonts w:ascii="SimSun" w:hAnsi="SimSun" w:eastAsia="SimSun" w:cs="SimSun"/>
        <w:spacing w:val="-121"/>
        <w:sz w:val="30"/>
        <w:szCs w:val="30"/>
      </w:rPr>
      <w:t xml:space="preserve"> </w:t>
    </w:r>
    <w:r>
      <w:rPr>
        <w:rFonts w:ascii="SimSun" w:hAnsi="SimSun" w:eastAsia="SimSun" w:cs="SimSun"/>
        <w:spacing w:val="-23"/>
        <w:w w:val="73"/>
        <w:sz w:val="30"/>
        <w:szCs w:val="30"/>
      </w:rPr>
      <w:t>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pacing w:val="-9"/>
        <w:w w:val="66"/>
        <w:sz w:val="27"/>
        <w:szCs w:val="27"/>
      </w:rPr>
      <w:t>—</w:t>
    </w:r>
    <w:r>
      <w:rPr>
        <w:rFonts w:ascii="SimSun" w:hAnsi="SimSun" w:eastAsia="SimSun" w:cs="SimSun"/>
        <w:spacing w:val="-20"/>
        <w:w w:val="98"/>
        <w:sz w:val="27"/>
        <w:szCs w:val="27"/>
      </w:rPr>
      <w:t>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jc w:val="right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pacing w:val="-14"/>
        <w:w w:val="67"/>
        <w:sz w:val="29"/>
        <w:szCs w:val="29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95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pacing w:val="-10"/>
        <w:w w:val="63"/>
        <w:sz w:val="29"/>
        <w:szCs w:val="29"/>
      </w:rPr>
      <w:t>—</w:t>
    </w:r>
    <w:r>
      <w:rPr>
        <w:rFonts w:ascii="SimSun" w:hAnsi="SimSun" w:eastAsia="SimSun" w:cs="SimSun"/>
        <w:spacing w:val="-17"/>
        <w:w w:val="95"/>
        <w:sz w:val="29"/>
        <w:szCs w:val="29"/>
      </w:rPr>
      <w:t>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95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pacing w:val="-10"/>
        <w:w w:val="63"/>
        <w:sz w:val="29"/>
        <w:szCs w:val="29"/>
      </w:rPr>
      <w:t>—</w:t>
    </w:r>
    <w:r>
      <w:rPr>
        <w:rFonts w:ascii="SimSun" w:hAnsi="SimSun" w:eastAsia="SimSun" w:cs="SimSun"/>
        <w:spacing w:val="-20"/>
        <w:w w:val="96"/>
        <w:sz w:val="29"/>
        <w:szCs w:val="29"/>
      </w:rPr>
      <w:t>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pacing w:val="-14"/>
        <w:w w:val="67"/>
        <w:sz w:val="29"/>
        <w:szCs w:val="29"/>
      </w:rPr>
      <w:t>—7—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pacing w:val="-9"/>
        <w:w w:val="67"/>
        <w:sz w:val="27"/>
        <w:szCs w:val="27"/>
      </w:rPr>
      <w:t>—</w:t>
    </w:r>
    <w:r>
      <w:rPr>
        <w:rFonts w:ascii="SimSun" w:hAnsi="SimSun" w:eastAsia="SimSun" w:cs="SimSun"/>
        <w:spacing w:val="-18"/>
        <w:w w:val="98"/>
        <w:sz w:val="27"/>
        <w:szCs w:val="27"/>
      </w:rPr>
      <w:t>8—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docVars>
    <w:docVar w:name="commondata" w:val="eyJoZGlkIjoiNDcxMmViZGFiNGVmY2IzNDE2NmMwNTUyOWY0ZDcwM2MifQ=="/>
  </w:docVars>
  <w:rsids>
    <w:rsidRoot w:val="00000000"/>
    <w:rsid w:val="01E4081C"/>
    <w:rsid w:val="0A9E74EA"/>
    <w:rsid w:val="0C7A3F96"/>
    <w:rsid w:val="147F69BE"/>
    <w:rsid w:val="3E335192"/>
    <w:rsid w:val="430B7913"/>
    <w:rsid w:val="43480064"/>
    <w:rsid w:val="44DB7FE4"/>
    <w:rsid w:val="59E36918"/>
    <w:rsid w:val="64195594"/>
    <w:rsid w:val="69A350ED"/>
    <w:rsid w:val="6B4677A7"/>
    <w:rsid w:val="6DF91F95"/>
    <w:rsid w:val="7A101ABF"/>
    <w:rsid w:val="7CD95DC5"/>
    <w:rsid w:val="7F85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image" Target="media/image1.jpe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header" Target="header1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5757</Words>
  <Characters>6244</Characters>
  <TotalTime>28</TotalTime>
  <ScaleCrop>false</ScaleCrop>
  <LinksUpToDate>false</LinksUpToDate>
  <CharactersWithSpaces>6482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2023-07-03T08:28:00Z</dcterms:created>
  <dc:creator>Kingsoft-PDF</dc:creator>
  <cp:lastModifiedBy>兰蔚</cp:lastModifiedBy>
  <cp:lastPrinted>2023-07-14T01:33:23Z</cp:lastPrinted>
  <dcterms:modified xsi:type="dcterms:W3CDTF">2023-07-14T01:34:06Z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2023-07-03T08:28:50Z</vt:filetime>
  </property>
  <property fmtid="{D5CDD505-2E9C-101B-9397-08002B2CF9AE}" pid="4" name="UsrData">
    <vt:lpwstr>64a2163bdaff7b001fdb57b9wl</vt:lpwstr>
  </property>
  <property fmtid="{D5CDD505-2E9C-101B-9397-08002B2CF9AE}" pid="5" name="KSOProductBuildVer">
    <vt:lpwstr>2052-11.1.0.12980</vt:lpwstr>
  </property>
  <property fmtid="{D5CDD505-2E9C-101B-9397-08002B2CF9AE}" pid="6" name="ICV">
    <vt:lpwstr>8081D7A0F92F45EC845299BA533B2981</vt:lpwstr>
  </property>
</Properties>
</file>