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民政事务中心</w:t>
      </w:r>
      <w:r>
        <w:rPr>
          <w:rFonts w:hint="eastAsia" w:ascii="方正小标宋简体" w:hAnsi="方正小标宋简体" w:eastAsia="方正小标宋简体" w:cs="方正小标宋简体"/>
          <w:sz w:val="44"/>
          <w:szCs w:val="44"/>
        </w:rPr>
        <w:t>整体支出</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绩效评价基础数据表</w:t>
      </w:r>
    </w:p>
    <w:tbl>
      <w:tblPr>
        <w:tblStyle w:val="5"/>
        <w:tblW w:w="4994" w:type="pct"/>
        <w:jc w:val="center"/>
        <w:tblLayout w:type="autofit"/>
        <w:tblCellMar>
          <w:top w:w="0" w:type="dxa"/>
          <w:left w:w="108" w:type="dxa"/>
          <w:bottom w:w="0" w:type="dxa"/>
          <w:right w:w="108" w:type="dxa"/>
        </w:tblCellMar>
      </w:tblPr>
      <w:tblGrid>
        <w:gridCol w:w="2951"/>
        <w:gridCol w:w="1793"/>
        <w:gridCol w:w="2234"/>
        <w:gridCol w:w="1534"/>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129.17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336.4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330.75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90"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11489.65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12645.97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1.儿童福利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50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2.城市最低生活保障金支出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2848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3435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3.农村最低生活保障金支出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5136.82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5021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4.临时救助支出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349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542.2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5.流浪乞讨人员救助支出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130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6.城市特困人员救助供养支出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322.31</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417.36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7.农村特困人员救助供养支出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2802.5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3022.89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8.其他农村生活救助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11.02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27.52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9.用于社会福利的彩票公益金支出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left"/>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严格财务管理制度，严格按中央“八项”规定，控制一般性支出，按预算支出管理。</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民政事务中心</w:t>
      </w:r>
      <w:r>
        <w:rPr>
          <w:rFonts w:hint="eastAsia" w:ascii="方正小标宋简体" w:hAnsi="方正小标宋简体" w:eastAsia="方正小标宋简体" w:cs="方正小标宋简体"/>
          <w:sz w:val="44"/>
          <w:szCs w:val="44"/>
        </w:rPr>
        <w:t>整体支出绩效自评表</w:t>
      </w:r>
    </w:p>
    <w:tbl>
      <w:tblPr>
        <w:tblStyle w:val="5"/>
        <w:tblW w:w="4997" w:type="pct"/>
        <w:jc w:val="center"/>
        <w:tblLayout w:type="fixed"/>
        <w:tblCellMar>
          <w:top w:w="0" w:type="dxa"/>
          <w:left w:w="108" w:type="dxa"/>
          <w:bottom w:w="0" w:type="dxa"/>
          <w:right w:w="108" w:type="dxa"/>
        </w:tblCellMar>
      </w:tblPr>
      <w:tblGrid>
        <w:gridCol w:w="1007"/>
        <w:gridCol w:w="807"/>
        <w:gridCol w:w="796"/>
        <w:gridCol w:w="969"/>
        <w:gridCol w:w="1070"/>
        <w:gridCol w:w="928"/>
        <w:gridCol w:w="540"/>
        <w:gridCol w:w="938"/>
        <w:gridCol w:w="1461"/>
      </w:tblGrid>
      <w:tr>
        <w:tblPrEx>
          <w:tblCellMar>
            <w:top w:w="0" w:type="dxa"/>
            <w:left w:w="108" w:type="dxa"/>
            <w:bottom w:w="0" w:type="dxa"/>
            <w:right w:w="108" w:type="dxa"/>
          </w:tblCellMar>
        </w:tblPrEx>
        <w:trPr>
          <w:trHeight w:val="1003" w:hRule="atLeast"/>
          <w:jc w:val="center"/>
        </w:trPr>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华容县民政局</w:t>
            </w:r>
          </w:p>
        </w:tc>
      </w:tr>
      <w:tr>
        <w:tblPrEx>
          <w:tblCellMar>
            <w:top w:w="0" w:type="dxa"/>
            <w:left w:w="108" w:type="dxa"/>
            <w:bottom w:w="0" w:type="dxa"/>
            <w:right w:w="108" w:type="dxa"/>
          </w:tblCellMar>
        </w:tblPrEx>
        <w:trPr>
          <w:trHeight w:val="863" w:hRule="atLeast"/>
          <w:jc w:val="center"/>
        </w:trPr>
        <w:tc>
          <w:tcPr>
            <w:tcW w:w="59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9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336.4</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330.75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330.75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12976.72</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330.75</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12645.97</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71"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6541" w:hRule="atLeast"/>
          <w:jc w:val="center"/>
        </w:trPr>
        <w:tc>
          <w:tcPr>
            <w:tcW w:w="59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lang w:val="en-US" w:eastAsia="zh-CN"/>
              </w:rPr>
            </w:pPr>
            <w:r>
              <w:rPr>
                <w:rFonts w:hint="default"/>
                <w:lang w:val="en-US" w:eastAsia="zh-CN"/>
              </w:rPr>
              <w:t>规范城乡低保</w:t>
            </w:r>
            <w:r>
              <w:rPr>
                <w:rFonts w:hint="eastAsia"/>
                <w:lang w:val="en-US" w:eastAsia="zh-CN"/>
              </w:rPr>
              <w:t>、城乡特困供养、临时救助、孤儿、流浪乞讨救助</w:t>
            </w:r>
            <w:r>
              <w:rPr>
                <w:rFonts w:hint="default"/>
                <w:lang w:val="en-US" w:eastAsia="zh-CN"/>
              </w:rPr>
              <w:t>政策实施，合理确定保障标准，使</w:t>
            </w:r>
            <w:r>
              <w:rPr>
                <w:rFonts w:hint="eastAsia"/>
                <w:lang w:val="en-US" w:eastAsia="zh-CN"/>
              </w:rPr>
              <w:t>救助</w:t>
            </w:r>
            <w:r>
              <w:rPr>
                <w:rFonts w:hint="default"/>
                <w:lang w:val="en-US" w:eastAsia="zh-CN"/>
              </w:rPr>
              <w:t>对象基本生活得到有效保障</w:t>
            </w:r>
            <w:r>
              <w:rPr>
                <w:rFonts w:hint="eastAsia"/>
                <w:lang w:val="en-US" w:eastAsia="zh-CN"/>
              </w:rPr>
              <w:t>；</w:t>
            </w:r>
          </w:p>
          <w:p>
            <w:pPr>
              <w:pStyle w:val="2"/>
              <w:keepNext w:val="0"/>
              <w:keepLines w:val="0"/>
              <w:numPr>
                <w:ilvl w:val="0"/>
                <w:numId w:val="1"/>
              </w:numPr>
              <w:suppressLineNumbers w:val="0"/>
              <w:spacing w:before="0" w:beforeAutospacing="0" w:after="0" w:afterAutospacing="0"/>
              <w:ind w:left="0" w:right="0"/>
              <w:rPr>
                <w:rFonts w:hint="eastAsia"/>
                <w:lang w:val="en-US" w:eastAsia="zh-CN"/>
              </w:rPr>
            </w:pPr>
            <w:r>
              <w:rPr>
                <w:rFonts w:hint="eastAsia"/>
                <w:lang w:val="en-US" w:eastAsia="zh-CN"/>
              </w:rPr>
              <w:t>加强社工站建设，加强基层民政服务能力建设；</w:t>
            </w:r>
          </w:p>
          <w:p>
            <w:pPr>
              <w:keepNext w:val="0"/>
              <w:keepLines w:val="0"/>
              <w:numPr>
                <w:ilvl w:val="0"/>
                <w:numId w:val="1"/>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加强社会组织监管；</w:t>
            </w:r>
          </w:p>
          <w:p>
            <w:pPr>
              <w:pStyle w:val="2"/>
              <w:keepNext w:val="0"/>
              <w:keepLines w:val="0"/>
              <w:numPr>
                <w:ilvl w:val="0"/>
                <w:numId w:val="1"/>
              </w:numPr>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提高养老服务质量；</w:t>
            </w:r>
          </w:p>
          <w:p>
            <w:pPr>
              <w:keepNext w:val="0"/>
              <w:keepLines w:val="0"/>
              <w:numPr>
                <w:ilvl w:val="0"/>
                <w:numId w:val="1"/>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稳步推进殡葬改革；</w:t>
            </w:r>
          </w:p>
          <w:p>
            <w:pPr>
              <w:pStyle w:val="2"/>
              <w:keepNext w:val="0"/>
              <w:keepLines w:val="0"/>
              <w:numPr>
                <w:ilvl w:val="0"/>
                <w:numId w:val="1"/>
              </w:numPr>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有效巩固基层政权。</w:t>
            </w:r>
          </w:p>
        </w:tc>
        <w:tc>
          <w:tcPr>
            <w:tcW w:w="2271"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lang w:val="en-US" w:eastAsia="zh-CN"/>
              </w:rPr>
            </w:pPr>
            <w:r>
              <w:rPr>
                <w:rFonts w:hint="eastAsia"/>
                <w:lang w:val="en-US" w:eastAsia="zh-CN"/>
              </w:rPr>
              <w:t>合理保障各类救助对象保障标准，使救助对象基本生活得以有效保障，</w:t>
            </w:r>
            <w:r>
              <w:rPr>
                <w:rFonts w:hint="default"/>
                <w:lang w:val="en-US" w:eastAsia="zh-CN"/>
              </w:rPr>
              <w:t>为生活无着的流浪乞讨人员提供临时食宿、疾病救治、协助返回等救助，并妥善安置返乡受助人员</w:t>
            </w:r>
            <w:r>
              <w:rPr>
                <w:rFonts w:hint="eastAsia"/>
                <w:lang w:val="en-US" w:eastAsia="zh-CN"/>
              </w:rPr>
              <w:t>；</w:t>
            </w:r>
            <w:r>
              <w:rPr>
                <w:rFonts w:hint="default"/>
                <w:lang w:val="en-US" w:eastAsia="zh-CN"/>
              </w:rPr>
              <w:t>规范实施农村留守儿童关爱服务和困境儿童保障相关政策，使农村留守儿童和困境儿童得到更加精准的专业服务和基本生活保障</w:t>
            </w:r>
            <w:r>
              <w:rPr>
                <w:rFonts w:hint="eastAsia"/>
                <w:lang w:val="en-US" w:eastAsia="zh-CN"/>
              </w:rPr>
              <w:t>；</w:t>
            </w:r>
            <w:r>
              <w:rPr>
                <w:rFonts w:hint="default"/>
                <w:lang w:val="en-US" w:eastAsia="zh-CN"/>
              </w:rPr>
              <w:t>提高孤儿生活保障水平，孤儿生活保障政策规范高效实施；使孤儿、艾滋病病毒感染儿童和事实无人抚养儿童基本生活得到保障</w:t>
            </w:r>
            <w:r>
              <w:rPr>
                <w:rFonts w:hint="eastAsia"/>
                <w:lang w:val="en-US" w:eastAsia="zh-CN"/>
              </w:rPr>
              <w:t>；</w:t>
            </w:r>
          </w:p>
          <w:p>
            <w:pPr>
              <w:pStyle w:val="2"/>
              <w:keepNext w:val="0"/>
              <w:keepLines w:val="0"/>
              <w:numPr>
                <w:ilvl w:val="0"/>
                <w:numId w:val="2"/>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通过第三方社会组织招聘社工充实到各乡镇社工站，为基层群众提供了更加方便、快捷、优质的社会救助和民政其它领域的社会工作服务；</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对全县各社会组织开展了年度检查，涉检组织共74家，加快推进社会建设和社会管理，激化社会活力，促进社会公平；</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百岁老人保健费、失能老人基本服务补贴、高龄补贴等优待政策全面落实。</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lang w:val="en-US" w:eastAsia="zh-CN"/>
              </w:rPr>
            </w:pPr>
            <w:r>
              <w:rPr>
                <w:rFonts w:hint="eastAsia"/>
                <w:lang w:val="en-US" w:eastAsia="zh-CN"/>
              </w:rPr>
              <w:t>科学统筹推进城乡殡葬服务设施建设</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积极指导城乡社区争创省级和谐示范社区、省级农村幸福社区、市级美丽社区。</w:t>
            </w:r>
          </w:p>
          <w:p>
            <w:pPr>
              <w:keepNext w:val="0"/>
              <w:keepLines w:val="0"/>
              <w:widowControl w:val="0"/>
              <w:numPr>
                <w:ilvl w:val="0"/>
                <w:numId w:val="0"/>
              </w:numPr>
              <w:suppressLineNumbers w:val="0"/>
              <w:spacing w:before="0" w:beforeAutospacing="0" w:after="0" w:afterAutospacing="0"/>
              <w:ind w:left="0" w:right="0"/>
              <w:jc w:val="both"/>
              <w:rPr>
                <w:rFonts w:hint="default"/>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Times New Roman" w:hAnsi="Times New Roman" w:cs="Times New Roman" w:eastAsiaTheme="minorEastAsia"/>
                <w:color w:val="000000"/>
                <w:kern w:val="0"/>
                <w:sz w:val="21"/>
                <w:szCs w:val="21"/>
                <w:lang w:val="en-US" w:eastAsia="zh-CN" w:bidi="ar"/>
              </w:rPr>
              <w:t>救助</w:t>
            </w:r>
            <w:r>
              <w:rPr>
                <w:rFonts w:hint="default" w:ascii="Times New Roman" w:hAnsi="Times New Roman" w:cs="Times New Roman" w:eastAsiaTheme="minorEastAsia"/>
                <w:color w:val="000000"/>
                <w:kern w:val="0"/>
                <w:sz w:val="21"/>
                <w:szCs w:val="21"/>
                <w:lang w:val="en-US" w:eastAsia="zh-CN" w:bidi="ar"/>
              </w:rPr>
              <w:t>对象人数</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应保尽保、应救尽救</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应保尽保、应救尽救</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孤儿、艾滋病病毒感染儿童、生活困难家庭中的和纳入特困人员救助供养范围的事实无人抚养儿童纳入保障范围率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276"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农村留守儿童、困境儿童纳入监测范围率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≥85%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85%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城乡低保标准</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农村</w:t>
            </w:r>
            <w:r>
              <w:rPr>
                <w:rFonts w:hint="eastAsia" w:ascii="新宋体" w:hAnsi="新宋体" w:eastAsia="新宋体" w:cs="新宋体"/>
                <w:color w:val="000000"/>
                <w:sz w:val="21"/>
                <w:szCs w:val="21"/>
                <w:lang w:val="en-US" w:eastAsia="zh-CN"/>
              </w:rPr>
              <w:t>416元/月.人；城镇650元/月.人</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农村</w:t>
            </w:r>
            <w:r>
              <w:rPr>
                <w:rFonts w:hint="eastAsia" w:ascii="新宋体" w:hAnsi="新宋体" w:eastAsia="新宋体" w:cs="新宋体"/>
                <w:color w:val="000000"/>
                <w:sz w:val="21"/>
                <w:szCs w:val="21"/>
                <w:lang w:val="en-US" w:eastAsia="zh-CN"/>
              </w:rPr>
              <w:t>416元/月.人；城镇650元/月.人</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建立社会救助家庭经济状况核对机制的县市区比例</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资金使用率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37"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救助对象生活费按时发放率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受助人员救助情况当天录入救助业务管理信息系统率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资金到位时效</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人员支出</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210" w:firstLineChars="10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1600.5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公用经费</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455.09</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项目支出</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15343.5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困难群众生活水平情况</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生活水平有所提升</w:t>
            </w: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生活水平有所提升</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7</w:t>
            </w: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帮助查明身份滞留流浪乞讨人员返乡情况</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及时送返</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及时送返</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自愿前来救助站或由公安等部门送至救助站的传销解救人员、打拐解救人员、家暴受害者等提供临时救助服务率</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 w:hAnsi="仿宋" w:eastAsia="仿宋" w:cs="仿宋"/>
                <w:sz w:val="24"/>
              </w:rPr>
              <w:t>稳步推进殡葬改</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有利于树立科学、文明、健康的生活方式，简化丧事，减轻群众办丧负担，提高人们的生活水平和质量。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有利于树立科学、文明、健康的生活方式，简化丧事，减轻群众办丧负担，提高人们的生活水平和质量。</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政策实施满意度</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w:t>
            </w:r>
            <w:r>
              <w:rPr>
                <w:rFonts w:hint="eastAsia" w:ascii="Times New Roman" w:hAnsi="Times New Roman" w:cs="Times New Roman" w:eastAsiaTheme="minorEastAsia"/>
                <w:color w:val="000000"/>
                <w:kern w:val="0"/>
                <w:sz w:val="21"/>
                <w:szCs w:val="21"/>
                <w:lang w:val="en-US" w:eastAsia="zh-CN" w:bidi="ar"/>
              </w:rPr>
              <w:t>90</w:t>
            </w:r>
            <w:r>
              <w:rPr>
                <w:rFonts w:hint="default" w:ascii="Times New Roman" w:hAnsi="Times New Roman" w:cs="Times New Roman" w:eastAsiaTheme="minorEastAsia"/>
                <w:color w:val="000000"/>
                <w:kern w:val="0"/>
                <w:sz w:val="21"/>
                <w:szCs w:val="21"/>
                <w:lang w:val="en-US" w:eastAsia="zh-CN" w:bidi="ar"/>
              </w:rPr>
              <w:t>%</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90"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3"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民政事务中心</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rPr>
          <w:rFonts w:hint="default"/>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民政事务中心</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3"/>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snapToGrid w:val="0"/>
        <w:spacing w:beforeLines="0" w:afterLines="0" w:line="520" w:lineRule="exact"/>
        <w:ind w:firstLine="600" w:firstLineChars="200"/>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华容县民政事务中心负责全县的社会救助；负责福利彩票发行和筹集社会福利资金；负责孤儿和弃婴养护、医疗、康复、教育、安置；负责乡镇敬老院业务指导等工作。内设综合部、城市低保部、农村低保部、特困供养部、经济核对部；民政事务中心设3个分支机构：福利彩票发行部、流浪乞讨人员救助部、儿童福利服务部。指导16个乡镇民政办（含工业园和田家湖生态新区管委会）和21所乡镇敬老院。</w:t>
      </w:r>
    </w:p>
    <w:p>
      <w:pPr>
        <w:pStyle w:val="2"/>
        <w:numPr>
          <w:ilvl w:val="0"/>
          <w:numId w:val="0"/>
        </w:numPr>
        <w:rPr>
          <w:rFonts w:hint="default"/>
        </w:rPr>
      </w:pPr>
    </w:p>
    <w:p>
      <w:pPr>
        <w:pStyle w:val="7"/>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pStyle w:val="4"/>
        <w:widowControl/>
        <w:wordWrap w:val="0"/>
        <w:spacing w:line="560" w:lineRule="exact"/>
        <w:ind w:firstLine="600" w:firstLineChars="200"/>
        <w:rPr>
          <w:rFonts w:hint="eastAsia" w:ascii="仿宋" w:hAnsi="仿宋" w:eastAsia="仿宋" w:cs="仿宋_GB2312"/>
          <w:sz w:val="30"/>
          <w:szCs w:val="30"/>
        </w:rPr>
      </w:pPr>
      <w:r>
        <w:rPr>
          <w:rFonts w:hint="eastAsia" w:ascii="仿宋" w:hAnsi="仿宋" w:eastAsia="仿宋" w:cs="仿宋_GB2312"/>
          <w:sz w:val="30"/>
          <w:szCs w:val="30"/>
        </w:rPr>
        <w:t>202</w:t>
      </w:r>
      <w:r>
        <w:rPr>
          <w:rFonts w:hint="eastAsia" w:ascii="仿宋" w:hAnsi="仿宋" w:eastAsia="仿宋" w:cs="仿宋_GB2312"/>
          <w:sz w:val="30"/>
          <w:szCs w:val="30"/>
          <w:lang w:val="en-US" w:eastAsia="zh-CN"/>
        </w:rPr>
        <w:t>2</w:t>
      </w:r>
      <w:r>
        <w:rPr>
          <w:rFonts w:hint="eastAsia" w:ascii="仿宋" w:hAnsi="仿宋" w:eastAsia="仿宋" w:cs="仿宋_GB2312"/>
          <w:sz w:val="30"/>
          <w:szCs w:val="30"/>
        </w:rPr>
        <w:t>年度财政预算</w:t>
      </w:r>
      <w:r>
        <w:rPr>
          <w:rFonts w:hint="eastAsia" w:ascii="仿宋" w:hAnsi="仿宋" w:eastAsia="仿宋" w:cs="仿宋_GB2312"/>
          <w:sz w:val="30"/>
          <w:szCs w:val="30"/>
          <w:lang w:eastAsia="zh-CN"/>
        </w:rPr>
        <w:t>基本支出</w:t>
      </w:r>
      <w:r>
        <w:rPr>
          <w:rFonts w:hint="eastAsia" w:ascii="仿宋" w:hAnsi="仿宋" w:eastAsia="仿宋" w:cs="仿宋_GB2312"/>
          <w:sz w:val="30"/>
          <w:szCs w:val="30"/>
          <w:lang w:val="en-US" w:eastAsia="zh-CN"/>
        </w:rPr>
        <w:t>330.75</w:t>
      </w:r>
      <w:r>
        <w:rPr>
          <w:rFonts w:hint="eastAsia" w:ascii="仿宋" w:hAnsi="仿宋" w:eastAsia="仿宋" w:cs="仿宋_GB2312"/>
          <w:sz w:val="30"/>
          <w:szCs w:val="30"/>
        </w:rPr>
        <w:t>万元，其中：人员支出</w:t>
      </w:r>
      <w:r>
        <w:rPr>
          <w:rFonts w:hint="eastAsia" w:ascii="仿宋" w:hAnsi="仿宋" w:eastAsia="仿宋" w:cs="仿宋_GB2312"/>
          <w:sz w:val="30"/>
          <w:szCs w:val="30"/>
          <w:lang w:val="en-US" w:eastAsia="zh-CN"/>
        </w:rPr>
        <w:t>307.5</w:t>
      </w:r>
      <w:r>
        <w:rPr>
          <w:rFonts w:hint="eastAsia" w:ascii="仿宋" w:hAnsi="仿宋" w:eastAsia="仿宋" w:cs="仿宋_GB2312"/>
          <w:sz w:val="30"/>
          <w:szCs w:val="30"/>
        </w:rPr>
        <w:t>万元，公用支出</w:t>
      </w:r>
      <w:r>
        <w:rPr>
          <w:rFonts w:hint="eastAsia" w:ascii="仿宋" w:hAnsi="仿宋" w:eastAsia="仿宋" w:cs="仿宋_GB2312"/>
          <w:sz w:val="30"/>
          <w:szCs w:val="30"/>
          <w:lang w:val="en-US" w:eastAsia="zh-CN"/>
        </w:rPr>
        <w:t>23.25</w:t>
      </w:r>
      <w:r>
        <w:rPr>
          <w:rFonts w:hint="eastAsia" w:ascii="仿宋" w:hAnsi="仿宋" w:eastAsia="仿宋" w:cs="仿宋_GB2312"/>
          <w:sz w:val="30"/>
          <w:szCs w:val="30"/>
        </w:rPr>
        <w:t>万元。</w:t>
      </w:r>
    </w:p>
    <w:p>
      <w:pPr>
        <w:pStyle w:val="7"/>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1、专项资金安排落实、总投入等情况分析</w:t>
      </w:r>
    </w:p>
    <w:p>
      <w:pPr>
        <w:pStyle w:val="4"/>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2022年度，我县民政专项资金总额12645.97万元，主要用于儿童福利50万元、最低基本生活保障8456万元、临时救助542.2万元、流浪乞讨救助130万元、特困人员救助供养3440.25万元和其他农村社会救助27.52万元。</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2、专项资金实际使用情况及管理情况分析</w:t>
      </w:r>
    </w:p>
    <w:p>
      <w:pPr>
        <w:pStyle w:val="4"/>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2022年度专项资金预算执行总额12645.97万元，其中：儿童福利50万元、最低基本生活保障8456万元、临时救助542.2万元、流浪乞讨救助130万元、特困人员救助供养3440.25万元和其他农村社会救助27.52万元。</w:t>
      </w:r>
    </w:p>
    <w:p>
      <w:pPr>
        <w:pStyle w:val="4"/>
        <w:widowControl/>
        <w:wordWrap w:val="0"/>
        <w:spacing w:line="560" w:lineRule="exact"/>
        <w:ind w:firstLine="600" w:firstLineChars="200"/>
        <w:rPr>
          <w:rFonts w:hint="eastAsia" w:ascii="仿宋" w:hAnsi="仿宋" w:eastAsia="仿宋" w:cs="仿宋_GB2312"/>
          <w:kern w:val="2"/>
          <w:sz w:val="30"/>
          <w:szCs w:val="30"/>
          <w:lang w:val="en-US" w:eastAsia="zh-CN" w:bidi="ar-SA"/>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为贯彻执行国家预算法，加强预算绩效管理，我局严格按预算绩效管理的相关要求开展预算工作，我局2022年总支出为</w:t>
      </w:r>
      <w:r>
        <w:rPr>
          <w:rFonts w:hint="eastAsia" w:eastAsia="仿宋_GB2312" w:cs="Times New Roman"/>
          <w:color w:val="000000"/>
          <w:sz w:val="32"/>
          <w:szCs w:val="32"/>
          <w:lang w:val="en-US" w:eastAsia="zh-CN"/>
        </w:rPr>
        <w:t>12976.72</w:t>
      </w:r>
      <w:r>
        <w:rPr>
          <w:rFonts w:hint="eastAsia" w:ascii="Times New Roman" w:hAnsi="Times New Roman" w:eastAsia="仿宋_GB2312" w:cs="Times New Roman"/>
          <w:color w:val="000000"/>
          <w:sz w:val="32"/>
          <w:szCs w:val="32"/>
          <w:lang w:val="en-US" w:eastAsia="zh-CN"/>
        </w:rPr>
        <w:t>万元。其中：基本支出</w:t>
      </w:r>
      <w:r>
        <w:rPr>
          <w:rFonts w:hint="eastAsia" w:eastAsia="仿宋_GB2312" w:cs="Times New Roman"/>
          <w:color w:val="000000"/>
          <w:sz w:val="32"/>
          <w:szCs w:val="32"/>
          <w:lang w:val="en-US" w:eastAsia="zh-CN"/>
        </w:rPr>
        <w:t>330.75</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2.5</w:t>
      </w:r>
      <w:r>
        <w:rPr>
          <w:rFonts w:hint="eastAsia" w:ascii="Times New Roman" w:hAnsi="Times New Roman" w:eastAsia="仿宋_GB2312" w:cs="Times New Roman"/>
          <w:color w:val="000000"/>
          <w:sz w:val="32"/>
          <w:szCs w:val="32"/>
          <w:lang w:val="en-US" w:eastAsia="zh-CN"/>
        </w:rPr>
        <w:t>%;项目支出</w:t>
      </w:r>
      <w:r>
        <w:rPr>
          <w:rFonts w:hint="eastAsia" w:eastAsia="仿宋_GB2312" w:cs="Times New Roman"/>
          <w:color w:val="000000"/>
          <w:sz w:val="32"/>
          <w:szCs w:val="32"/>
          <w:lang w:val="en-US" w:eastAsia="zh-CN"/>
        </w:rPr>
        <w:t>12645.97</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97.5</w:t>
      </w:r>
      <w:r>
        <w:rPr>
          <w:rFonts w:hint="eastAsia" w:ascii="Times New Roman" w:hAnsi="Times New Roman" w:eastAsia="仿宋_GB2312" w:cs="Times New Roman"/>
          <w:color w:val="000000"/>
          <w:sz w:val="32"/>
          <w:szCs w:val="32"/>
          <w:lang w:val="en-US" w:eastAsia="zh-CN"/>
        </w:rPr>
        <w:t>%。我局切实以绩效管理为目标，健全单位绩效管理工作机制，明确责任，努力提高绩效管理工作水平；加强单位制度建设，提升预算管理质量。合理保障各类救助对象保障标准，使救助对象基本生活得以有效保障。</w:t>
      </w:r>
    </w:p>
    <w:p>
      <w:pPr>
        <w:pStyle w:val="7"/>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1、资金预算刚性不够，预算编制与实际支出项目有的存在差异</w:t>
      </w:r>
      <w:r>
        <w:rPr>
          <w:rFonts w:hint="eastAsia" w:eastAsia="仿宋_GB2312" w:cs="Times New Roman"/>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2、资金预算量与民政事业发展需求增加存在矛盾</w:t>
      </w:r>
      <w:r>
        <w:rPr>
          <w:rFonts w:hint="eastAsia" w:eastAsia="仿宋_GB2312" w:cs="Times New Roman"/>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3"/>
        <w:ind w:firstLine="1280" w:firstLineChars="4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1、严格按预算安排支出，压缩非必要的机构运行经费、</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2、有效运用绩效评价结果，逐步增加预算资金，缓解资金不足与民政事业发展需求的矛盾。</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r>
        <w:rPr>
          <w:rFonts w:hint="eastAsia" w:eastAsia="黑体" w:cs="Times New Roman"/>
          <w:sz w:val="32"/>
          <w:szCs w:val="32"/>
          <w:lang w:eastAsia="zh-CN"/>
        </w:rPr>
        <w:t>：无。</w:t>
      </w:r>
    </w:p>
    <w:p>
      <w:pPr>
        <w:rPr>
          <w:rFonts w:hint="eastAsia" w:eastAsiaTheme="minor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C230A"/>
    <w:multiLevelType w:val="singleLevel"/>
    <w:tmpl w:val="FB2C230A"/>
    <w:lvl w:ilvl="0" w:tentative="0">
      <w:start w:val="1"/>
      <w:numFmt w:val="chineseCounting"/>
      <w:suff w:val="nothing"/>
      <w:lvlText w:val="%1、"/>
      <w:lvlJc w:val="left"/>
      <w:rPr>
        <w:rFonts w:hint="eastAsia"/>
      </w:rPr>
    </w:lvl>
  </w:abstractNum>
  <w:abstractNum w:abstractNumId="1">
    <w:nsid w:val="03810D02"/>
    <w:multiLevelType w:val="singleLevel"/>
    <w:tmpl w:val="03810D02"/>
    <w:lvl w:ilvl="0" w:tentative="0">
      <w:start w:val="1"/>
      <w:numFmt w:val="decimal"/>
      <w:lvlText w:val="%1."/>
      <w:lvlJc w:val="left"/>
      <w:pPr>
        <w:tabs>
          <w:tab w:val="left" w:pos="312"/>
        </w:tabs>
      </w:pPr>
    </w:lvl>
  </w:abstractNum>
  <w:abstractNum w:abstractNumId="2">
    <w:nsid w:val="6E509AEA"/>
    <w:multiLevelType w:val="singleLevel"/>
    <w:tmpl w:val="6E509AEA"/>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71F320FC"/>
    <w:rsid w:val="71F32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3">
    <w:name w:val="Body Text"/>
    <w:basedOn w:val="1"/>
    <w:qFormat/>
    <w:uiPriority w:val="0"/>
    <w:pPr>
      <w:spacing w:after="120"/>
    </w:pPr>
  </w:style>
  <w:style w:type="paragraph" w:styleId="4">
    <w:name w:val="Normal (Web)"/>
    <w:basedOn w:val="1"/>
    <w:qFormat/>
    <w:uiPriority w:val="99"/>
    <w:rPr>
      <w:sz w:val="24"/>
    </w:rPr>
  </w:style>
  <w:style w:type="paragraph" w:styleId="7">
    <w:name w:val="List Paragraph"/>
    <w:basedOn w:val="1"/>
    <w:autoRedefine/>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2023-12-13T02:39:00Z</dcterms:created>
  <dc:creator>戴</dc:creator>
  <cp:lastModifiedBy>戴</cp:lastModifiedBy>
  <dcterms:modified xsi:type="dcterms:W3CDTF">2023-12-13T02:41:36Z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FCD2D1AADA054DC69AD53ECEFC9198E5_11</vt:lpwstr>
  </property>
</Properties>
</file>