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退役军人事务局（本级）</w:t>
      </w:r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整体支出绩效评价基础数据表</w:t>
      </w:r>
    </w:p>
    <w:tbl>
      <w:tblPr>
        <w:tblStyle w:val="6"/>
        <w:tblW w:w="4995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1"/>
        <w:gridCol w:w="1793"/>
        <w:gridCol w:w="2234"/>
        <w:gridCol w:w="15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rPr>
                <w:rFonts w:hint="default" w:ascii="新宋体" w:hAnsi="新宋体" w:eastAsia="新宋体" w:cs="新宋体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highlight w:val="none"/>
                <w:lang w:val="en-US" w:eastAsia="zh-CN"/>
              </w:rPr>
              <w:t xml:space="preserve">       10        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628.9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108.2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224.42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1.03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1.03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7042.96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7719.02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.死亡抚恤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316.27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.义务兵优待金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108.45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601.92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3.光荣院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4.其他优抚支出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6047.98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6649.46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5.军队移交政府的离退休人员安置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77.58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6.军队转业干部安置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185.05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72.37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7.优抚对象医疗补助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209.4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393.26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8.其他支出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97.65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严格财务管理制度，严格按中央“八项”规定，控制一般性支出，按预算支出管理。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        填报日期：          联系电话：           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退役军人事务局（本级）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整体支出绩效自评表</w:t>
      </w:r>
    </w:p>
    <w:tbl>
      <w:tblPr>
        <w:tblStyle w:val="6"/>
        <w:tblW w:w="4996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807"/>
        <w:gridCol w:w="796"/>
        <w:gridCol w:w="969"/>
        <w:gridCol w:w="1070"/>
        <w:gridCol w:w="928"/>
        <w:gridCol w:w="540"/>
        <w:gridCol w:w="937"/>
        <w:gridCol w:w="14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09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华容县退役军人事务局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90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108.2</w:t>
            </w: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7943.44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7973.44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3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27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3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7943.44</w:t>
            </w:r>
          </w:p>
        </w:tc>
        <w:tc>
          <w:tcPr>
            <w:tcW w:w="227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224.42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3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27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7719.02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3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27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3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27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3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27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1" w:hRule="atLeast"/>
          <w:jc w:val="center"/>
        </w:trPr>
        <w:tc>
          <w:tcPr>
            <w:tcW w:w="59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3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目标1：发放各类抚恤对象抚恤补助资金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目标2：优抚对象办理医疗保障资金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rPr>
                <w:rFonts w:hint="default" w:ascii="宋体" w:hAnsi="宋体" w:eastAsia="仿宋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目标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：维护伤残军人、因公</w:t>
            </w:r>
            <w:r>
              <w:rPr>
                <w:rFonts w:hint="eastAsia" w:ascii="仿宋" w:hAnsi="仿宋" w:eastAsia="仿宋"/>
                <w:szCs w:val="21"/>
              </w:rPr>
              <w:t>牺牲军人　　和病故军人权益</w:t>
            </w:r>
          </w:p>
          <w:p>
            <w:pPr>
              <w:pStyle w:val="4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目标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Cs w:val="21"/>
              </w:rPr>
              <w:t>：落实计划安置退役士官</w:t>
            </w:r>
          </w:p>
        </w:tc>
        <w:tc>
          <w:tcPr>
            <w:tcW w:w="227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目标1：发放各类抚恤对象抚恤补助资金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5328.35</w:t>
            </w:r>
            <w:r>
              <w:rPr>
                <w:rFonts w:hint="eastAsia" w:ascii="宋体" w:hAnsi="宋体" w:cs="宋体"/>
                <w:sz w:val="21"/>
                <w:szCs w:val="21"/>
              </w:rPr>
              <w:t>万元；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目标2：优抚对象办理医疗保障资金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393.26</w:t>
            </w:r>
            <w:r>
              <w:rPr>
                <w:rFonts w:hint="eastAsia" w:ascii="宋体" w:hAnsi="宋体" w:cs="宋体"/>
                <w:sz w:val="21"/>
                <w:szCs w:val="21"/>
              </w:rPr>
              <w:t>万元；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目标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：维护伤残军人、因公牺牲军人和病故军人权益，共发放补助资金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1925.04</w:t>
            </w:r>
            <w:r>
              <w:rPr>
                <w:rFonts w:hint="eastAsia" w:ascii="宋体" w:hAnsi="宋体" w:cs="宋体"/>
                <w:sz w:val="21"/>
                <w:szCs w:val="21"/>
              </w:rPr>
              <w:t>万元；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目标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1"/>
                <w:szCs w:val="21"/>
              </w:rPr>
              <w:t>：落实计划安置退役士官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72.37</w:t>
            </w:r>
            <w:r>
              <w:rPr>
                <w:rFonts w:hint="eastAsia" w:ascii="宋体" w:hAnsi="宋体" w:cs="宋体"/>
                <w:sz w:val="21"/>
                <w:szCs w:val="21"/>
              </w:rPr>
              <w:t>名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,发放一次性补助。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优抚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对象人数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按政策应享尽享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按政策应享尽享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优抚对象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纳入保障范围率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≥90%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90%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落实计划安置退役士官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highlight w:val="none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 27    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highlight w:val="none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27    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维护伤残军人、因公牺牲军人和病故军人权益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维护伤残军人、因公牺牲军人和病故军人权益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维护伤残军人、因公牺牲军人和病故军人权益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落实各类抚恤补助政策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资金使用率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资金到位率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100%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优抚对象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管理信息系统</w:t>
            </w: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正确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率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≥95%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97%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资金到位时效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" w:hAnsi="仿宋" w:eastAsia="仿宋" w:cs="仿宋"/>
                <w:sz w:val="24"/>
              </w:rPr>
              <w:t>≤12月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" w:hAnsi="仿宋" w:eastAsia="仿宋" w:cs="仿宋"/>
                <w:sz w:val="24"/>
              </w:rPr>
              <w:t>≤12月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人员支出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按预算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607.15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公用经费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按预算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106.2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项目支出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按预算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8095.77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维护优抚对象权益和社会稳定</w:t>
            </w: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维护优抚对象权益和社会稳定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维护优抚对象权益和社会稳定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优抚政策知晓率</w:t>
            </w: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≥9</w:t>
            </w: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95%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优抚对象权益的保障作用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长期可持续性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长期可持续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7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政策实施满意度</w:t>
            </w: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90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7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98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4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填表人：      填报日期：         联系电话：     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退役军人事务局（本级）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4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rPr>
          <w:rFonts w:hint="default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退役军人事务（本级）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pStyle w:val="5"/>
        <w:widowControl/>
        <w:wordWrap w:val="0"/>
        <w:spacing w:line="560" w:lineRule="exact"/>
        <w:ind w:firstLine="600" w:firstLineChars="200"/>
        <w:rPr>
          <w:rFonts w:hint="default"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华容县退役军人事务局为独立核算单位，其余退役军人服务中心、军队离退休管理所、县光</w:t>
      </w:r>
      <w:r>
        <w:rPr>
          <w:rFonts w:hint="eastAsia" w:ascii="仿宋" w:hAnsi="仿宋" w:eastAsia="仿宋" w:cs="仿宋_GB2312"/>
          <w:sz w:val="30"/>
          <w:szCs w:val="30"/>
          <w:lang w:eastAsia="zh-CN"/>
        </w:rPr>
        <w:t>荣</w:t>
      </w:r>
      <w:r>
        <w:rPr>
          <w:rFonts w:hint="eastAsia" w:ascii="仿宋" w:hAnsi="仿宋" w:eastAsia="仿宋" w:cs="仿宋_GB2312"/>
          <w:sz w:val="30"/>
          <w:szCs w:val="30"/>
        </w:rPr>
        <w:t>院、东山光荣院、塔市光荣院、洪山头光荣院、南山光荣院、烈士陵园管理所等属于</w:t>
      </w:r>
      <w:r>
        <w:rPr>
          <w:rFonts w:hint="eastAsia" w:ascii="仿宋" w:hAnsi="仿宋" w:eastAsia="仿宋" w:cs="仿宋_GB2312"/>
          <w:sz w:val="30"/>
          <w:szCs w:val="30"/>
          <w:lang w:eastAsia="zh-CN"/>
        </w:rPr>
        <w:t>退役军人服务中心分支机构</w:t>
      </w:r>
      <w:r>
        <w:rPr>
          <w:rFonts w:hint="eastAsia" w:ascii="仿宋" w:hAnsi="仿宋" w:eastAsia="仿宋" w:cs="仿宋_GB2312"/>
          <w:sz w:val="30"/>
          <w:szCs w:val="30"/>
        </w:rPr>
        <w:t>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二、基本支出情况</w:t>
      </w:r>
    </w:p>
    <w:p>
      <w:pPr>
        <w:pStyle w:val="5"/>
        <w:widowControl/>
        <w:wordWrap w:val="0"/>
        <w:spacing w:line="560" w:lineRule="exact"/>
        <w:ind w:firstLine="600" w:firstLineChars="200"/>
        <w:rPr>
          <w:rFonts w:hint="eastAsia"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202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_GB2312"/>
          <w:sz w:val="30"/>
          <w:szCs w:val="30"/>
        </w:rPr>
        <w:t>年度财政预算</w:t>
      </w:r>
      <w:r>
        <w:rPr>
          <w:rFonts w:hint="eastAsia" w:ascii="仿宋" w:hAnsi="仿宋" w:eastAsia="仿宋" w:cs="仿宋_GB2312"/>
          <w:sz w:val="30"/>
          <w:szCs w:val="30"/>
          <w:lang w:eastAsia="zh-CN"/>
        </w:rPr>
        <w:t>基本支出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224.42</w:t>
      </w:r>
      <w:r>
        <w:rPr>
          <w:rFonts w:hint="eastAsia" w:ascii="仿宋" w:hAnsi="仿宋" w:eastAsia="仿宋" w:cs="仿宋_GB2312"/>
          <w:sz w:val="30"/>
          <w:szCs w:val="30"/>
        </w:rPr>
        <w:t>万元，其中：人员支出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191.94</w:t>
      </w:r>
      <w:r>
        <w:rPr>
          <w:rFonts w:hint="eastAsia" w:ascii="仿宋" w:hAnsi="仿宋" w:eastAsia="仿宋" w:cs="仿宋_GB2312"/>
          <w:sz w:val="30"/>
          <w:szCs w:val="30"/>
        </w:rPr>
        <w:t>万元，公用支出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32.48</w:t>
      </w:r>
      <w:r>
        <w:rPr>
          <w:rFonts w:hint="eastAsia" w:ascii="仿宋" w:hAnsi="仿宋" w:eastAsia="仿宋" w:cs="仿宋_GB2312"/>
          <w:sz w:val="30"/>
          <w:szCs w:val="30"/>
        </w:rPr>
        <w:t>万元。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三、项目支出情况</w:t>
      </w:r>
    </w:p>
    <w:p>
      <w:pPr>
        <w:spacing w:line="560" w:lineRule="exact"/>
        <w:ind w:firstLine="602" w:firstLineChars="200"/>
        <w:rPr>
          <w:rFonts w:hint="eastAsia" w:ascii="仿宋" w:hAnsi="仿宋" w:eastAsia="仿宋" w:cs="仿宋_GB2312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_GB2312"/>
          <w:b/>
          <w:bCs/>
          <w:kern w:val="2"/>
          <w:sz w:val="30"/>
          <w:szCs w:val="30"/>
          <w:lang w:val="en-US" w:eastAsia="zh-CN" w:bidi="ar-SA"/>
        </w:rPr>
        <w:t>1、专项资金安排落实、总投入等情况分析</w:t>
      </w:r>
    </w:p>
    <w:p>
      <w:pPr>
        <w:pStyle w:val="5"/>
        <w:widowControl/>
        <w:wordWrap w:val="0"/>
        <w:spacing w:line="560" w:lineRule="exact"/>
        <w:ind w:firstLine="600" w:firstLineChars="200"/>
        <w:rPr>
          <w:rFonts w:hint="eastAsia" w:ascii="仿宋" w:hAnsi="仿宋" w:eastAsia="仿宋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_GB2312"/>
          <w:kern w:val="2"/>
          <w:sz w:val="30"/>
          <w:szCs w:val="30"/>
          <w:lang w:val="en-US" w:eastAsia="zh-CN" w:bidi="ar-SA"/>
        </w:rPr>
        <w:t>2022年度，我局专项资金全年预算安排总额7719.02万元，主要用于死亡抚恤2万元、义务兵优待601.92万元、光荣院经费0万元、其他优抚支出6649.46万元、军队移交政府离退休人员安置0万元、军队转业干部安置72.37万元和优抚对象医疗补助393.26万元。</w:t>
      </w:r>
    </w:p>
    <w:p>
      <w:pPr>
        <w:spacing w:line="560" w:lineRule="exact"/>
        <w:ind w:firstLine="602" w:firstLineChars="200"/>
        <w:rPr>
          <w:rFonts w:hint="eastAsia" w:ascii="仿宋" w:hAnsi="仿宋" w:eastAsia="仿宋" w:cs="仿宋_GB2312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_GB2312"/>
          <w:b/>
          <w:bCs/>
          <w:kern w:val="2"/>
          <w:sz w:val="30"/>
          <w:szCs w:val="30"/>
          <w:lang w:val="en-US" w:eastAsia="zh-CN" w:bidi="ar-SA"/>
        </w:rPr>
        <w:t>2、专项资金实际使用情况及管理情况分析</w:t>
      </w:r>
    </w:p>
    <w:p>
      <w:pPr>
        <w:pStyle w:val="5"/>
        <w:widowControl/>
        <w:wordWrap w:val="0"/>
        <w:spacing w:line="560" w:lineRule="exact"/>
        <w:ind w:firstLine="600" w:firstLineChars="200"/>
        <w:rPr>
          <w:rFonts w:hint="eastAsia" w:ascii="仿宋" w:hAnsi="仿宋" w:eastAsia="仿宋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_GB2312"/>
          <w:kern w:val="2"/>
          <w:sz w:val="30"/>
          <w:szCs w:val="30"/>
          <w:lang w:val="en-US" w:eastAsia="zh-CN" w:bidi="ar-SA"/>
        </w:rPr>
        <w:t>2022年度，我局专项资金实际执行总额7719.02万元，其中，死亡抚恤2万元、义务兵优待601.92万元、光荣院经费0万元、其他优抚支出6649.46万元、军队移交政府离退休人员安置0万元、军队转业干部安置72.37万元和优抚对象医疗补助393.26万元。</w:t>
      </w:r>
    </w:p>
    <w:p>
      <w:pPr>
        <w:pStyle w:val="5"/>
        <w:widowControl/>
        <w:wordWrap w:val="0"/>
        <w:spacing w:line="560" w:lineRule="exact"/>
        <w:ind w:firstLine="600" w:firstLineChars="200"/>
        <w:rPr>
          <w:rFonts w:hint="eastAsia" w:ascii="仿宋" w:hAnsi="仿宋" w:eastAsia="仿宋" w:cs="仿宋_GB2312"/>
          <w:kern w:val="2"/>
          <w:sz w:val="30"/>
          <w:szCs w:val="30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为贯彻执行国家预算法，加强预算绩效管理，我局严格按预算绩效管理的相关要求开展预算工作，我局2022年总支出为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7943.44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万元。其中：基本支出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224.42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万元,占总支出的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2.8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%;项目支出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7719.02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万元,占总支出的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97.2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%。我局切实以绩效管理为目标，健全单位绩效管理工作机制，明确责任，努力提高绩效管理工作水平；加强单位制度建设，提升预算管理质量。合理保障各类救助对象保障标准，使救助对象基本生活得以有效保障，</w:t>
      </w:r>
      <w:r>
        <w:rPr>
          <w:rFonts w:hint="eastAsia" w:ascii="仿宋" w:hAnsi="仿宋" w:eastAsia="仿宋" w:cs="仿宋_GB2312"/>
          <w:kern w:val="2"/>
          <w:sz w:val="30"/>
          <w:szCs w:val="30"/>
          <w:lang w:val="en-US" w:eastAsia="zh-CN" w:bidi="ar-SA"/>
        </w:rPr>
        <w:t>通过通过优抚专项资金的使用，切实做好抚恤优待工作，维护好优抚对象合法权益，保障优抚对象生活水平；对军休人员和企业军转干人员予以妥善安置，强化社会拥军氛围。显著的改善并丰富了军休人员生活，完成预期指标；优抚对象医疗保障资金方面，包含残疾军人因伤口复发住院期间伙食补助、医疗救助资金、医疗补助资金三个方面，该项资金的使用涉及县内大量残疾军人、“三属”、在乡复员军人，进一步减轻个人医疗负担。同时，对部分因重病、大灾、意外伤害导致家庭生活特别困难的退役军人发放医疗补助，为困难退役军人提供了医疗方面的支持和保障，极大地体现了党和政府对退役军人的重视和关爱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1、资金预算刚性不够，预算编制与实际支出项目有的存在差异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2、资金预算量与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退役军人事务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发展需求增加存在矛盾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、下一步改进措施</w:t>
      </w:r>
    </w:p>
    <w:p>
      <w:pPr>
        <w:pStyle w:val="2"/>
        <w:ind w:firstLine="1280" w:firstLineChars="4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1、严格按预算安排支出，压缩非必要的机构运行经费、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2、有效运用绩效评价结果，逐步增加预算资金，缓解资金不足与</w:t>
      </w:r>
      <w:r>
        <w:rPr>
          <w:rFonts w:hint="eastAsia" w:eastAsia="仿宋_GB2312" w:cs="Times New Roman"/>
          <w:color w:val="000000"/>
          <w:kern w:val="2"/>
          <w:sz w:val="32"/>
          <w:szCs w:val="32"/>
          <w:lang w:val="en-US" w:eastAsia="zh-CN" w:bidi="ar-SA"/>
        </w:rPr>
        <w:t>退役军人事务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发展需求的矛盾。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  <w:r>
        <w:rPr>
          <w:rFonts w:hint="eastAsia" w:eastAsia="黑体" w:cs="Times New Roman"/>
          <w:sz w:val="32"/>
          <w:szCs w:val="32"/>
          <w:lang w:eastAsia="zh-CN"/>
        </w:rPr>
        <w:t>：无。</w:t>
      </w: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2C230A"/>
    <w:multiLevelType w:val="singleLevel"/>
    <w:tmpl w:val="FB2C230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Zjc5NTllMGFiYmY5NmVhMTllZTJlYTQ3YTVjMjgifQ=="/>
  </w:docVars>
  <w:rsids>
    <w:rsidRoot w:val="428B13CA"/>
    <w:rsid w:val="428B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4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99"/>
    <w:rPr>
      <w:sz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2023-12-13T02:47:00Z</dcterms:created>
  <dc:creator>戴</dc:creator>
  <cp:lastModifiedBy>戴</cp:lastModifiedBy>
  <dcterms:modified xsi:type="dcterms:W3CDTF">2023-12-13T02:48:03Z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90146D1EEA9E4FF3BBB80EB26200DD60_11</vt:lpwstr>
  </property>
</Properties>
</file>