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9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5"/>
        <w:gridCol w:w="2436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1.53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698.93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584.48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584.48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11.36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14.50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4.60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4.70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6.76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9.80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4.18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12137.39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32096.31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32096.31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三封工业园给水及排污管网改造项目支出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12137.39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32096.31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32096.31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严控三公经费，厉行节约压减一般性支出</w:t>
            </w:r>
          </w:p>
          <w:p>
            <w:pPr>
              <w:pStyle w:val="2"/>
              <w:keepNext w:val="0"/>
              <w:keepLines w:val="0"/>
              <w:suppressLineNumbers w:val="0"/>
              <w:spacing w:before="0" w:beforeAutospacing="0" w:afterAutospacing="0"/>
              <w:ind w:left="0" w:leftChars="0" w:right="0" w:firstLine="0" w:firstLineChars="0"/>
              <w:jc w:val="left"/>
              <w:rPr>
                <w:rFonts w:hint="eastAsi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加强预算收支的管理，建立健全内部</w:t>
            </w: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管理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制度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侯静</w:t>
      </w:r>
      <w:r>
        <w:rPr>
          <w:rFonts w:hint="default" w:ascii="Times New Roman" w:hAnsi="Times New Roman" w:eastAsia="仿宋_GB2312" w:cs="Times New Roman"/>
          <w:sz w:val="22"/>
        </w:rPr>
        <w:t xml:space="preserve">        填报日期：</w:t>
      </w:r>
      <w:r>
        <w:rPr>
          <w:rFonts w:hint="eastAsia" w:eastAsia="仿宋_GB2312" w:cs="Times New Roman"/>
          <w:sz w:val="22"/>
          <w:lang w:val="en-US" w:eastAsia="zh-CN"/>
        </w:rPr>
        <w:t>2023.7.14</w:t>
      </w:r>
      <w:r>
        <w:rPr>
          <w:rFonts w:hint="default" w:ascii="Times New Roman" w:hAnsi="Times New Roman" w:eastAsia="仿宋_GB2312" w:cs="Times New Roman"/>
          <w:sz w:val="22"/>
        </w:rPr>
        <w:t xml:space="preserve">          联系电话：</w:t>
      </w:r>
      <w:r>
        <w:rPr>
          <w:rFonts w:hint="eastAsia" w:eastAsia="仿宋_GB2312" w:cs="Times New Roman"/>
          <w:sz w:val="22"/>
          <w:lang w:val="en-US" w:eastAsia="zh-CN"/>
        </w:rPr>
        <w:t>13762074506</w:t>
      </w:r>
      <w:r>
        <w:rPr>
          <w:rFonts w:hint="default" w:ascii="Times New Roman" w:hAnsi="Times New Roman" w:eastAsia="仿宋_GB2312" w:cs="Times New Roman"/>
          <w:sz w:val="22"/>
        </w:rPr>
        <w:t xml:space="preserve">           </w:t>
      </w: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9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874"/>
        <w:gridCol w:w="869"/>
        <w:gridCol w:w="1054"/>
        <w:gridCol w:w="1108"/>
        <w:gridCol w:w="1088"/>
        <w:gridCol w:w="588"/>
        <w:gridCol w:w="1017"/>
        <w:gridCol w:w="15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10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27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华容高新技术产业开发区管理委员会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589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3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41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eastAsia="zh-CN"/>
              </w:rPr>
              <w:tab/>
            </w: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2000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2000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2000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32680.79</w:t>
            </w:r>
          </w:p>
        </w:tc>
        <w:tc>
          <w:tcPr>
            <w:tcW w:w="230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32680.79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4680.79</w:t>
            </w:r>
          </w:p>
        </w:tc>
        <w:tc>
          <w:tcPr>
            <w:tcW w:w="230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584.48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28000</w:t>
            </w:r>
          </w:p>
        </w:tc>
        <w:tc>
          <w:tcPr>
            <w:tcW w:w="230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32096.31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0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0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0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10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突出经济指标，提升核心竞争力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突出项目建设，提升综合承载力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：突出培优倍增，提升发展后劲力</w:t>
            </w:r>
          </w:p>
        </w:tc>
        <w:tc>
          <w:tcPr>
            <w:tcW w:w="230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较好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工业园区在职和临聘人员的数量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＞30人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＞30人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工业园区配备电脑的数量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＞30台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＞30台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工业园区环境规划率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工业园区环境整治率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日常运转资金到位率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项目运转资金到位率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工业园区的管理成本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＞200万元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＞200万元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工业园区项目运行成本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＞300万元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＞300万元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58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促进工业发展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促进税收增长</w:t>
            </w: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突出培优倍增企业提升发展</w:t>
            </w:r>
          </w:p>
        </w:tc>
        <w:tc>
          <w:tcPr>
            <w:tcW w:w="5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增加了就业的岗位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2000个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2000个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引进了高科技人才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2000人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2000人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default" w:eastAsia="仿宋_GB2312"/>
                <w:kern w:val="0"/>
                <w:sz w:val="24"/>
              </w:rPr>
              <w:t>.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对园区合理规划，对污水治理设施的监督和健全。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提升了园区环境。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指标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1：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对污水治理设施的监督和健全，提升了园区环境。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5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7" w:type="pct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企业对园区的服务满意度。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服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务对象对园区环境整治的满意度。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58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71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7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59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77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85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8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侯静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2023.7.14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     联系电话： 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13762074506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      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年度部门（单位）整体支出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华容高新技术产业开发区管理委员会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部门（单位）整体支出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560" w:firstLineChars="200"/>
        <w:rPr>
          <w:rFonts w:hint="default" w:ascii="仿宋_GB2312" w:hAnsi="仿宋_GB2312" w:eastAsia="仿宋_GB2312" w:cs="仿宋_GB2312"/>
          <w:bCs/>
          <w:sz w:val="28"/>
          <w:szCs w:val="28"/>
          <w:lang w:val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华容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华容高新技术产业开发区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管理委员会单位内设机构包括：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分一园四区</w:t>
      </w:r>
      <w:r>
        <w:rPr>
          <w:rFonts w:hint="default" w:ascii="仿宋_GB2312" w:hAnsi="仿宋_GB2312" w:eastAsia="仿宋_GB2312" w:cs="仿宋_GB2312"/>
          <w:bCs/>
          <w:sz w:val="28"/>
          <w:szCs w:val="28"/>
        </w:rPr>
        <w:t>,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三封小区、杨家桥高新创业产业园区、石伏纺织小区、洪山头电子小区。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负责编制园区总体规划和经济社会发展计划，制定园区行政管理制度，负责园区招商引资工作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pStyle w:val="8"/>
        <w:numPr>
          <w:ilvl w:val="0"/>
          <w:numId w:val="0"/>
        </w:numPr>
        <w:rPr>
          <w:rFonts w:hint="default"/>
        </w:rPr>
      </w:pPr>
    </w:p>
    <w:p>
      <w:pPr>
        <w:pStyle w:val="15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基本支出情况</w:t>
      </w:r>
    </w:p>
    <w:p>
      <w:pPr>
        <w:numPr>
          <w:ilvl w:val="0"/>
          <w:numId w:val="0"/>
        </w:numPr>
        <w:spacing w:line="560" w:lineRule="exact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宋体" w:hAnsi="Times New Roman" w:cs="宋体"/>
          <w:sz w:val="32"/>
          <w:szCs w:val="32"/>
          <w:lang w:val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02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年度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整体支出规模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32680.79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万元，其中基本支出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584.48万元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，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pStyle w:val="15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numPr>
          <w:ilvl w:val="0"/>
          <w:numId w:val="0"/>
        </w:numPr>
        <w:spacing w:line="560" w:lineRule="exact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宋体" w:hAnsi="Times New Roman" w:cs="宋体"/>
          <w:sz w:val="32"/>
          <w:szCs w:val="32"/>
          <w:lang w:val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02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年度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整体支出规模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32680.79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万元，项目支出为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32096.31万元。</w:t>
      </w:r>
    </w:p>
    <w:p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bCs/>
          <w:sz w:val="28"/>
          <w:szCs w:val="28"/>
          <w:lang w:val="zh-CN"/>
        </w:rPr>
      </w:pPr>
      <w:r>
        <w:rPr>
          <w:rFonts w:hint="eastAsia" w:ascii="宋体" w:hAnsi="Times New Roman" w:cs="宋体"/>
          <w:sz w:val="32"/>
          <w:szCs w:val="32"/>
          <w:lang w:val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02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年度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整体支出绩效评价支出规模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32680.79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万元，其中基本支出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584.48万元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项目支出为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32096.31万元。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人员经费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524.41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占基本支出的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67.2%，主要包括基本工资、津贴补贴、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奖金、伙食补助费、绩效工资、机关事业单位基本养老保险缴费、职业年金缴费、职工基本医疗保险缴费、公务员医疗补助缴费、其他社会保障缴费、住房公积金、医疗费、其他工资福利支出、离休费、退休费、抚恤金、生活补助、医疗费补助、奖励金、其他对个人和家庭的补助；</w:t>
      </w:r>
    </w:p>
    <w:p>
      <w:pPr>
        <w:spacing w:line="560" w:lineRule="exact"/>
        <w:ind w:firstLine="560" w:firstLineChars="200"/>
        <w:rPr>
          <w:rFonts w:hint="default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公用经费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60.07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万元，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占基本支出的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32.8%，主要包括办公费、印刷费、咨询费、手续费、水费、电费、邮电费、取暖费、物业管理费、差旅费、因公出国（境）费用、维修（护）费、租赁费、会议费、培训费、公务接待费、专用材料费、劳务费、委托业务费、工会经费、福利费、公务用车运行维护费、其他交通费用、税金及附加费用、其他商品和服务支出、办公设备购置、专用设备购置、信息网络及软件购置更新、公务用车购置、其他交通工具购置、文物和陈列品购置、无形资产购置、其他资本性支出、赠与。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zh-CN"/>
        </w:rPr>
        <w:t>项目支出为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32096.31万元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占9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.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%。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专项资金实行专款专用，项目资金严格按照审批程序拨付，无弄虚作假、截留、拆借挤占等现象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单位根据年初工作规划和重点工作，围绕县委、县政府的工作部署，积极履行职责，强化管理，较好地完成了年度工作目标，同时加强预算收支的管理，建立健全内部管理制度，严格内部管理流程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。</w:t>
      </w:r>
    </w:p>
    <w:p>
      <w:pPr>
        <w:spacing w:line="560" w:lineRule="exact"/>
        <w:ind w:firstLine="560" w:firstLineChars="200"/>
        <w:rPr>
          <w:rFonts w:hint="default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从评价情况来看，单位根据年初工作规划和重点工作，围绕县委、县政府的工作部署，积极履行职责，强化管理，较好地完成了年度工作目标，同时加强预算收支的管理，建立健全内部管理制度，严格内部管理流程，严控三公经费，厉行节约压减一般性支出，部门整体支出管理得到了提升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>
      <w:pPr>
        <w:numPr>
          <w:ilvl w:val="0"/>
          <w:numId w:val="0"/>
        </w:numPr>
        <w:spacing w:line="560" w:lineRule="exact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</w:p>
    <w:p>
      <w:pPr>
        <w:pStyle w:val="8"/>
        <w:rPr>
          <w:rFonts w:hint="default"/>
        </w:rPr>
      </w:pPr>
    </w:p>
    <w:p>
      <w:pPr>
        <w:pStyle w:val="8"/>
        <w:rPr>
          <w:rFonts w:hint="default"/>
        </w:rPr>
      </w:pPr>
    </w:p>
    <w:p>
      <w:pPr>
        <w:pStyle w:val="8"/>
        <w:rPr>
          <w:rFonts w:hint="default"/>
        </w:rPr>
      </w:pP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11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可以从预算和预算绩效管理，部门履职效能，资金分配、使用和管理，资产和财务管理、政府采购等方面归纳存在的问</w:t>
      </w:r>
      <w:r>
        <w:rPr>
          <w:rFonts w:hint="default" w:ascii="Times New Roman" w:hAnsi="Times New Roman" w:eastAsia="仿宋_GB2312" w:cs="Times New Roman"/>
          <w:spacing w:val="11"/>
          <w:sz w:val="32"/>
          <w:szCs w:val="32"/>
        </w:rPr>
        <w:t>题；反映各种</w:t>
      </w:r>
      <w:r>
        <w:rPr>
          <w:rFonts w:hint="default" w:ascii="Times New Roman" w:hAnsi="Times New Roman" w:eastAsia="仿宋_GB2312" w:cs="Times New Roman"/>
          <w:color w:val="000000"/>
          <w:spacing w:val="11"/>
          <w:sz w:val="32"/>
          <w:szCs w:val="32"/>
        </w:rPr>
        <w:t>预算支出执行偏离绩效目标的情况，</w:t>
      </w:r>
      <w:r>
        <w:rPr>
          <w:rFonts w:hint="default" w:ascii="Times New Roman" w:hAnsi="Times New Roman" w:eastAsia="仿宋_GB2312" w:cs="Times New Roman"/>
          <w:spacing w:val="11"/>
          <w:sz w:val="32"/>
          <w:szCs w:val="32"/>
        </w:rPr>
        <w:t>并分析其原因</w:t>
      </w:r>
    </w:p>
    <w:p>
      <w:pPr>
        <w:pStyle w:val="8"/>
        <w:rPr>
          <w:rFonts w:hint="eastAsia" w:eastAsia="仿宋_GB2312"/>
          <w:lang w:val="en-US"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lang w:eastAsia="zh-CN"/>
        </w:rPr>
        <w:t>预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算编制有待更严格的执行，预算编制与实际支出项目有的存在差异。</w:t>
      </w:r>
    </w:p>
    <w:p>
      <w:pPr>
        <w:pStyle w:val="8"/>
        <w:rPr>
          <w:rFonts w:hint="default"/>
        </w:rPr>
      </w:pP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一是按照预算规定的项目和用途严格财务审核，经费支出严格按预算规定项目的财务支出内容进行财务核算，在预算金额内严格控制费用的支出。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二是严格控制“三公经费”支出，进一步细化“三公经费”管理，按财政三公经费要求严控 “三公经费”支出。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三是预算财务分析常态化，定期做好预算支出财务分析，做好部门整体支出预算评价工作。</w:t>
      </w:r>
    </w:p>
    <w:p>
      <w:pPr>
        <w:pStyle w:val="8"/>
        <w:numPr>
          <w:ilvl w:val="0"/>
          <w:numId w:val="0"/>
        </w:numPr>
        <w:rPr>
          <w:rFonts w:hint="default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没有</w:t>
      </w:r>
      <w:r>
        <w:rPr>
          <w:rFonts w:hint="default" w:ascii="仿宋_GB2312" w:hAnsi="仿宋_GB2312" w:eastAsia="仿宋_GB2312" w:cs="仿宋_GB2312"/>
          <w:bCs/>
          <w:sz w:val="28"/>
          <w:szCs w:val="28"/>
          <w:lang w:val="en-US" w:eastAsia="zh-CN"/>
        </w:rPr>
        <w:t>其他需要说明的情况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9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97</w:t>
            </w: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8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9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三封工业园给水及排污管网改造项目支出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华容高新技术产业开发区管理委员会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华容高新技术产业开发区管理委员会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32680.79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32096.31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32096.31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32096.31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32096.31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32096.31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为了提高三封工业园污水处理，供水能力消减污水对环境的污染，美化环境。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在建设中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</w:rPr>
              <w:t>建设任务完成率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95%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项目还在建设中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</w:rPr>
              <w:t>工程质量等级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合格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合格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</w:rPr>
              <w:t>项目验收情况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合格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合格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项目还未验收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项目完成进度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支付工程款的进度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sz w:val="24"/>
                <w:lang w:val="en-US" w:eastAsia="zh-CN"/>
              </w:rPr>
              <w:t>已完成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sz w:val="24"/>
                <w:lang w:val="en-US" w:eastAsia="zh-CN"/>
              </w:rPr>
              <w:t>已完成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</w:rPr>
              <w:t>项目投资金额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1000万元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1000万元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</w:rPr>
              <w:t>项目</w:t>
            </w:r>
            <w:r>
              <w:rPr>
                <w:rFonts w:hint="eastAsia"/>
                <w:sz w:val="21"/>
                <w:szCs w:val="21"/>
                <w:lang w:eastAsia="zh-CN"/>
              </w:rPr>
              <w:t>管理</w:t>
            </w:r>
            <w:r>
              <w:rPr>
                <w:rFonts w:hint="eastAsia"/>
                <w:sz w:val="21"/>
                <w:szCs w:val="21"/>
              </w:rPr>
              <w:t>投资金额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500万元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500万元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促进工业发展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促进税收增长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增加了就业的岗位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2000个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2000个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引进了高科技人才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2000人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2000人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对园区合理规划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对污水的治理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污水环境质量改善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≥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95%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企业对园区的服务满意度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服务对象对园区环境整治的满意度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20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8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:侯静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填报日期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2023.7.14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13762074506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</w:t>
      </w: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华容高新技术产业开发区管理委员会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部门（单位）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三封工业园给水及排污管网改造项目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ind w:firstLine="1920" w:firstLineChars="600"/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pStyle w:val="5"/>
        <w:spacing w:beforeLines="50" w:afterLines="50" w:line="440" w:lineRule="exact"/>
        <w:ind w:firstLine="640" w:firstLineChars="200"/>
        <w:jc w:val="both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华容高新技术产业开发区管理委员会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部门（单位）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三封工业园给水及排污管网改造项目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(一)项目概况。包括项目背景、主要内容及实施情况、资金投入和使用情况等。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eastAsia="zh-CN"/>
        </w:rPr>
        <w:t>项目建设内容包括对细格栅旋流沉砂池、高效沉淀池、AAO生化池、二沉池、污泥脱水间、污泥浓缩池、接触消毒池等构筑物提质改造。同时包括潜污泵、手电两用启闭机等污水污泥处理工艺设备的购置。新增污水DN600HDPE管15000m；新增生活供水DN256供水管17000m，新增工业供水DN600 供水管17000m。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项目建设总投资为</w:t>
      </w:r>
      <w:r>
        <w:rPr>
          <w:rFonts w:hint="eastAsia" w:eastAsia="仿宋_GB2312"/>
          <w:sz w:val="30"/>
          <w:szCs w:val="30"/>
          <w:lang w:val="en-US" w:eastAsia="zh-CN"/>
        </w:rPr>
        <w:t>32096.31</w:t>
      </w:r>
      <w:r>
        <w:rPr>
          <w:rFonts w:hint="eastAsia" w:eastAsia="仿宋_GB2312"/>
          <w:sz w:val="30"/>
          <w:szCs w:val="30"/>
          <w:lang w:eastAsia="zh-CN"/>
        </w:rPr>
        <w:t>万元其中：工程费用</w:t>
      </w:r>
      <w:r>
        <w:rPr>
          <w:rFonts w:hint="eastAsia" w:eastAsia="仿宋_GB2312"/>
          <w:sz w:val="30"/>
          <w:szCs w:val="30"/>
          <w:lang w:val="en-US" w:eastAsia="zh-CN"/>
        </w:rPr>
        <w:t>29818.83</w:t>
      </w:r>
      <w:r>
        <w:rPr>
          <w:rFonts w:hint="eastAsia" w:eastAsia="仿宋_GB2312"/>
          <w:sz w:val="30"/>
          <w:szCs w:val="30"/>
          <w:lang w:eastAsia="zh-CN"/>
        </w:rPr>
        <w:t>万元，工程建设其他费用968.39万元，预备费1,309.09万元，</w:t>
      </w:r>
    </w:p>
    <w:p>
      <w:pPr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项目绩效目标通过市场化运作，总体目标是，</w:t>
      </w:r>
      <w:r>
        <w:rPr>
          <w:rFonts w:hint="eastAsia" w:eastAsia="仿宋_GB2312"/>
          <w:sz w:val="30"/>
          <w:szCs w:val="30"/>
          <w:lang w:eastAsia="zh-CN"/>
        </w:rPr>
        <w:t>污水处理收入、再生水销售收入破解县产业园土地资金、招商、运营等发展瓶颈，</w:t>
      </w:r>
      <w:r>
        <w:rPr>
          <w:rFonts w:hint="eastAsia" w:eastAsia="仿宋_GB2312"/>
          <w:sz w:val="30"/>
          <w:szCs w:val="30"/>
          <w:lang w:val="en-US" w:eastAsia="zh-CN"/>
        </w:rPr>
        <w:t>阶段性目标是推进扩园提质。</w:t>
      </w:r>
    </w:p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spacing w:line="560" w:lineRule="exact"/>
        <w:ind w:firstLine="600" w:firstLineChars="200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绩效评价目的</w:t>
      </w:r>
      <w:r>
        <w:rPr>
          <w:rFonts w:hint="eastAsia" w:eastAsia="仿宋_GB2312"/>
          <w:sz w:val="30"/>
          <w:szCs w:val="30"/>
          <w:lang w:eastAsia="zh-CN"/>
        </w:rPr>
        <w:t>是为破解县产业园土地资金、招商、运营等发展瓶颈，根据县政府</w:t>
      </w:r>
      <w:r>
        <w:rPr>
          <w:rFonts w:hint="eastAsia" w:eastAsia="仿宋_GB2312"/>
          <w:sz w:val="30"/>
          <w:szCs w:val="30"/>
          <w:lang w:val="en-US" w:eastAsia="zh-CN"/>
        </w:rPr>
        <w:t>2022年</w:t>
      </w:r>
      <w:r>
        <w:rPr>
          <w:rFonts w:hint="eastAsia" w:eastAsia="仿宋_GB2312"/>
          <w:sz w:val="30"/>
          <w:szCs w:val="30"/>
          <w:lang w:eastAsia="zh-CN"/>
        </w:rPr>
        <w:t>会议纪要精神及县招商引资小组意见，由华容高新技术产业开发区管理委员会投资建设项目。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绩效评价原则、评价指标体系(附表说明)、评价方法、 评价标准等。</w:t>
      </w:r>
    </w:p>
    <w:p>
      <w:pPr>
        <w:numPr>
          <w:ilvl w:val="0"/>
          <w:numId w:val="0"/>
        </w:numPr>
        <w:spacing w:line="560" w:lineRule="exact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eastAsia="zh-CN"/>
        </w:rPr>
        <w:t>绩效评价原则，依据业主单位提供的资料进行工程预算评审，并提出评审意见。</w:t>
      </w:r>
    </w:p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keepNext w:val="0"/>
        <w:keepLines w:val="0"/>
        <w:pageBreakBefore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绩效评价工作过程。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由项目建设指挥部领导组织开展，并通过公开招投标由技术服务单位具体组织实施。2024年底，项目完成了全面工作。</w:t>
      </w:r>
    </w:p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综合评价情况及评价结论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由项目建设指挥部领导组织开展，并通过公开招投标由技术服务单位具体组织实施。2023年底，项目完成了县自检，2024年项目完成了全面工作。</w:t>
      </w:r>
      <w:r>
        <w:rPr>
          <w:rFonts w:hint="eastAsia" w:ascii="黑体" w:hAnsi="黑体" w:eastAsia="黑体" w:cs="黑体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(一)项目决策情况。</w:t>
      </w:r>
    </w:p>
    <w:p>
      <w:pPr>
        <w:numPr>
          <w:ilvl w:val="0"/>
          <w:numId w:val="0"/>
        </w:num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为加强项目的决策情况：二是成立高规格的领导小组；三是项目指挥部多次召开专题会议部署推进；四是制订出台相关政策文件。为加快项目的推进，采取多种过硬措施：一是实行日报周报；二是实行任务倒排。三是实行监理监管，四是实行定期督查。五是实行合同约束。六是实行领导约谈。2024年2月，项目全面建设完工。 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项目过程情况。</w:t>
      </w:r>
    </w:p>
    <w:p>
      <w:pPr>
        <w:numPr>
          <w:ilvl w:val="0"/>
          <w:numId w:val="0"/>
        </w:numPr>
        <w:spacing w:line="560" w:lineRule="exact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项目实施过程，一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实行定期督查，二是实行合同约束。三是实行领导约谈。</w:t>
      </w:r>
    </w:p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项目产出情况。</w:t>
      </w:r>
    </w:p>
    <w:p>
      <w:pPr>
        <w:pStyle w:val="2"/>
        <w:numPr>
          <w:ilvl w:val="0"/>
          <w:numId w:val="0"/>
        </w:numPr>
        <w:ind w:leftChars="200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由项目建设指挥部领导组织开展，并通过公开招投标由技术服务单位具体组织实施。2022年底，项目完成了自检。2024年2月项目完成了全面建设完工.</w:t>
      </w:r>
    </w:p>
    <w:p>
      <w:pPr>
        <w:keepNext w:val="0"/>
        <w:keepLines w:val="0"/>
        <w:pageBreakBefore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项目效益情况。</w:t>
      </w:r>
    </w:p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  <w:r>
        <w:rPr>
          <w:rFonts w:hint="eastAsia" w:eastAsia="仿宋_GB2312"/>
          <w:sz w:val="30"/>
          <w:szCs w:val="30"/>
        </w:rPr>
        <w:t>项目效益</w:t>
      </w:r>
      <w:r>
        <w:rPr>
          <w:rFonts w:hint="eastAsia" w:eastAsia="仿宋_GB2312"/>
          <w:sz w:val="30"/>
          <w:szCs w:val="30"/>
          <w:lang w:eastAsia="zh-CN"/>
        </w:rPr>
        <w:t>是解决了企业用水困难，促进企业的工业发展和税收增长。</w:t>
      </w:r>
    </w:p>
    <w:p>
      <w:pPr>
        <w:keepNext w:val="0"/>
        <w:keepLines w:val="0"/>
        <w:pageBreakBefore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主要经验及做法、存在的问题及原因分析</w:t>
      </w:r>
    </w:p>
    <w:p>
      <w:pPr>
        <w:numPr>
          <w:ilvl w:val="0"/>
          <w:numId w:val="0"/>
        </w:numPr>
        <w:spacing w:line="560" w:lineRule="exact"/>
        <w:ind w:leftChars="200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eastAsia="仿宋_GB2312"/>
          <w:sz w:val="30"/>
          <w:szCs w:val="30"/>
          <w:lang w:eastAsia="zh-CN"/>
        </w:rPr>
        <w:t>工程</w:t>
      </w:r>
      <w:r>
        <w:rPr>
          <w:rFonts w:hint="eastAsia" w:eastAsia="仿宋_GB2312"/>
          <w:sz w:val="30"/>
          <w:szCs w:val="30"/>
          <w:lang w:val="en-US" w:eastAsia="zh-CN"/>
        </w:rPr>
        <w:t>预算编制有待更严格执行。工程预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算编制与实际支出项目有的存在差异。</w:t>
      </w:r>
    </w:p>
    <w:p>
      <w:pPr>
        <w:numPr>
          <w:ilvl w:val="0"/>
          <w:numId w:val="0"/>
        </w:numPr>
        <w:spacing w:line="560" w:lineRule="exact"/>
        <w:ind w:leftChars="200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1.</w:t>
      </w:r>
      <w:r>
        <w:rPr>
          <w:rFonts w:hint="eastAsia" w:eastAsia="仿宋_GB2312"/>
          <w:sz w:val="30"/>
          <w:szCs w:val="30"/>
          <w:lang w:eastAsia="zh-CN"/>
        </w:rPr>
        <w:t>加强施工现场安全管理。</w:t>
      </w:r>
    </w:p>
    <w:p>
      <w:pPr>
        <w:numPr>
          <w:ilvl w:val="0"/>
          <w:numId w:val="0"/>
        </w:numPr>
        <w:spacing w:line="560" w:lineRule="exact"/>
        <w:ind w:leftChars="200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  <w:lang w:val="en-US" w:eastAsia="zh-CN"/>
        </w:rPr>
        <w:t>2.</w:t>
      </w:r>
      <w:r>
        <w:rPr>
          <w:rFonts w:hint="eastAsia" w:eastAsia="仿宋_GB2312"/>
          <w:sz w:val="30"/>
          <w:szCs w:val="30"/>
          <w:lang w:eastAsia="zh-CN"/>
        </w:rPr>
        <w:t>建议加强对现场隐蔽工程的签证管理。</w:t>
      </w:r>
    </w:p>
    <w:p>
      <w:pPr>
        <w:pStyle w:val="2"/>
        <w:numPr>
          <w:ilvl w:val="0"/>
          <w:numId w:val="0"/>
        </w:numPr>
        <w:ind w:leftChars="200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p>
      <w:pPr>
        <w:pStyle w:val="2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没有其他需要说明的问题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2B88C50-0309-4AFE-9E73-6332E3E2FACD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5B1D5537-00F2-4E13-90B0-EB102E415FE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8017157-7077-4252-B2B4-822E914408D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7B052DC9-C597-4CC7-9469-D6C9E9516BD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78B5109-B8A4-4330-A24A-3735603F4690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63170F27-149A-4BF9-8FB9-9E12E70449D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97C7A455-7922-4945-A5DE-5546F9D61AE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06CB642E-3554-445E-986D-A76EFAD7529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A7EE50A7-F931-4B7F-A67A-F90A3A73E3E7}"/>
  </w:font>
  <w:font w:name="华文楷体">
    <w:altName w:val="楷体_GB2312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方正姚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0" w:fontKey="{7A442D56-4B5D-4ECD-B20F-B77054265B6D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11" w:fontKey="{BA9C923D-2F4D-4DA2-B1DA-9C720CB124B4}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9BEBC5"/>
    <w:multiLevelType w:val="singleLevel"/>
    <w:tmpl w:val="8F9BEBC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A91BF2D"/>
    <w:multiLevelType w:val="singleLevel"/>
    <w:tmpl w:val="AA91BF2D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2">
    <w:nsid w:val="CA69B12C"/>
    <w:multiLevelType w:val="singleLevel"/>
    <w:tmpl w:val="CA69B12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D9FE45DB"/>
    <w:multiLevelType w:val="singleLevel"/>
    <w:tmpl w:val="D9FE45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DFAC3C6A"/>
    <w:multiLevelType w:val="singleLevel"/>
    <w:tmpl w:val="DFAC3C6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EC82C16F"/>
    <w:multiLevelType w:val="singleLevel"/>
    <w:tmpl w:val="EC82C16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14131106"/>
    <w:multiLevelType w:val="singleLevel"/>
    <w:tmpl w:val="14131106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abstractNum w:abstractNumId="7">
    <w:nsid w:val="16560699"/>
    <w:multiLevelType w:val="singleLevel"/>
    <w:tmpl w:val="165606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7864AED8"/>
    <w:multiLevelType w:val="singleLevel"/>
    <w:tmpl w:val="7864AED8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jAxYTYyOTQ4ZmZjNDE0NTIzNTJiNGVjNWM0ZmI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3C4E68"/>
    <w:rsid w:val="014324AF"/>
    <w:rsid w:val="016A347B"/>
    <w:rsid w:val="01A4698D"/>
    <w:rsid w:val="02B50488"/>
    <w:rsid w:val="0338470A"/>
    <w:rsid w:val="034822A9"/>
    <w:rsid w:val="03D86621"/>
    <w:rsid w:val="04EE6171"/>
    <w:rsid w:val="05395EA9"/>
    <w:rsid w:val="0ABD557B"/>
    <w:rsid w:val="0AEF4B69"/>
    <w:rsid w:val="0B7457BC"/>
    <w:rsid w:val="0BBB5A8D"/>
    <w:rsid w:val="0C095D24"/>
    <w:rsid w:val="0C104906"/>
    <w:rsid w:val="0CCB7736"/>
    <w:rsid w:val="0D5C636E"/>
    <w:rsid w:val="0D9E0E8D"/>
    <w:rsid w:val="0EAB7397"/>
    <w:rsid w:val="0EF755B3"/>
    <w:rsid w:val="0F17035E"/>
    <w:rsid w:val="0F4E168D"/>
    <w:rsid w:val="11404466"/>
    <w:rsid w:val="11963ADD"/>
    <w:rsid w:val="11AB1672"/>
    <w:rsid w:val="11EB0F5C"/>
    <w:rsid w:val="11F20483"/>
    <w:rsid w:val="12DA5162"/>
    <w:rsid w:val="132810EB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D740C5"/>
    <w:rsid w:val="1AE6175D"/>
    <w:rsid w:val="1B742AA7"/>
    <w:rsid w:val="1BB53792"/>
    <w:rsid w:val="1CA34935"/>
    <w:rsid w:val="1D5A640E"/>
    <w:rsid w:val="1E557A7D"/>
    <w:rsid w:val="1F7640EC"/>
    <w:rsid w:val="204E004F"/>
    <w:rsid w:val="20D76C5F"/>
    <w:rsid w:val="21057490"/>
    <w:rsid w:val="214A230E"/>
    <w:rsid w:val="215F5FD5"/>
    <w:rsid w:val="21B052C4"/>
    <w:rsid w:val="22FF5445"/>
    <w:rsid w:val="238D0E57"/>
    <w:rsid w:val="24256710"/>
    <w:rsid w:val="24F50409"/>
    <w:rsid w:val="251E7983"/>
    <w:rsid w:val="255720D5"/>
    <w:rsid w:val="260D5D83"/>
    <w:rsid w:val="26D4311A"/>
    <w:rsid w:val="27896E11"/>
    <w:rsid w:val="284A2254"/>
    <w:rsid w:val="28521E7D"/>
    <w:rsid w:val="28A72075"/>
    <w:rsid w:val="28FE4325"/>
    <w:rsid w:val="292F1467"/>
    <w:rsid w:val="29786927"/>
    <w:rsid w:val="297B51B4"/>
    <w:rsid w:val="29E40467"/>
    <w:rsid w:val="29F527E2"/>
    <w:rsid w:val="29F730F4"/>
    <w:rsid w:val="2BF35971"/>
    <w:rsid w:val="2C487650"/>
    <w:rsid w:val="2CA3315D"/>
    <w:rsid w:val="2D8C5126"/>
    <w:rsid w:val="2E4F43C0"/>
    <w:rsid w:val="2EBE31A3"/>
    <w:rsid w:val="2EC7368E"/>
    <w:rsid w:val="30FB4B41"/>
    <w:rsid w:val="31621165"/>
    <w:rsid w:val="323C5548"/>
    <w:rsid w:val="37450F88"/>
    <w:rsid w:val="37D6106F"/>
    <w:rsid w:val="38F862EB"/>
    <w:rsid w:val="3912085C"/>
    <w:rsid w:val="39343807"/>
    <w:rsid w:val="39887BBC"/>
    <w:rsid w:val="3A53023B"/>
    <w:rsid w:val="3A946897"/>
    <w:rsid w:val="3AB26D1E"/>
    <w:rsid w:val="3AF42D2D"/>
    <w:rsid w:val="3B3A041F"/>
    <w:rsid w:val="3BAE6BF9"/>
    <w:rsid w:val="3C665107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29014F0"/>
    <w:rsid w:val="43173FD4"/>
    <w:rsid w:val="44143822"/>
    <w:rsid w:val="443D7952"/>
    <w:rsid w:val="44654A12"/>
    <w:rsid w:val="457C5F26"/>
    <w:rsid w:val="48CC6262"/>
    <w:rsid w:val="49CF255F"/>
    <w:rsid w:val="4B2C5DCD"/>
    <w:rsid w:val="4B7D1173"/>
    <w:rsid w:val="4C150E22"/>
    <w:rsid w:val="4C6A38FC"/>
    <w:rsid w:val="4C894FD6"/>
    <w:rsid w:val="4CD754F1"/>
    <w:rsid w:val="4CE74BC3"/>
    <w:rsid w:val="4CF5000E"/>
    <w:rsid w:val="4D8960D0"/>
    <w:rsid w:val="4DB17672"/>
    <w:rsid w:val="4F0F42E7"/>
    <w:rsid w:val="4F4C4F97"/>
    <w:rsid w:val="50265D8C"/>
    <w:rsid w:val="50AC44C4"/>
    <w:rsid w:val="50EA6DB9"/>
    <w:rsid w:val="518E4057"/>
    <w:rsid w:val="51CA7471"/>
    <w:rsid w:val="521C2FA3"/>
    <w:rsid w:val="522529B2"/>
    <w:rsid w:val="523005C3"/>
    <w:rsid w:val="52BA3119"/>
    <w:rsid w:val="530B70D1"/>
    <w:rsid w:val="53910AF4"/>
    <w:rsid w:val="54A6153F"/>
    <w:rsid w:val="555952B3"/>
    <w:rsid w:val="556B5A36"/>
    <w:rsid w:val="55AF40BB"/>
    <w:rsid w:val="56F72F7C"/>
    <w:rsid w:val="57821FCB"/>
    <w:rsid w:val="586243BF"/>
    <w:rsid w:val="58FD3402"/>
    <w:rsid w:val="59F82338"/>
    <w:rsid w:val="5AAF7799"/>
    <w:rsid w:val="5B087571"/>
    <w:rsid w:val="5B5C1753"/>
    <w:rsid w:val="5B682BDA"/>
    <w:rsid w:val="5E134100"/>
    <w:rsid w:val="5F4104EC"/>
    <w:rsid w:val="5F6D12E1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5A62982"/>
    <w:rsid w:val="66361183"/>
    <w:rsid w:val="667E0AA1"/>
    <w:rsid w:val="669F6EE7"/>
    <w:rsid w:val="66A17B48"/>
    <w:rsid w:val="66C969E9"/>
    <w:rsid w:val="67013C8B"/>
    <w:rsid w:val="68FB17C3"/>
    <w:rsid w:val="695F12F9"/>
    <w:rsid w:val="69636C3A"/>
    <w:rsid w:val="69CF7B2C"/>
    <w:rsid w:val="6A0B0004"/>
    <w:rsid w:val="6AF47ECB"/>
    <w:rsid w:val="6B504740"/>
    <w:rsid w:val="6BA1010E"/>
    <w:rsid w:val="6CE47E41"/>
    <w:rsid w:val="6CED5810"/>
    <w:rsid w:val="6CF92413"/>
    <w:rsid w:val="6DFE5E04"/>
    <w:rsid w:val="6E87203D"/>
    <w:rsid w:val="6F2D6602"/>
    <w:rsid w:val="6F6B3132"/>
    <w:rsid w:val="6F926B42"/>
    <w:rsid w:val="6F9278BB"/>
    <w:rsid w:val="70025A76"/>
    <w:rsid w:val="71572F19"/>
    <w:rsid w:val="719B7427"/>
    <w:rsid w:val="724A3E41"/>
    <w:rsid w:val="724A6793"/>
    <w:rsid w:val="72943CE9"/>
    <w:rsid w:val="73BB336D"/>
    <w:rsid w:val="740B26D4"/>
    <w:rsid w:val="741F26FA"/>
    <w:rsid w:val="74470DF8"/>
    <w:rsid w:val="759C66CB"/>
    <w:rsid w:val="75FD1676"/>
    <w:rsid w:val="76567D28"/>
    <w:rsid w:val="76634D94"/>
    <w:rsid w:val="781A7FD5"/>
    <w:rsid w:val="783566C6"/>
    <w:rsid w:val="789A0831"/>
    <w:rsid w:val="799536BA"/>
    <w:rsid w:val="79A35DAB"/>
    <w:rsid w:val="7AF45447"/>
    <w:rsid w:val="7B170752"/>
    <w:rsid w:val="7B8F681B"/>
    <w:rsid w:val="7C256477"/>
    <w:rsid w:val="7D3B5216"/>
    <w:rsid w:val="7DD96C0E"/>
    <w:rsid w:val="7E22287F"/>
    <w:rsid w:val="7E474F7B"/>
    <w:rsid w:val="7E8F7AC1"/>
    <w:rsid w:val="7EC84CA3"/>
    <w:rsid w:val="7F89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1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630"/>
      </w:tabs>
      <w:ind w:firstLine="42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Body Text"/>
    <w:basedOn w:val="1"/>
    <w:qFormat/>
    <w:uiPriority w:val="1"/>
    <w:rPr>
      <w:sz w:val="23"/>
      <w:szCs w:val="23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10">
    <w:name w:val="Table Grid"/>
    <w:basedOn w:val="9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99"/>
    <w:rPr>
      <w:rFonts w:cs="Times New Roman"/>
    </w:rPr>
  </w:style>
  <w:style w:type="character" w:customStyle="1" w:styleId="13">
    <w:name w:val="Footer Char"/>
    <w:basedOn w:val="11"/>
    <w:link w:val="6"/>
    <w:semiHidden/>
    <w:qFormat/>
    <w:uiPriority w:val="99"/>
    <w:rPr>
      <w:sz w:val="18"/>
      <w:szCs w:val="18"/>
    </w:rPr>
  </w:style>
  <w:style w:type="character" w:customStyle="1" w:styleId="14">
    <w:name w:val="Header Char"/>
    <w:basedOn w:val="11"/>
    <w:link w:val="7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20</Pages>
  <Words>6966</Words>
  <Characters>7770</Characters>
  <Lines>0</Lines>
  <Paragraphs>0</Paragraphs>
  <TotalTime>5</TotalTime>
  <ScaleCrop>false</ScaleCrop>
  <LinksUpToDate>false</LinksUpToDate>
  <CharactersWithSpaces>8135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2023-06-29T01:04:00Z</cp:lastPrinted>
  <dcterms:modified xsi:type="dcterms:W3CDTF">2023-07-18T00:32:36Z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