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13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1"/>
        <w:gridCol w:w="1835"/>
        <w:gridCol w:w="2287"/>
        <w:gridCol w:w="1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62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62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898.95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995.75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995.75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0.95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1.50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0.95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1.50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1825.78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1607.84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200.21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节能环保支出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城乡社区支出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18.40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农林水支出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1197.18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商业服务业等支出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粮油物资储备支出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83.77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彩票公益金安排的支出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21.40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7.88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减少不必要的开支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        填报日期：          联系电话：           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13"/>
        <w:tblW w:w="4996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640"/>
        <w:gridCol w:w="806"/>
        <w:gridCol w:w="1715"/>
        <w:gridCol w:w="1126"/>
        <w:gridCol w:w="1063"/>
        <w:gridCol w:w="563"/>
        <w:gridCol w:w="602"/>
        <w:gridCol w:w="13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527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sz w:val="32"/>
                <w:szCs w:val="32"/>
                <w:u w:val="none"/>
                <w:lang w:eastAsia="zh-CN"/>
              </w:rPr>
              <w:t>华容县团洲乡人民政府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472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3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9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643.00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2603.59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2603.59</w:t>
            </w: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46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06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46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2528.19</w:t>
            </w:r>
          </w:p>
        </w:tc>
        <w:tc>
          <w:tcPr>
            <w:tcW w:w="206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995.75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46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75.40</w:t>
            </w:r>
          </w:p>
        </w:tc>
        <w:tc>
          <w:tcPr>
            <w:tcW w:w="206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1607.84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46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06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46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06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46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06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46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1、抗旱排渍机埠的升级改造；2、主干公路黑化；3、团东村2.5公里、团华村3.26公里资源产业路建设；4、团新村和团北村40余根高压电杆转迁；5、对敬老院老人住房进行升级改造；6、粮食种植面积3.3万亩。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06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已完成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实现粮食播种面积3.3万亩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&gt;=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亩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3.3万亩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主干公路黑化长度11.5公里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&gt;=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11公里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11.5公里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虾稻种植面积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both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&gt;=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1.5万亩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1.5万亩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办公设备利用率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&gt;=90%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考核指标对标对表率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&gt;=90%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完成工作及时率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&gt;=98%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日前预算执行支出率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=100%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基本支出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995.75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项目支出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1607.84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7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团北村顺利引进生态风干鱼项目，集体经济增收8万多元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=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集体经济较上年提高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9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社会和谐稳定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=信访维稳，促进和谐稳定%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3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9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团新村、团北村高压电杆转迁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=人居环境得到改善%　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100%　</w:t>
            </w: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3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全镇经济发展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=促进全镇经济发展%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全镇经济发展</w:t>
            </w:r>
          </w:p>
        </w:tc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7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2" w:type="pc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9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&gt;=95%</w:t>
            </w:r>
          </w:p>
        </w:tc>
        <w:tc>
          <w:tcPr>
            <w:tcW w:w="6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　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90%　</w:t>
            </w: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10　</w:t>
            </w:r>
          </w:p>
        </w:tc>
        <w:tc>
          <w:tcPr>
            <w:tcW w:w="3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8　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54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3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bookmarkStart w:id="0" w:name="_GoBack"/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98</w:t>
            </w:r>
            <w:bookmarkEnd w:id="0"/>
          </w:p>
        </w:tc>
        <w:tc>
          <w:tcPr>
            <w:tcW w:w="7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11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填表人：      填报日期：         联系电话：     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华容县团洲乡人民政府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月 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华容县团洲乡人民政府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根据《华容县财政局关于开展202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年度部门整体支出绩效自评工作的通知》（华财函〔202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63</w:t>
      </w:r>
      <w:r>
        <w:rPr>
          <w:rFonts w:hint="eastAsia" w:ascii="仿宋" w:hAnsi="仿宋" w:eastAsia="仿宋" w:cs="仿宋"/>
          <w:sz w:val="32"/>
          <w:szCs w:val="32"/>
        </w:rPr>
        <w:t>号）的相关规定和要求，现对我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部门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年度整体支出开展绩效自评，现将情况汇报如下：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spacing w:line="560" w:lineRule="exact"/>
        <w:ind w:firstLine="42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（一）部门基本情况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华容县团洲乡人民政府</w:t>
      </w:r>
      <w:r>
        <w:rPr>
          <w:rFonts w:hint="eastAsia" w:ascii="仿宋" w:hAnsi="仿宋" w:eastAsia="仿宋" w:cs="仿宋"/>
          <w:sz w:val="32"/>
          <w:szCs w:val="32"/>
        </w:rPr>
        <w:t>共有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镇政府机关、镇财政所、镇农业综合服务中心、镇社会事业综合服务中心、镇退役军人服务站、镇综合行政执法大队、镇水利服务站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个独立核算工作机构。现有人员编制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62</w:t>
      </w:r>
      <w:r>
        <w:rPr>
          <w:rFonts w:hint="eastAsia" w:ascii="仿宋" w:hAnsi="仿宋" w:eastAsia="仿宋" w:cs="仿宋"/>
          <w:sz w:val="32"/>
          <w:szCs w:val="32"/>
        </w:rPr>
        <w:t>名（其中：行政编制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仿宋"/>
          <w:sz w:val="32"/>
          <w:szCs w:val="32"/>
        </w:rPr>
        <w:t>名，事业全额编制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33</w:t>
      </w:r>
      <w:r>
        <w:rPr>
          <w:rFonts w:hint="eastAsia" w:ascii="仿宋" w:hAnsi="仿宋" w:eastAsia="仿宋" w:cs="仿宋"/>
          <w:sz w:val="32"/>
          <w:szCs w:val="32"/>
        </w:rPr>
        <w:t>名），实有在职干部、职工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62</w:t>
      </w:r>
      <w:r>
        <w:rPr>
          <w:rFonts w:hint="eastAsia" w:ascii="仿宋" w:hAnsi="仿宋" w:eastAsia="仿宋" w:cs="仿宋"/>
          <w:sz w:val="32"/>
          <w:szCs w:val="32"/>
        </w:rPr>
        <w:t>人。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（二）</w:t>
      </w:r>
      <w:r>
        <w:rPr>
          <w:rFonts w:hint="eastAsia" w:ascii="仿宋" w:hAnsi="仿宋" w:eastAsia="仿宋" w:cs="仿宋"/>
          <w:bCs/>
          <w:sz w:val="32"/>
          <w:szCs w:val="32"/>
        </w:rPr>
        <w:t>部门整体支出规模、使用方向和主要内容、涉及范围等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，县财政下达我单位预算总收入2603.59万元，其中：一般公共预算财政拨款收入2528.19万元，政府性基金预算财政拨款收入75.40万元；预算总支出2603.59万元；年末无结余，预算收支平衡。预算拨款总额比2021年减少121.14万元，减少的主要原因政府减少了项目的投入，其中工资福利支出682.00万元，一般商品和服务支出296.78万元，对个人和家庭的补助16.97万元，项目支出1607.84万元。资金主要用于：职工的工资福利、五险一金；抗旱排渍机埠的升级改造；主干公路的黑化；团东村2.5公里、团华村3.26公里资源产业路的建设；团新村和团北村40余根高压电杆的转迁；对敬老院老人住房的升级改造。</w:t>
      </w:r>
    </w:p>
    <w:p>
      <w:pPr>
        <w:pStyle w:val="19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收入情况</w:t>
      </w:r>
      <w:r>
        <w:rPr>
          <w:rFonts w:hint="eastAsia" w:ascii="仿宋" w:hAnsi="仿宋" w:eastAsia="仿宋" w:cs="仿宋"/>
          <w:sz w:val="32"/>
          <w:szCs w:val="32"/>
        </w:rPr>
        <w:t>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年预算总收入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995.75</w:t>
      </w:r>
      <w:r>
        <w:rPr>
          <w:rFonts w:hint="eastAsia" w:ascii="仿宋" w:hAnsi="仿宋" w:eastAsia="仿宋" w:cs="仿宋"/>
          <w:sz w:val="32"/>
          <w:szCs w:val="32"/>
        </w:rPr>
        <w:t>万元。其中：经费拨款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995.75</w:t>
      </w:r>
      <w:r>
        <w:rPr>
          <w:rFonts w:hint="eastAsia" w:ascii="仿宋" w:hAnsi="仿宋" w:eastAsia="仿宋" w:cs="仿宋"/>
          <w:sz w:val="32"/>
          <w:szCs w:val="32"/>
        </w:rPr>
        <w:t>万元。预算总支出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995.75</w:t>
      </w:r>
      <w:r>
        <w:rPr>
          <w:rFonts w:hint="eastAsia" w:ascii="仿宋" w:hAnsi="仿宋" w:eastAsia="仿宋" w:cs="仿宋"/>
          <w:sz w:val="32"/>
          <w:szCs w:val="32"/>
        </w:rPr>
        <w:t>万元。预算收支平衡。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支出情况</w:t>
      </w:r>
      <w:r>
        <w:rPr>
          <w:rFonts w:hint="eastAsia" w:ascii="仿宋" w:hAnsi="仿宋" w:eastAsia="仿宋" w:cs="仿宋"/>
          <w:sz w:val="32"/>
          <w:szCs w:val="32"/>
        </w:rPr>
        <w:t>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年预算总支出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995.75</w:t>
      </w:r>
      <w:r>
        <w:rPr>
          <w:rFonts w:hint="eastAsia" w:ascii="仿宋" w:hAnsi="仿宋" w:eastAsia="仿宋" w:cs="仿宋"/>
          <w:sz w:val="32"/>
          <w:szCs w:val="32"/>
        </w:rPr>
        <w:t>万元。其中：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工资福利支出682.00万元，一般商品和服务支出296.78万元，对个人和家庭的补助16.97万元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“三公经费”支出情况分析</w:t>
      </w:r>
      <w:r>
        <w:rPr>
          <w:rFonts w:hint="eastAsia" w:ascii="仿宋" w:hAnsi="仿宋" w:eastAsia="仿宋" w:cs="仿宋"/>
          <w:sz w:val="32"/>
          <w:szCs w:val="32"/>
        </w:rPr>
        <w:t>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华容县团洲乡人民政府</w:t>
      </w:r>
      <w:r>
        <w:rPr>
          <w:rFonts w:hint="eastAsia" w:ascii="仿宋" w:hAnsi="仿宋" w:eastAsia="仿宋" w:cs="仿宋"/>
          <w:sz w:val="32"/>
          <w:szCs w:val="32"/>
        </w:rPr>
        <w:t>“三公经费”实际开支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0.95</w:t>
      </w:r>
      <w:r>
        <w:rPr>
          <w:rFonts w:hint="eastAsia" w:ascii="仿宋" w:hAnsi="仿宋" w:eastAsia="仿宋" w:cs="仿宋"/>
          <w:sz w:val="32"/>
          <w:szCs w:val="32"/>
        </w:rPr>
        <w:t>万元。其中公务接待费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0.95</w:t>
      </w:r>
      <w:r>
        <w:rPr>
          <w:rFonts w:hint="eastAsia" w:ascii="仿宋" w:hAnsi="仿宋" w:eastAsia="仿宋" w:cs="仿宋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固定资产管理情况分析</w:t>
      </w:r>
      <w:r>
        <w:rPr>
          <w:rFonts w:hint="eastAsia" w:ascii="仿宋" w:hAnsi="仿宋" w:eastAsia="仿宋" w:cs="仿宋"/>
          <w:sz w:val="32"/>
          <w:szCs w:val="32"/>
        </w:rPr>
        <w:t>：按照例行节约，物尽其用的原则，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华容县团洲乡人民政府所</w:t>
      </w:r>
      <w:r>
        <w:rPr>
          <w:rFonts w:hint="eastAsia" w:ascii="仿宋" w:hAnsi="仿宋" w:eastAsia="仿宋" w:cs="仿宋"/>
          <w:sz w:val="32"/>
          <w:szCs w:val="32"/>
        </w:rPr>
        <w:t>资产管理采取统一建账，统一核算管理，对每件固定资产使用明确保管职责，闲置的资产，由办公室统一调整，合理流动，发挥其效益；至202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年12月有固定资产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215.158</w:t>
      </w:r>
      <w:r>
        <w:rPr>
          <w:rFonts w:hint="eastAsia" w:ascii="仿宋" w:hAnsi="仿宋" w:eastAsia="仿宋" w:cs="仿宋"/>
          <w:sz w:val="32"/>
          <w:szCs w:val="32"/>
        </w:rPr>
        <w:t>万元，全部在用，保证了资产的安全高效，防止资产流失。</w:t>
      </w:r>
    </w:p>
    <w:p>
      <w:pPr>
        <w:pStyle w:val="19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1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1.专项资金安排落实、总投入等情况分析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  <w:t>年项目支出为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  <w:lang w:val="en-US" w:eastAsia="zh-CN"/>
        </w:rPr>
        <w:t>1607.84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  <w:t>万元，占总支出的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  <w:lang w:val="en-US" w:eastAsia="zh-CN"/>
        </w:rPr>
        <w:t>61.75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  <w:t>%，主要是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  <w:lang w:eastAsia="zh-CN"/>
        </w:rPr>
        <w:t>项目建设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  <w:t>支付的办公费、印刷费、差旅费、会议费、培训费、劳务费、对企事业单位的补贴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  <w:lang w:eastAsia="zh-CN"/>
        </w:rPr>
        <w:t>、基础设施建设、拆迁补偿、大型修缮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  <w:t>等商品和服务支出。其中商品和服务支出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  <w:lang w:val="en-US" w:eastAsia="zh-CN"/>
        </w:rPr>
        <w:t>20.54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  <w:t>万元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  <w:lang w:eastAsia="zh-CN"/>
        </w:rPr>
        <w:t>，对个人和家庭的补助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  <w:lang w:val="en-US" w:eastAsia="zh-CN"/>
        </w:rPr>
        <w:t>671.84万元，资本性支出915.46万元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5F9FD"/>
        </w:rPr>
        <w:t>。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2.专项资金实际使用情况分析</w:t>
      </w:r>
    </w:p>
    <w:p>
      <w:pPr>
        <w:spacing w:line="560" w:lineRule="exact"/>
        <w:ind w:firstLine="588" w:firstLineChars="184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Cs/>
          <w:sz w:val="32"/>
          <w:szCs w:val="32"/>
        </w:rPr>
        <w:t>年专项总收入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1607.84</w:t>
      </w:r>
      <w:r>
        <w:rPr>
          <w:rFonts w:hint="eastAsia" w:ascii="仿宋" w:hAnsi="仿宋" w:eastAsia="仿宋" w:cs="仿宋"/>
          <w:bCs/>
          <w:sz w:val="32"/>
          <w:szCs w:val="32"/>
        </w:rPr>
        <w:t>万元，专项总支出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1607.84</w:t>
      </w:r>
      <w:r>
        <w:rPr>
          <w:rFonts w:hint="eastAsia" w:ascii="仿宋" w:hAnsi="仿宋" w:eastAsia="仿宋" w:cs="仿宋"/>
          <w:bCs/>
          <w:sz w:val="32"/>
          <w:szCs w:val="32"/>
        </w:rPr>
        <w:t>万元，收支平衡，无资金结余。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3.专项资金管理情况分析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为加强项目资金管理，规范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项目资金管理行为，提高项目管理水平及项目资金使用效益，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本部门制定了财务管理制度、项目资金管理制度、专项资金管理办法等，对项目管理职责、申报与组织实施、项目资金的管理、监督检查与验收等进行了规定，成立了工作领导小组、明确工作职责、确定责任单位、制定工作方案、项目实施细则、考核办法等。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项目资金严格按指定用途专款专用，实行专项报告制度，并接受财政部门或上级部门的检查、验收。202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年本部门项目支出，基本能够严格按照相关制度规定等进行。</w:t>
      </w:r>
    </w:p>
    <w:p>
      <w:pPr>
        <w:pStyle w:val="19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部门整体支出绩效情况</w:t>
      </w:r>
    </w:p>
    <w:p>
      <w:pPr>
        <w:spacing w:line="560" w:lineRule="exact"/>
        <w:ind w:firstLine="643" w:firstLineChars="200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  <w:lang w:eastAsia="zh-CN"/>
        </w:rPr>
        <w:t>——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  <w:t>这一年，最可贵的是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  <w:lang w:eastAsia="zh-CN"/>
        </w:rPr>
        <w:t>党的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  <w:t>建设提升了“战斗力”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一是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政治建设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进一步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加强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始终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把学习贯彻习近平总书记最新讲话精神和指示精神作为第一议题，不折不扣落实“三会一课”、组织生活会、民主生活会等制度。每月定期开展一次“上讲谈”活动，党委书记、总支书记轮流上党课，邀请农村故事会主讲人上台讲故事，挖掘乡域内的典型事例，及时传播正能量，乡村两级年轻干部“谈体会”分享工作心得，相互学习，共同进步。二是从严治党进一步深化。制定“清廉团洲”工作方案，对重视不够、力度不大或者履责不到位、成效不明显的单位，及时督促整改。2022年，开展任前廉政谈话9人，谈话提醒35人，诫勉谈话8人，警告处分1人，开除党籍处分2人，进一步正风肃纪。坚持以案释法明纪，通报典型案例2次，组织参观廉政警示基地活动，着力营造风清气正的政治生态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三是党建实效进一步彰显。深入推进“党建+诚信金融”，全方位开展农户评级、造册登记，实现村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社区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授牌全覆盖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累计发放贷款1557笔7643万元。大力推进“消薄清零”行动，因地制宜制定强村攻坚计划，3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个村（社区）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成功退出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集体经济薄弱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村行列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团北村顺利引进生态风干鱼项目，集体经济增收8万多元，后期将借力电商平台，开展直播带货，实现畅销一体。</w:t>
      </w:r>
    </w:p>
    <w:p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  <w:t>——这一年，最自豪的是乡村振兴展现了“新画卷”。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一是脱贫成效持续巩固。严格按照上级部署，切实抓好乡村振兴与脱贫攻坚有效衔接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。对全乡379户脱贫户和14户监测户实施结对联系和帮扶，开展集中走访3次，防返贫监测排查3次。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全面落实相关政策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提供公益岗位43个，雨露计划资助学生30人，完成乡村振兴项目15个，使用资金162万元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，坚决消除返贫风险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二是基建设施不断完善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水利方面，完成垸内3处抗旱排渍机埠的升级改造、7处穿堤涵闸和4处外排机埠的维修整治，有效巩固了我乡防汛备汛安全。交通方面，投资2201万元完成全长11.5公里主干公路黑化，投资280万元完成团东村2.5公里、团华村3.26公里资源产业路建设，投资200余万元完成团新村和团北村40余根高压电杆转迁，极大改善群众生产生活出行环境。养老方面，投资30多万元对敬老院老人住房进行了升级改造，不断提升养老服务质量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三是特色产业多点开花。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依托农业特色产业激发经济活力，完成粮食种植面积3.3万亩，推广稻虾种养1.5万亩。打造油菜花海2000亩，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发展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玉米间种大豆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棉花等基地示范片1500亩，大棚西瓜套种蔬菜3000亩。推进农业化肥减量，统防统治覆盖率达50%，农药农产品残留监测合格率达98%以上。</w:t>
      </w:r>
    </w:p>
    <w:p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  <w:t>——这一年，最高兴的是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  <w:lang w:eastAsia="zh-CN"/>
        </w:rPr>
        <w:t>生态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  <w:t>面貌治出了“绿名片”。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一是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人居环境方面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。全乡开展人居环境每季度一排名、一督查，全面开展杂乱治理，狠抓公共环卫，对农户房前屋后卫生情况彻底整治，通过广播会、屋场会进一步开展垃圾分类宣传。深入开展“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厕所革命”，完成新建厕所300个，整改问题厕所311个。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二是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河湖治理方面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深入推进“河长制”，重点打造了3条样板渠和主渠团新段3公里一乡一亮点，实现水更清、岸更绿、景更美。集中整治7条小微水体，开展清理垃圾保水净、疏洗河道保水活、查控污源保水清、整治排口保水质的“四保”工作，整治长度近3万米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三是禁捕退捕方面。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安装广告宣传牌30余块、发放宣传单5000余份，清理重点水域渔网、地笼等各类非法捕捞渔具，收缴“三无”船舶，封堵通湖路。坚持常规巡查与联合执法并重，成立县、乡、村三级巡查队伍，落实村每天必巡、乡每周常巡、县随机督巡的机制，对巡查过程中发现的问题及时交办、及时处理，累计劝导8700余人，立案处理6人。</w:t>
      </w:r>
    </w:p>
    <w:p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  <w:t>——这一年，最难忘的是合力攻坚打赢了“稳定仗”。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一是维护社会治安稳定。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成立治安巡逻小队，常态化开展巡逻，对人口密集场所安排专人值班值守，切实提升群众安全感。派出所加大违法犯罪打击力度，出警84次，行政拘留22人、刑事拘留14人，守护辖区平安稳定。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进一步加大禁毒宣传力度，精准摸排涉毒信息，扎实做好青少年禁毒预防教育，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对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154名涉毒人员实行“五包一”管控，定期进行毛发监测，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做到辖区内禁毒宣传全覆盖、涉毒管控无死角。二是抓牢信访矛盾化解。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严格落实党政负责人坐班接访制，全年处访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93人次，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受理办结12345热线回复276起，网信办结24件，做到受理率100%，办结率100%。按照“三到位一处理”信访工作要求，用心用情疏导上访人心结，化解了多年的信访积案，重复信访积案基本得到化解。三是守牢安全生产底线。严格落实党政负责人带队安全生产检查制度，全方位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排查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整治隐患，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扎实开展“五进”、“安全生产月”、安全生产大检查、打非治违等活动16次，组织消防应急演练、防汛演练、应急疏散演练4次，收缴各类烟花爆竹60余箱，97处一般隐患、4处潜在风险隐患和1处重大问题均已整改到位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全年保持安全生产零责任事故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。</w:t>
      </w:r>
    </w:p>
    <w:p>
      <w:pPr>
        <w:spacing w:line="560" w:lineRule="exact"/>
        <w:ind w:firstLine="643" w:firstLineChars="200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  <w:t>——这一年，最欣慰的是为民服务提升了“幸福感”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一是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抗旱救灾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措施有力。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面对百年一遇的特大旱灾，乡党委政府高度重视，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精心组织、上下联动、全面动员，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耗资近100万元建设提水点8处，开启大小水泵29台，打井18口，组织挖机疏通主渠及支渠40公里以上。在引水点和主渠涵闸、机埠安排专人日夜值守，实施分时供水、分区节水轮灌，有效缓解我乡旱情，无一例因旱情导致的上访问题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二是民计民生保障有效。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扎实开展大走访活动，解决了14个群众急难愁盼的共性问题，党群、干群关系更加融洽。完成城乡居民养老保险征缴531.17万元，发放养老金631.84余万元；完成医疗保险征缴1.83万余人，入库561.91余万元，不断完善城乡居民基本保障。举办“春风行动”专场招聘会，成功签约37人,实现家门口就业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新增城乡低保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15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户、城乡特困人员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人、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发放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残疾两项补贴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596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人，临时救助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1380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人，救助金额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44.85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万元，把兜底保障落到实处。三是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文教事业发展蓬勃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成功举办第五届农民故事会，得到《农民日报》《中国文明网》等主流媒体的推介。全面完成团洲中学、团洲中心小学田径场标准化改建，中心小学主体教学楼完成了重新装修，教学条件持续改善。举办团洲乡教育基金募捐活动，新增教育基金48万元，进一步做大教育基金会盘子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pStyle w:val="1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3" w:lineRule="atLeast"/>
        <w:ind w:firstLine="640" w:firstLineChars="20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1.预算绩效指标体系存在进一步完善的空间，我单位现建立的各项预算绩效目标指标仍有不科学、不细致的地方，影响了预算绩效评价的结果。</w:t>
      </w:r>
    </w:p>
    <w:p>
      <w:pPr>
        <w:pStyle w:val="1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3" w:lineRule="atLeast"/>
        <w:ind w:firstLine="640" w:firstLineChars="20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2.预算绩效管理经验需要进一步积累。因为预算绩效管理工作具有政策性强、专业性强、涉及面广、操作难度大等特点，经验不足，导致工作多走许多弯路，影响工作效果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、下一步改进措施</w:t>
      </w:r>
    </w:p>
    <w:p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、细化预算编制工作，认真做好预算的编制。进一步加强预算管理意识，严格按照预算编制的相关制度和要求进行预算编制；全面编制预算项目，优先保障固定性的、相对刚性的费用支出项目，尽量压缩变动性的、有控制空间的费用项目，进一步提高预算编制的科学性、严谨性和可控性。加强内部预算编制的审核和预算控制指标的下达。</w:t>
      </w:r>
    </w:p>
    <w:p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2、加强财务管理，严格财务审核。加强单位财务管理，健全单位财务管理制度体系，规范单位财务行为。在费用报账支付时，按照预算规定的费用项目和用途进行资金使用审核、列报支付、财务核算，杜绝超支现象的发生。</w:t>
      </w:r>
    </w:p>
    <w:p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3、完善资产管理，抓好“三公”经费控制。严格编制政府采购年初预算和计划，规范各类资产的购置审批制度、资产出租出借和收入管理制度、资产采购制度、使用管理制度、资产处置和报废审批制度、资产管理岗位职责制度等，加强单位内部的资产管理工作。严格控制“三公”经费的规模和比例，把关“三公”经费支出的审核、审批，杜绝挪用和挤占其他预算资金行为；进一步细化“三公”经费的管理，合理压缩“三公”经费支出。</w:t>
      </w:r>
    </w:p>
    <w:p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4、对相关人员加强培训，特别是针对《预算法》、《行政事业单位会计制度》等学习培训，规范部门预算收支核算，切实提高部门预算收支管理水平。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12C2745D-5A21-4663-B774-2B544DC284B7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756908B3-8B00-47F8-B055-B6B0917F44F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4A8EBF8-48B9-4856-8469-08A09C14079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7C2CDC57-BC9A-4DFB-830B-C5D2A4751D6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2B614CCA-4583-4349-8AB8-98463DA18861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E50D8A61-166E-48DD-9BD7-A945531549F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C01CA546-3384-4D81-A96C-F1001BB02119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8" w:fontKey="{33BB4895-B428-4D40-9C7F-424BA569AD49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9" w:fontKey="{2DD37E2C-EB5D-4A0D-81E3-C35B2AD21424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0" w:fontKey="{20CB9678-0B30-4C4E-9B20-BB348A909C2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1" w:fontKey="{69014166-8B3D-43CD-87B4-8F7D459C376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2" w:fontKey="{DE253A4B-0894-42D0-82DE-054B23251BA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85A951"/>
    <w:multiLevelType w:val="singleLevel"/>
    <w:tmpl w:val="E685A95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1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MTc3YjllNTI5Y2UyNTk5ZWVjZGQyYjJmYTkwZjcifQ=="/>
  </w:docVars>
  <w:rsids>
    <w:rsidRoot w:val="0CCB7736"/>
    <w:rsid w:val="00047FEF"/>
    <w:rsid w:val="000A3906"/>
    <w:rsid w:val="001776F1"/>
    <w:rsid w:val="00400A01"/>
    <w:rsid w:val="006F0A16"/>
    <w:rsid w:val="00773328"/>
    <w:rsid w:val="00821883"/>
    <w:rsid w:val="00917857"/>
    <w:rsid w:val="00A755C2"/>
    <w:rsid w:val="016A347B"/>
    <w:rsid w:val="02B50488"/>
    <w:rsid w:val="03281EC8"/>
    <w:rsid w:val="0338470A"/>
    <w:rsid w:val="034822A9"/>
    <w:rsid w:val="03D86621"/>
    <w:rsid w:val="04EE6171"/>
    <w:rsid w:val="05395EA9"/>
    <w:rsid w:val="0643431C"/>
    <w:rsid w:val="06C07969"/>
    <w:rsid w:val="07017425"/>
    <w:rsid w:val="0ABD557B"/>
    <w:rsid w:val="0BBB5A8D"/>
    <w:rsid w:val="0BC159E2"/>
    <w:rsid w:val="0C104906"/>
    <w:rsid w:val="0CCB7736"/>
    <w:rsid w:val="0D9E0E8D"/>
    <w:rsid w:val="0EAB7397"/>
    <w:rsid w:val="0EF755B3"/>
    <w:rsid w:val="0F17035E"/>
    <w:rsid w:val="0F4E168D"/>
    <w:rsid w:val="11404466"/>
    <w:rsid w:val="11963ADD"/>
    <w:rsid w:val="11EB0F5C"/>
    <w:rsid w:val="11F20483"/>
    <w:rsid w:val="131756F5"/>
    <w:rsid w:val="13343592"/>
    <w:rsid w:val="136F31F8"/>
    <w:rsid w:val="138750E0"/>
    <w:rsid w:val="13E7095B"/>
    <w:rsid w:val="14C000D7"/>
    <w:rsid w:val="15A620D3"/>
    <w:rsid w:val="16A3369E"/>
    <w:rsid w:val="178536BD"/>
    <w:rsid w:val="17981921"/>
    <w:rsid w:val="18CB0322"/>
    <w:rsid w:val="19516372"/>
    <w:rsid w:val="19575CC2"/>
    <w:rsid w:val="19A80228"/>
    <w:rsid w:val="1A101464"/>
    <w:rsid w:val="1A432DD4"/>
    <w:rsid w:val="1AB74849"/>
    <w:rsid w:val="1AC52FF2"/>
    <w:rsid w:val="1AE6175D"/>
    <w:rsid w:val="1B742AA7"/>
    <w:rsid w:val="1B9266BD"/>
    <w:rsid w:val="1BC10D18"/>
    <w:rsid w:val="1CA34935"/>
    <w:rsid w:val="1D5A640E"/>
    <w:rsid w:val="1E254605"/>
    <w:rsid w:val="1E2D3898"/>
    <w:rsid w:val="1F7640EC"/>
    <w:rsid w:val="20D76C5F"/>
    <w:rsid w:val="21057490"/>
    <w:rsid w:val="214A230E"/>
    <w:rsid w:val="21B052C4"/>
    <w:rsid w:val="22FF5445"/>
    <w:rsid w:val="23513E88"/>
    <w:rsid w:val="238D0E57"/>
    <w:rsid w:val="24256710"/>
    <w:rsid w:val="24A42221"/>
    <w:rsid w:val="251E7983"/>
    <w:rsid w:val="260D5D83"/>
    <w:rsid w:val="26701A30"/>
    <w:rsid w:val="274C6D50"/>
    <w:rsid w:val="27543200"/>
    <w:rsid w:val="284A2254"/>
    <w:rsid w:val="292F1467"/>
    <w:rsid w:val="29786927"/>
    <w:rsid w:val="297B51B4"/>
    <w:rsid w:val="29E40467"/>
    <w:rsid w:val="29F527E2"/>
    <w:rsid w:val="2A8E15CA"/>
    <w:rsid w:val="2A99171D"/>
    <w:rsid w:val="2B054C74"/>
    <w:rsid w:val="2B705FC6"/>
    <w:rsid w:val="2BF35971"/>
    <w:rsid w:val="2C487650"/>
    <w:rsid w:val="2C76037E"/>
    <w:rsid w:val="2DEC037E"/>
    <w:rsid w:val="2E4F43C0"/>
    <w:rsid w:val="2E5A3DAC"/>
    <w:rsid w:val="2E7A2856"/>
    <w:rsid w:val="2EC7368E"/>
    <w:rsid w:val="2F2139A5"/>
    <w:rsid w:val="2FA4127F"/>
    <w:rsid w:val="30707DCF"/>
    <w:rsid w:val="30FB4B41"/>
    <w:rsid w:val="31621165"/>
    <w:rsid w:val="323C5548"/>
    <w:rsid w:val="32597306"/>
    <w:rsid w:val="329F4483"/>
    <w:rsid w:val="33A16DA7"/>
    <w:rsid w:val="33D93B09"/>
    <w:rsid w:val="35B4270B"/>
    <w:rsid w:val="37450F88"/>
    <w:rsid w:val="37D6106F"/>
    <w:rsid w:val="38F862EB"/>
    <w:rsid w:val="39343807"/>
    <w:rsid w:val="39887BBC"/>
    <w:rsid w:val="3A53023B"/>
    <w:rsid w:val="3AF42D2D"/>
    <w:rsid w:val="3B3A041F"/>
    <w:rsid w:val="3B59279F"/>
    <w:rsid w:val="3BAE6BF9"/>
    <w:rsid w:val="3C212F82"/>
    <w:rsid w:val="3CA4104C"/>
    <w:rsid w:val="3CCA47F2"/>
    <w:rsid w:val="3CDE0708"/>
    <w:rsid w:val="3D5877DF"/>
    <w:rsid w:val="3DC55CAA"/>
    <w:rsid w:val="3DD556CA"/>
    <w:rsid w:val="3F450429"/>
    <w:rsid w:val="40226C80"/>
    <w:rsid w:val="40A85CE6"/>
    <w:rsid w:val="40C451A5"/>
    <w:rsid w:val="4156470B"/>
    <w:rsid w:val="41630D72"/>
    <w:rsid w:val="41943ACE"/>
    <w:rsid w:val="425D4066"/>
    <w:rsid w:val="43173FD4"/>
    <w:rsid w:val="44143822"/>
    <w:rsid w:val="44654A12"/>
    <w:rsid w:val="457C5F26"/>
    <w:rsid w:val="482D3E87"/>
    <w:rsid w:val="49CF255F"/>
    <w:rsid w:val="4A5A50CB"/>
    <w:rsid w:val="4B2C5DCD"/>
    <w:rsid w:val="4B7D1173"/>
    <w:rsid w:val="4C150E22"/>
    <w:rsid w:val="4C36762B"/>
    <w:rsid w:val="4C6A38FC"/>
    <w:rsid w:val="4C773D77"/>
    <w:rsid w:val="4CE74BC3"/>
    <w:rsid w:val="4CF5000E"/>
    <w:rsid w:val="4D740761"/>
    <w:rsid w:val="4DB17672"/>
    <w:rsid w:val="4F8F78A9"/>
    <w:rsid w:val="4FD91453"/>
    <w:rsid w:val="50AC44C4"/>
    <w:rsid w:val="50EA6DB9"/>
    <w:rsid w:val="51CA7471"/>
    <w:rsid w:val="521C2FA3"/>
    <w:rsid w:val="522529B2"/>
    <w:rsid w:val="53910AF4"/>
    <w:rsid w:val="54DD3310"/>
    <w:rsid w:val="555952B3"/>
    <w:rsid w:val="556B5A36"/>
    <w:rsid w:val="55AE0069"/>
    <w:rsid w:val="55AF40BB"/>
    <w:rsid w:val="56B94FF6"/>
    <w:rsid w:val="56F72F7C"/>
    <w:rsid w:val="57D83DFC"/>
    <w:rsid w:val="580B75BE"/>
    <w:rsid w:val="586243BF"/>
    <w:rsid w:val="58FD3402"/>
    <w:rsid w:val="59916E45"/>
    <w:rsid w:val="59F60B1C"/>
    <w:rsid w:val="5AAF7799"/>
    <w:rsid w:val="5B5C1753"/>
    <w:rsid w:val="5E134100"/>
    <w:rsid w:val="5F7A1C50"/>
    <w:rsid w:val="601C4AB5"/>
    <w:rsid w:val="60BE691E"/>
    <w:rsid w:val="61444403"/>
    <w:rsid w:val="62123D64"/>
    <w:rsid w:val="62265BDF"/>
    <w:rsid w:val="62E1699A"/>
    <w:rsid w:val="63CD5B11"/>
    <w:rsid w:val="64147F0D"/>
    <w:rsid w:val="64342361"/>
    <w:rsid w:val="64D66362"/>
    <w:rsid w:val="65633685"/>
    <w:rsid w:val="65860217"/>
    <w:rsid w:val="667E0AA1"/>
    <w:rsid w:val="66FA4F74"/>
    <w:rsid w:val="68FB17C3"/>
    <w:rsid w:val="695F12F9"/>
    <w:rsid w:val="69636C3A"/>
    <w:rsid w:val="69CF7B2C"/>
    <w:rsid w:val="6A0B0004"/>
    <w:rsid w:val="6A224DE7"/>
    <w:rsid w:val="6A582B8E"/>
    <w:rsid w:val="6BA1010E"/>
    <w:rsid w:val="6CE47E41"/>
    <w:rsid w:val="6CED5810"/>
    <w:rsid w:val="6CF92413"/>
    <w:rsid w:val="6DFE5E04"/>
    <w:rsid w:val="6E87203D"/>
    <w:rsid w:val="6F9278BB"/>
    <w:rsid w:val="6FC72954"/>
    <w:rsid w:val="71367ED5"/>
    <w:rsid w:val="71572F19"/>
    <w:rsid w:val="719B7427"/>
    <w:rsid w:val="71AF00CC"/>
    <w:rsid w:val="722C2B09"/>
    <w:rsid w:val="724A6793"/>
    <w:rsid w:val="7284642B"/>
    <w:rsid w:val="73AB1F81"/>
    <w:rsid w:val="741F26FA"/>
    <w:rsid w:val="742F4960"/>
    <w:rsid w:val="74470DF8"/>
    <w:rsid w:val="75FD1676"/>
    <w:rsid w:val="799536BA"/>
    <w:rsid w:val="7AE30FB6"/>
    <w:rsid w:val="7B170752"/>
    <w:rsid w:val="7B2C1554"/>
    <w:rsid w:val="7B8F681B"/>
    <w:rsid w:val="7DD96C0E"/>
    <w:rsid w:val="7E092D49"/>
    <w:rsid w:val="7E474F7B"/>
    <w:rsid w:val="7E522459"/>
    <w:rsid w:val="7E8F7AC1"/>
    <w:rsid w:val="7E95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15">
    <w:name w:val="Default Paragraph Font"/>
    <w:semiHidden/>
    <w:qFormat/>
    <w:uiPriority w:val="99"/>
  </w:style>
  <w:style w:type="table" w:default="1" w:styleId="1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spacing w:before="100" w:beforeAutospacing="1" w:after="0"/>
      <w:ind w:left="0" w:firstLine="420" w:firstLineChars="200"/>
    </w:pPr>
    <w:rPr>
      <w:rFonts w:ascii="Calibri" w:hAnsi="Calibri" w:eastAsia="宋体" w:cs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4">
    <w:name w:val="Body Text First Indent"/>
    <w:basedOn w:val="5"/>
    <w:next w:val="1"/>
    <w:qFormat/>
    <w:uiPriority w:val="0"/>
    <w:pPr>
      <w:ind w:firstLine="420" w:firstLineChars="100"/>
    </w:pPr>
  </w:style>
  <w:style w:type="paragraph" w:styleId="5">
    <w:name w:val="Body Text"/>
    <w:basedOn w:val="1"/>
    <w:next w:val="6"/>
    <w:qFormat/>
    <w:uiPriority w:val="0"/>
    <w:pPr>
      <w:spacing w:before="100" w:beforeAutospacing="1" w:after="120"/>
    </w:pPr>
  </w:style>
  <w:style w:type="paragraph" w:styleId="6">
    <w:name w:val="Body Text 2"/>
    <w:basedOn w:val="1"/>
    <w:qFormat/>
    <w:uiPriority w:val="99"/>
    <w:pPr>
      <w:spacing w:after="120" w:line="480" w:lineRule="auto"/>
    </w:pPr>
  </w:style>
  <w:style w:type="paragraph" w:styleId="8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1"/>
    <w:next w:val="1"/>
    <w:qFormat/>
    <w:uiPriority w:val="0"/>
    <w:pPr>
      <w:widowControl w:val="0"/>
      <w:spacing w:after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1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1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4">
    <w:name w:val="Table Grid"/>
    <w:basedOn w:val="13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99"/>
    <w:rPr>
      <w:rFonts w:cs="Times New Roman"/>
    </w:rPr>
  </w:style>
  <w:style w:type="character" w:customStyle="1" w:styleId="17">
    <w:name w:val="Footer Char"/>
    <w:basedOn w:val="15"/>
    <w:link w:val="8"/>
    <w:semiHidden/>
    <w:qFormat/>
    <w:uiPriority w:val="99"/>
    <w:rPr>
      <w:sz w:val="18"/>
      <w:szCs w:val="18"/>
    </w:rPr>
  </w:style>
  <w:style w:type="character" w:customStyle="1" w:styleId="18">
    <w:name w:val="Header Char"/>
    <w:basedOn w:val="15"/>
    <w:link w:val="9"/>
    <w:semiHidden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BodyText"/>
    <w:basedOn w:val="1"/>
    <w:next w:val="1"/>
    <w:qFormat/>
    <w:uiPriority w:val="0"/>
    <w:pPr>
      <w:widowControl/>
      <w:spacing w:before="100" w:beforeAutospacing="1" w:after="120" w:line="560" w:lineRule="exact"/>
      <w:ind w:firstLine="640" w:firstLineChars="200"/>
      <w:textAlignment w:val="baseline"/>
    </w:pPr>
    <w:rPr>
      <w:rFonts w:eastAsia="仿宋_GB2312" w:asciiTheme="minorAscii" w:hAnsiTheme="minorAscii"/>
      <w:sz w:val="32"/>
      <w:szCs w:val="32"/>
    </w:rPr>
  </w:style>
  <w:style w:type="paragraph" w:customStyle="1" w:styleId="21">
    <w:name w:val="正文首行缩进1"/>
    <w:basedOn w:val="1"/>
    <w:qFormat/>
    <w:uiPriority w:val="0"/>
    <w:pPr>
      <w:spacing w:after="120"/>
      <w:ind w:firstLine="420" w:firstLineChars="1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14</Pages>
  <Words>5405</Words>
  <Characters>5994</Characters>
  <Lines>0</Lines>
  <Paragraphs>0</Paragraphs>
  <TotalTime>3</TotalTime>
  <ScaleCrop>false</ScaleCrop>
  <LinksUpToDate>false</LinksUpToDate>
  <CharactersWithSpaces>6098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Administrator</cp:lastModifiedBy>
  <cp:lastPrinted>2023-06-29T01:04:00Z</cp:lastPrinted>
  <dcterms:modified xsi:type="dcterms:W3CDTF">2023-07-12T02:29:59Z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386772509_embed</vt:lpwstr>
  </property>
  <property fmtid="{D5CDD505-2E9C-101B-9397-08002B2CF9AE}" pid="4" name="ICV">
    <vt:lpwstr>22F6C65267154955AD5E17359874E52A_13</vt:lpwstr>
  </property>
</Properties>
</file>