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Times New Roman" w:eastAsia="仿宋_GB2312" w:cs="Times New Roman"/>
          <w:sz w:val="32"/>
          <w:szCs w:val="32"/>
        </w:rPr>
      </w:pPr>
    </w:p>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14"/>
        <w:tblW w:w="4998" w:type="pct"/>
        <w:jc w:val="center"/>
        <w:tblLayout w:type="autofit"/>
        <w:tblCellMar>
          <w:top w:w="0" w:type="dxa"/>
          <w:left w:w="108" w:type="dxa"/>
          <w:bottom w:w="0" w:type="dxa"/>
          <w:right w:w="108" w:type="dxa"/>
        </w:tblCellMar>
      </w:tblPr>
      <w:tblGrid>
        <w:gridCol w:w="3022"/>
        <w:gridCol w:w="1836"/>
        <w:gridCol w:w="2288"/>
        <w:gridCol w:w="1571"/>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97.60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119.46</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119.46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0.89</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0.87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0.89</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0.87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29.00</w:t>
            </w:r>
          </w:p>
        </w:tc>
      </w:tr>
      <w:tr>
        <w:tblPrEx>
          <w:tblCellMar>
            <w:top w:w="0" w:type="dxa"/>
            <w:left w:w="108" w:type="dxa"/>
            <w:bottom w:w="0" w:type="dxa"/>
            <w:right w:w="108" w:type="dxa"/>
          </w:tblCellMar>
        </w:tblPrEx>
        <w:trPr>
          <w:trHeight w:val="539" w:hRule="atLeast"/>
          <w:jc w:val="center"/>
        </w:trPr>
        <w:tc>
          <w:tcPr>
            <w:tcW w:w="3022"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新宋体" w:hAnsi="新宋体" w:eastAsia="新宋体" w:cs="新宋体"/>
                <w:sz w:val="21"/>
                <w:szCs w:val="21"/>
                <w:lang w:val="en-US" w:eastAsia="zh-CN"/>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16.00</w:t>
            </w:r>
          </w:p>
        </w:tc>
      </w:tr>
      <w:tr>
        <w:tblPrEx>
          <w:tblCellMar>
            <w:top w:w="0" w:type="dxa"/>
            <w:left w:w="108" w:type="dxa"/>
            <w:bottom w:w="0" w:type="dxa"/>
            <w:right w:w="108" w:type="dxa"/>
          </w:tblCellMar>
        </w:tblPrEx>
        <w:trPr>
          <w:trHeight w:val="539" w:hRule="atLeast"/>
          <w:jc w:val="center"/>
        </w:trPr>
        <w:tc>
          <w:tcPr>
            <w:tcW w:w="3022"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新宋体" w:hAnsi="新宋体" w:eastAsia="新宋体" w:cs="新宋体"/>
                <w:sz w:val="21"/>
                <w:szCs w:val="21"/>
                <w:lang w:val="en-US" w:eastAsia="zh-CN"/>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减少不必要的开支</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szCs w:val="22"/>
        </w:rPr>
        <w:t>填表人：</w:t>
      </w:r>
      <w:r>
        <w:rPr>
          <w:rFonts w:hint="eastAsia" w:eastAsia="仿宋_GB2312" w:cs="Times New Roman"/>
          <w:sz w:val="22"/>
          <w:szCs w:val="22"/>
          <w:lang w:eastAsia="zh-CN"/>
        </w:rPr>
        <w:t>高帆</w:t>
      </w:r>
      <w:r>
        <w:rPr>
          <w:rFonts w:hint="eastAsia" w:eastAsia="仿宋_GB2312" w:cs="Times New Roman"/>
          <w:sz w:val="22"/>
          <w:szCs w:val="22"/>
          <w:lang w:val="en-US" w:eastAsia="zh-CN"/>
        </w:rPr>
        <w:t xml:space="preserve">  </w:t>
      </w:r>
      <w:r>
        <w:rPr>
          <w:rFonts w:hint="default" w:ascii="Times New Roman" w:hAnsi="Times New Roman" w:eastAsia="仿宋_GB2312" w:cs="Times New Roman"/>
          <w:sz w:val="22"/>
          <w:szCs w:val="22"/>
        </w:rPr>
        <w:t>填报日期：</w:t>
      </w:r>
      <w:r>
        <w:rPr>
          <w:rFonts w:hint="eastAsia" w:eastAsia="仿宋_GB2312" w:cs="Times New Roman"/>
          <w:sz w:val="22"/>
          <w:szCs w:val="22"/>
          <w:lang w:val="en-US" w:eastAsia="zh-CN"/>
        </w:rPr>
        <w:t>2023.7.11</w:t>
      </w:r>
      <w:r>
        <w:rPr>
          <w:rFonts w:hint="default" w:ascii="Times New Roman" w:hAnsi="Times New Roman" w:eastAsia="仿宋_GB2312" w:cs="Times New Roman"/>
          <w:sz w:val="22"/>
          <w:szCs w:val="22"/>
        </w:rPr>
        <w:t xml:space="preserve">   联系电话：</w:t>
      </w:r>
      <w:r>
        <w:rPr>
          <w:rFonts w:hint="eastAsia" w:eastAsia="仿宋_GB2312" w:cs="Times New Roman"/>
          <w:sz w:val="22"/>
          <w:szCs w:val="22"/>
          <w:lang w:val="en-US" w:eastAsia="zh-CN"/>
        </w:rPr>
        <w:t>13975803806</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14"/>
        <w:tblW w:w="4998" w:type="pct"/>
        <w:jc w:val="center"/>
        <w:tblLayout w:type="fixed"/>
        <w:tblCellMar>
          <w:top w:w="0" w:type="dxa"/>
          <w:left w:w="108" w:type="dxa"/>
          <w:bottom w:w="0" w:type="dxa"/>
          <w:right w:w="108" w:type="dxa"/>
        </w:tblCellMar>
      </w:tblPr>
      <w:tblGrid>
        <w:gridCol w:w="663"/>
        <w:gridCol w:w="832"/>
        <w:gridCol w:w="927"/>
        <w:gridCol w:w="2127"/>
        <w:gridCol w:w="1282"/>
        <w:gridCol w:w="900"/>
        <w:gridCol w:w="505"/>
        <w:gridCol w:w="995"/>
        <w:gridCol w:w="486"/>
      </w:tblGrid>
      <w:tr>
        <w:tblPrEx>
          <w:tblCellMar>
            <w:top w:w="0" w:type="dxa"/>
            <w:left w:w="108" w:type="dxa"/>
            <w:bottom w:w="0" w:type="dxa"/>
            <w:right w:w="108" w:type="dxa"/>
          </w:tblCellMar>
        </w:tblPrEx>
        <w:trPr>
          <w:trHeight w:val="1003" w:hRule="atLeast"/>
          <w:jc w:val="center"/>
        </w:trPr>
        <w:tc>
          <w:tcPr>
            <w:tcW w:w="3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619"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eastAsia="仿宋_GB2312"/>
                <w:sz w:val="32"/>
                <w:szCs w:val="32"/>
                <w:u w:val="none"/>
                <w:lang w:eastAsia="zh-CN"/>
              </w:rPr>
              <w:t>华容县插旗镇财政所</w:t>
            </w:r>
          </w:p>
        </w:tc>
      </w:tr>
      <w:tr>
        <w:tblPrEx>
          <w:tblCellMar>
            <w:top w:w="0" w:type="dxa"/>
            <w:left w:w="108" w:type="dxa"/>
            <w:bottom w:w="0" w:type="dxa"/>
            <w:right w:w="108" w:type="dxa"/>
          </w:tblCellMar>
        </w:tblPrEx>
        <w:trPr>
          <w:trHeight w:val="863" w:hRule="atLeast"/>
          <w:jc w:val="center"/>
        </w:trPr>
        <w:tc>
          <w:tcPr>
            <w:tcW w:w="380"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1008"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122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73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1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28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7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27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380"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1008"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122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39.00</w:t>
            </w:r>
          </w:p>
        </w:tc>
        <w:tc>
          <w:tcPr>
            <w:tcW w:w="73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148.46</w:t>
            </w:r>
          </w:p>
        </w:tc>
        <w:tc>
          <w:tcPr>
            <w:tcW w:w="51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148.46</w:t>
            </w:r>
          </w:p>
        </w:tc>
        <w:tc>
          <w:tcPr>
            <w:tcW w:w="28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7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100.00%</w:t>
            </w:r>
          </w:p>
        </w:tc>
        <w:tc>
          <w:tcPr>
            <w:tcW w:w="27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96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165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96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119.46</w:t>
            </w:r>
          </w:p>
        </w:tc>
        <w:tc>
          <w:tcPr>
            <w:tcW w:w="165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119.46</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96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r>
              <w:rPr>
                <w:rFonts w:hint="eastAsia" w:ascii="新宋体" w:hAnsi="新宋体" w:eastAsia="新宋体" w:cs="新宋体"/>
                <w:i w:val="0"/>
                <w:iCs w:val="0"/>
                <w:color w:val="000000"/>
                <w:sz w:val="21"/>
                <w:szCs w:val="21"/>
                <w:lang w:val="en-US" w:eastAsia="zh-CN"/>
              </w:rPr>
              <w:t>29.00</w:t>
            </w:r>
          </w:p>
        </w:tc>
        <w:tc>
          <w:tcPr>
            <w:tcW w:w="165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29.00</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96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165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96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165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380"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964"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1655"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1076" w:hRule="atLeast"/>
          <w:jc w:val="center"/>
        </w:trPr>
        <w:tc>
          <w:tcPr>
            <w:tcW w:w="380"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964"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i w:val="0"/>
                <w:iCs w:val="0"/>
                <w:color w:val="000000"/>
                <w:sz w:val="21"/>
                <w:szCs w:val="21"/>
              </w:rPr>
              <w:t>1、完善管理体制和制度管理。2、完善预算编制。3、严格执行预算标准。</w:t>
            </w:r>
            <w:r>
              <w:rPr>
                <w:rFonts w:hint="eastAsia" w:ascii="新宋体" w:hAnsi="新宋体" w:eastAsia="新宋体" w:cs="新宋体"/>
                <w:i w:val="0"/>
                <w:iCs w:val="0"/>
                <w:color w:val="000000"/>
                <w:sz w:val="21"/>
                <w:szCs w:val="21"/>
                <w:lang w:val="en-US" w:eastAsia="zh-CN"/>
              </w:rPr>
              <w:t>4、</w:t>
            </w:r>
            <w:r>
              <w:rPr>
                <w:rFonts w:hint="eastAsia" w:ascii="新宋体" w:hAnsi="新宋体" w:eastAsia="新宋体" w:cs="新宋体"/>
                <w:i w:val="0"/>
                <w:iCs w:val="0"/>
                <w:color w:val="000000"/>
                <w:sz w:val="21"/>
                <w:szCs w:val="21"/>
              </w:rPr>
              <w:t>对项目建设资金的监管</w:t>
            </w:r>
            <w:r>
              <w:rPr>
                <w:rFonts w:hint="eastAsia" w:ascii="新宋体" w:hAnsi="新宋体" w:eastAsia="新宋体" w:cs="新宋体"/>
                <w:i w:val="0"/>
                <w:iCs w:val="0"/>
                <w:color w:val="000000"/>
                <w:sz w:val="21"/>
                <w:szCs w:val="21"/>
                <w:lang w:eastAsia="zh-CN"/>
              </w:rPr>
              <w:t>。</w:t>
            </w:r>
            <w:r>
              <w:rPr>
                <w:rFonts w:hint="eastAsia" w:ascii="新宋体" w:hAnsi="新宋体" w:eastAsia="新宋体" w:cs="新宋体"/>
                <w:i w:val="0"/>
                <w:iCs w:val="0"/>
                <w:color w:val="000000"/>
                <w:sz w:val="21"/>
                <w:szCs w:val="21"/>
                <w:lang w:val="en-US" w:eastAsia="zh-CN"/>
              </w:rPr>
              <w:t>5、</w:t>
            </w:r>
            <w:r>
              <w:rPr>
                <w:rFonts w:hint="eastAsia" w:ascii="新宋体" w:hAnsi="新宋体" w:eastAsia="新宋体" w:cs="新宋体"/>
                <w:i w:val="0"/>
                <w:iCs w:val="0"/>
                <w:color w:val="000000"/>
                <w:sz w:val="21"/>
                <w:szCs w:val="21"/>
              </w:rPr>
              <w:t>对镇机关基本支出经费的监管</w:t>
            </w:r>
            <w:r>
              <w:rPr>
                <w:rFonts w:hint="eastAsia" w:ascii="新宋体" w:hAnsi="新宋体" w:eastAsia="新宋体" w:cs="新宋体"/>
                <w:i w:val="0"/>
                <w:iCs w:val="0"/>
                <w:color w:val="000000"/>
                <w:sz w:val="21"/>
                <w:szCs w:val="21"/>
                <w:lang w:eastAsia="zh-CN"/>
              </w:rPr>
              <w:t>。</w:t>
            </w:r>
          </w:p>
        </w:tc>
        <w:tc>
          <w:tcPr>
            <w:tcW w:w="1655"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i w:val="0"/>
                <w:iCs w:val="0"/>
                <w:color w:val="000000"/>
                <w:sz w:val="21"/>
                <w:szCs w:val="21"/>
                <w:lang w:val="en-US" w:eastAsia="zh-CN"/>
              </w:rPr>
              <w:t>按要求已完成</w:t>
            </w:r>
          </w:p>
        </w:tc>
      </w:tr>
      <w:tr>
        <w:tblPrEx>
          <w:tblCellMar>
            <w:top w:w="0" w:type="dxa"/>
            <w:left w:w="108" w:type="dxa"/>
            <w:bottom w:w="0" w:type="dxa"/>
            <w:right w:w="108" w:type="dxa"/>
          </w:tblCellMar>
        </w:tblPrEx>
        <w:trPr>
          <w:trHeight w:val="1485" w:hRule="atLeast"/>
          <w:jc w:val="center"/>
        </w:trPr>
        <w:tc>
          <w:tcPr>
            <w:tcW w:w="38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标</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(50分)</w:t>
            </w: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tc>
        <w:tc>
          <w:tcPr>
            <w:tcW w:w="12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7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2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27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p>
        </w:tc>
        <w:tc>
          <w:tcPr>
            <w:tcW w:w="531"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tc>
        <w:tc>
          <w:tcPr>
            <w:tcW w:w="12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村会计报账</w:t>
            </w:r>
            <w:r>
              <w:rPr>
                <w:rFonts w:hint="eastAsia" w:ascii="宋体" w:hAnsi="宋体" w:eastAsia="宋体" w:cs="宋体"/>
                <w:i w:val="0"/>
                <w:iCs w:val="0"/>
                <w:color w:val="000000"/>
                <w:kern w:val="0"/>
                <w:sz w:val="22"/>
                <w:szCs w:val="22"/>
                <w:u w:val="none"/>
                <w:lang w:val="en-US" w:eastAsia="zh-CN" w:bidi="ar"/>
              </w:rPr>
              <w:t>&gt;=</w:t>
            </w:r>
            <w:r>
              <w:rPr>
                <w:rFonts w:hint="eastAsia" w:ascii="宋体" w:hAnsi="宋体" w:cs="宋体"/>
                <w:i w:val="0"/>
                <w:iCs w:val="0"/>
                <w:color w:val="000000"/>
                <w:kern w:val="0"/>
                <w:sz w:val="22"/>
                <w:szCs w:val="22"/>
                <w:u w:val="none"/>
                <w:lang w:val="en-US" w:eastAsia="zh-CN" w:bidi="ar"/>
              </w:rPr>
              <w:t>6村</w:t>
            </w:r>
          </w:p>
        </w:tc>
        <w:tc>
          <w:tcPr>
            <w:tcW w:w="7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2"/>
                <w:sz w:val="20"/>
                <w:szCs w:val="20"/>
                <w:u w:val="none"/>
                <w:lang w:val="en-US" w:eastAsia="zh-CN" w:bidi="ar-SA"/>
              </w:rPr>
              <w:t>9次</w:t>
            </w:r>
          </w:p>
        </w:tc>
        <w:tc>
          <w:tcPr>
            <w:tcW w:w="5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100%</w:t>
            </w:r>
          </w:p>
        </w:tc>
        <w:tc>
          <w:tcPr>
            <w:tcW w:w="2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w:t>
            </w:r>
          </w:p>
        </w:tc>
        <w:tc>
          <w:tcPr>
            <w:tcW w:w="5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w:t>
            </w:r>
          </w:p>
        </w:tc>
        <w:tc>
          <w:tcPr>
            <w:tcW w:w="27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329"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p>
        </w:tc>
        <w:tc>
          <w:tcPr>
            <w:tcW w:w="53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18"/>
                <w:szCs w:val="18"/>
              </w:rPr>
            </w:pPr>
          </w:p>
        </w:tc>
        <w:tc>
          <w:tcPr>
            <w:tcW w:w="12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both"/>
              <w:textAlignment w:val="center"/>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kern w:val="2"/>
                <w:sz w:val="21"/>
                <w:szCs w:val="21"/>
                <w:lang w:val="en-US" w:eastAsia="zh-CN" w:bidi="ar-SA"/>
              </w:rPr>
              <w:t>会计培训</w:t>
            </w:r>
            <w:r>
              <w:rPr>
                <w:rFonts w:hint="eastAsia" w:ascii="宋体" w:hAnsi="宋体" w:eastAsia="宋体" w:cs="宋体"/>
                <w:i w:val="0"/>
                <w:iCs w:val="0"/>
                <w:color w:val="000000"/>
                <w:kern w:val="0"/>
                <w:sz w:val="22"/>
                <w:szCs w:val="22"/>
                <w:u w:val="none"/>
                <w:lang w:val="en-US" w:eastAsia="zh-CN" w:bidi="ar"/>
              </w:rPr>
              <w:t>&gt;=</w:t>
            </w:r>
            <w:r>
              <w:rPr>
                <w:rFonts w:hint="eastAsia" w:ascii="宋体" w:hAnsi="宋体" w:cs="宋体"/>
                <w:i w:val="0"/>
                <w:iCs w:val="0"/>
                <w:color w:val="000000"/>
                <w:kern w:val="0"/>
                <w:sz w:val="22"/>
                <w:szCs w:val="22"/>
                <w:u w:val="none"/>
                <w:lang w:val="en-US" w:eastAsia="zh-CN" w:bidi="ar"/>
              </w:rPr>
              <w:t>4</w:t>
            </w:r>
          </w:p>
        </w:tc>
        <w:tc>
          <w:tcPr>
            <w:tcW w:w="7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2"/>
                <w:sz w:val="20"/>
                <w:szCs w:val="20"/>
                <w:u w:val="none"/>
                <w:lang w:val="en-US" w:eastAsia="zh-CN" w:bidi="ar-SA"/>
              </w:rPr>
              <w:t>4次</w:t>
            </w:r>
          </w:p>
        </w:tc>
        <w:tc>
          <w:tcPr>
            <w:tcW w:w="5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100%</w:t>
            </w:r>
          </w:p>
        </w:tc>
        <w:tc>
          <w:tcPr>
            <w:tcW w:w="2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w:t>
            </w:r>
          </w:p>
        </w:tc>
        <w:tc>
          <w:tcPr>
            <w:tcW w:w="5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w:t>
            </w:r>
          </w:p>
        </w:tc>
        <w:tc>
          <w:tcPr>
            <w:tcW w:w="27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78"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p>
        </w:tc>
        <w:tc>
          <w:tcPr>
            <w:tcW w:w="53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18"/>
                <w:szCs w:val="18"/>
              </w:rPr>
            </w:pPr>
          </w:p>
        </w:tc>
        <w:tc>
          <w:tcPr>
            <w:tcW w:w="12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三保工作</w:t>
            </w:r>
          </w:p>
        </w:tc>
        <w:tc>
          <w:tcPr>
            <w:tcW w:w="7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2"/>
                <w:sz w:val="20"/>
                <w:szCs w:val="20"/>
                <w:u w:val="none"/>
                <w:lang w:val="en-US" w:eastAsia="zh-CN" w:bidi="ar-SA"/>
              </w:rPr>
              <w:t>=三保工作%</w:t>
            </w:r>
          </w:p>
        </w:tc>
        <w:tc>
          <w:tcPr>
            <w:tcW w:w="5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100%</w:t>
            </w:r>
          </w:p>
        </w:tc>
        <w:tc>
          <w:tcPr>
            <w:tcW w:w="2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w:t>
            </w:r>
          </w:p>
        </w:tc>
        <w:tc>
          <w:tcPr>
            <w:tcW w:w="5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w:t>
            </w:r>
          </w:p>
        </w:tc>
        <w:tc>
          <w:tcPr>
            <w:tcW w:w="27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62"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18"/>
                <w:szCs w:val="18"/>
              </w:rPr>
            </w:pPr>
          </w:p>
        </w:tc>
        <w:tc>
          <w:tcPr>
            <w:tcW w:w="531"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质量</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tc>
        <w:tc>
          <w:tcPr>
            <w:tcW w:w="12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新宋体" w:hAnsi="新宋体" w:eastAsia="新宋体" w:cs="新宋体"/>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办公设备利用率</w:t>
            </w:r>
          </w:p>
        </w:tc>
        <w:tc>
          <w:tcPr>
            <w:tcW w:w="7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&gt;=90%</w:t>
            </w:r>
          </w:p>
        </w:tc>
        <w:tc>
          <w:tcPr>
            <w:tcW w:w="5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color w:val="000000"/>
                <w:sz w:val="21"/>
                <w:szCs w:val="21"/>
                <w:lang w:val="en-US" w:eastAsia="zh-CN"/>
              </w:rPr>
            </w:pPr>
            <w:r>
              <w:rPr>
                <w:rFonts w:hint="eastAsia" w:ascii="宋体" w:hAnsi="宋体" w:eastAsia="宋体" w:cs="宋体"/>
                <w:i w:val="0"/>
                <w:iCs w:val="0"/>
                <w:color w:val="000000"/>
                <w:kern w:val="0"/>
                <w:sz w:val="20"/>
                <w:szCs w:val="20"/>
                <w:u w:val="none"/>
                <w:lang w:val="en-US" w:eastAsia="zh-CN" w:bidi="ar"/>
              </w:rPr>
              <w:t>100%</w:t>
            </w:r>
          </w:p>
        </w:tc>
        <w:tc>
          <w:tcPr>
            <w:tcW w:w="2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i w:val="0"/>
                <w:iCs w:val="0"/>
                <w:color w:val="000000"/>
                <w:kern w:val="2"/>
                <w:sz w:val="21"/>
                <w:szCs w:val="21"/>
                <w:lang w:val="en-US" w:eastAsia="zh-CN" w:bidi="ar-SA"/>
              </w:rPr>
            </w:pPr>
            <w:r>
              <w:rPr>
                <w:rFonts w:hint="eastAsia" w:ascii="新宋体" w:hAnsi="新宋体" w:eastAsia="新宋体" w:cs="新宋体"/>
                <w:i w:val="0"/>
                <w:iCs w:val="0"/>
                <w:color w:val="000000"/>
                <w:sz w:val="21"/>
                <w:szCs w:val="21"/>
                <w:lang w:val="en-US" w:eastAsia="zh-CN"/>
              </w:rPr>
              <w:t>5</w:t>
            </w:r>
          </w:p>
        </w:tc>
        <w:tc>
          <w:tcPr>
            <w:tcW w:w="27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62"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1" w:type="pct"/>
            <w:vMerge w:val="continue"/>
            <w:tcBorders>
              <w:top w:val="single" w:color="auto" w:sz="4" w:space="0"/>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2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新宋体" w:hAnsi="新宋体" w:eastAsia="新宋体" w:cs="新宋体"/>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考核指标对标对表率</w:t>
            </w:r>
          </w:p>
        </w:tc>
        <w:tc>
          <w:tcPr>
            <w:tcW w:w="7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&gt;=90%</w:t>
            </w:r>
          </w:p>
        </w:tc>
        <w:tc>
          <w:tcPr>
            <w:tcW w:w="5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color w:val="000000"/>
                <w:sz w:val="21"/>
                <w:szCs w:val="21"/>
                <w:lang w:val="en-US" w:eastAsia="zh-CN"/>
              </w:rPr>
            </w:pPr>
            <w:r>
              <w:rPr>
                <w:rFonts w:hint="eastAsia" w:ascii="宋体" w:hAnsi="宋体" w:eastAsia="宋体" w:cs="宋体"/>
                <w:i w:val="0"/>
                <w:iCs w:val="0"/>
                <w:color w:val="000000"/>
                <w:kern w:val="0"/>
                <w:sz w:val="20"/>
                <w:szCs w:val="20"/>
                <w:u w:val="none"/>
                <w:lang w:val="en-US" w:eastAsia="zh-CN" w:bidi="ar"/>
              </w:rPr>
              <w:t>100%</w:t>
            </w:r>
          </w:p>
        </w:tc>
        <w:tc>
          <w:tcPr>
            <w:tcW w:w="2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i w:val="0"/>
                <w:iCs w:val="0"/>
                <w:color w:val="000000"/>
                <w:kern w:val="2"/>
                <w:sz w:val="21"/>
                <w:szCs w:val="21"/>
                <w:lang w:val="en-US" w:eastAsia="zh-CN" w:bidi="ar-SA"/>
              </w:rPr>
            </w:pPr>
            <w:r>
              <w:rPr>
                <w:rFonts w:hint="eastAsia" w:ascii="新宋体" w:hAnsi="新宋体" w:eastAsia="新宋体" w:cs="新宋体"/>
                <w:i w:val="0"/>
                <w:iCs w:val="0"/>
                <w:color w:val="000000"/>
                <w:sz w:val="21"/>
                <w:szCs w:val="21"/>
                <w:lang w:val="en-US" w:eastAsia="zh-CN"/>
              </w:rPr>
              <w:t>5</w:t>
            </w:r>
          </w:p>
        </w:tc>
        <w:tc>
          <w:tcPr>
            <w:tcW w:w="27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60"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1"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2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新宋体" w:hAnsi="新宋体" w:eastAsia="新宋体" w:cs="新宋体"/>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完成工作及时率</w:t>
            </w:r>
          </w:p>
        </w:tc>
        <w:tc>
          <w:tcPr>
            <w:tcW w:w="7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&gt;=98%</w:t>
            </w:r>
          </w:p>
        </w:tc>
        <w:tc>
          <w:tcPr>
            <w:tcW w:w="5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2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5</w:t>
            </w:r>
          </w:p>
        </w:tc>
        <w:tc>
          <w:tcPr>
            <w:tcW w:w="5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i w:val="0"/>
                <w:iCs w:val="0"/>
                <w:color w:val="000000"/>
                <w:kern w:val="2"/>
                <w:sz w:val="21"/>
                <w:szCs w:val="21"/>
                <w:lang w:val="en-US" w:eastAsia="zh-CN" w:bidi="ar-SA"/>
              </w:rPr>
            </w:pPr>
            <w:r>
              <w:rPr>
                <w:rFonts w:hint="eastAsia" w:ascii="新宋体" w:hAnsi="新宋体" w:eastAsia="新宋体" w:cs="新宋体"/>
                <w:i w:val="0"/>
                <w:iCs w:val="0"/>
                <w:color w:val="000000"/>
                <w:sz w:val="21"/>
                <w:szCs w:val="21"/>
                <w:lang w:val="en-US" w:eastAsia="zh-CN"/>
              </w:rPr>
              <w:t>5</w:t>
            </w:r>
          </w:p>
        </w:tc>
        <w:tc>
          <w:tcPr>
            <w:tcW w:w="27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p>
        </w:tc>
      </w:tr>
      <w:tr>
        <w:tblPrEx>
          <w:tblCellMar>
            <w:top w:w="0" w:type="dxa"/>
            <w:left w:w="108" w:type="dxa"/>
            <w:bottom w:w="0" w:type="dxa"/>
            <w:right w:w="108" w:type="dxa"/>
          </w:tblCellMar>
        </w:tblPrEx>
        <w:trPr>
          <w:trHeight w:val="462"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2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FangSong_GB2312" w:cs="Times New Roman"/>
                <w:color w:val="000000"/>
                <w:kern w:val="0"/>
                <w:sz w:val="21"/>
                <w:szCs w:val="21"/>
                <w:lang w:val="en-US" w:eastAsia="zh-CN" w:bidi="ar-SA"/>
              </w:rPr>
            </w:pPr>
            <w:r>
              <w:rPr>
                <w:rFonts w:hint="eastAsia" w:eastAsia="FangSong_GB2312"/>
                <w:color w:val="000000"/>
                <w:kern w:val="0"/>
                <w:szCs w:val="21"/>
              </w:rPr>
              <w:t>年度内完成</w:t>
            </w:r>
          </w:p>
        </w:tc>
        <w:tc>
          <w:tcPr>
            <w:tcW w:w="7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i w:val="0"/>
                <w:iCs w:val="0"/>
                <w:color w:val="000000"/>
                <w:kern w:val="2"/>
                <w:sz w:val="21"/>
                <w:szCs w:val="21"/>
                <w:lang w:val="en-US" w:eastAsia="zh-CN" w:bidi="ar-SA"/>
              </w:rPr>
            </w:pPr>
            <w:r>
              <w:rPr>
                <w:rFonts w:hint="default" w:eastAsia="FangSong_GB2312"/>
                <w:color w:val="000000"/>
                <w:kern w:val="0"/>
                <w:szCs w:val="21"/>
              </w:rPr>
              <w:t>2022</w:t>
            </w:r>
            <w:r>
              <w:rPr>
                <w:rFonts w:hint="eastAsia" w:eastAsia="FangSong_GB2312"/>
                <w:color w:val="000000"/>
                <w:kern w:val="0"/>
                <w:szCs w:val="21"/>
              </w:rPr>
              <w:t>年完成</w:t>
            </w:r>
          </w:p>
        </w:tc>
        <w:tc>
          <w:tcPr>
            <w:tcW w:w="5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i w:val="0"/>
                <w:iCs w:val="0"/>
                <w:color w:val="000000"/>
                <w:sz w:val="21"/>
                <w:szCs w:val="21"/>
                <w:lang w:val="en-US" w:eastAsia="zh-CN"/>
              </w:rPr>
            </w:pPr>
            <w:r>
              <w:rPr>
                <w:rFonts w:hint="eastAsia" w:ascii="宋体" w:hAnsi="宋体" w:eastAsia="宋体" w:cs="宋体"/>
                <w:i w:val="0"/>
                <w:iCs w:val="0"/>
                <w:color w:val="000000"/>
                <w:kern w:val="0"/>
                <w:sz w:val="20"/>
                <w:szCs w:val="20"/>
                <w:u w:val="none"/>
                <w:lang w:val="en-US" w:eastAsia="zh-CN" w:bidi="ar"/>
              </w:rPr>
              <w:t>100%</w:t>
            </w:r>
          </w:p>
        </w:tc>
        <w:tc>
          <w:tcPr>
            <w:tcW w:w="2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　</w:t>
            </w:r>
          </w:p>
        </w:tc>
        <w:tc>
          <w:tcPr>
            <w:tcW w:w="5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　</w:t>
            </w:r>
          </w:p>
        </w:tc>
        <w:tc>
          <w:tcPr>
            <w:tcW w:w="27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62"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1"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2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基本支出</w:t>
            </w:r>
          </w:p>
        </w:tc>
        <w:tc>
          <w:tcPr>
            <w:tcW w:w="7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119.46万元　</w:t>
            </w:r>
          </w:p>
        </w:tc>
        <w:tc>
          <w:tcPr>
            <w:tcW w:w="5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i w:val="0"/>
                <w:iCs w:val="0"/>
                <w:color w:val="000000"/>
                <w:kern w:val="2"/>
                <w:sz w:val="21"/>
                <w:szCs w:val="21"/>
                <w:lang w:val="en-US" w:eastAsia="zh-CN" w:bidi="ar-SA"/>
              </w:rPr>
            </w:pPr>
            <w:r>
              <w:rPr>
                <w:rFonts w:hint="eastAsia" w:ascii="新宋体" w:hAnsi="新宋体" w:eastAsia="新宋体" w:cs="新宋体"/>
                <w:i w:val="0"/>
                <w:iCs w:val="0"/>
                <w:color w:val="000000"/>
                <w:sz w:val="21"/>
                <w:szCs w:val="21"/>
                <w:lang w:val="en-US" w:eastAsia="zh-CN"/>
              </w:rPr>
              <w:t>100%　</w:t>
            </w:r>
          </w:p>
        </w:tc>
        <w:tc>
          <w:tcPr>
            <w:tcW w:w="2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i w:val="0"/>
                <w:iCs w:val="0"/>
                <w:color w:val="000000"/>
                <w:kern w:val="2"/>
                <w:sz w:val="21"/>
                <w:szCs w:val="21"/>
                <w:lang w:val="en-US" w:eastAsia="zh-CN" w:bidi="ar-SA"/>
              </w:rPr>
            </w:pPr>
            <w:r>
              <w:rPr>
                <w:rFonts w:hint="eastAsia" w:ascii="新宋体" w:hAnsi="新宋体" w:eastAsia="新宋体" w:cs="新宋体"/>
                <w:i w:val="0"/>
                <w:iCs w:val="0"/>
                <w:color w:val="000000"/>
                <w:sz w:val="21"/>
                <w:szCs w:val="21"/>
                <w:lang w:val="en-US" w:eastAsia="zh-CN"/>
              </w:rPr>
              <w:t>5　</w:t>
            </w:r>
          </w:p>
        </w:tc>
        <w:tc>
          <w:tcPr>
            <w:tcW w:w="5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i w:val="0"/>
                <w:iCs w:val="0"/>
                <w:color w:val="000000"/>
                <w:kern w:val="2"/>
                <w:sz w:val="21"/>
                <w:szCs w:val="21"/>
                <w:lang w:val="en-US" w:eastAsia="zh-CN" w:bidi="ar-SA"/>
              </w:rPr>
            </w:pPr>
            <w:r>
              <w:rPr>
                <w:rFonts w:hint="eastAsia" w:ascii="新宋体" w:hAnsi="新宋体" w:eastAsia="新宋体" w:cs="新宋体"/>
                <w:i w:val="0"/>
                <w:iCs w:val="0"/>
                <w:color w:val="000000"/>
                <w:sz w:val="21"/>
                <w:szCs w:val="21"/>
                <w:lang w:val="en-US" w:eastAsia="zh-CN"/>
              </w:rPr>
              <w:t>5　</w:t>
            </w:r>
          </w:p>
        </w:tc>
        <w:tc>
          <w:tcPr>
            <w:tcW w:w="27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62"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1"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2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项目支出</w:t>
            </w:r>
          </w:p>
        </w:tc>
        <w:tc>
          <w:tcPr>
            <w:tcW w:w="7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29.00万元</w:t>
            </w:r>
          </w:p>
        </w:tc>
        <w:tc>
          <w:tcPr>
            <w:tcW w:w="5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100%</w:t>
            </w:r>
          </w:p>
        </w:tc>
        <w:tc>
          <w:tcPr>
            <w:tcW w:w="2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w:t>
            </w:r>
          </w:p>
        </w:tc>
        <w:tc>
          <w:tcPr>
            <w:tcW w:w="5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w:t>
            </w:r>
          </w:p>
        </w:tc>
        <w:tc>
          <w:tcPr>
            <w:tcW w:w="27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p>
        </w:tc>
      </w:tr>
      <w:tr>
        <w:tblPrEx>
          <w:tblCellMar>
            <w:top w:w="0" w:type="dxa"/>
            <w:left w:w="108" w:type="dxa"/>
            <w:bottom w:w="0" w:type="dxa"/>
            <w:right w:w="108" w:type="dxa"/>
          </w:tblCellMar>
        </w:tblPrEx>
        <w:trPr>
          <w:trHeight w:val="2682" w:hRule="atLeast"/>
          <w:jc w:val="center"/>
        </w:trPr>
        <w:tc>
          <w:tcPr>
            <w:tcW w:w="380"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2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指标</w:t>
            </w:r>
          </w:p>
        </w:tc>
        <w:tc>
          <w:tcPr>
            <w:tcW w:w="7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指标值</w:t>
            </w:r>
          </w:p>
        </w:tc>
        <w:tc>
          <w:tcPr>
            <w:tcW w:w="5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完成值</w:t>
            </w:r>
          </w:p>
        </w:tc>
        <w:tc>
          <w:tcPr>
            <w:tcW w:w="2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分值</w:t>
            </w:r>
          </w:p>
        </w:tc>
        <w:tc>
          <w:tcPr>
            <w:tcW w:w="5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得分</w:t>
            </w:r>
          </w:p>
        </w:tc>
        <w:tc>
          <w:tcPr>
            <w:tcW w:w="27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偏差原因分析及改进措施</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2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新宋体" w:hAnsi="新宋体" w:eastAsia="新宋体" w:cs="新宋体"/>
                <w:i w:val="0"/>
                <w:iCs w:val="0"/>
                <w:color w:val="000000"/>
                <w:sz w:val="21"/>
                <w:szCs w:val="21"/>
                <w:lang w:val="en-US" w:eastAsia="zh-CN"/>
              </w:rPr>
            </w:pPr>
            <w:r>
              <w:rPr>
                <w:rFonts w:hint="eastAsia" w:eastAsia="FangSong_GB2312"/>
                <w:color w:val="000000"/>
                <w:kern w:val="0"/>
                <w:szCs w:val="21"/>
              </w:rPr>
              <w:t>助推</w:t>
            </w:r>
            <w:r>
              <w:rPr>
                <w:rFonts w:hint="eastAsia" w:eastAsia="FangSong_GB2312"/>
                <w:color w:val="000000"/>
                <w:kern w:val="0"/>
                <w:szCs w:val="21"/>
                <w:lang w:eastAsia="zh-CN"/>
              </w:rPr>
              <w:t>插旗</w:t>
            </w:r>
            <w:r>
              <w:rPr>
                <w:rFonts w:hint="eastAsia" w:eastAsia="FangSong_GB2312"/>
                <w:color w:val="000000"/>
                <w:kern w:val="0"/>
                <w:szCs w:val="21"/>
              </w:rPr>
              <w:t>经济发展</w:t>
            </w:r>
          </w:p>
        </w:tc>
        <w:tc>
          <w:tcPr>
            <w:tcW w:w="7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新宋体" w:hAnsi="新宋体" w:eastAsia="新宋体" w:cs="新宋体"/>
                <w:i w:val="0"/>
                <w:iCs w:val="0"/>
                <w:color w:val="000000"/>
                <w:sz w:val="21"/>
                <w:szCs w:val="21"/>
                <w:lang w:val="en-US" w:eastAsia="zh-CN"/>
              </w:rPr>
            </w:pPr>
            <w:r>
              <w:rPr>
                <w:rFonts w:hint="eastAsia" w:eastAsia="FangSong_GB2312"/>
                <w:color w:val="000000"/>
                <w:kern w:val="0"/>
                <w:szCs w:val="21"/>
              </w:rPr>
              <w:t>效果明显</w:t>
            </w:r>
          </w:p>
        </w:tc>
        <w:tc>
          <w:tcPr>
            <w:tcW w:w="5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新宋体" w:hAnsi="新宋体" w:eastAsia="新宋体" w:cs="新宋体"/>
                <w:i w:val="0"/>
                <w:iCs w:val="0"/>
                <w:color w:val="000000"/>
                <w:sz w:val="21"/>
                <w:szCs w:val="21"/>
                <w:lang w:val="en-US" w:eastAsia="zh-CN"/>
              </w:rPr>
            </w:pPr>
            <w:r>
              <w:rPr>
                <w:rFonts w:hint="eastAsia" w:eastAsia="FangSong_GB2312"/>
                <w:color w:val="000000"/>
                <w:kern w:val="0"/>
                <w:szCs w:val="21"/>
              </w:rPr>
              <w:t>效果明显</w:t>
            </w:r>
          </w:p>
        </w:tc>
        <w:tc>
          <w:tcPr>
            <w:tcW w:w="2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　</w:t>
            </w:r>
          </w:p>
        </w:tc>
        <w:tc>
          <w:tcPr>
            <w:tcW w:w="5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　</w:t>
            </w:r>
          </w:p>
        </w:tc>
        <w:tc>
          <w:tcPr>
            <w:tcW w:w="27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1347"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220"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新宋体" w:hAnsi="新宋体" w:eastAsia="新宋体" w:cs="新宋体"/>
                <w:i w:val="0"/>
                <w:iCs w:val="0"/>
                <w:color w:val="000000"/>
                <w:sz w:val="21"/>
                <w:szCs w:val="21"/>
                <w:lang w:val="en-US" w:eastAsia="zh-CN"/>
              </w:rPr>
            </w:pPr>
            <w:r>
              <w:rPr>
                <w:rFonts w:hint="eastAsia" w:eastAsia="FangSong_GB2312"/>
                <w:color w:val="000000"/>
                <w:kern w:val="0"/>
                <w:szCs w:val="21"/>
              </w:rPr>
              <w:t>做好“三保”工作，维护</w:t>
            </w:r>
            <w:r>
              <w:rPr>
                <w:rFonts w:hint="eastAsia" w:eastAsia="FangSong_GB2312"/>
                <w:color w:val="000000"/>
                <w:kern w:val="0"/>
                <w:szCs w:val="21"/>
                <w:lang w:eastAsia="zh-CN"/>
              </w:rPr>
              <w:t>插旗</w:t>
            </w:r>
            <w:r>
              <w:rPr>
                <w:rFonts w:hint="eastAsia" w:eastAsia="FangSong_GB2312"/>
                <w:color w:val="000000"/>
                <w:kern w:val="0"/>
                <w:szCs w:val="21"/>
              </w:rPr>
              <w:t>经济社会发展大局稳定。</w:t>
            </w:r>
          </w:p>
        </w:tc>
        <w:tc>
          <w:tcPr>
            <w:tcW w:w="73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新宋体" w:hAnsi="新宋体" w:eastAsia="新宋体" w:cs="新宋体"/>
                <w:i w:val="0"/>
                <w:iCs w:val="0"/>
                <w:color w:val="000000"/>
                <w:sz w:val="21"/>
                <w:szCs w:val="21"/>
                <w:lang w:val="en-US" w:eastAsia="zh-CN"/>
              </w:rPr>
            </w:pPr>
            <w:r>
              <w:rPr>
                <w:rFonts w:hint="eastAsia" w:eastAsia="FangSong_GB2312"/>
                <w:color w:val="000000"/>
                <w:kern w:val="0"/>
                <w:szCs w:val="21"/>
              </w:rPr>
              <w:t>做好“三保”工作，维护</w:t>
            </w:r>
            <w:r>
              <w:rPr>
                <w:rFonts w:hint="eastAsia" w:eastAsia="FangSong_GB2312"/>
                <w:color w:val="000000"/>
                <w:kern w:val="0"/>
                <w:szCs w:val="21"/>
                <w:lang w:eastAsia="zh-CN"/>
              </w:rPr>
              <w:t>插旗</w:t>
            </w:r>
            <w:r>
              <w:rPr>
                <w:rFonts w:hint="eastAsia" w:eastAsia="FangSong_GB2312"/>
                <w:color w:val="000000"/>
                <w:kern w:val="0"/>
                <w:szCs w:val="21"/>
              </w:rPr>
              <w:t>经济社会发展大局稳定。</w:t>
            </w:r>
          </w:p>
        </w:tc>
        <w:tc>
          <w:tcPr>
            <w:tcW w:w="5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100%</w:t>
            </w:r>
          </w:p>
        </w:tc>
        <w:tc>
          <w:tcPr>
            <w:tcW w:w="28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　</w:t>
            </w:r>
          </w:p>
        </w:tc>
        <w:tc>
          <w:tcPr>
            <w:tcW w:w="57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　</w:t>
            </w:r>
          </w:p>
        </w:tc>
        <w:tc>
          <w:tcPr>
            <w:tcW w:w="27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22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人居环境得到改善</w:t>
            </w:r>
          </w:p>
        </w:tc>
        <w:tc>
          <w:tcPr>
            <w:tcW w:w="73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=人居环境得到改善%　</w:t>
            </w:r>
          </w:p>
        </w:tc>
        <w:tc>
          <w:tcPr>
            <w:tcW w:w="5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100%　</w:t>
            </w:r>
          </w:p>
        </w:tc>
        <w:tc>
          <w:tcPr>
            <w:tcW w:w="28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　</w:t>
            </w:r>
          </w:p>
        </w:tc>
        <w:tc>
          <w:tcPr>
            <w:tcW w:w="57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　</w:t>
            </w:r>
          </w:p>
        </w:tc>
        <w:tc>
          <w:tcPr>
            <w:tcW w:w="27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12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全镇经济发展</w:t>
            </w:r>
          </w:p>
        </w:tc>
        <w:tc>
          <w:tcPr>
            <w:tcW w:w="7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=促进全镇经济发展%</w:t>
            </w:r>
          </w:p>
        </w:tc>
        <w:tc>
          <w:tcPr>
            <w:tcW w:w="5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全镇经济发展</w:t>
            </w:r>
          </w:p>
        </w:tc>
        <w:tc>
          <w:tcPr>
            <w:tcW w:w="2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　</w:t>
            </w:r>
          </w:p>
        </w:tc>
        <w:tc>
          <w:tcPr>
            <w:tcW w:w="5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　</w:t>
            </w:r>
          </w:p>
        </w:tc>
        <w:tc>
          <w:tcPr>
            <w:tcW w:w="27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7" w:type="pct"/>
            <w:tcBorders>
              <w:top w:val="single" w:color="auto" w:sz="4" w:space="0"/>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531" w:type="pct"/>
            <w:tcBorders>
              <w:top w:val="single" w:color="auto" w:sz="4" w:space="0"/>
              <w:left w:val="nil"/>
              <w:right w:val="single" w:color="auto"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新宋体" w:hAnsi="新宋体" w:eastAsia="新宋体" w:cs="新宋体"/>
                <w:color w:val="000000"/>
                <w:sz w:val="21"/>
                <w:szCs w:val="21"/>
              </w:rPr>
            </w:pPr>
            <w:r>
              <w:rPr>
                <w:rFonts w:hint="eastAsia" w:ascii="宋体" w:hAnsi="宋体" w:eastAsia="宋体" w:cs="宋体"/>
                <w:i w:val="0"/>
                <w:iCs w:val="0"/>
                <w:color w:val="000000"/>
                <w:kern w:val="0"/>
                <w:sz w:val="22"/>
                <w:szCs w:val="22"/>
                <w:u w:val="none"/>
                <w:lang w:val="en-US" w:eastAsia="zh-CN" w:bidi="ar"/>
              </w:rPr>
              <w:t>社会公众满意度</w:t>
            </w:r>
          </w:p>
        </w:tc>
        <w:tc>
          <w:tcPr>
            <w:tcW w:w="1220"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i w:val="0"/>
                <w:iCs w:val="0"/>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&gt;=95%</w:t>
            </w:r>
          </w:p>
        </w:tc>
        <w:tc>
          <w:tcPr>
            <w:tcW w:w="73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c>
          <w:tcPr>
            <w:tcW w:w="5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90%　</w:t>
            </w:r>
          </w:p>
        </w:tc>
        <w:tc>
          <w:tcPr>
            <w:tcW w:w="28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　</w:t>
            </w:r>
          </w:p>
        </w:tc>
        <w:tc>
          <w:tcPr>
            <w:tcW w:w="57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8　</w:t>
            </w:r>
          </w:p>
        </w:tc>
        <w:tc>
          <w:tcPr>
            <w:tcW w:w="27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89" w:hRule="atLeast"/>
          <w:jc w:val="center"/>
        </w:trPr>
        <w:tc>
          <w:tcPr>
            <w:tcW w:w="3860"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28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7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27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10"/>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填表人：</w:t>
      </w:r>
      <w:r>
        <w:rPr>
          <w:rFonts w:hint="eastAsia" w:eastAsia="仿宋_GB2312" w:cs="Times New Roman"/>
          <w:sz w:val="22"/>
          <w:szCs w:val="22"/>
          <w:lang w:eastAsia="zh-CN"/>
        </w:rPr>
        <w:t>高帆</w:t>
      </w:r>
      <w:r>
        <w:rPr>
          <w:rFonts w:hint="eastAsia" w:eastAsia="仿宋_GB2312" w:cs="Times New Roman"/>
          <w:sz w:val="22"/>
          <w:szCs w:val="22"/>
          <w:lang w:val="en-US" w:eastAsia="zh-CN"/>
        </w:rPr>
        <w:t xml:space="preserve">  </w:t>
      </w:r>
      <w:r>
        <w:rPr>
          <w:rFonts w:hint="default" w:ascii="Times New Roman" w:hAnsi="Times New Roman" w:eastAsia="仿宋_GB2312" w:cs="Times New Roman"/>
          <w:sz w:val="22"/>
          <w:szCs w:val="22"/>
        </w:rPr>
        <w:t>填报日期：</w:t>
      </w:r>
      <w:r>
        <w:rPr>
          <w:rFonts w:hint="eastAsia" w:eastAsia="仿宋_GB2312" w:cs="Times New Roman"/>
          <w:sz w:val="22"/>
          <w:szCs w:val="22"/>
          <w:lang w:val="en-US" w:eastAsia="zh-CN"/>
        </w:rPr>
        <w:t>2023.7.11</w:t>
      </w:r>
      <w:r>
        <w:rPr>
          <w:rFonts w:hint="default" w:ascii="Times New Roman" w:hAnsi="Times New Roman" w:eastAsia="仿宋_GB2312" w:cs="Times New Roman"/>
          <w:sz w:val="22"/>
          <w:szCs w:val="22"/>
        </w:rPr>
        <w:t xml:space="preserve">   联系电话：</w:t>
      </w:r>
      <w:r>
        <w:rPr>
          <w:rFonts w:hint="eastAsia" w:eastAsia="仿宋_GB2312" w:cs="Times New Roman"/>
          <w:sz w:val="22"/>
          <w:szCs w:val="22"/>
          <w:lang w:val="en-US" w:eastAsia="zh-CN"/>
        </w:rPr>
        <w:t>13975803806</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华容县插旗镇财政所</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华容县插旗镇财政所：</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11</w:t>
      </w:r>
      <w:r>
        <w:rPr>
          <w:rFonts w:hint="default" w:ascii="Times New Roman" w:hAnsi="Times New Roman" w:eastAsia="楷体_GB2312" w:cs="Times New Roman"/>
          <w:sz w:val="32"/>
          <w:szCs w:val="32"/>
        </w:rPr>
        <w:t>日</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华容县插旗镇财政所</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spacing w:line="540" w:lineRule="exact"/>
        <w:ind w:firstLine="640" w:firstLineChars="200"/>
        <w:rPr>
          <w:rFonts w:hint="default" w:ascii="Times New Roman" w:hAnsi="Times New Roman" w:eastAsia="仿宋_GB2312" w:cs="Times New Roman"/>
          <w:sz w:val="32"/>
          <w:szCs w:val="32"/>
        </w:rPr>
      </w:pPr>
      <w:r>
        <w:rPr>
          <w:rFonts w:hint="eastAsia" w:ascii="仿宋" w:hAnsi="仿宋" w:eastAsia="仿宋" w:cs="仿宋"/>
          <w:sz w:val="32"/>
          <w:szCs w:val="32"/>
        </w:rPr>
        <w:t>根据《华容县财政局关于开展202</w:t>
      </w:r>
      <w:r>
        <w:rPr>
          <w:rFonts w:hint="eastAsia" w:ascii="仿宋" w:hAnsi="仿宋" w:eastAsia="仿宋" w:cs="仿宋"/>
          <w:sz w:val="32"/>
          <w:szCs w:val="32"/>
          <w:lang w:val="en-US" w:eastAsia="zh-CN"/>
        </w:rPr>
        <w:t>2</w:t>
      </w:r>
      <w:r>
        <w:rPr>
          <w:rFonts w:hint="eastAsia" w:ascii="仿宋" w:hAnsi="仿宋" w:eastAsia="仿宋" w:cs="仿宋"/>
          <w:sz w:val="32"/>
          <w:szCs w:val="32"/>
        </w:rPr>
        <w:t>年度部门整体支出绩效自评工作的通知》（华财函〔202</w:t>
      </w: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仿宋" w:cs="仿宋"/>
          <w:sz w:val="32"/>
          <w:szCs w:val="32"/>
          <w:lang w:val="en-US" w:eastAsia="zh-CN"/>
        </w:rPr>
        <w:t>63</w:t>
      </w:r>
      <w:r>
        <w:rPr>
          <w:rFonts w:hint="eastAsia" w:ascii="仿宋" w:hAnsi="仿宋" w:eastAsia="仿宋" w:cs="仿宋"/>
          <w:sz w:val="32"/>
          <w:szCs w:val="32"/>
        </w:rPr>
        <w:t>号）的相关规定和要求，现对我</w:t>
      </w:r>
      <w:r>
        <w:rPr>
          <w:rFonts w:hint="eastAsia" w:ascii="仿宋" w:hAnsi="仿宋" w:eastAsia="仿宋" w:cs="仿宋"/>
          <w:sz w:val="32"/>
          <w:szCs w:val="32"/>
          <w:lang w:eastAsia="zh-CN"/>
        </w:rPr>
        <w:t>部门</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年度整体支出开展绩效自评，现将情况汇报如下：</w:t>
      </w:r>
    </w:p>
    <w:p>
      <w:pPr>
        <w:keepNext w:val="0"/>
        <w:keepLines w:val="0"/>
        <w:pageBreakBefore w:val="0"/>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spacing w:line="560" w:lineRule="exact"/>
        <w:ind w:firstLine="420" w:firstLineChars="200"/>
        <w:rPr>
          <w:rFonts w:ascii="仿宋" w:hAnsi="仿宋" w:eastAsia="仿宋" w:cs="仿宋"/>
          <w:bCs/>
          <w:sz w:val="32"/>
          <w:szCs w:val="32"/>
        </w:rPr>
      </w:pPr>
      <w:r>
        <w:rPr>
          <w:rFonts w:hint="eastAsia"/>
          <w:lang w:val="en-US" w:eastAsia="zh-CN"/>
        </w:rPr>
        <w:t xml:space="preserve">  </w:t>
      </w: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华容县插旗镇人民财政所</w:t>
      </w:r>
      <w:r>
        <w:rPr>
          <w:rFonts w:hint="eastAsia" w:ascii="仿宋" w:hAnsi="仿宋" w:eastAsia="仿宋" w:cs="仿宋"/>
          <w:sz w:val="32"/>
          <w:szCs w:val="32"/>
        </w:rPr>
        <w:t>共有</w:t>
      </w:r>
      <w:r>
        <w:rPr>
          <w:rFonts w:hint="eastAsia" w:ascii="仿宋" w:hAnsi="仿宋" w:eastAsia="仿宋" w:cs="仿宋"/>
          <w:sz w:val="32"/>
          <w:szCs w:val="32"/>
          <w:lang w:eastAsia="zh-CN"/>
        </w:rPr>
        <w:t>财政所</w:t>
      </w:r>
      <w:r>
        <w:rPr>
          <w:rFonts w:hint="eastAsia" w:ascii="仿宋" w:hAnsi="仿宋" w:eastAsia="仿宋" w:cs="仿宋"/>
          <w:sz w:val="32"/>
          <w:szCs w:val="32"/>
          <w:lang w:val="en-US" w:eastAsia="zh-CN"/>
        </w:rPr>
        <w:t>1</w:t>
      </w:r>
      <w:r>
        <w:rPr>
          <w:rFonts w:hint="eastAsia" w:ascii="仿宋" w:hAnsi="仿宋" w:eastAsia="仿宋" w:cs="仿宋"/>
          <w:sz w:val="32"/>
          <w:szCs w:val="32"/>
        </w:rPr>
        <w:t>个独立核算工作机构。现有人员编制</w:t>
      </w:r>
      <w:r>
        <w:rPr>
          <w:rFonts w:hint="eastAsia" w:ascii="仿宋" w:hAnsi="仿宋" w:eastAsia="仿宋" w:cs="仿宋"/>
          <w:sz w:val="32"/>
          <w:szCs w:val="32"/>
          <w:lang w:val="en-US" w:eastAsia="zh-CN"/>
        </w:rPr>
        <w:t>5</w:t>
      </w:r>
      <w:r>
        <w:rPr>
          <w:rFonts w:hint="eastAsia" w:ascii="仿宋" w:hAnsi="仿宋" w:eastAsia="仿宋" w:cs="仿宋"/>
          <w:sz w:val="32"/>
          <w:szCs w:val="32"/>
        </w:rPr>
        <w:t>名（其中：行政编制</w:t>
      </w:r>
      <w:r>
        <w:rPr>
          <w:rFonts w:hint="eastAsia" w:ascii="仿宋" w:hAnsi="仿宋" w:eastAsia="仿宋" w:cs="仿宋"/>
          <w:sz w:val="32"/>
          <w:szCs w:val="32"/>
          <w:lang w:val="en-US" w:eastAsia="zh-CN"/>
        </w:rPr>
        <w:t>1</w:t>
      </w:r>
      <w:r>
        <w:rPr>
          <w:rFonts w:hint="eastAsia" w:ascii="仿宋" w:hAnsi="仿宋" w:eastAsia="仿宋" w:cs="仿宋"/>
          <w:sz w:val="32"/>
          <w:szCs w:val="32"/>
        </w:rPr>
        <w:t>名，事业全额编制</w:t>
      </w:r>
      <w:r>
        <w:rPr>
          <w:rFonts w:hint="eastAsia" w:ascii="仿宋" w:hAnsi="仿宋" w:eastAsia="仿宋" w:cs="仿宋"/>
          <w:sz w:val="32"/>
          <w:szCs w:val="32"/>
          <w:lang w:val="en-US" w:eastAsia="zh-CN"/>
        </w:rPr>
        <w:t>4</w:t>
      </w:r>
      <w:r>
        <w:rPr>
          <w:rFonts w:hint="eastAsia" w:ascii="仿宋" w:hAnsi="仿宋" w:eastAsia="仿宋" w:cs="仿宋"/>
          <w:sz w:val="32"/>
          <w:szCs w:val="32"/>
        </w:rPr>
        <w:t>名），实有在职干部、职工</w:t>
      </w:r>
      <w:r>
        <w:rPr>
          <w:rFonts w:hint="eastAsia" w:ascii="仿宋" w:hAnsi="仿宋" w:eastAsia="仿宋" w:cs="仿宋"/>
          <w:sz w:val="32"/>
          <w:szCs w:val="32"/>
          <w:lang w:val="en-US" w:eastAsia="zh-CN"/>
        </w:rPr>
        <w:t>5</w:t>
      </w:r>
      <w:r>
        <w:rPr>
          <w:rFonts w:hint="eastAsia" w:ascii="仿宋" w:hAnsi="仿宋" w:eastAsia="仿宋" w:cs="仿宋"/>
          <w:sz w:val="32"/>
          <w:szCs w:val="32"/>
        </w:rPr>
        <w:t>人。</w:t>
      </w:r>
    </w:p>
    <w:p>
      <w:pPr>
        <w:numPr>
          <w:ilvl w:val="0"/>
          <w:numId w:val="0"/>
        </w:numPr>
        <w:spacing w:line="560" w:lineRule="exact"/>
        <w:ind w:left="210" w:leftChars="0"/>
        <w:rPr>
          <w:rFonts w:ascii="仿宋" w:hAnsi="仿宋" w:eastAsia="仿宋" w:cs="仿宋"/>
          <w:bCs/>
          <w:sz w:val="32"/>
          <w:szCs w:val="32"/>
        </w:rPr>
      </w:pPr>
      <w:r>
        <w:rPr>
          <w:rFonts w:hint="eastAsia" w:ascii="仿宋" w:hAnsi="仿宋" w:eastAsia="仿宋" w:cs="仿宋"/>
          <w:bCs/>
          <w:sz w:val="32"/>
          <w:szCs w:val="32"/>
          <w:lang w:val="en-US" w:eastAsia="zh-CN"/>
        </w:rPr>
        <w:t xml:space="preserve">   （二）</w:t>
      </w:r>
      <w:r>
        <w:rPr>
          <w:rFonts w:hint="eastAsia" w:ascii="仿宋" w:hAnsi="仿宋" w:eastAsia="仿宋" w:cs="仿宋"/>
          <w:bCs/>
          <w:sz w:val="32"/>
          <w:szCs w:val="32"/>
        </w:rPr>
        <w:t>部门整体支出规模、使用方向和主要内容、涉及范围等</w:t>
      </w:r>
    </w:p>
    <w:p>
      <w:pPr>
        <w:spacing w:line="5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2022年，县财政下达我单位预算总收入148.46万元，其中：一般公共预算财政拨款收入119.46万元，政府性基金预算财政拨款收入29.00万元；预算总支出148.46万元；年末无结余，预算收支平衡。预算拨款总额比2021年增加64.46万元，增加加的主要原因人员的工资的调整及项目的增加，其中工资福利支出46.56万元，一般商品和服务支出34.60万元，对个人和家庭的补助38.30万元，项目资金29.00万元。资金主要用于：</w:t>
      </w:r>
      <w:r>
        <w:rPr>
          <w:rFonts w:hint="eastAsia" w:ascii="仿宋" w:hAnsi="仿宋" w:eastAsia="仿宋" w:cs="仿宋"/>
          <w:sz w:val="32"/>
          <w:szCs w:val="32"/>
          <w:lang w:eastAsia="zh-CN"/>
        </w:rPr>
        <w:t>人员经费和机关的公用经费支出及彩票公益、社会就业项目的支出。</w:t>
      </w:r>
    </w:p>
    <w:p>
      <w:pPr>
        <w:pStyle w:val="20"/>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基本支出情况</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年预算总收入</w:t>
      </w:r>
      <w:r>
        <w:rPr>
          <w:rFonts w:hint="eastAsia" w:ascii="仿宋" w:hAnsi="仿宋" w:eastAsia="仿宋" w:cs="仿宋"/>
          <w:sz w:val="32"/>
          <w:szCs w:val="32"/>
          <w:lang w:val="en-US" w:eastAsia="zh-CN"/>
        </w:rPr>
        <w:t>119.46</w:t>
      </w:r>
      <w:r>
        <w:rPr>
          <w:rFonts w:hint="eastAsia" w:ascii="仿宋" w:hAnsi="仿宋" w:eastAsia="仿宋" w:cs="仿宋"/>
          <w:sz w:val="32"/>
          <w:szCs w:val="32"/>
        </w:rPr>
        <w:t>万元。其中：经费拨款</w:t>
      </w:r>
      <w:r>
        <w:rPr>
          <w:rFonts w:hint="eastAsia" w:ascii="仿宋" w:hAnsi="仿宋" w:eastAsia="仿宋" w:cs="仿宋"/>
          <w:sz w:val="32"/>
          <w:szCs w:val="32"/>
          <w:lang w:val="en-US" w:eastAsia="zh-CN"/>
        </w:rPr>
        <w:t>119.46</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119.46</w:t>
      </w:r>
      <w:r>
        <w:rPr>
          <w:rFonts w:hint="eastAsia" w:ascii="仿宋" w:hAnsi="仿宋" w:eastAsia="仿宋" w:cs="仿宋"/>
          <w:sz w:val="32"/>
          <w:szCs w:val="32"/>
        </w:rPr>
        <w:t>万元。预算收支平衡。</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年预算总支出</w:t>
      </w:r>
      <w:r>
        <w:rPr>
          <w:rFonts w:hint="eastAsia" w:ascii="仿宋" w:hAnsi="仿宋" w:eastAsia="仿宋" w:cs="仿宋"/>
          <w:sz w:val="32"/>
          <w:szCs w:val="32"/>
          <w:lang w:val="en-US" w:eastAsia="zh-CN"/>
        </w:rPr>
        <w:t>119.46</w:t>
      </w:r>
      <w:r>
        <w:rPr>
          <w:rFonts w:hint="eastAsia" w:ascii="仿宋" w:hAnsi="仿宋" w:eastAsia="仿宋" w:cs="仿宋"/>
          <w:sz w:val="32"/>
          <w:szCs w:val="32"/>
        </w:rPr>
        <w:t>万元。其中：</w:t>
      </w:r>
      <w:r>
        <w:rPr>
          <w:rFonts w:hint="eastAsia" w:ascii="仿宋" w:hAnsi="仿宋" w:eastAsia="仿宋" w:cs="仿宋"/>
          <w:sz w:val="32"/>
          <w:szCs w:val="32"/>
          <w:lang w:val="en-US" w:eastAsia="zh-CN"/>
        </w:rPr>
        <w:t>工资福利支出46.56万元，一般商品和服务支出34.60万元，对个人和家庭的补助38.30万元</w:t>
      </w:r>
      <w:r>
        <w:rPr>
          <w:rFonts w:hint="eastAsia" w:ascii="仿宋" w:hAnsi="仿宋" w:eastAsia="仿宋" w:cs="仿宋"/>
          <w:sz w:val="32"/>
          <w:szCs w:val="32"/>
        </w:rPr>
        <w:t>。</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 w:hAnsi="仿宋" w:eastAsia="仿宋" w:cs="仿宋"/>
          <w:sz w:val="32"/>
          <w:szCs w:val="32"/>
          <w:lang w:eastAsia="zh-CN"/>
        </w:rPr>
        <w:t>华容县插旗镇财政所</w:t>
      </w:r>
      <w:r>
        <w:rPr>
          <w:rFonts w:hint="eastAsia" w:ascii="仿宋" w:hAnsi="仿宋" w:eastAsia="仿宋" w:cs="仿宋"/>
          <w:sz w:val="32"/>
          <w:szCs w:val="32"/>
        </w:rPr>
        <w:t>“三公经费”实际开支</w:t>
      </w:r>
      <w:r>
        <w:rPr>
          <w:rFonts w:hint="eastAsia" w:ascii="仿宋" w:hAnsi="仿宋" w:eastAsia="仿宋" w:cs="仿宋"/>
          <w:sz w:val="32"/>
          <w:szCs w:val="32"/>
          <w:lang w:val="en-US" w:eastAsia="zh-CN"/>
        </w:rPr>
        <w:t>0.87</w:t>
      </w:r>
      <w:r>
        <w:rPr>
          <w:rFonts w:hint="eastAsia" w:ascii="仿宋" w:hAnsi="仿宋" w:eastAsia="仿宋" w:cs="仿宋"/>
          <w:sz w:val="32"/>
          <w:szCs w:val="32"/>
        </w:rPr>
        <w:t>万元。其中公务接待费</w:t>
      </w:r>
      <w:r>
        <w:rPr>
          <w:rFonts w:hint="eastAsia" w:ascii="仿宋" w:hAnsi="仿宋" w:eastAsia="仿宋" w:cs="仿宋"/>
          <w:sz w:val="32"/>
          <w:szCs w:val="32"/>
          <w:lang w:val="en-US" w:eastAsia="zh-CN"/>
        </w:rPr>
        <w:t>0.87</w:t>
      </w:r>
      <w:r>
        <w:rPr>
          <w:rFonts w:hint="eastAsia" w:ascii="仿宋" w:hAnsi="仿宋" w:eastAsia="仿宋" w:cs="仿宋"/>
          <w:sz w:val="32"/>
          <w:szCs w:val="32"/>
        </w:rPr>
        <w:t>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w:t>
      </w:r>
      <w:r>
        <w:rPr>
          <w:rFonts w:hint="eastAsia" w:ascii="仿宋" w:hAnsi="仿宋" w:eastAsia="仿宋" w:cs="仿宋"/>
          <w:sz w:val="32"/>
          <w:szCs w:val="32"/>
          <w:lang w:eastAsia="zh-CN"/>
        </w:rPr>
        <w:t>华容县插旗镇财政所</w:t>
      </w:r>
      <w:r>
        <w:rPr>
          <w:rFonts w:hint="eastAsia" w:ascii="仿宋" w:hAnsi="仿宋" w:eastAsia="仿宋" w:cs="仿宋"/>
          <w:sz w:val="32"/>
          <w:szCs w:val="32"/>
        </w:rPr>
        <w:t>资产管理采取统一建账，统一核算管理，对每件固定资产使用明确保管职责，闲置的资产，由办公室统一调整，合理流动，发挥其效益；至202</w:t>
      </w:r>
      <w:r>
        <w:rPr>
          <w:rFonts w:hint="eastAsia" w:ascii="仿宋" w:hAnsi="仿宋" w:eastAsia="仿宋" w:cs="仿宋"/>
          <w:sz w:val="32"/>
          <w:szCs w:val="32"/>
          <w:lang w:val="en-US" w:eastAsia="zh-CN"/>
        </w:rPr>
        <w:t>2</w:t>
      </w:r>
      <w:r>
        <w:rPr>
          <w:rFonts w:hint="eastAsia" w:ascii="仿宋" w:hAnsi="仿宋" w:eastAsia="仿宋" w:cs="仿宋"/>
          <w:sz w:val="32"/>
          <w:szCs w:val="32"/>
        </w:rPr>
        <w:t>年12月有固定资产</w:t>
      </w:r>
      <w:r>
        <w:rPr>
          <w:rFonts w:hint="eastAsia" w:ascii="仿宋" w:hAnsi="仿宋" w:eastAsia="仿宋" w:cs="仿宋"/>
          <w:sz w:val="32"/>
          <w:szCs w:val="32"/>
          <w:lang w:val="en-US" w:eastAsia="zh-CN"/>
        </w:rPr>
        <w:t>109.08</w:t>
      </w:r>
      <w:r>
        <w:rPr>
          <w:rFonts w:hint="eastAsia" w:ascii="仿宋" w:hAnsi="仿宋" w:eastAsia="仿宋" w:cs="仿宋"/>
          <w:sz w:val="32"/>
          <w:szCs w:val="32"/>
        </w:rPr>
        <w:t>万元，全部在用，保证了资产的安全高效，防止资产流失。</w:t>
      </w:r>
      <w:bookmarkStart w:id="0" w:name="_GoBack"/>
      <w:bookmarkEnd w:id="0"/>
    </w:p>
    <w:p>
      <w:pPr>
        <w:pStyle w:val="20"/>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项目支出情况</w:t>
      </w:r>
    </w:p>
    <w:p>
      <w:pPr>
        <w:pStyle w:val="20"/>
        <w:keepNext w:val="0"/>
        <w:keepLines w:val="0"/>
        <w:pageBreakBefore w:val="0"/>
        <w:widowControl/>
        <w:numPr>
          <w:ilvl w:val="0"/>
          <w:numId w:val="0"/>
        </w:numPr>
        <w:kinsoku/>
        <w:wordWrap/>
        <w:overflowPunct/>
        <w:topLinePunct w:val="0"/>
        <w:autoSpaceDE/>
        <w:autoSpaceDN/>
        <w:bidi w:val="0"/>
        <w:adjustRightInd/>
        <w:snapToGrid/>
        <w:spacing w:line="610" w:lineRule="exact"/>
        <w:ind w:leftChars="200"/>
        <w:jc w:val="both"/>
        <w:textAlignment w:val="auto"/>
        <w:rPr>
          <w:rFonts w:hint="default"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 xml:space="preserve"> </w:t>
      </w:r>
      <w:r>
        <w:rPr>
          <w:rFonts w:hint="eastAsia" w:ascii="仿宋" w:hAnsi="仿宋" w:eastAsia="仿宋" w:cs="仿宋"/>
          <w:b/>
          <w:bCs/>
          <w:sz w:val="32"/>
          <w:szCs w:val="32"/>
        </w:rPr>
        <w:t>1.专项资金安排落实、总投入等情况分析</w:t>
      </w:r>
    </w:p>
    <w:p>
      <w:pPr>
        <w:spacing w:line="560" w:lineRule="exact"/>
        <w:ind w:firstLine="640" w:firstLineChars="200"/>
        <w:rPr>
          <w:rFonts w:hint="eastAsia" w:ascii="仿宋" w:hAnsi="仿宋" w:eastAsia="仿宋" w:cs="仿宋"/>
          <w:color w:val="000000"/>
          <w:sz w:val="32"/>
          <w:szCs w:val="32"/>
          <w:shd w:val="clear" w:color="auto" w:fill="F5F9FD"/>
        </w:rPr>
      </w:pPr>
      <w:r>
        <w:rPr>
          <w:rFonts w:hint="eastAsia" w:ascii="仿宋" w:hAnsi="仿宋" w:eastAsia="仿宋" w:cs="仿宋"/>
          <w:bCs/>
          <w:sz w:val="32"/>
          <w:szCs w:val="32"/>
        </w:rPr>
        <w:t>202</w:t>
      </w:r>
      <w:r>
        <w:rPr>
          <w:rFonts w:hint="eastAsia" w:ascii="仿宋" w:hAnsi="仿宋" w:eastAsia="仿宋" w:cs="仿宋"/>
          <w:bCs/>
          <w:sz w:val="32"/>
          <w:szCs w:val="32"/>
          <w:lang w:val="en-US" w:eastAsia="zh-CN"/>
        </w:rPr>
        <w:t>2</w:t>
      </w:r>
      <w:r>
        <w:rPr>
          <w:rFonts w:hint="eastAsia" w:ascii="仿宋" w:hAnsi="仿宋" w:eastAsia="仿宋" w:cs="仿宋"/>
          <w:bCs/>
          <w:sz w:val="32"/>
          <w:szCs w:val="32"/>
        </w:rPr>
        <w:t>年项目支出为</w:t>
      </w:r>
      <w:r>
        <w:rPr>
          <w:rFonts w:hint="eastAsia" w:ascii="仿宋" w:hAnsi="仿宋" w:eastAsia="仿宋" w:cs="仿宋"/>
          <w:bCs/>
          <w:sz w:val="32"/>
          <w:szCs w:val="32"/>
          <w:lang w:val="en-US" w:eastAsia="zh-CN"/>
        </w:rPr>
        <w:t>29.00</w:t>
      </w:r>
      <w:r>
        <w:rPr>
          <w:rFonts w:hint="eastAsia" w:ascii="仿宋" w:hAnsi="仿宋" w:eastAsia="仿宋" w:cs="仿宋"/>
          <w:bCs/>
          <w:sz w:val="32"/>
          <w:szCs w:val="32"/>
        </w:rPr>
        <w:t>万元，占总支出的</w:t>
      </w:r>
      <w:r>
        <w:rPr>
          <w:rFonts w:hint="eastAsia" w:ascii="仿宋" w:hAnsi="仿宋" w:eastAsia="仿宋" w:cs="仿宋"/>
          <w:bCs/>
          <w:sz w:val="32"/>
          <w:szCs w:val="32"/>
          <w:lang w:val="en-US" w:eastAsia="zh-CN"/>
        </w:rPr>
        <w:t>19.53</w:t>
      </w:r>
      <w:r>
        <w:rPr>
          <w:rFonts w:hint="eastAsia" w:ascii="仿宋" w:hAnsi="仿宋" w:eastAsia="仿宋" w:cs="仿宋"/>
          <w:bCs/>
          <w:sz w:val="32"/>
          <w:szCs w:val="32"/>
        </w:rPr>
        <w:t>%，主要是</w:t>
      </w:r>
      <w:r>
        <w:rPr>
          <w:rFonts w:hint="eastAsia" w:ascii="仿宋" w:hAnsi="仿宋" w:eastAsia="仿宋" w:cs="仿宋"/>
          <w:bCs/>
          <w:sz w:val="32"/>
          <w:szCs w:val="32"/>
          <w:lang w:eastAsia="zh-CN"/>
        </w:rPr>
        <w:t>对个人和家庭的补助。</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2.专项资金实际使用情况分析</w:t>
      </w:r>
    </w:p>
    <w:p>
      <w:pPr>
        <w:spacing w:line="560" w:lineRule="exact"/>
        <w:ind w:firstLine="588" w:firstLineChars="184"/>
        <w:rPr>
          <w:rFonts w:hint="eastAsia" w:ascii="仿宋" w:hAnsi="仿宋" w:eastAsia="仿宋" w:cs="仿宋"/>
          <w:bCs/>
          <w:sz w:val="32"/>
          <w:szCs w:val="32"/>
        </w:rPr>
      </w:pPr>
      <w:r>
        <w:rPr>
          <w:rFonts w:hint="eastAsia" w:ascii="仿宋" w:hAnsi="仿宋" w:eastAsia="仿宋" w:cs="仿宋"/>
          <w:bCs/>
          <w:sz w:val="32"/>
          <w:szCs w:val="32"/>
        </w:rPr>
        <w:t>202</w:t>
      </w:r>
      <w:r>
        <w:rPr>
          <w:rFonts w:hint="eastAsia" w:ascii="仿宋" w:hAnsi="仿宋" w:eastAsia="仿宋" w:cs="仿宋"/>
          <w:bCs/>
          <w:sz w:val="32"/>
          <w:szCs w:val="32"/>
          <w:lang w:val="en-US" w:eastAsia="zh-CN"/>
        </w:rPr>
        <w:t>2</w:t>
      </w:r>
      <w:r>
        <w:rPr>
          <w:rFonts w:hint="eastAsia" w:ascii="仿宋" w:hAnsi="仿宋" w:eastAsia="仿宋" w:cs="仿宋"/>
          <w:bCs/>
          <w:sz w:val="32"/>
          <w:szCs w:val="32"/>
        </w:rPr>
        <w:t>年专项总收入</w:t>
      </w:r>
      <w:r>
        <w:rPr>
          <w:rFonts w:hint="eastAsia" w:ascii="仿宋" w:hAnsi="仿宋" w:eastAsia="仿宋" w:cs="仿宋"/>
          <w:bCs/>
          <w:sz w:val="32"/>
          <w:szCs w:val="32"/>
          <w:lang w:val="en-US" w:eastAsia="zh-CN"/>
        </w:rPr>
        <w:t>29.00</w:t>
      </w:r>
      <w:r>
        <w:rPr>
          <w:rFonts w:hint="eastAsia" w:ascii="仿宋" w:hAnsi="仿宋" w:eastAsia="仿宋" w:cs="仿宋"/>
          <w:bCs/>
          <w:sz w:val="32"/>
          <w:szCs w:val="32"/>
        </w:rPr>
        <w:t>万元，专项总支出</w:t>
      </w:r>
      <w:r>
        <w:rPr>
          <w:rFonts w:hint="eastAsia" w:ascii="仿宋" w:hAnsi="仿宋" w:eastAsia="仿宋" w:cs="仿宋"/>
          <w:bCs/>
          <w:sz w:val="32"/>
          <w:szCs w:val="32"/>
          <w:lang w:val="en-US" w:eastAsia="zh-CN"/>
        </w:rPr>
        <w:t>29.00</w:t>
      </w:r>
      <w:r>
        <w:rPr>
          <w:rFonts w:hint="eastAsia" w:ascii="仿宋" w:hAnsi="仿宋" w:eastAsia="仿宋" w:cs="仿宋"/>
          <w:bCs/>
          <w:sz w:val="32"/>
          <w:szCs w:val="32"/>
        </w:rPr>
        <w:t>万元，收支平衡，无资金结余。</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3.专项资金管理情况分析</w:t>
      </w:r>
    </w:p>
    <w:p>
      <w:pPr>
        <w:spacing w:line="560" w:lineRule="exact"/>
        <w:ind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color w:val="000000"/>
          <w:sz w:val="32"/>
          <w:szCs w:val="32"/>
          <w:shd w:val="clear" w:color="auto" w:fill="FFFFFF"/>
        </w:rPr>
        <w:t>为加强项目资金管理，规范</w:t>
      </w:r>
      <w:r>
        <w:rPr>
          <w:rFonts w:hint="eastAsia" w:ascii="仿宋" w:hAnsi="仿宋" w:eastAsia="仿宋" w:cs="仿宋"/>
          <w:color w:val="333333"/>
          <w:sz w:val="32"/>
          <w:szCs w:val="32"/>
          <w:shd w:val="clear" w:color="auto" w:fill="FFFFFF"/>
        </w:rPr>
        <w:t>项目资金管理行为，提高项目管理水平及项目资金使用效益，</w:t>
      </w:r>
      <w:r>
        <w:rPr>
          <w:rFonts w:hint="eastAsia" w:ascii="仿宋" w:hAnsi="仿宋" w:eastAsia="仿宋" w:cs="仿宋"/>
          <w:color w:val="000000"/>
          <w:sz w:val="32"/>
          <w:szCs w:val="32"/>
          <w:shd w:val="clear" w:color="auto" w:fill="FFFFFF"/>
        </w:rPr>
        <w:t>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w:t>
      </w:r>
      <w:r>
        <w:rPr>
          <w:rFonts w:hint="eastAsia" w:ascii="仿宋" w:hAnsi="仿宋" w:eastAsia="仿宋" w:cs="仿宋"/>
          <w:color w:val="333333"/>
          <w:sz w:val="32"/>
          <w:szCs w:val="32"/>
          <w:shd w:val="clear" w:color="auto" w:fill="FFFFFF"/>
        </w:rPr>
        <w:t>项目资金严格按指定用途专款专用，实行专项报告制度，并接受财政部门或上级部门的检查、验收。202</w:t>
      </w:r>
      <w:r>
        <w:rPr>
          <w:rFonts w:hint="eastAsia" w:ascii="仿宋" w:hAnsi="仿宋" w:eastAsia="仿宋" w:cs="仿宋"/>
          <w:color w:val="333333"/>
          <w:sz w:val="32"/>
          <w:szCs w:val="32"/>
          <w:shd w:val="clear" w:color="auto" w:fill="FFFFFF"/>
          <w:lang w:val="en-US" w:eastAsia="zh-CN"/>
        </w:rPr>
        <w:t>2</w:t>
      </w:r>
      <w:r>
        <w:rPr>
          <w:rFonts w:hint="eastAsia" w:ascii="仿宋" w:hAnsi="仿宋" w:eastAsia="仿宋" w:cs="仿宋"/>
          <w:color w:val="333333"/>
          <w:sz w:val="32"/>
          <w:szCs w:val="32"/>
          <w:shd w:val="clear" w:color="auto" w:fill="FFFFFF"/>
        </w:rPr>
        <w:t>年本部门项目支出，基本能够严格按照相关制度规定等进行。</w:t>
      </w:r>
    </w:p>
    <w:p>
      <w:pPr>
        <w:pStyle w:val="20"/>
        <w:keepNext w:val="0"/>
        <w:keepLines w:val="0"/>
        <w:pageBreakBefore w:val="0"/>
        <w:widowControl/>
        <w:numPr>
          <w:ilvl w:val="0"/>
          <w:numId w:val="0"/>
        </w:numPr>
        <w:kinsoku/>
        <w:wordWrap/>
        <w:overflowPunct/>
        <w:topLinePunct w:val="0"/>
        <w:autoSpaceDE/>
        <w:autoSpaceDN/>
        <w:bidi w:val="0"/>
        <w:adjustRightInd/>
        <w:snapToGrid/>
        <w:spacing w:line="610" w:lineRule="exact"/>
        <w:ind w:leftChars="200" w:firstLine="320" w:firstLineChars="100"/>
        <w:jc w:val="both"/>
        <w:textAlignment w:val="auto"/>
        <w:rPr>
          <w:rFonts w:hint="default"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四</w:t>
      </w:r>
      <w:r>
        <w:rPr>
          <w:rFonts w:hint="default" w:ascii="Times New Roman" w:hAnsi="Times New Roman" w:eastAsia="黑体" w:cs="Times New Roman"/>
          <w:kern w:val="2"/>
          <w:sz w:val="32"/>
          <w:szCs w:val="32"/>
          <w:lang w:val="en-US" w:eastAsia="zh-CN" w:bidi="ar-SA"/>
        </w:rPr>
        <w:t>、部门整体支出绩效情况</w:t>
      </w:r>
    </w:p>
    <w:p>
      <w:pPr>
        <w:spacing w:line="560" w:lineRule="exact"/>
        <w:ind w:firstLine="640" w:firstLineChars="200"/>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今年，所内的工作任务重、中心工作多，为了完成领导下达的各项任务，我所几位同志开启“白加黑、五加二”模式，高标准完成了领导交办的各项任务，主要有以下几个方面：</w:t>
      </w:r>
    </w:p>
    <w:p>
      <w:pPr>
        <w:spacing w:line="560" w:lineRule="exact"/>
        <w:ind w:firstLine="640" w:firstLineChars="200"/>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1、</w:t>
      </w:r>
      <w:r>
        <w:rPr>
          <w:rFonts w:hint="eastAsia" w:ascii="仿宋" w:hAnsi="仿宋" w:eastAsia="仿宋" w:cs="仿宋"/>
          <w:b/>
          <w:bCs/>
          <w:color w:val="000000"/>
          <w:sz w:val="32"/>
          <w:szCs w:val="32"/>
          <w:shd w:val="clear" w:color="auto" w:fill="FFFFFF"/>
          <w:lang w:val="en-US" w:eastAsia="zh-CN"/>
        </w:rPr>
        <w:t>惠农补贴资金发放规范</w:t>
      </w:r>
      <w:r>
        <w:rPr>
          <w:rFonts w:hint="eastAsia" w:ascii="仿宋" w:hAnsi="仿宋" w:eastAsia="仿宋" w:cs="仿宋"/>
          <w:color w:val="000000"/>
          <w:sz w:val="32"/>
          <w:szCs w:val="32"/>
          <w:shd w:val="clear" w:color="auto" w:fill="FFFFFF"/>
          <w:lang w:val="en-US" w:eastAsia="zh-CN"/>
        </w:rPr>
        <w:t>。全镇通过“一卡通”农商银行存折发放惠农补贴资金，其中：农村低保补贴45.64万元，耕地地力保护单季（四）补贴349.13万元，棉花目标价格补贴416.39万元，耕地地力保护双季补贴44.1万元，稻谷目标价格补贴64.62万元，种粮农民一次性补贴93.51万元，共计发放1013.39万元。为此我所加强督查力度。要求各村对每项补贴进行公开公示，并留存影像资料。并对邮政银行转农村商业银行补贴农户信息资料纠错后及时录入上传惠农系统，有效的保障以上所有惠农补贴资金都按政策和时间要求及时足额发放到农户。</w:t>
      </w:r>
    </w:p>
    <w:p>
      <w:pPr>
        <w:spacing w:line="560" w:lineRule="exact"/>
        <w:ind w:firstLine="640" w:firstLineChars="200"/>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2、</w:t>
      </w:r>
      <w:r>
        <w:rPr>
          <w:rFonts w:hint="eastAsia" w:ascii="仿宋" w:hAnsi="仿宋" w:eastAsia="仿宋" w:cs="仿宋"/>
          <w:b/>
          <w:bCs/>
          <w:color w:val="000000"/>
          <w:sz w:val="32"/>
          <w:szCs w:val="32"/>
          <w:shd w:val="clear" w:color="auto" w:fill="FFFFFF"/>
          <w:lang w:val="en-US" w:eastAsia="zh-CN"/>
        </w:rPr>
        <w:t>一事一议发挥实效</w:t>
      </w:r>
      <w:r>
        <w:rPr>
          <w:rFonts w:hint="eastAsia" w:ascii="仿宋" w:hAnsi="仿宋" w:eastAsia="仿宋" w:cs="仿宋"/>
          <w:color w:val="000000"/>
          <w:sz w:val="32"/>
          <w:szCs w:val="32"/>
          <w:shd w:val="clear" w:color="auto" w:fill="FFFFFF"/>
          <w:lang w:val="en-US" w:eastAsia="zh-CN"/>
        </w:rPr>
        <w:t>。今年全镇共计发放一事一议财政奖补资金65万元，其中有千和、曙光、插旗、注北、大湾、同福六个村全部完工，所内专管员陈龙全程跟进拍照，并保证了工程建设事前、事中、事后实地巡查监督，确保农村生产生活急需的道路、水利兴修等村级公益事业项目建设的范围、规模达标，让农村基础设施得到改善，使群众从中早日受益。</w:t>
      </w:r>
    </w:p>
    <w:p>
      <w:pPr>
        <w:spacing w:line="560" w:lineRule="exact"/>
        <w:ind w:firstLine="640" w:firstLineChars="200"/>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3、</w:t>
      </w:r>
      <w:r>
        <w:rPr>
          <w:rFonts w:hint="eastAsia" w:ascii="仿宋" w:hAnsi="仿宋" w:eastAsia="仿宋" w:cs="仿宋"/>
          <w:b/>
          <w:bCs/>
          <w:color w:val="000000"/>
          <w:sz w:val="32"/>
          <w:szCs w:val="32"/>
          <w:shd w:val="clear" w:color="auto" w:fill="FFFFFF"/>
          <w:lang w:val="en-US" w:eastAsia="zh-CN"/>
        </w:rPr>
        <w:t>财务管理规范运行</w:t>
      </w:r>
      <w:r>
        <w:rPr>
          <w:rFonts w:hint="eastAsia" w:ascii="仿宋" w:hAnsi="仿宋" w:eastAsia="仿宋" w:cs="仿宋"/>
          <w:color w:val="000000"/>
          <w:sz w:val="32"/>
          <w:szCs w:val="32"/>
          <w:shd w:val="clear" w:color="auto" w:fill="FFFFFF"/>
          <w:lang w:val="en-US" w:eastAsia="zh-CN"/>
        </w:rPr>
        <w:t>。截至目前，我所机关、站所、村场账务都已按时按月处理完成，各项工作严格按照“星级财政所”创建标准落实。各个会计线上的凭证装订整齐规范，账本数据精准齐全，报表、账簿及资料手续齐备完整。</w:t>
      </w:r>
    </w:p>
    <w:p>
      <w:pPr>
        <w:spacing w:line="560" w:lineRule="exact"/>
        <w:ind w:firstLine="640" w:firstLineChars="200"/>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b/>
          <w:bCs/>
          <w:color w:val="000000"/>
          <w:sz w:val="32"/>
          <w:szCs w:val="32"/>
          <w:shd w:val="clear" w:color="auto" w:fill="FFFFFF"/>
          <w:lang w:val="en-US" w:eastAsia="zh-CN"/>
        </w:rPr>
        <w:t>内务管理不乱不散</w:t>
      </w:r>
      <w:r>
        <w:rPr>
          <w:rFonts w:hint="eastAsia" w:ascii="仿宋" w:hAnsi="仿宋" w:eastAsia="仿宋" w:cs="仿宋"/>
          <w:color w:val="000000"/>
          <w:sz w:val="32"/>
          <w:szCs w:val="32"/>
          <w:shd w:val="clear" w:color="auto" w:fill="FFFFFF"/>
          <w:lang w:val="en-US" w:eastAsia="zh-CN"/>
        </w:rPr>
        <w:t>。今年，厉行节约和规范“政府采购”是全所工作的重点内容之一，为了达到县局的要求，全所同志最大努力节约开支，用最少的钱办最多的事。每年6月份和12月份，我所都将财务情况作通报，让财务透明化、高效化。今年，除所内日用及办公开支外，最大的支出就是办公楼的维修维护方面的支出。</w:t>
      </w:r>
    </w:p>
    <w:p>
      <w:pPr>
        <w:spacing w:line="560" w:lineRule="exact"/>
        <w:ind w:firstLine="640" w:firstLineChars="200"/>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5、</w:t>
      </w:r>
      <w:r>
        <w:rPr>
          <w:rFonts w:hint="eastAsia" w:ascii="仿宋" w:hAnsi="仿宋" w:eastAsia="仿宋" w:cs="仿宋"/>
          <w:b/>
          <w:bCs/>
          <w:color w:val="000000"/>
          <w:sz w:val="32"/>
          <w:szCs w:val="32"/>
          <w:shd w:val="clear" w:color="auto" w:fill="FFFFFF"/>
          <w:lang w:val="en-US" w:eastAsia="zh-CN"/>
        </w:rPr>
        <w:t>中心工作稳步推</w:t>
      </w:r>
      <w:r>
        <w:rPr>
          <w:rFonts w:hint="eastAsia" w:ascii="仿宋" w:hAnsi="仿宋" w:eastAsia="仿宋" w:cs="仿宋"/>
          <w:color w:val="000000"/>
          <w:sz w:val="32"/>
          <w:szCs w:val="32"/>
          <w:shd w:val="clear" w:color="auto" w:fill="FFFFFF"/>
          <w:lang w:val="en-US" w:eastAsia="zh-CN"/>
        </w:rPr>
        <w:t>进。今年，疫情防控、乡村振兴、土窖整治、抗旱救灾、环境整治、县委巡察以及省、市、县的各项检查工作，全所同志认真应对，并能按要求认真落实各项检查，到目前为止，各项检查都得到了上级领导的高度好评。</w:t>
      </w:r>
    </w:p>
    <w:p>
      <w:pPr>
        <w:spacing w:line="560" w:lineRule="exact"/>
        <w:ind w:firstLine="640" w:firstLineChars="200"/>
        <w:rPr>
          <w:rFonts w:hint="default"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lang w:eastAsia="zh-CN"/>
        </w:rPr>
        <w:t>五、</w:t>
      </w:r>
      <w:r>
        <w:rPr>
          <w:rFonts w:hint="default" w:ascii="仿宋" w:hAnsi="仿宋" w:eastAsia="仿宋" w:cs="仿宋"/>
          <w:color w:val="000000"/>
          <w:sz w:val="32"/>
          <w:szCs w:val="32"/>
          <w:shd w:val="clear" w:color="auto" w:fill="FFFFFF"/>
        </w:rPr>
        <w:t>存在的问题及原因分析</w:t>
      </w:r>
    </w:p>
    <w:p>
      <w:pPr>
        <w:spacing w:line="560" w:lineRule="exact"/>
        <w:ind w:firstLine="640" w:firstLineChars="200"/>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1.预算绩效指标体系存在进一步完善的空间，我单位现建立的各项预算绩效目标指标仍有不科学、不细致的地方，影响了预算绩效评价的结果。</w:t>
      </w:r>
    </w:p>
    <w:p>
      <w:pPr>
        <w:spacing w:line="560" w:lineRule="exact"/>
        <w:ind w:firstLine="640" w:firstLineChars="200"/>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2.预算绩效管理经验需要进一步积累。因为预算绩效管理工作具有政策性强、专业性强、涉及面广、操作难度大等特点，经验不足，导致工作多走许多弯路，影响工作效果</w:t>
      </w:r>
    </w:p>
    <w:p>
      <w:pPr>
        <w:spacing w:line="560" w:lineRule="exact"/>
        <w:ind w:firstLine="640" w:firstLineChars="200"/>
        <w:rPr>
          <w:rFonts w:hint="default"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lang w:eastAsia="zh-CN"/>
        </w:rPr>
        <w:t>六</w:t>
      </w:r>
      <w:r>
        <w:rPr>
          <w:rFonts w:hint="default" w:ascii="仿宋" w:hAnsi="仿宋" w:eastAsia="仿宋" w:cs="仿宋"/>
          <w:color w:val="000000"/>
          <w:sz w:val="32"/>
          <w:szCs w:val="32"/>
          <w:shd w:val="clear" w:color="auto" w:fill="FFFFFF"/>
        </w:rPr>
        <w:t>、下一步改进措施</w:t>
      </w:r>
    </w:p>
    <w:p>
      <w:pPr>
        <w:spacing w:line="560" w:lineRule="exact"/>
        <w:ind w:firstLine="640" w:firstLineChars="200"/>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spacing w:line="560" w:lineRule="exact"/>
        <w:ind w:firstLine="640" w:firstLineChars="200"/>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spacing w:line="560" w:lineRule="exact"/>
        <w:ind w:firstLine="640" w:firstLineChars="200"/>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sz w:val="32"/>
          <w:szCs w:val="32"/>
          <w:shd w:val="clear" w:color="auto" w:fill="FFFFFF"/>
          <w:lang w:val="en-US" w:eastAsia="zh-CN"/>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w:t>
      </w:r>
      <w:r>
        <w:rPr>
          <w:rFonts w:hint="eastAsia" w:ascii="仿宋" w:hAnsi="仿宋" w:eastAsia="仿宋" w:cs="仿宋"/>
          <w:color w:val="000000"/>
          <w:kern w:val="2"/>
          <w:sz w:val="32"/>
          <w:szCs w:val="32"/>
          <w:shd w:val="clear" w:color="auto" w:fill="FFFFFF"/>
          <w:lang w:val="en-US" w:eastAsia="zh-CN" w:bidi="ar-SA"/>
        </w:rPr>
        <w:t>经费支出。</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4、</w:t>
      </w:r>
      <w:r>
        <w:rPr>
          <w:rFonts w:hint="eastAsia" w:ascii="仿宋" w:hAnsi="仿宋" w:eastAsia="仿宋" w:cs="仿宋"/>
          <w:b w:val="0"/>
          <w:bCs w:val="0"/>
          <w:color w:val="000000"/>
          <w:kern w:val="2"/>
          <w:sz w:val="32"/>
          <w:szCs w:val="32"/>
          <w:shd w:val="clear" w:color="auto" w:fill="FFFFFF"/>
          <w:lang w:val="en-US" w:eastAsia="zh-CN" w:bidi="ar-SA"/>
        </w:rPr>
        <w:t>对相关人员加强培训，特别是针对《预算法》、《行政事业单位会计制度》等学习培训，</w:t>
      </w:r>
      <w:r>
        <w:rPr>
          <w:rFonts w:hint="eastAsia" w:ascii="仿宋" w:hAnsi="仿宋" w:eastAsia="仿宋" w:cs="仿宋"/>
          <w:color w:val="000000"/>
          <w:kern w:val="2"/>
          <w:sz w:val="32"/>
          <w:szCs w:val="32"/>
          <w:shd w:val="clear" w:color="auto" w:fill="FFFFFF"/>
          <w:lang w:val="en-US" w:eastAsia="zh-CN" w:bidi="ar-SA"/>
        </w:rPr>
        <w:t>规范部门预算收支核算，切实提高部门预算收支管理水平。 </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p>
    <w:p>
      <w:pPr>
        <w:pStyle w:val="2"/>
        <w:rPr>
          <w:rFonts w:hint="eastAsia"/>
          <w:lang w:val="en-US" w:eastAsia="zh-CN"/>
        </w:rPr>
      </w:pPr>
    </w:p>
    <w:p>
      <w:pPr>
        <w:rPr>
          <w:rFonts w:hint="default" w:ascii="仿宋" w:hAnsi="仿宋" w:eastAsia="仿宋" w:cs="仿宋"/>
          <w:b w:val="0"/>
          <w:bCs w:val="0"/>
          <w:color w:val="000000"/>
          <w:kern w:val="2"/>
          <w:sz w:val="32"/>
          <w:szCs w:val="32"/>
          <w:shd w:val="clear" w:color="auto" w:fill="FFFFFF"/>
          <w:lang w:val="en-US" w:eastAsia="zh-CN" w:bidi="ar-SA"/>
        </w:rPr>
        <w:sectPr>
          <w:footerReference r:id="rId3" w:type="default"/>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lang w:val="en-US" w:eastAsia="zh-CN"/>
        </w:rPr>
        <w:t xml:space="preserve">    </w:t>
      </w:r>
      <w:r>
        <w:rPr>
          <w:rFonts w:hint="eastAsia" w:ascii="仿宋" w:hAnsi="仿宋" w:eastAsia="仿宋" w:cs="仿宋"/>
          <w:b w:val="0"/>
          <w:bCs w:val="0"/>
          <w:color w:val="000000"/>
          <w:kern w:val="2"/>
          <w:sz w:val="32"/>
          <w:szCs w:val="32"/>
          <w:shd w:val="clear" w:color="auto" w:fill="FFFFFF"/>
          <w:lang w:val="en-US" w:eastAsia="zh-CN" w:bidi="ar-SA"/>
        </w:rPr>
        <w:t xml:space="preserve">   </w:t>
      </w:r>
    </w:p>
    <w:p>
      <w:pPr>
        <w:keepNext w:val="0"/>
        <w:keepLines w:val="0"/>
        <w:pageBreakBefore w:val="0"/>
        <w:widowControl/>
        <w:kinsoku/>
        <w:wordWrap/>
        <w:overflowPunct/>
        <w:topLinePunct w:val="0"/>
        <w:autoSpaceDE/>
        <w:autoSpaceDN/>
        <w:bidi w:val="0"/>
        <w:adjustRightInd/>
        <w:snapToGrid/>
        <w:spacing w:line="610" w:lineRule="exact"/>
        <w:jc w:val="both"/>
        <w:textAlignment w:val="auto"/>
        <w:rPr>
          <w:rFonts w:hint="eastAsia" w:ascii="仿宋_GB2312" w:eastAsia="仿宋_GB2312"/>
          <w:sz w:val="32"/>
          <w:szCs w:val="32"/>
          <w:lang w:val="en-US" w:eastAsia="zh-CN"/>
        </w:rPr>
      </w:pP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FE2865F-F797-4C25-B430-85AEC43C92C3}"/>
  </w:font>
  <w:font w:name="Arial">
    <w:panose1 w:val="020B0604020202020204"/>
    <w:charset w:val="01"/>
    <w:family w:val="swiss"/>
    <w:pitch w:val="default"/>
    <w:sig w:usb0="E0002AFF" w:usb1="C0007843" w:usb2="00000009" w:usb3="00000000" w:csb0="400001FF" w:csb1="FFFF0000"/>
    <w:embedRegular r:id="rId2" w:fontKey="{E56F69B0-AC11-4E25-9F1D-107815008AB4}"/>
  </w:font>
  <w:font w:name="黑体">
    <w:panose1 w:val="02010609060101010101"/>
    <w:charset w:val="86"/>
    <w:family w:val="auto"/>
    <w:pitch w:val="default"/>
    <w:sig w:usb0="800002BF" w:usb1="38CF7CFA" w:usb2="00000016" w:usb3="00000000" w:csb0="00040001" w:csb1="00000000"/>
    <w:embedRegular r:id="rId3" w:fontKey="{13BEA7F1-536D-4544-9F31-421D18F23B6A}"/>
  </w:font>
  <w:font w:name="Courier New">
    <w:panose1 w:val="02070309020205020404"/>
    <w:charset w:val="01"/>
    <w:family w:val="modern"/>
    <w:pitch w:val="default"/>
    <w:sig w:usb0="E0002AFF" w:usb1="C0007843" w:usb2="00000009" w:usb3="00000000" w:csb0="400001FF" w:csb1="FFFF0000"/>
    <w:embedRegular r:id="rId4" w:fontKey="{CEB3A360-5C58-425A-A6A5-D021F5AC8A56}"/>
  </w:font>
  <w:font w:name="Symbol">
    <w:panose1 w:val="05050102010706020507"/>
    <w:charset w:val="02"/>
    <w:family w:val="roman"/>
    <w:pitch w:val="default"/>
    <w:sig w:usb0="00000000" w:usb1="00000000" w:usb2="00000000" w:usb3="00000000" w:csb0="80000000" w:csb1="00000000"/>
    <w:embedRegular r:id="rId5" w:fontKey="{AAB04690-638A-4264-99A7-3AB954CA234F}"/>
  </w:font>
  <w:font w:name="Calibri">
    <w:panose1 w:val="020F0502020204030204"/>
    <w:charset w:val="00"/>
    <w:family w:val="swiss"/>
    <w:pitch w:val="default"/>
    <w:sig w:usb0="E00002FF" w:usb1="4000ACFF" w:usb2="00000001" w:usb3="00000000" w:csb0="2000019F" w:csb1="00000000"/>
    <w:embedRegular r:id="rId6" w:fontKey="{24D6C47B-FC73-428B-99FB-97B8FCD39684}"/>
  </w:font>
  <w:font w:name="仿宋_GB2312">
    <w:panose1 w:val="02010609030101010101"/>
    <w:charset w:val="86"/>
    <w:family w:val="auto"/>
    <w:pitch w:val="default"/>
    <w:sig w:usb0="00000001" w:usb1="080E0000" w:usb2="00000000" w:usb3="00000000" w:csb0="00040000" w:csb1="00000000"/>
    <w:embedRegular r:id="rId7" w:fontKey="{70CA2BA5-B928-40C0-8172-024139CB6C53}"/>
  </w:font>
  <w:font w:name="方正小标宋简体">
    <w:altName w:val="仿宋_GB2312"/>
    <w:panose1 w:val="02010601030101010101"/>
    <w:charset w:val="86"/>
    <w:family w:val="auto"/>
    <w:pitch w:val="default"/>
    <w:sig w:usb0="00000000" w:usb1="00000000" w:usb2="00000000" w:usb3="00000000" w:csb0="00040000" w:csb1="00000000"/>
    <w:embedRegular r:id="rId8" w:fontKey="{B6853DEA-DE63-4580-86C3-ED7E7DF27375}"/>
  </w:font>
  <w:font w:name="新宋体">
    <w:panose1 w:val="02010609030101010101"/>
    <w:charset w:val="86"/>
    <w:family w:val="auto"/>
    <w:pitch w:val="default"/>
    <w:sig w:usb0="00000003" w:usb1="288F0000" w:usb2="00000006" w:usb3="00000000" w:csb0="00040001" w:csb1="00000000"/>
    <w:embedRegular r:id="rId9" w:fontKey="{848CCADD-C667-4E65-BDAB-82C20D6ABE4F}"/>
  </w:font>
  <w:font w:name="FangSong_GB2312">
    <w:altName w:val="仿宋_GB2312"/>
    <w:panose1 w:val="02010609060101010101"/>
    <w:charset w:val="86"/>
    <w:family w:val="modern"/>
    <w:pitch w:val="default"/>
    <w:sig w:usb0="00000000" w:usb1="00000000" w:usb2="00000016" w:usb3="00000000" w:csb0="00040001" w:csb1="00000000"/>
    <w:embedRegular r:id="rId10" w:fontKey="{AF3FDCB5-E2EA-460F-AB51-B1B47DEDA33F}"/>
  </w:font>
  <w:font w:name="方正小标宋_GBK">
    <w:panose1 w:val="03000509000000000000"/>
    <w:charset w:val="86"/>
    <w:family w:val="script"/>
    <w:pitch w:val="default"/>
    <w:sig w:usb0="00000001" w:usb1="080E0000" w:usb2="00000000" w:usb3="00000000" w:csb0="00040000" w:csb1="00000000"/>
    <w:embedRegular r:id="rId11" w:fontKey="{A03B274A-23B1-4F91-B091-2E505574E36D}"/>
  </w:font>
  <w:font w:name="楷体_GB2312">
    <w:panose1 w:val="02010609030101010101"/>
    <w:charset w:val="86"/>
    <w:family w:val="auto"/>
    <w:pitch w:val="default"/>
    <w:sig w:usb0="00000001" w:usb1="080E0000" w:usb2="00000000" w:usb3="00000000" w:csb0="00040000" w:csb1="00000000"/>
    <w:embedRegular r:id="rId12" w:fontKey="{670FEC8A-B15C-4404-8870-29147AC6000D}"/>
  </w:font>
  <w:font w:name="仿宋">
    <w:panose1 w:val="02010609060101010101"/>
    <w:charset w:val="86"/>
    <w:family w:val="auto"/>
    <w:pitch w:val="default"/>
    <w:sig w:usb0="800002BF" w:usb1="38CF7CFA" w:usb2="00000016" w:usb3="00000000" w:csb0="00040001" w:csb1="00000000"/>
    <w:embedRegular r:id="rId13" w:fontKey="{D7947C9A-FFAE-4D9B-B548-7B7FD61A8F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8"/>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4E2F8D"/>
    <w:multiLevelType w:val="singleLevel"/>
    <w:tmpl w:val="A04E2F8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YWU1ZmI5M2ZiNDRjMzcyMGI3ZDQyNTRmOWE2ZDEifQ=="/>
  </w:docVars>
  <w:rsids>
    <w:rsidRoot w:val="0CCB7736"/>
    <w:rsid w:val="00047FEF"/>
    <w:rsid w:val="000A3906"/>
    <w:rsid w:val="001776F1"/>
    <w:rsid w:val="00546B95"/>
    <w:rsid w:val="006F0A16"/>
    <w:rsid w:val="00773328"/>
    <w:rsid w:val="00821883"/>
    <w:rsid w:val="00917857"/>
    <w:rsid w:val="00A755C2"/>
    <w:rsid w:val="016A347B"/>
    <w:rsid w:val="0209000E"/>
    <w:rsid w:val="02B50488"/>
    <w:rsid w:val="0338470A"/>
    <w:rsid w:val="034822A9"/>
    <w:rsid w:val="03D86621"/>
    <w:rsid w:val="04EE6171"/>
    <w:rsid w:val="05395EA9"/>
    <w:rsid w:val="07397B77"/>
    <w:rsid w:val="097F356F"/>
    <w:rsid w:val="0ABD557B"/>
    <w:rsid w:val="0BBB5A8D"/>
    <w:rsid w:val="0BC159E2"/>
    <w:rsid w:val="0C104906"/>
    <w:rsid w:val="0CCB7736"/>
    <w:rsid w:val="0D5D49D6"/>
    <w:rsid w:val="0D9E0E8D"/>
    <w:rsid w:val="0DB429A2"/>
    <w:rsid w:val="0DF4544A"/>
    <w:rsid w:val="0E5508F9"/>
    <w:rsid w:val="0EAB7397"/>
    <w:rsid w:val="0ECE05F4"/>
    <w:rsid w:val="0EF755B3"/>
    <w:rsid w:val="0F17035E"/>
    <w:rsid w:val="0F4E168D"/>
    <w:rsid w:val="11404466"/>
    <w:rsid w:val="11762328"/>
    <w:rsid w:val="11963ADD"/>
    <w:rsid w:val="11EB0F5C"/>
    <w:rsid w:val="11F20483"/>
    <w:rsid w:val="128E3070"/>
    <w:rsid w:val="136F31F8"/>
    <w:rsid w:val="138750E0"/>
    <w:rsid w:val="15112E59"/>
    <w:rsid w:val="1579204C"/>
    <w:rsid w:val="15A620D3"/>
    <w:rsid w:val="16A3369E"/>
    <w:rsid w:val="178536BD"/>
    <w:rsid w:val="18BC5F4D"/>
    <w:rsid w:val="1933444D"/>
    <w:rsid w:val="19516372"/>
    <w:rsid w:val="19575CC2"/>
    <w:rsid w:val="19A80228"/>
    <w:rsid w:val="1A101464"/>
    <w:rsid w:val="1A9B3458"/>
    <w:rsid w:val="1AA26CD8"/>
    <w:rsid w:val="1AB74849"/>
    <w:rsid w:val="1AC52FF2"/>
    <w:rsid w:val="1AE6175D"/>
    <w:rsid w:val="1B742AA7"/>
    <w:rsid w:val="1CA34935"/>
    <w:rsid w:val="1CFA40C7"/>
    <w:rsid w:val="1D017DC5"/>
    <w:rsid w:val="1D5A640E"/>
    <w:rsid w:val="1E6D581F"/>
    <w:rsid w:val="1F7640EC"/>
    <w:rsid w:val="20455B10"/>
    <w:rsid w:val="20D76C5F"/>
    <w:rsid w:val="21057490"/>
    <w:rsid w:val="214A230E"/>
    <w:rsid w:val="21B052C4"/>
    <w:rsid w:val="22FF5445"/>
    <w:rsid w:val="23065733"/>
    <w:rsid w:val="238D0E57"/>
    <w:rsid w:val="24256710"/>
    <w:rsid w:val="251E7983"/>
    <w:rsid w:val="25885A22"/>
    <w:rsid w:val="260D5D83"/>
    <w:rsid w:val="26F816B6"/>
    <w:rsid w:val="28294D79"/>
    <w:rsid w:val="284A2254"/>
    <w:rsid w:val="28FB3848"/>
    <w:rsid w:val="292F1467"/>
    <w:rsid w:val="29786927"/>
    <w:rsid w:val="297B51B4"/>
    <w:rsid w:val="29E40467"/>
    <w:rsid w:val="29F527E2"/>
    <w:rsid w:val="2A1D7222"/>
    <w:rsid w:val="2A661299"/>
    <w:rsid w:val="2A726245"/>
    <w:rsid w:val="2B747CAD"/>
    <w:rsid w:val="2BF35971"/>
    <w:rsid w:val="2C487650"/>
    <w:rsid w:val="2E4A2482"/>
    <w:rsid w:val="2E4F43C0"/>
    <w:rsid w:val="2E5276CD"/>
    <w:rsid w:val="2EC7368E"/>
    <w:rsid w:val="30FB4B41"/>
    <w:rsid w:val="31621165"/>
    <w:rsid w:val="319A041A"/>
    <w:rsid w:val="323C5548"/>
    <w:rsid w:val="324E146B"/>
    <w:rsid w:val="329F4483"/>
    <w:rsid w:val="33BF39BD"/>
    <w:rsid w:val="34310128"/>
    <w:rsid w:val="35661CB4"/>
    <w:rsid w:val="35B54C33"/>
    <w:rsid w:val="37450F88"/>
    <w:rsid w:val="37D6106F"/>
    <w:rsid w:val="38F862EB"/>
    <w:rsid w:val="39343807"/>
    <w:rsid w:val="39513F13"/>
    <w:rsid w:val="39887BBC"/>
    <w:rsid w:val="3A461688"/>
    <w:rsid w:val="3A53023B"/>
    <w:rsid w:val="3A726921"/>
    <w:rsid w:val="3AF42D2D"/>
    <w:rsid w:val="3B3A041F"/>
    <w:rsid w:val="3BAE6BF9"/>
    <w:rsid w:val="3CCA47F2"/>
    <w:rsid w:val="3CDE0708"/>
    <w:rsid w:val="3D0228C2"/>
    <w:rsid w:val="3D5877DF"/>
    <w:rsid w:val="3DC55CAA"/>
    <w:rsid w:val="3DD556CA"/>
    <w:rsid w:val="3E2E22A0"/>
    <w:rsid w:val="3EEF519A"/>
    <w:rsid w:val="3F450429"/>
    <w:rsid w:val="40226C80"/>
    <w:rsid w:val="40C451A5"/>
    <w:rsid w:val="4156470B"/>
    <w:rsid w:val="41943ACE"/>
    <w:rsid w:val="420212D0"/>
    <w:rsid w:val="425D4066"/>
    <w:rsid w:val="43173FD4"/>
    <w:rsid w:val="44143822"/>
    <w:rsid w:val="44654A12"/>
    <w:rsid w:val="457C5F26"/>
    <w:rsid w:val="45C951A4"/>
    <w:rsid w:val="480F0A51"/>
    <w:rsid w:val="48EF3B0C"/>
    <w:rsid w:val="49CF255F"/>
    <w:rsid w:val="4A9F6A3B"/>
    <w:rsid w:val="4AB310CF"/>
    <w:rsid w:val="4AF35B0D"/>
    <w:rsid w:val="4B2C5DCD"/>
    <w:rsid w:val="4B7D1173"/>
    <w:rsid w:val="4C150E22"/>
    <w:rsid w:val="4C6A38FC"/>
    <w:rsid w:val="4C905C83"/>
    <w:rsid w:val="4CE74BC3"/>
    <w:rsid w:val="4CF5000E"/>
    <w:rsid w:val="4D1D5A08"/>
    <w:rsid w:val="4DB17672"/>
    <w:rsid w:val="5055171C"/>
    <w:rsid w:val="50A17FA6"/>
    <w:rsid w:val="50AC44C4"/>
    <w:rsid w:val="50EA6DB9"/>
    <w:rsid w:val="51052624"/>
    <w:rsid w:val="512D6CA6"/>
    <w:rsid w:val="51CA7471"/>
    <w:rsid w:val="521C2FA3"/>
    <w:rsid w:val="522529B2"/>
    <w:rsid w:val="53910AF4"/>
    <w:rsid w:val="54B812AB"/>
    <w:rsid w:val="54E66898"/>
    <w:rsid w:val="555952B3"/>
    <w:rsid w:val="556B5A36"/>
    <w:rsid w:val="55751703"/>
    <w:rsid w:val="55AF40BB"/>
    <w:rsid w:val="56F72F7C"/>
    <w:rsid w:val="582C52D4"/>
    <w:rsid w:val="58382B00"/>
    <w:rsid w:val="586243BF"/>
    <w:rsid w:val="58FD3402"/>
    <w:rsid w:val="597520EC"/>
    <w:rsid w:val="597D6A47"/>
    <w:rsid w:val="5AAF7799"/>
    <w:rsid w:val="5B5C1753"/>
    <w:rsid w:val="5D8130A1"/>
    <w:rsid w:val="5E134100"/>
    <w:rsid w:val="5F2B0CC9"/>
    <w:rsid w:val="5F620CFC"/>
    <w:rsid w:val="5F7A1C50"/>
    <w:rsid w:val="601C4AB5"/>
    <w:rsid w:val="60BE691E"/>
    <w:rsid w:val="61444403"/>
    <w:rsid w:val="62107A09"/>
    <w:rsid w:val="62265BDF"/>
    <w:rsid w:val="625865CD"/>
    <w:rsid w:val="62E1699A"/>
    <w:rsid w:val="64147F0D"/>
    <w:rsid w:val="64D66362"/>
    <w:rsid w:val="65070998"/>
    <w:rsid w:val="65860217"/>
    <w:rsid w:val="65B37C6A"/>
    <w:rsid w:val="667E0AA1"/>
    <w:rsid w:val="67033EE6"/>
    <w:rsid w:val="68FB17C3"/>
    <w:rsid w:val="69345A96"/>
    <w:rsid w:val="693F09CB"/>
    <w:rsid w:val="695F12F9"/>
    <w:rsid w:val="69636C3A"/>
    <w:rsid w:val="69CF7B2C"/>
    <w:rsid w:val="69D5464B"/>
    <w:rsid w:val="6A0B0004"/>
    <w:rsid w:val="6AFA1032"/>
    <w:rsid w:val="6BA1010E"/>
    <w:rsid w:val="6BE471E9"/>
    <w:rsid w:val="6C8D58AB"/>
    <w:rsid w:val="6CE47E41"/>
    <w:rsid w:val="6CED5810"/>
    <w:rsid w:val="6CF92413"/>
    <w:rsid w:val="6DFE5E04"/>
    <w:rsid w:val="6E87203D"/>
    <w:rsid w:val="6F9278BB"/>
    <w:rsid w:val="71025267"/>
    <w:rsid w:val="71572F19"/>
    <w:rsid w:val="719B7427"/>
    <w:rsid w:val="72054DFA"/>
    <w:rsid w:val="724A6793"/>
    <w:rsid w:val="741F26FA"/>
    <w:rsid w:val="74470DF8"/>
    <w:rsid w:val="75424C40"/>
    <w:rsid w:val="75FD1676"/>
    <w:rsid w:val="772B3188"/>
    <w:rsid w:val="789C10FF"/>
    <w:rsid w:val="79192653"/>
    <w:rsid w:val="799536BA"/>
    <w:rsid w:val="79F92809"/>
    <w:rsid w:val="7B170752"/>
    <w:rsid w:val="7B68370A"/>
    <w:rsid w:val="7B884C47"/>
    <w:rsid w:val="7B8F681B"/>
    <w:rsid w:val="7D6618C8"/>
    <w:rsid w:val="7D7953C1"/>
    <w:rsid w:val="7DD96C0E"/>
    <w:rsid w:val="7E474F7B"/>
    <w:rsid w:val="7E522459"/>
    <w:rsid w:val="7E8F7AC1"/>
    <w:rsid w:val="7EA03BA6"/>
    <w:rsid w:val="7F937A0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16">
    <w:name w:val="Default Paragraph Font"/>
    <w:semiHidden/>
    <w:qFormat/>
    <w:uiPriority w:val="99"/>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toc 1"/>
    <w:basedOn w:val="1"/>
    <w:next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4">
    <w:name w:val="Body Text"/>
    <w:basedOn w:val="1"/>
    <w:next w:val="5"/>
    <w:qFormat/>
    <w:uiPriority w:val="0"/>
    <w:pPr>
      <w:spacing w:before="100" w:beforeAutospacing="1" w:after="120"/>
    </w:pPr>
    <w:rPr>
      <w:rFonts w:eastAsia="仿宋_GB2312"/>
      <w:sz w:val="32"/>
      <w:szCs w:val="32"/>
    </w:rPr>
  </w:style>
  <w:style w:type="paragraph" w:customStyle="1" w:styleId="5">
    <w:name w:val="正文首行缩进1"/>
    <w:basedOn w:val="1"/>
    <w:qFormat/>
    <w:uiPriority w:val="0"/>
    <w:pPr>
      <w:spacing w:after="120"/>
      <w:ind w:firstLine="100" w:firstLineChars="100"/>
    </w:pPr>
  </w:style>
  <w:style w:type="paragraph" w:styleId="6">
    <w:name w:val="Body Text Indent"/>
    <w:basedOn w:val="1"/>
    <w:qFormat/>
    <w:uiPriority w:val="0"/>
    <w:pPr>
      <w:spacing w:after="120"/>
      <w:ind w:left="420" w:leftChars="200"/>
    </w:pPr>
    <w:rPr>
      <w:rFonts w:ascii="Times New Roman" w:hAnsi="Times New Roman" w:eastAsia="宋体" w:cs="Times New Roman"/>
    </w:rPr>
  </w:style>
  <w:style w:type="paragraph" w:styleId="7">
    <w:name w:val="Body Text Indent 2"/>
    <w:basedOn w:val="1"/>
    <w:qFormat/>
    <w:uiPriority w:val="0"/>
    <w:pPr>
      <w:spacing w:after="120" w:afterAutospacing="0" w:line="480" w:lineRule="auto"/>
      <w:ind w:left="420" w:leftChars="200"/>
    </w:pPr>
  </w:style>
  <w:style w:type="paragraph" w:styleId="8">
    <w:name w:val="footer"/>
    <w:basedOn w:val="1"/>
    <w:link w:val="18"/>
    <w:qFormat/>
    <w:uiPriority w:val="99"/>
    <w:pPr>
      <w:tabs>
        <w:tab w:val="center" w:pos="4153"/>
        <w:tab w:val="right" w:pos="8306"/>
      </w:tabs>
      <w:snapToGrid w:val="0"/>
      <w:jc w:val="left"/>
    </w:pPr>
    <w:rPr>
      <w:sz w:val="18"/>
      <w:szCs w:val="18"/>
    </w:rPr>
  </w:style>
  <w:style w:type="paragraph" w:styleId="9">
    <w:name w:val="header"/>
    <w:basedOn w:val="1"/>
    <w:link w:val="1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footnote text"/>
    <w:basedOn w:val="1"/>
    <w:next w:val="1"/>
    <w:qFormat/>
    <w:uiPriority w:val="0"/>
    <w:pPr>
      <w:snapToGrid w:val="0"/>
      <w:jc w:val="left"/>
    </w:pPr>
    <w:rPr>
      <w:sz w:val="18"/>
      <w:szCs w:val="18"/>
    </w:r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2">
    <w:name w:val="Body Text First Indent"/>
    <w:basedOn w:val="4"/>
    <w:next w:val="1"/>
    <w:qFormat/>
    <w:uiPriority w:val="0"/>
    <w:pPr>
      <w:adjustRightInd w:val="0"/>
      <w:snapToGrid w:val="0"/>
      <w:spacing w:after="0" w:line="360" w:lineRule="auto"/>
      <w:ind w:firstLine="100" w:firstLineChars="100"/>
    </w:pPr>
    <w:rPr>
      <w:rFonts w:eastAsia="宋体"/>
      <w:sz w:val="28"/>
      <w:szCs w:val="20"/>
    </w:rPr>
  </w:style>
  <w:style w:type="paragraph" w:styleId="13">
    <w:name w:val="Body Text First Indent 2"/>
    <w:basedOn w:val="6"/>
    <w:qFormat/>
    <w:uiPriority w:val="0"/>
    <w:pPr>
      <w:spacing w:before="100" w:beforeAutospacing="1" w:after="0"/>
      <w:ind w:left="0" w:firstLine="420" w:firstLineChars="200"/>
    </w:pPr>
    <w:rPr>
      <w:rFonts w:ascii="Calibri" w:hAnsi="Calibri" w:eastAsia="宋体" w:cs="Times New Roman"/>
    </w:rPr>
  </w:style>
  <w:style w:type="table" w:styleId="15">
    <w:name w:val="Table Grid"/>
    <w:basedOn w:val="14"/>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99"/>
    <w:rPr>
      <w:rFonts w:cs="Times New Roman"/>
    </w:rPr>
  </w:style>
  <w:style w:type="character" w:customStyle="1" w:styleId="18">
    <w:name w:val="Footer Char"/>
    <w:basedOn w:val="16"/>
    <w:link w:val="8"/>
    <w:semiHidden/>
    <w:qFormat/>
    <w:uiPriority w:val="99"/>
    <w:rPr>
      <w:sz w:val="18"/>
      <w:szCs w:val="18"/>
    </w:rPr>
  </w:style>
  <w:style w:type="character" w:customStyle="1" w:styleId="19">
    <w:name w:val="Header Char"/>
    <w:basedOn w:val="16"/>
    <w:link w:val="9"/>
    <w:semiHidden/>
    <w:qFormat/>
    <w:uiPriority w:val="99"/>
    <w:rPr>
      <w:sz w:val="18"/>
      <w:szCs w:val="18"/>
    </w:rPr>
  </w:style>
  <w:style w:type="paragraph" w:styleId="20">
    <w:name w:val="List Paragraph"/>
    <w:basedOn w:val="1"/>
    <w:qFormat/>
    <w:uiPriority w:val="99"/>
    <w:pPr>
      <w:ind w:firstLine="420" w:firstLineChars="200"/>
    </w:pPr>
    <w:rPr>
      <w:rFonts w:ascii="Calibri" w:hAnsi="Calibri"/>
      <w:szCs w:val="22"/>
    </w:rPr>
  </w:style>
  <w:style w:type="character" w:customStyle="1" w:styleId="21">
    <w:name w:val="NormalCharacter"/>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11</Pages>
  <Words>3561</Words>
  <Characters>3988</Characters>
  <Lines>0</Lines>
  <Paragraphs>0</Paragraphs>
  <TotalTime>7</TotalTime>
  <ScaleCrop>false</ScaleCrop>
  <LinksUpToDate>false</LinksUpToDate>
  <CharactersWithSpaces>4056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Queen</cp:lastModifiedBy>
  <cp:lastPrinted>2023-07-12T08:19:10Z</cp:lastPrinted>
  <dcterms:modified xsi:type="dcterms:W3CDTF">2023-07-12T08:21:45Z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22F6C65267154955AD5E17359874E52A_13</vt:lpwstr>
  </property>
</Properties>
</file>