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DA2" w:rsidRDefault="000D1E5F" w:rsidP="00182462">
      <w:pPr>
        <w:spacing w:afterLines="50" w:line="600" w:lineRule="exact"/>
        <w:rPr>
          <w:rFonts w:ascii="黑体" w:eastAsia="黑体" w:hAnsi="黑体" w:cs="黑体"/>
          <w:sz w:val="32"/>
          <w:szCs w:val="32"/>
        </w:rPr>
      </w:pPr>
      <w:r>
        <w:rPr>
          <w:rFonts w:ascii="黑体" w:eastAsia="黑体" w:hAnsi="黑体" w:cs="黑体" w:hint="eastAsia"/>
          <w:sz w:val="32"/>
          <w:szCs w:val="32"/>
        </w:rPr>
        <w:t>附件1</w:t>
      </w:r>
    </w:p>
    <w:p w:rsidR="00150DA2" w:rsidRDefault="000D1E5F" w:rsidP="00182462">
      <w:pPr>
        <w:spacing w:beforeLines="50" w:afterLines="100"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2022年度部门整体支出绩效评价基础数据表</w:t>
      </w:r>
    </w:p>
    <w:tbl>
      <w:tblPr>
        <w:tblW w:w="4996" w:type="pct"/>
        <w:jc w:val="center"/>
        <w:tblLook w:val="04A0"/>
      </w:tblPr>
      <w:tblGrid>
        <w:gridCol w:w="3021"/>
        <w:gridCol w:w="1836"/>
        <w:gridCol w:w="2286"/>
        <w:gridCol w:w="1570"/>
      </w:tblGrid>
      <w:tr w:rsidR="00150DA2">
        <w:trPr>
          <w:trHeight w:val="539"/>
          <w:jc w:val="center"/>
        </w:trPr>
        <w:tc>
          <w:tcPr>
            <w:tcW w:w="1733" w:type="pct"/>
            <w:vMerge w:val="restar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财政供养人员情况（人）</w:t>
            </w:r>
          </w:p>
        </w:tc>
        <w:tc>
          <w:tcPr>
            <w:tcW w:w="1053" w:type="pct"/>
            <w:tcBorders>
              <w:top w:val="single" w:sz="4" w:space="0" w:color="auto"/>
              <w:left w:val="nil"/>
              <w:bottom w:val="single" w:sz="4" w:space="0" w:color="auto"/>
              <w:right w:val="single" w:sz="4" w:space="0" w:color="auto"/>
            </w:tcBorders>
            <w:vAlign w:val="center"/>
          </w:tcPr>
          <w:p w:rsidR="00150DA2" w:rsidRDefault="000D1E5F">
            <w:pPr>
              <w:widowControl/>
              <w:spacing w:line="360" w:lineRule="exact"/>
              <w:jc w:val="center"/>
              <w:rPr>
                <w:rFonts w:ascii="新宋体" w:eastAsia="新宋体" w:hAnsi="新宋体" w:cs="新宋体"/>
                <w:b/>
                <w:bCs/>
                <w:szCs w:val="21"/>
              </w:rPr>
            </w:pPr>
            <w:r>
              <w:rPr>
                <w:rFonts w:ascii="新宋体" w:eastAsia="新宋体" w:hAnsi="新宋体" w:cs="新宋体" w:hint="eastAsia"/>
                <w:b/>
                <w:bCs/>
                <w:szCs w:val="21"/>
              </w:rPr>
              <w:t>编制数</w:t>
            </w:r>
          </w:p>
        </w:tc>
        <w:tc>
          <w:tcPr>
            <w:tcW w:w="1312" w:type="pct"/>
            <w:tcBorders>
              <w:top w:val="single" w:sz="4" w:space="0" w:color="auto"/>
              <w:left w:val="nil"/>
              <w:bottom w:val="single" w:sz="4" w:space="0" w:color="auto"/>
              <w:right w:val="single" w:sz="4" w:space="0" w:color="auto"/>
            </w:tcBorders>
            <w:vAlign w:val="center"/>
          </w:tcPr>
          <w:p w:rsidR="00150DA2" w:rsidRDefault="000D1E5F">
            <w:pPr>
              <w:widowControl/>
              <w:spacing w:line="360" w:lineRule="exact"/>
              <w:jc w:val="center"/>
              <w:rPr>
                <w:rFonts w:ascii="新宋体" w:eastAsia="新宋体" w:hAnsi="新宋体" w:cs="新宋体"/>
                <w:b/>
                <w:bCs/>
                <w:szCs w:val="21"/>
              </w:rPr>
            </w:pPr>
            <w:r>
              <w:rPr>
                <w:rFonts w:ascii="新宋体" w:eastAsia="新宋体" w:hAnsi="新宋体" w:cs="新宋体" w:hint="eastAsia"/>
                <w:b/>
                <w:bCs/>
                <w:szCs w:val="21"/>
              </w:rPr>
              <w:t>2022年实际在职人数</w:t>
            </w:r>
          </w:p>
        </w:tc>
        <w:tc>
          <w:tcPr>
            <w:tcW w:w="901" w:type="pct"/>
            <w:tcBorders>
              <w:top w:val="single" w:sz="4" w:space="0" w:color="auto"/>
              <w:left w:val="nil"/>
              <w:bottom w:val="single" w:sz="4" w:space="0" w:color="auto"/>
              <w:right w:val="single" w:sz="4" w:space="0" w:color="auto"/>
            </w:tcBorders>
            <w:vAlign w:val="center"/>
          </w:tcPr>
          <w:p w:rsidR="00150DA2" w:rsidRDefault="000D1E5F">
            <w:pPr>
              <w:widowControl/>
              <w:spacing w:line="360" w:lineRule="exact"/>
              <w:jc w:val="center"/>
              <w:rPr>
                <w:rFonts w:ascii="新宋体" w:eastAsia="新宋体" w:hAnsi="新宋体" w:cs="新宋体"/>
                <w:b/>
                <w:bCs/>
                <w:szCs w:val="21"/>
              </w:rPr>
            </w:pPr>
            <w:r>
              <w:rPr>
                <w:rFonts w:ascii="新宋体" w:eastAsia="新宋体" w:hAnsi="新宋体" w:cs="新宋体" w:hint="eastAsia"/>
                <w:b/>
                <w:bCs/>
                <w:szCs w:val="21"/>
              </w:rPr>
              <w:t>控制率</w:t>
            </w:r>
          </w:p>
        </w:tc>
      </w:tr>
      <w:tr w:rsidR="00150DA2">
        <w:trPr>
          <w:trHeight w:val="539"/>
          <w:jc w:val="center"/>
        </w:trPr>
        <w:tc>
          <w:tcPr>
            <w:tcW w:w="1733" w:type="pct"/>
            <w:vMerge/>
            <w:tcBorders>
              <w:top w:val="single" w:sz="4" w:space="0" w:color="auto"/>
              <w:left w:val="single" w:sz="4" w:space="0" w:color="auto"/>
              <w:bottom w:val="single" w:sz="4" w:space="0" w:color="auto"/>
              <w:right w:val="single" w:sz="4" w:space="0" w:color="auto"/>
            </w:tcBorders>
            <w:vAlign w:val="center"/>
          </w:tcPr>
          <w:p w:rsidR="00150DA2" w:rsidRDefault="00150DA2">
            <w:pPr>
              <w:widowControl/>
              <w:spacing w:line="360" w:lineRule="exact"/>
              <w:jc w:val="center"/>
              <w:rPr>
                <w:rFonts w:ascii="新宋体" w:eastAsia="新宋体" w:hAnsi="新宋体" w:cs="新宋体"/>
                <w:szCs w:val="21"/>
              </w:rPr>
            </w:pPr>
          </w:p>
        </w:tc>
        <w:tc>
          <w:tcPr>
            <w:tcW w:w="1053" w:type="pct"/>
            <w:tcBorders>
              <w:top w:val="single" w:sz="4" w:space="0" w:color="auto"/>
              <w:left w:val="nil"/>
              <w:bottom w:val="single" w:sz="4" w:space="0" w:color="auto"/>
              <w:right w:val="single" w:sz="4" w:space="0" w:color="auto"/>
            </w:tcBorders>
            <w:vAlign w:val="center"/>
          </w:tcPr>
          <w:p w:rsidR="00150DA2" w:rsidRDefault="000D1E5F">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117</w:t>
            </w:r>
          </w:p>
        </w:tc>
        <w:tc>
          <w:tcPr>
            <w:tcW w:w="1312" w:type="pct"/>
            <w:tcBorders>
              <w:top w:val="single" w:sz="4" w:space="0" w:color="auto"/>
              <w:left w:val="nil"/>
              <w:bottom w:val="single" w:sz="4" w:space="0" w:color="auto"/>
              <w:right w:val="single" w:sz="4" w:space="0" w:color="auto"/>
            </w:tcBorders>
            <w:vAlign w:val="center"/>
          </w:tcPr>
          <w:p w:rsidR="00150DA2" w:rsidRDefault="000D1E5F">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117</w:t>
            </w:r>
          </w:p>
        </w:tc>
        <w:tc>
          <w:tcPr>
            <w:tcW w:w="901" w:type="pct"/>
            <w:tcBorders>
              <w:top w:val="single" w:sz="4" w:space="0" w:color="auto"/>
              <w:left w:val="nil"/>
              <w:bottom w:val="single" w:sz="4" w:space="0" w:color="auto"/>
              <w:right w:val="single" w:sz="4" w:space="0" w:color="auto"/>
            </w:tcBorders>
            <w:vAlign w:val="center"/>
          </w:tcPr>
          <w:p w:rsidR="00150DA2" w:rsidRDefault="000D1E5F">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100%</w:t>
            </w:r>
          </w:p>
        </w:tc>
      </w:tr>
      <w:tr w:rsidR="00150DA2">
        <w:trPr>
          <w:trHeight w:val="539"/>
          <w:jc w:val="center"/>
        </w:trPr>
        <w:tc>
          <w:tcPr>
            <w:tcW w:w="1733" w:type="pct"/>
            <w:tcBorders>
              <w:top w:val="nil"/>
              <w:left w:val="single" w:sz="4" w:space="0" w:color="auto"/>
              <w:bottom w:val="single" w:sz="4" w:space="0" w:color="auto"/>
              <w:right w:val="single" w:sz="4" w:space="0" w:color="auto"/>
            </w:tcBorders>
            <w:vAlign w:val="center"/>
          </w:tcPr>
          <w:p w:rsidR="00150DA2" w:rsidRDefault="000D1E5F">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经费控制情况（万元）</w:t>
            </w:r>
          </w:p>
        </w:tc>
        <w:tc>
          <w:tcPr>
            <w:tcW w:w="1053" w:type="pct"/>
            <w:tcBorders>
              <w:top w:val="single" w:sz="4" w:space="0" w:color="auto"/>
              <w:left w:val="nil"/>
              <w:bottom w:val="single" w:sz="4" w:space="0" w:color="auto"/>
              <w:right w:val="single" w:sz="4" w:space="0" w:color="000000"/>
            </w:tcBorders>
            <w:vAlign w:val="center"/>
          </w:tcPr>
          <w:p w:rsidR="00150DA2" w:rsidRDefault="000D1E5F">
            <w:pPr>
              <w:widowControl/>
              <w:spacing w:line="360" w:lineRule="exact"/>
              <w:jc w:val="center"/>
              <w:rPr>
                <w:rFonts w:ascii="新宋体" w:eastAsia="新宋体" w:hAnsi="新宋体" w:cs="新宋体"/>
                <w:b/>
                <w:bCs/>
                <w:szCs w:val="21"/>
              </w:rPr>
            </w:pPr>
            <w:r>
              <w:rPr>
                <w:rFonts w:ascii="新宋体" w:eastAsia="新宋体" w:hAnsi="新宋体" w:cs="新宋体" w:hint="eastAsia"/>
                <w:b/>
                <w:bCs/>
                <w:szCs w:val="21"/>
              </w:rPr>
              <w:t>2021年决算数</w:t>
            </w:r>
          </w:p>
        </w:tc>
        <w:tc>
          <w:tcPr>
            <w:tcW w:w="1312" w:type="pct"/>
            <w:tcBorders>
              <w:top w:val="single" w:sz="4" w:space="0" w:color="auto"/>
              <w:left w:val="nil"/>
              <w:bottom w:val="single" w:sz="4" w:space="0" w:color="auto"/>
              <w:right w:val="single" w:sz="4" w:space="0" w:color="000000"/>
            </w:tcBorders>
            <w:vAlign w:val="center"/>
          </w:tcPr>
          <w:p w:rsidR="00150DA2" w:rsidRDefault="000D1E5F">
            <w:pPr>
              <w:widowControl/>
              <w:spacing w:line="360" w:lineRule="exact"/>
              <w:jc w:val="center"/>
              <w:rPr>
                <w:rFonts w:ascii="新宋体" w:eastAsia="新宋体" w:hAnsi="新宋体" w:cs="新宋体"/>
                <w:b/>
                <w:bCs/>
                <w:szCs w:val="21"/>
              </w:rPr>
            </w:pPr>
            <w:r>
              <w:rPr>
                <w:rFonts w:ascii="新宋体" w:eastAsia="新宋体" w:hAnsi="新宋体" w:cs="新宋体" w:hint="eastAsia"/>
                <w:b/>
                <w:bCs/>
                <w:szCs w:val="21"/>
              </w:rPr>
              <w:t>2022年预算数</w:t>
            </w:r>
          </w:p>
        </w:tc>
        <w:tc>
          <w:tcPr>
            <w:tcW w:w="901" w:type="pct"/>
            <w:tcBorders>
              <w:top w:val="single" w:sz="4" w:space="0" w:color="auto"/>
              <w:left w:val="nil"/>
              <w:bottom w:val="single" w:sz="4" w:space="0" w:color="auto"/>
              <w:right w:val="single" w:sz="4" w:space="0" w:color="000000"/>
            </w:tcBorders>
            <w:vAlign w:val="center"/>
          </w:tcPr>
          <w:p w:rsidR="00150DA2" w:rsidRDefault="000D1E5F">
            <w:pPr>
              <w:widowControl/>
              <w:spacing w:line="360" w:lineRule="exact"/>
              <w:jc w:val="center"/>
              <w:rPr>
                <w:rFonts w:ascii="新宋体" w:eastAsia="新宋体" w:hAnsi="新宋体" w:cs="新宋体"/>
                <w:b/>
                <w:bCs/>
                <w:szCs w:val="21"/>
              </w:rPr>
            </w:pPr>
            <w:r>
              <w:rPr>
                <w:rFonts w:ascii="新宋体" w:eastAsia="新宋体" w:hAnsi="新宋体" w:cs="新宋体" w:hint="eastAsia"/>
                <w:b/>
                <w:bCs/>
                <w:szCs w:val="21"/>
              </w:rPr>
              <w:t>2022年决算数</w:t>
            </w:r>
          </w:p>
        </w:tc>
      </w:tr>
      <w:tr w:rsidR="00150DA2">
        <w:trPr>
          <w:trHeight w:val="539"/>
          <w:jc w:val="center"/>
        </w:trPr>
        <w:tc>
          <w:tcPr>
            <w:tcW w:w="1733" w:type="pct"/>
            <w:tcBorders>
              <w:top w:val="nil"/>
              <w:left w:val="single" w:sz="4" w:space="0" w:color="auto"/>
              <w:bottom w:val="single" w:sz="4" w:space="0" w:color="auto"/>
              <w:right w:val="single" w:sz="4" w:space="0" w:color="auto"/>
            </w:tcBorders>
            <w:vAlign w:val="center"/>
          </w:tcPr>
          <w:p w:rsidR="00150DA2" w:rsidRDefault="000D1E5F">
            <w:pPr>
              <w:widowControl/>
              <w:spacing w:line="360" w:lineRule="exact"/>
              <w:rPr>
                <w:rFonts w:ascii="新宋体" w:eastAsia="新宋体" w:hAnsi="新宋体" w:cs="新宋体"/>
                <w:szCs w:val="21"/>
              </w:rPr>
            </w:pPr>
            <w:r>
              <w:rPr>
                <w:rFonts w:ascii="新宋体" w:eastAsia="新宋体" w:hAnsi="新宋体" w:cs="新宋体" w:hint="eastAsia"/>
                <w:szCs w:val="21"/>
              </w:rPr>
              <w:t>一、基本支出：</w:t>
            </w:r>
          </w:p>
        </w:tc>
        <w:tc>
          <w:tcPr>
            <w:tcW w:w="1053" w:type="pct"/>
            <w:tcBorders>
              <w:top w:val="single" w:sz="4" w:space="0" w:color="auto"/>
              <w:left w:val="nil"/>
              <w:bottom w:val="single" w:sz="4" w:space="0" w:color="auto"/>
              <w:right w:val="single" w:sz="4" w:space="0" w:color="000000"/>
            </w:tcBorders>
            <w:vAlign w:val="center"/>
          </w:tcPr>
          <w:p w:rsidR="00150DA2" w:rsidRDefault="000D1E5F">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1755.13</w:t>
            </w:r>
          </w:p>
        </w:tc>
        <w:tc>
          <w:tcPr>
            <w:tcW w:w="1312" w:type="pct"/>
            <w:tcBorders>
              <w:top w:val="single" w:sz="4" w:space="0" w:color="auto"/>
              <w:left w:val="nil"/>
              <w:bottom w:val="single" w:sz="4" w:space="0" w:color="auto"/>
              <w:right w:val="single" w:sz="4" w:space="0" w:color="000000"/>
            </w:tcBorders>
            <w:vAlign w:val="center"/>
          </w:tcPr>
          <w:p w:rsidR="00150DA2" w:rsidRDefault="00150DA2">
            <w:pPr>
              <w:widowControl/>
              <w:spacing w:line="360" w:lineRule="exact"/>
              <w:jc w:val="center"/>
              <w:rPr>
                <w:rFonts w:ascii="新宋体" w:eastAsia="新宋体" w:hAnsi="新宋体" w:cs="新宋体"/>
                <w:szCs w:val="21"/>
              </w:rPr>
            </w:pPr>
          </w:p>
        </w:tc>
        <w:tc>
          <w:tcPr>
            <w:tcW w:w="901" w:type="pct"/>
            <w:tcBorders>
              <w:top w:val="single" w:sz="4" w:space="0" w:color="auto"/>
              <w:left w:val="nil"/>
              <w:bottom w:val="single" w:sz="4" w:space="0" w:color="auto"/>
              <w:right w:val="single" w:sz="4" w:space="0" w:color="000000"/>
            </w:tcBorders>
            <w:vAlign w:val="center"/>
          </w:tcPr>
          <w:p w:rsidR="00150DA2" w:rsidRDefault="000D1E5F">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1975.59</w:t>
            </w:r>
          </w:p>
        </w:tc>
      </w:tr>
      <w:tr w:rsidR="00150DA2">
        <w:trPr>
          <w:trHeight w:val="539"/>
          <w:jc w:val="center"/>
        </w:trPr>
        <w:tc>
          <w:tcPr>
            <w:tcW w:w="1733" w:type="pct"/>
            <w:tcBorders>
              <w:top w:val="nil"/>
              <w:left w:val="single" w:sz="4" w:space="0" w:color="auto"/>
              <w:bottom w:val="single" w:sz="4" w:space="0" w:color="auto"/>
              <w:right w:val="single" w:sz="4" w:space="0" w:color="auto"/>
            </w:tcBorders>
            <w:vAlign w:val="center"/>
          </w:tcPr>
          <w:p w:rsidR="00150DA2" w:rsidRDefault="000D1E5F">
            <w:pPr>
              <w:widowControl/>
              <w:spacing w:line="360" w:lineRule="exact"/>
              <w:rPr>
                <w:rFonts w:ascii="新宋体" w:eastAsia="新宋体" w:hAnsi="新宋体" w:cs="新宋体"/>
                <w:szCs w:val="21"/>
              </w:rPr>
            </w:pPr>
            <w:r>
              <w:rPr>
                <w:rFonts w:ascii="新宋体" w:eastAsia="新宋体" w:hAnsi="新宋体" w:cs="新宋体" w:hint="eastAsia"/>
                <w:szCs w:val="21"/>
              </w:rPr>
              <w:t>其中：三公经费</w:t>
            </w:r>
          </w:p>
        </w:tc>
        <w:tc>
          <w:tcPr>
            <w:tcW w:w="1053" w:type="pct"/>
            <w:tcBorders>
              <w:top w:val="single" w:sz="4" w:space="0" w:color="auto"/>
              <w:left w:val="nil"/>
              <w:bottom w:val="single" w:sz="4" w:space="0" w:color="auto"/>
              <w:right w:val="single" w:sz="4" w:space="0" w:color="000000"/>
            </w:tcBorders>
            <w:vAlign w:val="center"/>
          </w:tcPr>
          <w:p w:rsidR="00150DA2" w:rsidRDefault="000D1E5F">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6.18</w:t>
            </w:r>
          </w:p>
        </w:tc>
        <w:tc>
          <w:tcPr>
            <w:tcW w:w="1312" w:type="pct"/>
            <w:tcBorders>
              <w:top w:val="single" w:sz="4" w:space="0" w:color="auto"/>
              <w:left w:val="nil"/>
              <w:bottom w:val="single" w:sz="4" w:space="0" w:color="auto"/>
              <w:right w:val="single" w:sz="4" w:space="0" w:color="000000"/>
            </w:tcBorders>
            <w:vAlign w:val="center"/>
          </w:tcPr>
          <w:p w:rsidR="00150DA2" w:rsidRDefault="000D1E5F">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27.24</w:t>
            </w:r>
          </w:p>
        </w:tc>
        <w:tc>
          <w:tcPr>
            <w:tcW w:w="901" w:type="pct"/>
            <w:tcBorders>
              <w:top w:val="single" w:sz="4" w:space="0" w:color="auto"/>
              <w:left w:val="nil"/>
              <w:bottom w:val="single" w:sz="4" w:space="0" w:color="auto"/>
              <w:right w:val="single" w:sz="4" w:space="0" w:color="000000"/>
            </w:tcBorders>
            <w:vAlign w:val="center"/>
          </w:tcPr>
          <w:p w:rsidR="00150DA2" w:rsidRDefault="000D1E5F">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6.11</w:t>
            </w:r>
          </w:p>
        </w:tc>
      </w:tr>
      <w:tr w:rsidR="00150DA2">
        <w:trPr>
          <w:trHeight w:val="539"/>
          <w:jc w:val="center"/>
        </w:trPr>
        <w:tc>
          <w:tcPr>
            <w:tcW w:w="1733" w:type="pct"/>
            <w:tcBorders>
              <w:top w:val="nil"/>
              <w:left w:val="single" w:sz="4" w:space="0" w:color="auto"/>
              <w:bottom w:val="single" w:sz="4" w:space="0" w:color="auto"/>
              <w:right w:val="single" w:sz="4" w:space="0" w:color="auto"/>
            </w:tcBorders>
            <w:vAlign w:val="center"/>
          </w:tcPr>
          <w:p w:rsidR="00150DA2" w:rsidRDefault="000D1E5F">
            <w:pPr>
              <w:widowControl/>
              <w:spacing w:line="360" w:lineRule="exact"/>
              <w:rPr>
                <w:rFonts w:ascii="新宋体" w:eastAsia="新宋体" w:hAnsi="新宋体" w:cs="新宋体"/>
                <w:szCs w:val="21"/>
              </w:rPr>
            </w:pPr>
            <w:r>
              <w:rPr>
                <w:rFonts w:ascii="新宋体" w:eastAsia="新宋体" w:hAnsi="新宋体" w:cs="新宋体" w:hint="eastAsia"/>
                <w:szCs w:val="21"/>
              </w:rPr>
              <w:t>1.公务用车购置和维护经费</w:t>
            </w:r>
          </w:p>
        </w:tc>
        <w:tc>
          <w:tcPr>
            <w:tcW w:w="1053" w:type="pct"/>
            <w:tcBorders>
              <w:top w:val="single" w:sz="4" w:space="0" w:color="auto"/>
              <w:left w:val="nil"/>
              <w:bottom w:val="single" w:sz="4" w:space="0" w:color="auto"/>
              <w:right w:val="single" w:sz="4" w:space="0" w:color="000000"/>
            </w:tcBorders>
            <w:vAlign w:val="center"/>
          </w:tcPr>
          <w:p w:rsidR="00150DA2" w:rsidRDefault="00150DA2">
            <w:pPr>
              <w:widowControl/>
              <w:spacing w:line="360" w:lineRule="exact"/>
              <w:jc w:val="center"/>
              <w:rPr>
                <w:rFonts w:ascii="新宋体" w:eastAsia="新宋体" w:hAnsi="新宋体" w:cs="新宋体"/>
                <w:szCs w:val="21"/>
              </w:rPr>
            </w:pPr>
          </w:p>
        </w:tc>
        <w:tc>
          <w:tcPr>
            <w:tcW w:w="1312" w:type="pct"/>
            <w:tcBorders>
              <w:top w:val="single" w:sz="4" w:space="0" w:color="auto"/>
              <w:left w:val="nil"/>
              <w:bottom w:val="single" w:sz="4" w:space="0" w:color="auto"/>
              <w:right w:val="single" w:sz="4" w:space="0" w:color="000000"/>
            </w:tcBorders>
            <w:vAlign w:val="center"/>
          </w:tcPr>
          <w:p w:rsidR="00150DA2" w:rsidRDefault="00150DA2">
            <w:pPr>
              <w:widowControl/>
              <w:spacing w:line="360" w:lineRule="exact"/>
              <w:jc w:val="center"/>
              <w:rPr>
                <w:rFonts w:ascii="新宋体" w:eastAsia="新宋体" w:hAnsi="新宋体" w:cs="新宋体"/>
                <w:szCs w:val="21"/>
              </w:rPr>
            </w:pPr>
          </w:p>
        </w:tc>
        <w:tc>
          <w:tcPr>
            <w:tcW w:w="901" w:type="pct"/>
            <w:tcBorders>
              <w:top w:val="single" w:sz="4" w:space="0" w:color="auto"/>
              <w:left w:val="nil"/>
              <w:bottom w:val="single" w:sz="4" w:space="0" w:color="auto"/>
              <w:right w:val="single" w:sz="4" w:space="0" w:color="000000"/>
            </w:tcBorders>
            <w:vAlign w:val="center"/>
          </w:tcPr>
          <w:p w:rsidR="00150DA2" w:rsidRDefault="00150DA2">
            <w:pPr>
              <w:widowControl/>
              <w:spacing w:line="360" w:lineRule="exact"/>
              <w:jc w:val="center"/>
              <w:rPr>
                <w:rFonts w:ascii="新宋体" w:eastAsia="新宋体" w:hAnsi="新宋体" w:cs="新宋体"/>
                <w:szCs w:val="21"/>
              </w:rPr>
            </w:pPr>
          </w:p>
        </w:tc>
      </w:tr>
      <w:tr w:rsidR="00150DA2">
        <w:trPr>
          <w:trHeight w:val="539"/>
          <w:jc w:val="center"/>
        </w:trPr>
        <w:tc>
          <w:tcPr>
            <w:tcW w:w="1733" w:type="pct"/>
            <w:tcBorders>
              <w:top w:val="nil"/>
              <w:left w:val="single" w:sz="4" w:space="0" w:color="auto"/>
              <w:bottom w:val="single" w:sz="4" w:space="0" w:color="auto"/>
              <w:right w:val="single" w:sz="4" w:space="0" w:color="auto"/>
            </w:tcBorders>
            <w:vAlign w:val="center"/>
          </w:tcPr>
          <w:p w:rsidR="00150DA2" w:rsidRDefault="000D1E5F">
            <w:pPr>
              <w:widowControl/>
              <w:spacing w:line="360" w:lineRule="exact"/>
              <w:rPr>
                <w:rFonts w:ascii="新宋体" w:eastAsia="新宋体" w:hAnsi="新宋体" w:cs="新宋体"/>
                <w:szCs w:val="21"/>
              </w:rPr>
            </w:pPr>
            <w:r>
              <w:rPr>
                <w:rFonts w:ascii="新宋体" w:eastAsia="新宋体" w:hAnsi="新宋体" w:cs="新宋体" w:hint="eastAsia"/>
                <w:szCs w:val="21"/>
              </w:rPr>
              <w:t>其中：公车购置</w:t>
            </w:r>
          </w:p>
        </w:tc>
        <w:tc>
          <w:tcPr>
            <w:tcW w:w="1053" w:type="pct"/>
            <w:tcBorders>
              <w:top w:val="single" w:sz="4" w:space="0" w:color="auto"/>
              <w:left w:val="nil"/>
              <w:bottom w:val="single" w:sz="4" w:space="0" w:color="auto"/>
              <w:right w:val="single" w:sz="4" w:space="0" w:color="000000"/>
            </w:tcBorders>
            <w:vAlign w:val="center"/>
          </w:tcPr>
          <w:p w:rsidR="00150DA2" w:rsidRDefault="00150DA2">
            <w:pPr>
              <w:widowControl/>
              <w:spacing w:line="360" w:lineRule="exact"/>
              <w:jc w:val="center"/>
              <w:rPr>
                <w:rFonts w:ascii="新宋体" w:eastAsia="新宋体" w:hAnsi="新宋体" w:cs="新宋体"/>
                <w:szCs w:val="21"/>
              </w:rPr>
            </w:pPr>
          </w:p>
        </w:tc>
        <w:tc>
          <w:tcPr>
            <w:tcW w:w="1312" w:type="pct"/>
            <w:tcBorders>
              <w:top w:val="single" w:sz="4" w:space="0" w:color="auto"/>
              <w:left w:val="nil"/>
              <w:bottom w:val="single" w:sz="4" w:space="0" w:color="auto"/>
              <w:right w:val="single" w:sz="4" w:space="0" w:color="000000"/>
            </w:tcBorders>
            <w:vAlign w:val="center"/>
          </w:tcPr>
          <w:p w:rsidR="00150DA2" w:rsidRDefault="00150DA2">
            <w:pPr>
              <w:widowControl/>
              <w:spacing w:line="360" w:lineRule="exact"/>
              <w:jc w:val="center"/>
              <w:rPr>
                <w:rFonts w:ascii="新宋体" w:eastAsia="新宋体" w:hAnsi="新宋体" w:cs="新宋体"/>
                <w:szCs w:val="21"/>
              </w:rPr>
            </w:pPr>
          </w:p>
        </w:tc>
        <w:tc>
          <w:tcPr>
            <w:tcW w:w="901" w:type="pct"/>
            <w:tcBorders>
              <w:top w:val="single" w:sz="4" w:space="0" w:color="auto"/>
              <w:left w:val="nil"/>
              <w:bottom w:val="single" w:sz="4" w:space="0" w:color="auto"/>
              <w:right w:val="single" w:sz="4" w:space="0" w:color="000000"/>
            </w:tcBorders>
            <w:vAlign w:val="center"/>
          </w:tcPr>
          <w:p w:rsidR="00150DA2" w:rsidRDefault="00150DA2">
            <w:pPr>
              <w:widowControl/>
              <w:spacing w:line="360" w:lineRule="exact"/>
              <w:jc w:val="center"/>
              <w:rPr>
                <w:rFonts w:ascii="新宋体" w:eastAsia="新宋体" w:hAnsi="新宋体" w:cs="新宋体"/>
                <w:szCs w:val="21"/>
              </w:rPr>
            </w:pPr>
          </w:p>
        </w:tc>
      </w:tr>
      <w:tr w:rsidR="00150DA2">
        <w:trPr>
          <w:trHeight w:val="539"/>
          <w:jc w:val="center"/>
        </w:trPr>
        <w:tc>
          <w:tcPr>
            <w:tcW w:w="1733" w:type="pct"/>
            <w:tcBorders>
              <w:top w:val="nil"/>
              <w:left w:val="single" w:sz="4" w:space="0" w:color="auto"/>
              <w:bottom w:val="single" w:sz="4" w:space="0" w:color="auto"/>
              <w:right w:val="single" w:sz="4" w:space="0" w:color="auto"/>
            </w:tcBorders>
            <w:vAlign w:val="center"/>
          </w:tcPr>
          <w:p w:rsidR="00150DA2" w:rsidRDefault="000D1E5F">
            <w:pPr>
              <w:widowControl/>
              <w:spacing w:line="360" w:lineRule="exact"/>
              <w:rPr>
                <w:rFonts w:ascii="新宋体" w:eastAsia="新宋体" w:hAnsi="新宋体" w:cs="新宋体"/>
                <w:szCs w:val="21"/>
              </w:rPr>
            </w:pPr>
            <w:r>
              <w:rPr>
                <w:rFonts w:ascii="新宋体" w:eastAsia="新宋体" w:hAnsi="新宋体" w:cs="新宋体" w:hint="eastAsia"/>
                <w:szCs w:val="21"/>
              </w:rPr>
              <w:t>公车运行维护</w:t>
            </w:r>
          </w:p>
        </w:tc>
        <w:tc>
          <w:tcPr>
            <w:tcW w:w="1053" w:type="pct"/>
            <w:tcBorders>
              <w:top w:val="single" w:sz="4" w:space="0" w:color="auto"/>
              <w:left w:val="nil"/>
              <w:bottom w:val="single" w:sz="4" w:space="0" w:color="auto"/>
              <w:right w:val="single" w:sz="4" w:space="0" w:color="000000"/>
            </w:tcBorders>
            <w:vAlign w:val="center"/>
          </w:tcPr>
          <w:p w:rsidR="00150DA2" w:rsidRDefault="00150DA2">
            <w:pPr>
              <w:widowControl/>
              <w:spacing w:line="360" w:lineRule="exact"/>
              <w:jc w:val="center"/>
              <w:rPr>
                <w:rFonts w:ascii="新宋体" w:eastAsia="新宋体" w:hAnsi="新宋体" w:cs="新宋体"/>
                <w:szCs w:val="21"/>
              </w:rPr>
            </w:pPr>
          </w:p>
        </w:tc>
        <w:tc>
          <w:tcPr>
            <w:tcW w:w="1312" w:type="pct"/>
            <w:tcBorders>
              <w:top w:val="single" w:sz="4" w:space="0" w:color="auto"/>
              <w:left w:val="nil"/>
              <w:bottom w:val="single" w:sz="4" w:space="0" w:color="auto"/>
              <w:right w:val="single" w:sz="4" w:space="0" w:color="000000"/>
            </w:tcBorders>
            <w:vAlign w:val="center"/>
          </w:tcPr>
          <w:p w:rsidR="00150DA2" w:rsidRDefault="00150DA2">
            <w:pPr>
              <w:widowControl/>
              <w:spacing w:line="360" w:lineRule="exact"/>
              <w:jc w:val="center"/>
              <w:rPr>
                <w:rFonts w:ascii="新宋体" w:eastAsia="新宋体" w:hAnsi="新宋体" w:cs="新宋体"/>
                <w:szCs w:val="21"/>
              </w:rPr>
            </w:pPr>
          </w:p>
        </w:tc>
        <w:tc>
          <w:tcPr>
            <w:tcW w:w="901" w:type="pct"/>
            <w:tcBorders>
              <w:top w:val="single" w:sz="4" w:space="0" w:color="auto"/>
              <w:left w:val="nil"/>
              <w:bottom w:val="single" w:sz="4" w:space="0" w:color="auto"/>
              <w:right w:val="single" w:sz="4" w:space="0" w:color="000000"/>
            </w:tcBorders>
            <w:vAlign w:val="center"/>
          </w:tcPr>
          <w:p w:rsidR="00150DA2" w:rsidRDefault="00150DA2">
            <w:pPr>
              <w:widowControl/>
              <w:spacing w:line="360" w:lineRule="exact"/>
              <w:jc w:val="center"/>
              <w:rPr>
                <w:rFonts w:ascii="新宋体" w:eastAsia="新宋体" w:hAnsi="新宋体" w:cs="新宋体"/>
                <w:szCs w:val="21"/>
              </w:rPr>
            </w:pPr>
          </w:p>
        </w:tc>
      </w:tr>
      <w:tr w:rsidR="00150DA2">
        <w:trPr>
          <w:trHeight w:val="539"/>
          <w:jc w:val="center"/>
        </w:trPr>
        <w:tc>
          <w:tcPr>
            <w:tcW w:w="1733" w:type="pct"/>
            <w:tcBorders>
              <w:top w:val="nil"/>
              <w:left w:val="single" w:sz="4" w:space="0" w:color="auto"/>
              <w:bottom w:val="single" w:sz="4" w:space="0" w:color="auto"/>
              <w:right w:val="single" w:sz="4" w:space="0" w:color="auto"/>
            </w:tcBorders>
            <w:vAlign w:val="center"/>
          </w:tcPr>
          <w:p w:rsidR="00150DA2" w:rsidRDefault="000D1E5F">
            <w:pPr>
              <w:widowControl/>
              <w:spacing w:line="360" w:lineRule="exact"/>
              <w:rPr>
                <w:rFonts w:ascii="新宋体" w:eastAsia="新宋体" w:hAnsi="新宋体" w:cs="新宋体"/>
                <w:szCs w:val="21"/>
              </w:rPr>
            </w:pPr>
            <w:r>
              <w:rPr>
                <w:rFonts w:ascii="新宋体" w:eastAsia="新宋体" w:hAnsi="新宋体" w:cs="新宋体" w:hint="eastAsia"/>
                <w:szCs w:val="21"/>
              </w:rPr>
              <w:t>2.出国经费</w:t>
            </w:r>
          </w:p>
        </w:tc>
        <w:tc>
          <w:tcPr>
            <w:tcW w:w="1053" w:type="pct"/>
            <w:tcBorders>
              <w:top w:val="single" w:sz="4" w:space="0" w:color="auto"/>
              <w:left w:val="nil"/>
              <w:bottom w:val="single" w:sz="4" w:space="0" w:color="auto"/>
              <w:right w:val="single" w:sz="4" w:space="0" w:color="000000"/>
            </w:tcBorders>
            <w:vAlign w:val="center"/>
          </w:tcPr>
          <w:p w:rsidR="00150DA2" w:rsidRDefault="00150DA2">
            <w:pPr>
              <w:widowControl/>
              <w:spacing w:line="360" w:lineRule="exact"/>
              <w:jc w:val="center"/>
              <w:rPr>
                <w:rFonts w:ascii="新宋体" w:eastAsia="新宋体" w:hAnsi="新宋体" w:cs="新宋体"/>
                <w:szCs w:val="21"/>
              </w:rPr>
            </w:pPr>
          </w:p>
        </w:tc>
        <w:tc>
          <w:tcPr>
            <w:tcW w:w="1312" w:type="pct"/>
            <w:tcBorders>
              <w:top w:val="single" w:sz="4" w:space="0" w:color="auto"/>
              <w:left w:val="nil"/>
              <w:bottom w:val="single" w:sz="4" w:space="0" w:color="auto"/>
              <w:right w:val="single" w:sz="4" w:space="0" w:color="000000"/>
            </w:tcBorders>
            <w:vAlign w:val="center"/>
          </w:tcPr>
          <w:p w:rsidR="00150DA2" w:rsidRDefault="00150DA2">
            <w:pPr>
              <w:widowControl/>
              <w:spacing w:line="360" w:lineRule="exact"/>
              <w:jc w:val="center"/>
              <w:rPr>
                <w:rFonts w:ascii="新宋体" w:eastAsia="新宋体" w:hAnsi="新宋体" w:cs="新宋体"/>
                <w:szCs w:val="21"/>
              </w:rPr>
            </w:pPr>
          </w:p>
        </w:tc>
        <w:tc>
          <w:tcPr>
            <w:tcW w:w="901" w:type="pct"/>
            <w:tcBorders>
              <w:top w:val="single" w:sz="4" w:space="0" w:color="auto"/>
              <w:left w:val="nil"/>
              <w:bottom w:val="single" w:sz="4" w:space="0" w:color="auto"/>
              <w:right w:val="single" w:sz="4" w:space="0" w:color="000000"/>
            </w:tcBorders>
            <w:vAlign w:val="center"/>
          </w:tcPr>
          <w:p w:rsidR="00150DA2" w:rsidRDefault="00150DA2">
            <w:pPr>
              <w:widowControl/>
              <w:spacing w:line="360" w:lineRule="exact"/>
              <w:jc w:val="center"/>
              <w:rPr>
                <w:rFonts w:ascii="新宋体" w:eastAsia="新宋体" w:hAnsi="新宋体" w:cs="新宋体"/>
                <w:szCs w:val="21"/>
              </w:rPr>
            </w:pPr>
          </w:p>
        </w:tc>
      </w:tr>
      <w:tr w:rsidR="00150DA2">
        <w:trPr>
          <w:trHeight w:val="539"/>
          <w:jc w:val="center"/>
        </w:trPr>
        <w:tc>
          <w:tcPr>
            <w:tcW w:w="1733" w:type="pct"/>
            <w:tcBorders>
              <w:top w:val="nil"/>
              <w:left w:val="single" w:sz="4" w:space="0" w:color="auto"/>
              <w:bottom w:val="single" w:sz="4" w:space="0" w:color="auto"/>
              <w:right w:val="single" w:sz="4" w:space="0" w:color="auto"/>
            </w:tcBorders>
            <w:vAlign w:val="center"/>
          </w:tcPr>
          <w:p w:rsidR="00150DA2" w:rsidRDefault="000D1E5F">
            <w:pPr>
              <w:widowControl/>
              <w:spacing w:line="360" w:lineRule="exact"/>
              <w:rPr>
                <w:rFonts w:ascii="新宋体" w:eastAsia="新宋体" w:hAnsi="新宋体" w:cs="新宋体"/>
                <w:szCs w:val="21"/>
              </w:rPr>
            </w:pPr>
            <w:r>
              <w:rPr>
                <w:rFonts w:ascii="新宋体" w:eastAsia="新宋体" w:hAnsi="新宋体" w:cs="新宋体" w:hint="eastAsia"/>
                <w:szCs w:val="21"/>
              </w:rPr>
              <w:t>3.公务接待</w:t>
            </w:r>
          </w:p>
        </w:tc>
        <w:tc>
          <w:tcPr>
            <w:tcW w:w="1053" w:type="pct"/>
            <w:tcBorders>
              <w:top w:val="single" w:sz="4" w:space="0" w:color="auto"/>
              <w:left w:val="nil"/>
              <w:bottom w:val="single" w:sz="4" w:space="0" w:color="auto"/>
              <w:right w:val="single" w:sz="4" w:space="0" w:color="000000"/>
            </w:tcBorders>
            <w:vAlign w:val="center"/>
          </w:tcPr>
          <w:p w:rsidR="00150DA2" w:rsidRDefault="000D1E5F">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6.18</w:t>
            </w:r>
          </w:p>
        </w:tc>
        <w:tc>
          <w:tcPr>
            <w:tcW w:w="1312" w:type="pct"/>
            <w:tcBorders>
              <w:top w:val="single" w:sz="4" w:space="0" w:color="auto"/>
              <w:left w:val="nil"/>
              <w:bottom w:val="single" w:sz="4" w:space="0" w:color="auto"/>
              <w:right w:val="single" w:sz="4" w:space="0" w:color="000000"/>
            </w:tcBorders>
            <w:vAlign w:val="center"/>
          </w:tcPr>
          <w:p w:rsidR="00150DA2" w:rsidRDefault="000D1E5F">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27.24</w:t>
            </w:r>
          </w:p>
        </w:tc>
        <w:tc>
          <w:tcPr>
            <w:tcW w:w="901" w:type="pct"/>
            <w:tcBorders>
              <w:top w:val="single" w:sz="4" w:space="0" w:color="auto"/>
              <w:left w:val="nil"/>
              <w:bottom w:val="single" w:sz="4" w:space="0" w:color="auto"/>
              <w:right w:val="single" w:sz="4" w:space="0" w:color="000000"/>
            </w:tcBorders>
            <w:vAlign w:val="center"/>
          </w:tcPr>
          <w:p w:rsidR="00150DA2" w:rsidRDefault="000D1E5F">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6.11</w:t>
            </w:r>
          </w:p>
        </w:tc>
      </w:tr>
      <w:tr w:rsidR="00150DA2">
        <w:trPr>
          <w:trHeight w:val="539"/>
          <w:jc w:val="center"/>
        </w:trPr>
        <w:tc>
          <w:tcPr>
            <w:tcW w:w="1733" w:type="pct"/>
            <w:tcBorders>
              <w:top w:val="nil"/>
              <w:left w:val="single" w:sz="4" w:space="0" w:color="auto"/>
              <w:bottom w:val="single" w:sz="4" w:space="0" w:color="auto"/>
              <w:right w:val="single" w:sz="4" w:space="0" w:color="auto"/>
            </w:tcBorders>
            <w:vAlign w:val="center"/>
          </w:tcPr>
          <w:p w:rsidR="00150DA2" w:rsidRDefault="000D1E5F">
            <w:pPr>
              <w:widowControl/>
              <w:spacing w:line="360" w:lineRule="exact"/>
              <w:rPr>
                <w:rFonts w:ascii="新宋体" w:eastAsia="新宋体" w:hAnsi="新宋体" w:cs="新宋体"/>
                <w:szCs w:val="21"/>
              </w:rPr>
            </w:pPr>
            <w:r>
              <w:rPr>
                <w:rFonts w:ascii="新宋体" w:eastAsia="新宋体" w:hAnsi="新宋体" w:cs="新宋体" w:hint="eastAsia"/>
                <w:szCs w:val="21"/>
              </w:rPr>
              <w:t>二、项目支出：</w:t>
            </w:r>
          </w:p>
        </w:tc>
        <w:tc>
          <w:tcPr>
            <w:tcW w:w="1053" w:type="pct"/>
            <w:tcBorders>
              <w:top w:val="single" w:sz="4" w:space="0" w:color="auto"/>
              <w:left w:val="nil"/>
              <w:bottom w:val="single" w:sz="4" w:space="0" w:color="auto"/>
              <w:right w:val="single" w:sz="4" w:space="0" w:color="000000"/>
            </w:tcBorders>
            <w:vAlign w:val="center"/>
          </w:tcPr>
          <w:p w:rsidR="00150DA2" w:rsidRDefault="000D1E5F">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3586.70</w:t>
            </w:r>
          </w:p>
        </w:tc>
        <w:tc>
          <w:tcPr>
            <w:tcW w:w="1312" w:type="pct"/>
            <w:tcBorders>
              <w:top w:val="single" w:sz="4" w:space="0" w:color="auto"/>
              <w:left w:val="nil"/>
              <w:bottom w:val="single" w:sz="4" w:space="0" w:color="auto"/>
              <w:right w:val="single" w:sz="4" w:space="0" w:color="000000"/>
            </w:tcBorders>
            <w:vAlign w:val="center"/>
          </w:tcPr>
          <w:p w:rsidR="00150DA2" w:rsidRDefault="00150DA2">
            <w:pPr>
              <w:widowControl/>
              <w:spacing w:line="360" w:lineRule="exact"/>
              <w:jc w:val="center"/>
              <w:rPr>
                <w:rFonts w:ascii="新宋体" w:eastAsia="新宋体" w:hAnsi="新宋体" w:cs="新宋体"/>
                <w:szCs w:val="21"/>
              </w:rPr>
            </w:pPr>
          </w:p>
        </w:tc>
        <w:tc>
          <w:tcPr>
            <w:tcW w:w="901" w:type="pct"/>
            <w:tcBorders>
              <w:top w:val="single" w:sz="4" w:space="0" w:color="auto"/>
              <w:left w:val="nil"/>
              <w:bottom w:val="single" w:sz="4" w:space="0" w:color="auto"/>
              <w:right w:val="single" w:sz="4" w:space="0" w:color="000000"/>
            </w:tcBorders>
            <w:vAlign w:val="center"/>
          </w:tcPr>
          <w:p w:rsidR="00150DA2" w:rsidRDefault="000D1E5F">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4019.55</w:t>
            </w:r>
          </w:p>
        </w:tc>
      </w:tr>
      <w:tr w:rsidR="00150DA2">
        <w:trPr>
          <w:trHeight w:val="539"/>
          <w:jc w:val="center"/>
        </w:trPr>
        <w:tc>
          <w:tcPr>
            <w:tcW w:w="1733" w:type="pct"/>
            <w:tcBorders>
              <w:top w:val="nil"/>
              <w:left w:val="single" w:sz="4" w:space="0" w:color="auto"/>
              <w:bottom w:val="single" w:sz="4" w:space="0" w:color="auto"/>
              <w:right w:val="single" w:sz="4" w:space="0" w:color="auto"/>
            </w:tcBorders>
            <w:vAlign w:val="center"/>
          </w:tcPr>
          <w:p w:rsidR="00150DA2" w:rsidRDefault="000D1E5F">
            <w:pPr>
              <w:widowControl/>
              <w:jc w:val="left"/>
              <w:textAlignment w:val="center"/>
              <w:rPr>
                <w:rFonts w:ascii="新宋体" w:eastAsia="新宋体" w:hAnsi="新宋体" w:cs="新宋体"/>
                <w:szCs w:val="21"/>
              </w:rPr>
            </w:pPr>
            <w:r>
              <w:rPr>
                <w:rFonts w:ascii="宋体" w:hAnsi="宋体" w:cs="宋体" w:hint="eastAsia"/>
                <w:color w:val="000000"/>
                <w:kern w:val="0"/>
                <w:sz w:val="22"/>
                <w:szCs w:val="22"/>
              </w:rPr>
              <w:t>一般公共服务支出</w:t>
            </w:r>
          </w:p>
        </w:tc>
        <w:tc>
          <w:tcPr>
            <w:tcW w:w="1053" w:type="pct"/>
            <w:tcBorders>
              <w:top w:val="single" w:sz="4" w:space="0" w:color="auto"/>
              <w:left w:val="nil"/>
              <w:bottom w:val="single" w:sz="4" w:space="0" w:color="auto"/>
              <w:right w:val="single" w:sz="4" w:space="0" w:color="000000"/>
            </w:tcBorders>
            <w:vAlign w:val="center"/>
          </w:tcPr>
          <w:p w:rsidR="00150DA2" w:rsidRDefault="00150DA2">
            <w:pPr>
              <w:widowControl/>
              <w:spacing w:line="360" w:lineRule="exact"/>
              <w:jc w:val="center"/>
              <w:rPr>
                <w:rFonts w:ascii="新宋体" w:eastAsia="新宋体" w:hAnsi="新宋体" w:cs="新宋体"/>
                <w:szCs w:val="21"/>
              </w:rPr>
            </w:pPr>
          </w:p>
        </w:tc>
        <w:tc>
          <w:tcPr>
            <w:tcW w:w="1312" w:type="pct"/>
            <w:tcBorders>
              <w:top w:val="single" w:sz="4" w:space="0" w:color="auto"/>
              <w:left w:val="nil"/>
              <w:bottom w:val="single" w:sz="4" w:space="0" w:color="auto"/>
              <w:right w:val="single" w:sz="4" w:space="0" w:color="000000"/>
            </w:tcBorders>
            <w:vAlign w:val="center"/>
          </w:tcPr>
          <w:p w:rsidR="00150DA2" w:rsidRDefault="00150DA2">
            <w:pPr>
              <w:widowControl/>
              <w:spacing w:line="360" w:lineRule="exact"/>
              <w:jc w:val="center"/>
              <w:rPr>
                <w:rFonts w:ascii="新宋体" w:eastAsia="新宋体" w:hAnsi="新宋体" w:cs="新宋体"/>
                <w:szCs w:val="21"/>
              </w:rPr>
            </w:pPr>
          </w:p>
        </w:tc>
        <w:tc>
          <w:tcPr>
            <w:tcW w:w="901" w:type="pct"/>
            <w:tcBorders>
              <w:top w:val="single" w:sz="4" w:space="0" w:color="auto"/>
              <w:left w:val="nil"/>
              <w:bottom w:val="single" w:sz="4" w:space="0" w:color="auto"/>
              <w:right w:val="single" w:sz="4" w:space="0" w:color="000000"/>
            </w:tcBorders>
            <w:vAlign w:val="center"/>
          </w:tcPr>
          <w:p w:rsidR="00150DA2" w:rsidRDefault="000D1E5F">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147.10</w:t>
            </w:r>
          </w:p>
        </w:tc>
      </w:tr>
      <w:tr w:rsidR="00150DA2">
        <w:trPr>
          <w:trHeight w:val="539"/>
          <w:jc w:val="center"/>
        </w:trPr>
        <w:tc>
          <w:tcPr>
            <w:tcW w:w="1733" w:type="pct"/>
            <w:tcBorders>
              <w:top w:val="nil"/>
              <w:left w:val="single" w:sz="4" w:space="0" w:color="auto"/>
              <w:bottom w:val="single" w:sz="4" w:space="0" w:color="auto"/>
              <w:right w:val="single" w:sz="4" w:space="0" w:color="auto"/>
            </w:tcBorders>
            <w:vAlign w:val="center"/>
          </w:tcPr>
          <w:p w:rsidR="00150DA2" w:rsidRDefault="000D1E5F">
            <w:pPr>
              <w:widowControl/>
              <w:jc w:val="left"/>
              <w:textAlignment w:val="center"/>
              <w:rPr>
                <w:rFonts w:ascii="新宋体" w:eastAsia="新宋体" w:hAnsi="新宋体" w:cs="新宋体"/>
                <w:szCs w:val="21"/>
              </w:rPr>
            </w:pPr>
            <w:r>
              <w:rPr>
                <w:rFonts w:ascii="宋体" w:hAnsi="宋体" w:cs="宋体" w:hint="eastAsia"/>
                <w:color w:val="000000"/>
                <w:kern w:val="0"/>
                <w:sz w:val="22"/>
                <w:szCs w:val="22"/>
              </w:rPr>
              <w:t>社会保障和就业支出</w:t>
            </w:r>
          </w:p>
        </w:tc>
        <w:tc>
          <w:tcPr>
            <w:tcW w:w="1053" w:type="pct"/>
            <w:tcBorders>
              <w:top w:val="single" w:sz="4" w:space="0" w:color="auto"/>
              <w:left w:val="nil"/>
              <w:bottom w:val="single" w:sz="4" w:space="0" w:color="auto"/>
              <w:right w:val="single" w:sz="4" w:space="0" w:color="000000"/>
            </w:tcBorders>
            <w:vAlign w:val="center"/>
          </w:tcPr>
          <w:p w:rsidR="00150DA2" w:rsidRDefault="00150DA2">
            <w:pPr>
              <w:widowControl/>
              <w:spacing w:line="360" w:lineRule="exact"/>
              <w:jc w:val="center"/>
              <w:rPr>
                <w:rFonts w:ascii="新宋体" w:eastAsia="新宋体" w:hAnsi="新宋体" w:cs="新宋体"/>
                <w:szCs w:val="21"/>
              </w:rPr>
            </w:pPr>
          </w:p>
        </w:tc>
        <w:tc>
          <w:tcPr>
            <w:tcW w:w="1312" w:type="pct"/>
            <w:tcBorders>
              <w:top w:val="single" w:sz="4" w:space="0" w:color="auto"/>
              <w:left w:val="nil"/>
              <w:bottom w:val="single" w:sz="4" w:space="0" w:color="auto"/>
              <w:right w:val="single" w:sz="4" w:space="0" w:color="000000"/>
            </w:tcBorders>
            <w:vAlign w:val="center"/>
          </w:tcPr>
          <w:p w:rsidR="00150DA2" w:rsidRDefault="00150DA2">
            <w:pPr>
              <w:widowControl/>
              <w:spacing w:line="360" w:lineRule="exact"/>
              <w:jc w:val="center"/>
              <w:rPr>
                <w:rFonts w:ascii="新宋体" w:eastAsia="新宋体" w:hAnsi="新宋体" w:cs="新宋体"/>
                <w:szCs w:val="21"/>
              </w:rPr>
            </w:pPr>
          </w:p>
        </w:tc>
        <w:tc>
          <w:tcPr>
            <w:tcW w:w="901" w:type="pct"/>
            <w:tcBorders>
              <w:top w:val="single" w:sz="4" w:space="0" w:color="auto"/>
              <w:left w:val="nil"/>
              <w:bottom w:val="single" w:sz="4" w:space="0" w:color="auto"/>
              <w:right w:val="single" w:sz="4" w:space="0" w:color="000000"/>
            </w:tcBorders>
            <w:vAlign w:val="center"/>
          </w:tcPr>
          <w:p w:rsidR="00150DA2" w:rsidRDefault="000D1E5F">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909.05</w:t>
            </w:r>
          </w:p>
        </w:tc>
      </w:tr>
      <w:tr w:rsidR="00150DA2">
        <w:trPr>
          <w:trHeight w:val="539"/>
          <w:jc w:val="center"/>
        </w:trPr>
        <w:tc>
          <w:tcPr>
            <w:tcW w:w="1733" w:type="pct"/>
            <w:tcBorders>
              <w:top w:val="nil"/>
              <w:left w:val="single" w:sz="4" w:space="0" w:color="auto"/>
              <w:bottom w:val="single" w:sz="4" w:space="0" w:color="auto"/>
              <w:right w:val="single" w:sz="4" w:space="0" w:color="auto"/>
            </w:tcBorders>
            <w:vAlign w:val="center"/>
          </w:tcPr>
          <w:p w:rsidR="00150DA2" w:rsidRDefault="000D1E5F">
            <w:pPr>
              <w:widowControl/>
              <w:jc w:val="left"/>
              <w:textAlignment w:val="center"/>
              <w:rPr>
                <w:rFonts w:ascii="新宋体" w:eastAsia="新宋体" w:hAnsi="新宋体" w:cs="新宋体"/>
                <w:szCs w:val="21"/>
              </w:rPr>
            </w:pPr>
            <w:r>
              <w:rPr>
                <w:rFonts w:ascii="宋体" w:hAnsi="宋体" w:cs="宋体" w:hint="eastAsia"/>
                <w:color w:val="000000"/>
                <w:kern w:val="0"/>
                <w:sz w:val="22"/>
                <w:szCs w:val="22"/>
              </w:rPr>
              <w:t>卫生健康支出</w:t>
            </w:r>
          </w:p>
        </w:tc>
        <w:tc>
          <w:tcPr>
            <w:tcW w:w="1053" w:type="pct"/>
            <w:tcBorders>
              <w:top w:val="single" w:sz="4" w:space="0" w:color="auto"/>
              <w:left w:val="nil"/>
              <w:bottom w:val="single" w:sz="4" w:space="0" w:color="auto"/>
              <w:right w:val="single" w:sz="4" w:space="0" w:color="000000"/>
            </w:tcBorders>
            <w:vAlign w:val="center"/>
          </w:tcPr>
          <w:p w:rsidR="00150DA2" w:rsidRDefault="00150DA2">
            <w:pPr>
              <w:widowControl/>
              <w:spacing w:line="360" w:lineRule="exact"/>
              <w:jc w:val="center"/>
              <w:rPr>
                <w:rFonts w:ascii="新宋体" w:eastAsia="新宋体" w:hAnsi="新宋体" w:cs="新宋体"/>
                <w:szCs w:val="21"/>
              </w:rPr>
            </w:pPr>
          </w:p>
        </w:tc>
        <w:tc>
          <w:tcPr>
            <w:tcW w:w="1312" w:type="pct"/>
            <w:tcBorders>
              <w:top w:val="single" w:sz="4" w:space="0" w:color="auto"/>
              <w:left w:val="nil"/>
              <w:bottom w:val="single" w:sz="4" w:space="0" w:color="auto"/>
              <w:right w:val="single" w:sz="4" w:space="0" w:color="000000"/>
            </w:tcBorders>
            <w:vAlign w:val="center"/>
          </w:tcPr>
          <w:p w:rsidR="00150DA2" w:rsidRDefault="00150DA2">
            <w:pPr>
              <w:widowControl/>
              <w:spacing w:line="360" w:lineRule="exact"/>
              <w:jc w:val="center"/>
              <w:rPr>
                <w:rFonts w:ascii="新宋体" w:eastAsia="新宋体" w:hAnsi="新宋体" w:cs="新宋体"/>
                <w:szCs w:val="21"/>
              </w:rPr>
            </w:pPr>
          </w:p>
        </w:tc>
        <w:tc>
          <w:tcPr>
            <w:tcW w:w="901" w:type="pct"/>
            <w:tcBorders>
              <w:top w:val="single" w:sz="4" w:space="0" w:color="auto"/>
              <w:left w:val="nil"/>
              <w:bottom w:val="single" w:sz="4" w:space="0" w:color="auto"/>
              <w:right w:val="single" w:sz="4" w:space="0" w:color="000000"/>
            </w:tcBorders>
            <w:vAlign w:val="center"/>
          </w:tcPr>
          <w:p w:rsidR="00150DA2" w:rsidRDefault="000D1E5F">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28.70</w:t>
            </w:r>
          </w:p>
        </w:tc>
      </w:tr>
      <w:tr w:rsidR="00150DA2">
        <w:trPr>
          <w:trHeight w:val="539"/>
          <w:jc w:val="center"/>
        </w:trPr>
        <w:tc>
          <w:tcPr>
            <w:tcW w:w="1733" w:type="pct"/>
            <w:tcBorders>
              <w:top w:val="nil"/>
              <w:left w:val="single" w:sz="4" w:space="0" w:color="auto"/>
              <w:bottom w:val="single" w:sz="4" w:space="0" w:color="auto"/>
              <w:right w:val="single" w:sz="4" w:space="0" w:color="auto"/>
            </w:tcBorders>
            <w:vAlign w:val="center"/>
          </w:tcPr>
          <w:p w:rsidR="00150DA2" w:rsidRDefault="000D1E5F">
            <w:pPr>
              <w:widowControl/>
              <w:jc w:val="left"/>
              <w:textAlignment w:val="center"/>
              <w:rPr>
                <w:rFonts w:ascii="新宋体" w:eastAsia="新宋体" w:hAnsi="新宋体" w:cs="新宋体"/>
                <w:szCs w:val="21"/>
              </w:rPr>
            </w:pPr>
            <w:r>
              <w:rPr>
                <w:rFonts w:ascii="宋体" w:hAnsi="宋体" w:cs="宋体" w:hint="eastAsia"/>
                <w:color w:val="000000"/>
                <w:kern w:val="0"/>
                <w:sz w:val="22"/>
                <w:szCs w:val="22"/>
              </w:rPr>
              <w:t>节能环保支出</w:t>
            </w:r>
          </w:p>
        </w:tc>
        <w:tc>
          <w:tcPr>
            <w:tcW w:w="1053" w:type="pct"/>
            <w:tcBorders>
              <w:top w:val="single" w:sz="4" w:space="0" w:color="auto"/>
              <w:left w:val="nil"/>
              <w:bottom w:val="single" w:sz="4" w:space="0" w:color="auto"/>
              <w:right w:val="single" w:sz="4" w:space="0" w:color="000000"/>
            </w:tcBorders>
            <w:vAlign w:val="center"/>
          </w:tcPr>
          <w:p w:rsidR="00150DA2" w:rsidRDefault="00150DA2">
            <w:pPr>
              <w:widowControl/>
              <w:spacing w:line="360" w:lineRule="exact"/>
              <w:jc w:val="center"/>
              <w:rPr>
                <w:rFonts w:ascii="新宋体" w:eastAsia="新宋体" w:hAnsi="新宋体" w:cs="新宋体"/>
                <w:szCs w:val="21"/>
              </w:rPr>
            </w:pPr>
          </w:p>
        </w:tc>
        <w:tc>
          <w:tcPr>
            <w:tcW w:w="1312" w:type="pct"/>
            <w:tcBorders>
              <w:top w:val="single" w:sz="4" w:space="0" w:color="auto"/>
              <w:left w:val="nil"/>
              <w:bottom w:val="single" w:sz="4" w:space="0" w:color="auto"/>
              <w:right w:val="single" w:sz="4" w:space="0" w:color="000000"/>
            </w:tcBorders>
            <w:vAlign w:val="center"/>
          </w:tcPr>
          <w:p w:rsidR="00150DA2" w:rsidRDefault="00150DA2">
            <w:pPr>
              <w:widowControl/>
              <w:spacing w:line="360" w:lineRule="exact"/>
              <w:jc w:val="center"/>
              <w:rPr>
                <w:rFonts w:ascii="新宋体" w:eastAsia="新宋体" w:hAnsi="新宋体" w:cs="新宋体"/>
                <w:szCs w:val="21"/>
              </w:rPr>
            </w:pPr>
          </w:p>
        </w:tc>
        <w:tc>
          <w:tcPr>
            <w:tcW w:w="901" w:type="pct"/>
            <w:tcBorders>
              <w:top w:val="single" w:sz="4" w:space="0" w:color="auto"/>
              <w:left w:val="nil"/>
              <w:bottom w:val="single" w:sz="4" w:space="0" w:color="auto"/>
              <w:right w:val="single" w:sz="4" w:space="0" w:color="000000"/>
            </w:tcBorders>
            <w:vAlign w:val="center"/>
          </w:tcPr>
          <w:p w:rsidR="00150DA2" w:rsidRDefault="000D1E5F">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155.00</w:t>
            </w:r>
          </w:p>
        </w:tc>
      </w:tr>
      <w:tr w:rsidR="00150DA2">
        <w:trPr>
          <w:trHeight w:val="539"/>
          <w:jc w:val="center"/>
        </w:trPr>
        <w:tc>
          <w:tcPr>
            <w:tcW w:w="1733" w:type="pct"/>
            <w:tcBorders>
              <w:top w:val="nil"/>
              <w:left w:val="single" w:sz="4" w:space="0" w:color="auto"/>
              <w:bottom w:val="single" w:sz="4" w:space="0" w:color="auto"/>
              <w:right w:val="single" w:sz="4" w:space="0" w:color="auto"/>
            </w:tcBorders>
            <w:vAlign w:val="center"/>
          </w:tcPr>
          <w:p w:rsidR="00150DA2" w:rsidRDefault="000D1E5F">
            <w:pPr>
              <w:widowControl/>
              <w:jc w:val="left"/>
              <w:textAlignment w:val="center"/>
              <w:rPr>
                <w:rFonts w:ascii="新宋体" w:eastAsia="新宋体" w:hAnsi="新宋体" w:cs="新宋体"/>
                <w:szCs w:val="21"/>
              </w:rPr>
            </w:pPr>
            <w:r>
              <w:rPr>
                <w:rFonts w:ascii="宋体" w:hAnsi="宋体" w:cs="宋体" w:hint="eastAsia"/>
                <w:color w:val="000000"/>
                <w:kern w:val="0"/>
                <w:sz w:val="22"/>
                <w:szCs w:val="22"/>
              </w:rPr>
              <w:t>城乡社区支出</w:t>
            </w:r>
          </w:p>
        </w:tc>
        <w:tc>
          <w:tcPr>
            <w:tcW w:w="1053" w:type="pct"/>
            <w:tcBorders>
              <w:top w:val="single" w:sz="4" w:space="0" w:color="auto"/>
              <w:left w:val="nil"/>
              <w:bottom w:val="single" w:sz="4" w:space="0" w:color="auto"/>
              <w:right w:val="single" w:sz="4" w:space="0" w:color="000000"/>
            </w:tcBorders>
            <w:vAlign w:val="center"/>
          </w:tcPr>
          <w:p w:rsidR="00150DA2" w:rsidRDefault="00150DA2">
            <w:pPr>
              <w:widowControl/>
              <w:spacing w:line="360" w:lineRule="exact"/>
              <w:jc w:val="center"/>
              <w:rPr>
                <w:rFonts w:ascii="新宋体" w:eastAsia="新宋体" w:hAnsi="新宋体" w:cs="新宋体"/>
                <w:szCs w:val="21"/>
              </w:rPr>
            </w:pPr>
          </w:p>
        </w:tc>
        <w:tc>
          <w:tcPr>
            <w:tcW w:w="1312" w:type="pct"/>
            <w:tcBorders>
              <w:top w:val="single" w:sz="4" w:space="0" w:color="auto"/>
              <w:left w:val="nil"/>
              <w:bottom w:val="single" w:sz="4" w:space="0" w:color="auto"/>
              <w:right w:val="single" w:sz="4" w:space="0" w:color="000000"/>
            </w:tcBorders>
            <w:vAlign w:val="center"/>
          </w:tcPr>
          <w:p w:rsidR="00150DA2" w:rsidRDefault="00150DA2">
            <w:pPr>
              <w:widowControl/>
              <w:spacing w:line="360" w:lineRule="exact"/>
              <w:jc w:val="center"/>
              <w:rPr>
                <w:rFonts w:ascii="新宋体" w:eastAsia="新宋体" w:hAnsi="新宋体" w:cs="新宋体"/>
                <w:szCs w:val="21"/>
              </w:rPr>
            </w:pPr>
          </w:p>
        </w:tc>
        <w:tc>
          <w:tcPr>
            <w:tcW w:w="901" w:type="pct"/>
            <w:tcBorders>
              <w:top w:val="single" w:sz="4" w:space="0" w:color="auto"/>
              <w:left w:val="nil"/>
              <w:bottom w:val="single" w:sz="4" w:space="0" w:color="auto"/>
              <w:right w:val="single" w:sz="4" w:space="0" w:color="000000"/>
            </w:tcBorders>
            <w:vAlign w:val="center"/>
          </w:tcPr>
          <w:p w:rsidR="00150DA2" w:rsidRDefault="000D1E5F">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31.10</w:t>
            </w:r>
          </w:p>
        </w:tc>
      </w:tr>
      <w:tr w:rsidR="00150DA2">
        <w:trPr>
          <w:trHeight w:val="539"/>
          <w:jc w:val="center"/>
        </w:trPr>
        <w:tc>
          <w:tcPr>
            <w:tcW w:w="1733" w:type="pct"/>
            <w:tcBorders>
              <w:top w:val="nil"/>
              <w:left w:val="single" w:sz="4" w:space="0" w:color="auto"/>
              <w:bottom w:val="single" w:sz="4" w:space="0" w:color="auto"/>
              <w:right w:val="single" w:sz="4" w:space="0" w:color="auto"/>
            </w:tcBorders>
            <w:vAlign w:val="center"/>
          </w:tcPr>
          <w:p w:rsidR="00150DA2" w:rsidRDefault="000D1E5F">
            <w:pPr>
              <w:widowControl/>
              <w:jc w:val="left"/>
              <w:textAlignment w:val="center"/>
              <w:rPr>
                <w:rFonts w:ascii="新宋体" w:eastAsia="新宋体" w:hAnsi="新宋体" w:cs="新宋体"/>
                <w:szCs w:val="21"/>
              </w:rPr>
            </w:pPr>
            <w:r>
              <w:rPr>
                <w:rFonts w:ascii="宋体" w:hAnsi="宋体" w:cs="宋体" w:hint="eastAsia"/>
                <w:color w:val="000000"/>
                <w:kern w:val="0"/>
                <w:sz w:val="22"/>
                <w:szCs w:val="22"/>
              </w:rPr>
              <w:t>农林水支出</w:t>
            </w:r>
          </w:p>
        </w:tc>
        <w:tc>
          <w:tcPr>
            <w:tcW w:w="1053" w:type="pct"/>
            <w:tcBorders>
              <w:top w:val="single" w:sz="4" w:space="0" w:color="auto"/>
              <w:left w:val="nil"/>
              <w:bottom w:val="single" w:sz="4" w:space="0" w:color="auto"/>
              <w:right w:val="single" w:sz="4" w:space="0" w:color="000000"/>
            </w:tcBorders>
            <w:vAlign w:val="center"/>
          </w:tcPr>
          <w:p w:rsidR="00150DA2" w:rsidRDefault="00150DA2">
            <w:pPr>
              <w:widowControl/>
              <w:spacing w:line="360" w:lineRule="exact"/>
              <w:jc w:val="center"/>
              <w:rPr>
                <w:rFonts w:ascii="新宋体" w:eastAsia="新宋体" w:hAnsi="新宋体" w:cs="新宋体"/>
                <w:szCs w:val="21"/>
              </w:rPr>
            </w:pPr>
          </w:p>
        </w:tc>
        <w:tc>
          <w:tcPr>
            <w:tcW w:w="1312" w:type="pct"/>
            <w:tcBorders>
              <w:top w:val="single" w:sz="4" w:space="0" w:color="auto"/>
              <w:left w:val="nil"/>
              <w:bottom w:val="single" w:sz="4" w:space="0" w:color="auto"/>
              <w:right w:val="single" w:sz="4" w:space="0" w:color="000000"/>
            </w:tcBorders>
            <w:vAlign w:val="center"/>
          </w:tcPr>
          <w:p w:rsidR="00150DA2" w:rsidRDefault="00150DA2">
            <w:pPr>
              <w:widowControl/>
              <w:spacing w:line="360" w:lineRule="exact"/>
              <w:jc w:val="center"/>
              <w:rPr>
                <w:rFonts w:ascii="新宋体" w:eastAsia="新宋体" w:hAnsi="新宋体" w:cs="新宋体"/>
                <w:szCs w:val="21"/>
              </w:rPr>
            </w:pPr>
          </w:p>
        </w:tc>
        <w:tc>
          <w:tcPr>
            <w:tcW w:w="901" w:type="pct"/>
            <w:tcBorders>
              <w:top w:val="single" w:sz="4" w:space="0" w:color="auto"/>
              <w:left w:val="nil"/>
              <w:bottom w:val="single" w:sz="4" w:space="0" w:color="auto"/>
              <w:right w:val="single" w:sz="4" w:space="0" w:color="000000"/>
            </w:tcBorders>
            <w:vAlign w:val="center"/>
          </w:tcPr>
          <w:p w:rsidR="00150DA2" w:rsidRDefault="000D1E5F">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2294.99</w:t>
            </w:r>
          </w:p>
        </w:tc>
      </w:tr>
      <w:tr w:rsidR="00150DA2">
        <w:trPr>
          <w:trHeight w:val="539"/>
          <w:jc w:val="center"/>
        </w:trPr>
        <w:tc>
          <w:tcPr>
            <w:tcW w:w="1733" w:type="pct"/>
            <w:tcBorders>
              <w:top w:val="nil"/>
              <w:left w:val="single" w:sz="4" w:space="0" w:color="auto"/>
              <w:bottom w:val="single" w:sz="4" w:space="0" w:color="auto"/>
              <w:right w:val="single" w:sz="4" w:space="0" w:color="auto"/>
            </w:tcBorders>
            <w:vAlign w:val="center"/>
          </w:tcPr>
          <w:p w:rsidR="00150DA2" w:rsidRDefault="000D1E5F">
            <w:pPr>
              <w:widowControl/>
              <w:jc w:val="left"/>
              <w:textAlignment w:val="center"/>
              <w:rPr>
                <w:rFonts w:ascii="新宋体" w:eastAsia="新宋体" w:hAnsi="新宋体" w:cs="新宋体"/>
                <w:szCs w:val="21"/>
              </w:rPr>
            </w:pPr>
            <w:r>
              <w:rPr>
                <w:rFonts w:ascii="宋体" w:hAnsi="宋体" w:cs="宋体" w:hint="eastAsia"/>
                <w:color w:val="000000"/>
                <w:kern w:val="0"/>
                <w:sz w:val="22"/>
                <w:szCs w:val="22"/>
              </w:rPr>
              <w:t>交通运输支出</w:t>
            </w:r>
          </w:p>
        </w:tc>
        <w:tc>
          <w:tcPr>
            <w:tcW w:w="1053" w:type="pct"/>
            <w:tcBorders>
              <w:top w:val="single" w:sz="4" w:space="0" w:color="auto"/>
              <w:left w:val="nil"/>
              <w:bottom w:val="single" w:sz="4" w:space="0" w:color="auto"/>
              <w:right w:val="single" w:sz="4" w:space="0" w:color="000000"/>
            </w:tcBorders>
            <w:vAlign w:val="center"/>
          </w:tcPr>
          <w:p w:rsidR="00150DA2" w:rsidRDefault="00150DA2">
            <w:pPr>
              <w:widowControl/>
              <w:spacing w:line="360" w:lineRule="exact"/>
              <w:jc w:val="center"/>
              <w:rPr>
                <w:rFonts w:ascii="新宋体" w:eastAsia="新宋体" w:hAnsi="新宋体" w:cs="新宋体"/>
                <w:szCs w:val="21"/>
              </w:rPr>
            </w:pPr>
          </w:p>
        </w:tc>
        <w:tc>
          <w:tcPr>
            <w:tcW w:w="1312" w:type="pct"/>
            <w:tcBorders>
              <w:top w:val="single" w:sz="4" w:space="0" w:color="auto"/>
              <w:left w:val="nil"/>
              <w:bottom w:val="single" w:sz="4" w:space="0" w:color="auto"/>
              <w:right w:val="single" w:sz="4" w:space="0" w:color="000000"/>
            </w:tcBorders>
            <w:vAlign w:val="center"/>
          </w:tcPr>
          <w:p w:rsidR="00150DA2" w:rsidRDefault="00150DA2">
            <w:pPr>
              <w:widowControl/>
              <w:spacing w:line="360" w:lineRule="exact"/>
              <w:jc w:val="center"/>
              <w:rPr>
                <w:rFonts w:ascii="新宋体" w:eastAsia="新宋体" w:hAnsi="新宋体" w:cs="新宋体"/>
                <w:szCs w:val="21"/>
              </w:rPr>
            </w:pPr>
          </w:p>
        </w:tc>
        <w:tc>
          <w:tcPr>
            <w:tcW w:w="901" w:type="pct"/>
            <w:tcBorders>
              <w:top w:val="single" w:sz="4" w:space="0" w:color="auto"/>
              <w:left w:val="nil"/>
              <w:bottom w:val="single" w:sz="4" w:space="0" w:color="auto"/>
              <w:right w:val="single" w:sz="4" w:space="0" w:color="000000"/>
            </w:tcBorders>
            <w:vAlign w:val="center"/>
          </w:tcPr>
          <w:p w:rsidR="00150DA2" w:rsidRDefault="000D1E5F">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105.83</w:t>
            </w:r>
          </w:p>
        </w:tc>
      </w:tr>
      <w:tr w:rsidR="00150DA2">
        <w:trPr>
          <w:trHeight w:val="539"/>
          <w:jc w:val="center"/>
        </w:trPr>
        <w:tc>
          <w:tcPr>
            <w:tcW w:w="1733" w:type="pct"/>
            <w:tcBorders>
              <w:top w:val="nil"/>
              <w:left w:val="single" w:sz="4" w:space="0" w:color="auto"/>
              <w:bottom w:val="single" w:sz="4" w:space="0" w:color="auto"/>
              <w:right w:val="single" w:sz="4" w:space="0" w:color="auto"/>
            </w:tcBorders>
            <w:vAlign w:val="center"/>
          </w:tcPr>
          <w:p w:rsidR="00150DA2" w:rsidRDefault="000D1E5F">
            <w:pPr>
              <w:widowControl/>
              <w:jc w:val="left"/>
              <w:textAlignment w:val="center"/>
              <w:rPr>
                <w:rFonts w:ascii="新宋体" w:eastAsia="新宋体" w:hAnsi="新宋体" w:cs="新宋体"/>
                <w:szCs w:val="21"/>
              </w:rPr>
            </w:pPr>
            <w:r>
              <w:rPr>
                <w:rFonts w:ascii="宋体" w:hAnsi="宋体" w:cs="宋体" w:hint="eastAsia"/>
                <w:color w:val="000000"/>
                <w:kern w:val="0"/>
                <w:sz w:val="22"/>
                <w:szCs w:val="22"/>
              </w:rPr>
              <w:t>自然资源海洋气象等支出</w:t>
            </w:r>
          </w:p>
        </w:tc>
        <w:tc>
          <w:tcPr>
            <w:tcW w:w="1053" w:type="pct"/>
            <w:tcBorders>
              <w:top w:val="single" w:sz="4" w:space="0" w:color="auto"/>
              <w:left w:val="nil"/>
              <w:bottom w:val="single" w:sz="4" w:space="0" w:color="auto"/>
              <w:right w:val="single" w:sz="4" w:space="0" w:color="000000"/>
            </w:tcBorders>
            <w:vAlign w:val="center"/>
          </w:tcPr>
          <w:p w:rsidR="00150DA2" w:rsidRDefault="00150DA2">
            <w:pPr>
              <w:widowControl/>
              <w:spacing w:line="360" w:lineRule="exact"/>
              <w:jc w:val="center"/>
              <w:rPr>
                <w:rFonts w:ascii="新宋体" w:eastAsia="新宋体" w:hAnsi="新宋体" w:cs="新宋体"/>
                <w:szCs w:val="21"/>
              </w:rPr>
            </w:pPr>
          </w:p>
        </w:tc>
        <w:tc>
          <w:tcPr>
            <w:tcW w:w="1312" w:type="pct"/>
            <w:tcBorders>
              <w:top w:val="single" w:sz="4" w:space="0" w:color="auto"/>
              <w:left w:val="nil"/>
              <w:bottom w:val="single" w:sz="4" w:space="0" w:color="auto"/>
              <w:right w:val="single" w:sz="4" w:space="0" w:color="000000"/>
            </w:tcBorders>
            <w:vAlign w:val="center"/>
          </w:tcPr>
          <w:p w:rsidR="00150DA2" w:rsidRDefault="00150DA2">
            <w:pPr>
              <w:widowControl/>
              <w:spacing w:line="360" w:lineRule="exact"/>
              <w:jc w:val="center"/>
              <w:rPr>
                <w:rFonts w:ascii="新宋体" w:eastAsia="新宋体" w:hAnsi="新宋体" w:cs="新宋体"/>
                <w:szCs w:val="21"/>
              </w:rPr>
            </w:pPr>
          </w:p>
        </w:tc>
        <w:tc>
          <w:tcPr>
            <w:tcW w:w="901" w:type="pct"/>
            <w:tcBorders>
              <w:top w:val="single" w:sz="4" w:space="0" w:color="auto"/>
              <w:left w:val="nil"/>
              <w:bottom w:val="single" w:sz="4" w:space="0" w:color="auto"/>
              <w:right w:val="single" w:sz="4" w:space="0" w:color="000000"/>
            </w:tcBorders>
            <w:vAlign w:val="center"/>
          </w:tcPr>
          <w:p w:rsidR="00150DA2" w:rsidRDefault="000D1E5F">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22.00</w:t>
            </w:r>
          </w:p>
        </w:tc>
      </w:tr>
      <w:tr w:rsidR="00150DA2">
        <w:trPr>
          <w:trHeight w:val="539"/>
          <w:jc w:val="center"/>
        </w:trPr>
        <w:tc>
          <w:tcPr>
            <w:tcW w:w="1733" w:type="pct"/>
            <w:tcBorders>
              <w:top w:val="nil"/>
              <w:left w:val="single" w:sz="4" w:space="0" w:color="auto"/>
              <w:bottom w:val="single" w:sz="4" w:space="0" w:color="auto"/>
              <w:right w:val="single" w:sz="4" w:space="0" w:color="auto"/>
            </w:tcBorders>
            <w:vAlign w:val="center"/>
          </w:tcPr>
          <w:p w:rsidR="00150DA2" w:rsidRDefault="000D1E5F">
            <w:pPr>
              <w:widowControl/>
              <w:jc w:val="left"/>
              <w:textAlignment w:val="center"/>
              <w:rPr>
                <w:rFonts w:ascii="新宋体" w:eastAsia="新宋体" w:hAnsi="新宋体" w:cs="新宋体"/>
                <w:szCs w:val="21"/>
              </w:rPr>
            </w:pPr>
            <w:r>
              <w:rPr>
                <w:rFonts w:ascii="宋体" w:hAnsi="宋体" w:cs="宋体" w:hint="eastAsia"/>
                <w:color w:val="000000"/>
                <w:kern w:val="0"/>
                <w:sz w:val="22"/>
                <w:szCs w:val="22"/>
              </w:rPr>
              <w:t>粮油物资储备支出</w:t>
            </w:r>
          </w:p>
        </w:tc>
        <w:tc>
          <w:tcPr>
            <w:tcW w:w="1053" w:type="pct"/>
            <w:tcBorders>
              <w:top w:val="single" w:sz="4" w:space="0" w:color="auto"/>
              <w:left w:val="nil"/>
              <w:bottom w:val="single" w:sz="4" w:space="0" w:color="auto"/>
              <w:right w:val="single" w:sz="4" w:space="0" w:color="000000"/>
            </w:tcBorders>
            <w:vAlign w:val="center"/>
          </w:tcPr>
          <w:p w:rsidR="00150DA2" w:rsidRDefault="00150DA2">
            <w:pPr>
              <w:widowControl/>
              <w:spacing w:line="360" w:lineRule="exact"/>
              <w:jc w:val="center"/>
              <w:rPr>
                <w:rFonts w:ascii="新宋体" w:eastAsia="新宋体" w:hAnsi="新宋体" w:cs="新宋体"/>
                <w:szCs w:val="21"/>
              </w:rPr>
            </w:pPr>
          </w:p>
        </w:tc>
        <w:tc>
          <w:tcPr>
            <w:tcW w:w="1312" w:type="pct"/>
            <w:tcBorders>
              <w:top w:val="single" w:sz="4" w:space="0" w:color="auto"/>
              <w:left w:val="nil"/>
              <w:bottom w:val="single" w:sz="4" w:space="0" w:color="auto"/>
              <w:right w:val="single" w:sz="4" w:space="0" w:color="000000"/>
            </w:tcBorders>
            <w:vAlign w:val="center"/>
          </w:tcPr>
          <w:p w:rsidR="00150DA2" w:rsidRDefault="00150DA2">
            <w:pPr>
              <w:widowControl/>
              <w:spacing w:line="360" w:lineRule="exact"/>
              <w:jc w:val="center"/>
              <w:rPr>
                <w:rFonts w:ascii="新宋体" w:eastAsia="新宋体" w:hAnsi="新宋体" w:cs="新宋体"/>
                <w:szCs w:val="21"/>
              </w:rPr>
            </w:pPr>
          </w:p>
        </w:tc>
        <w:tc>
          <w:tcPr>
            <w:tcW w:w="901" w:type="pct"/>
            <w:tcBorders>
              <w:top w:val="single" w:sz="4" w:space="0" w:color="auto"/>
              <w:left w:val="nil"/>
              <w:bottom w:val="single" w:sz="4" w:space="0" w:color="auto"/>
              <w:right w:val="single" w:sz="4" w:space="0" w:color="000000"/>
            </w:tcBorders>
            <w:vAlign w:val="center"/>
          </w:tcPr>
          <w:p w:rsidR="00150DA2" w:rsidRDefault="000D1E5F">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252.78</w:t>
            </w:r>
          </w:p>
        </w:tc>
      </w:tr>
      <w:tr w:rsidR="00150DA2">
        <w:trPr>
          <w:trHeight w:val="539"/>
          <w:jc w:val="center"/>
        </w:trPr>
        <w:tc>
          <w:tcPr>
            <w:tcW w:w="1733" w:type="pct"/>
            <w:tcBorders>
              <w:top w:val="nil"/>
              <w:left w:val="single" w:sz="4" w:space="0" w:color="auto"/>
              <w:bottom w:val="single" w:sz="4" w:space="0" w:color="auto"/>
              <w:right w:val="single" w:sz="4" w:space="0" w:color="auto"/>
            </w:tcBorders>
            <w:vAlign w:val="center"/>
          </w:tcPr>
          <w:p w:rsidR="00150DA2" w:rsidRDefault="000D1E5F">
            <w:pPr>
              <w:widowControl/>
              <w:jc w:val="left"/>
              <w:textAlignment w:val="center"/>
              <w:rPr>
                <w:rFonts w:ascii="新宋体" w:eastAsia="新宋体" w:hAnsi="新宋体" w:cs="新宋体"/>
                <w:szCs w:val="21"/>
              </w:rPr>
            </w:pPr>
            <w:r>
              <w:rPr>
                <w:rFonts w:ascii="宋体" w:hAnsi="宋体" w:cs="宋体" w:hint="eastAsia"/>
                <w:color w:val="000000"/>
                <w:kern w:val="0"/>
                <w:sz w:val="22"/>
                <w:szCs w:val="22"/>
              </w:rPr>
              <w:lastRenderedPageBreak/>
              <w:t>灾害防治及应急管理支出</w:t>
            </w:r>
          </w:p>
        </w:tc>
        <w:tc>
          <w:tcPr>
            <w:tcW w:w="1053" w:type="pct"/>
            <w:tcBorders>
              <w:top w:val="single" w:sz="4" w:space="0" w:color="auto"/>
              <w:left w:val="nil"/>
              <w:bottom w:val="single" w:sz="4" w:space="0" w:color="auto"/>
              <w:right w:val="single" w:sz="4" w:space="0" w:color="000000"/>
            </w:tcBorders>
            <w:vAlign w:val="center"/>
          </w:tcPr>
          <w:p w:rsidR="00150DA2" w:rsidRDefault="00150DA2">
            <w:pPr>
              <w:widowControl/>
              <w:spacing w:line="360" w:lineRule="exact"/>
              <w:jc w:val="center"/>
              <w:rPr>
                <w:rFonts w:ascii="新宋体" w:eastAsia="新宋体" w:hAnsi="新宋体" w:cs="新宋体"/>
                <w:szCs w:val="21"/>
              </w:rPr>
            </w:pPr>
          </w:p>
        </w:tc>
        <w:tc>
          <w:tcPr>
            <w:tcW w:w="1312" w:type="pct"/>
            <w:tcBorders>
              <w:top w:val="single" w:sz="4" w:space="0" w:color="auto"/>
              <w:left w:val="nil"/>
              <w:bottom w:val="single" w:sz="4" w:space="0" w:color="auto"/>
              <w:right w:val="single" w:sz="4" w:space="0" w:color="000000"/>
            </w:tcBorders>
            <w:vAlign w:val="center"/>
          </w:tcPr>
          <w:p w:rsidR="00150DA2" w:rsidRDefault="00150DA2">
            <w:pPr>
              <w:widowControl/>
              <w:spacing w:line="360" w:lineRule="exact"/>
              <w:jc w:val="center"/>
              <w:rPr>
                <w:rFonts w:ascii="新宋体" w:eastAsia="新宋体" w:hAnsi="新宋体" w:cs="新宋体"/>
                <w:szCs w:val="21"/>
              </w:rPr>
            </w:pPr>
          </w:p>
        </w:tc>
        <w:tc>
          <w:tcPr>
            <w:tcW w:w="901" w:type="pct"/>
            <w:tcBorders>
              <w:top w:val="single" w:sz="4" w:space="0" w:color="auto"/>
              <w:left w:val="nil"/>
              <w:bottom w:val="single" w:sz="4" w:space="0" w:color="auto"/>
              <w:right w:val="single" w:sz="4" w:space="0" w:color="000000"/>
            </w:tcBorders>
            <w:vAlign w:val="center"/>
          </w:tcPr>
          <w:p w:rsidR="00150DA2" w:rsidRDefault="000D1E5F">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35.00</w:t>
            </w:r>
          </w:p>
        </w:tc>
      </w:tr>
      <w:tr w:rsidR="00150DA2">
        <w:trPr>
          <w:trHeight w:val="539"/>
          <w:jc w:val="center"/>
        </w:trPr>
        <w:tc>
          <w:tcPr>
            <w:tcW w:w="1733" w:type="pct"/>
            <w:tcBorders>
              <w:top w:val="nil"/>
              <w:left w:val="single" w:sz="4" w:space="0" w:color="auto"/>
              <w:bottom w:val="single" w:sz="4" w:space="0" w:color="auto"/>
              <w:right w:val="single" w:sz="4" w:space="0" w:color="auto"/>
            </w:tcBorders>
            <w:vAlign w:val="center"/>
          </w:tcPr>
          <w:p w:rsidR="00150DA2" w:rsidRDefault="000D1E5F">
            <w:pPr>
              <w:widowControl/>
              <w:jc w:val="left"/>
              <w:textAlignment w:val="center"/>
              <w:rPr>
                <w:rFonts w:ascii="新宋体" w:eastAsia="新宋体" w:hAnsi="新宋体" w:cs="新宋体"/>
                <w:szCs w:val="21"/>
              </w:rPr>
            </w:pPr>
            <w:r>
              <w:rPr>
                <w:rFonts w:ascii="宋体" w:hAnsi="宋体" w:cs="宋体" w:hint="eastAsia"/>
                <w:color w:val="000000"/>
                <w:kern w:val="0"/>
                <w:sz w:val="22"/>
                <w:szCs w:val="22"/>
              </w:rPr>
              <w:t>彩票公益金安排的支出</w:t>
            </w:r>
          </w:p>
        </w:tc>
        <w:tc>
          <w:tcPr>
            <w:tcW w:w="1053" w:type="pct"/>
            <w:tcBorders>
              <w:top w:val="single" w:sz="4" w:space="0" w:color="auto"/>
              <w:left w:val="nil"/>
              <w:bottom w:val="single" w:sz="4" w:space="0" w:color="auto"/>
              <w:right w:val="single" w:sz="4" w:space="0" w:color="000000"/>
            </w:tcBorders>
            <w:vAlign w:val="center"/>
          </w:tcPr>
          <w:p w:rsidR="00150DA2" w:rsidRDefault="00150DA2">
            <w:pPr>
              <w:widowControl/>
              <w:spacing w:line="360" w:lineRule="exact"/>
              <w:jc w:val="center"/>
              <w:rPr>
                <w:rFonts w:ascii="新宋体" w:eastAsia="新宋体" w:hAnsi="新宋体" w:cs="新宋体"/>
                <w:szCs w:val="21"/>
              </w:rPr>
            </w:pPr>
          </w:p>
        </w:tc>
        <w:tc>
          <w:tcPr>
            <w:tcW w:w="1312" w:type="pct"/>
            <w:tcBorders>
              <w:top w:val="single" w:sz="4" w:space="0" w:color="auto"/>
              <w:left w:val="nil"/>
              <w:bottom w:val="single" w:sz="4" w:space="0" w:color="auto"/>
              <w:right w:val="single" w:sz="4" w:space="0" w:color="000000"/>
            </w:tcBorders>
            <w:vAlign w:val="center"/>
          </w:tcPr>
          <w:p w:rsidR="00150DA2" w:rsidRDefault="00150DA2">
            <w:pPr>
              <w:widowControl/>
              <w:spacing w:line="360" w:lineRule="exact"/>
              <w:jc w:val="center"/>
              <w:rPr>
                <w:rFonts w:ascii="新宋体" w:eastAsia="新宋体" w:hAnsi="新宋体" w:cs="新宋体"/>
                <w:szCs w:val="21"/>
              </w:rPr>
            </w:pPr>
          </w:p>
        </w:tc>
        <w:tc>
          <w:tcPr>
            <w:tcW w:w="901" w:type="pct"/>
            <w:tcBorders>
              <w:top w:val="single" w:sz="4" w:space="0" w:color="auto"/>
              <w:left w:val="nil"/>
              <w:bottom w:val="single" w:sz="4" w:space="0" w:color="auto"/>
              <w:right w:val="single" w:sz="4" w:space="0" w:color="000000"/>
            </w:tcBorders>
            <w:vAlign w:val="center"/>
          </w:tcPr>
          <w:p w:rsidR="00150DA2" w:rsidRDefault="000D1E5F">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38.00</w:t>
            </w:r>
          </w:p>
        </w:tc>
      </w:tr>
      <w:tr w:rsidR="00150DA2">
        <w:trPr>
          <w:trHeight w:val="539"/>
          <w:jc w:val="center"/>
        </w:trPr>
        <w:tc>
          <w:tcPr>
            <w:tcW w:w="1733" w:type="pct"/>
            <w:tcBorders>
              <w:top w:val="nil"/>
              <w:left w:val="single" w:sz="4" w:space="0" w:color="auto"/>
              <w:bottom w:val="single" w:sz="4" w:space="0" w:color="auto"/>
              <w:right w:val="single" w:sz="4" w:space="0" w:color="auto"/>
            </w:tcBorders>
            <w:vAlign w:val="center"/>
          </w:tcPr>
          <w:p w:rsidR="00150DA2" w:rsidRDefault="000D1E5F">
            <w:pPr>
              <w:widowControl/>
              <w:spacing w:line="360" w:lineRule="exact"/>
              <w:rPr>
                <w:rFonts w:ascii="新宋体" w:eastAsia="新宋体" w:hAnsi="新宋体" w:cs="新宋体"/>
                <w:szCs w:val="21"/>
              </w:rPr>
            </w:pPr>
            <w:r>
              <w:rPr>
                <w:rFonts w:ascii="新宋体" w:eastAsia="新宋体" w:hAnsi="新宋体" w:cs="新宋体" w:hint="eastAsia"/>
                <w:szCs w:val="21"/>
              </w:rPr>
              <w:t>厉行节约保障措施</w:t>
            </w:r>
          </w:p>
        </w:tc>
        <w:tc>
          <w:tcPr>
            <w:tcW w:w="3266" w:type="pct"/>
            <w:gridSpan w:val="3"/>
            <w:tcBorders>
              <w:top w:val="single" w:sz="4" w:space="0" w:color="auto"/>
              <w:left w:val="nil"/>
              <w:bottom w:val="single" w:sz="4" w:space="0" w:color="auto"/>
              <w:right w:val="single" w:sz="4" w:space="0" w:color="000000"/>
            </w:tcBorders>
            <w:vAlign w:val="center"/>
          </w:tcPr>
          <w:p w:rsidR="00150DA2" w:rsidRDefault="000D1E5F">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减少不必要的开支</w:t>
            </w:r>
          </w:p>
        </w:tc>
      </w:tr>
    </w:tbl>
    <w:p w:rsidR="00150DA2" w:rsidRDefault="000D1E5F">
      <w:pPr>
        <w:widowControl/>
        <w:spacing w:line="400" w:lineRule="exact"/>
        <w:jc w:val="left"/>
        <w:rPr>
          <w:rFonts w:ascii="新宋体" w:eastAsia="新宋体" w:hAnsi="新宋体" w:cs="新宋体"/>
          <w:szCs w:val="21"/>
        </w:rPr>
      </w:pPr>
      <w:r>
        <w:rPr>
          <w:rFonts w:ascii="新宋体" w:eastAsia="新宋体" w:hAnsi="新宋体" w:cs="新宋体" w:hint="eastAsia"/>
          <w:szCs w:val="21"/>
        </w:rPr>
        <w:t>说明：以上数据均来源于部门决算报表，其中“基本支出”数据参照基本支出决算明细表（财决05-1表）；“三公经费”数据参照机构运行信息表（财决附03表）；“项目支出”数据参照项目支出决算明细表（财决05-2表）。</w:t>
      </w:r>
    </w:p>
    <w:p w:rsidR="00150DA2" w:rsidRDefault="00150DA2">
      <w:pPr>
        <w:widowControl/>
        <w:spacing w:line="400" w:lineRule="exact"/>
        <w:jc w:val="left"/>
        <w:rPr>
          <w:rFonts w:eastAsia="仿宋_GB2312"/>
          <w:sz w:val="22"/>
        </w:rPr>
      </w:pPr>
    </w:p>
    <w:p w:rsidR="00FF191C" w:rsidRDefault="000D1E5F">
      <w:pPr>
        <w:widowControl/>
        <w:spacing w:line="400" w:lineRule="exact"/>
        <w:jc w:val="left"/>
        <w:rPr>
          <w:rFonts w:eastAsia="仿宋_GB2312"/>
          <w:sz w:val="22"/>
        </w:rPr>
      </w:pPr>
      <w:r>
        <w:rPr>
          <w:rFonts w:eastAsia="仿宋_GB2312"/>
          <w:sz w:val="22"/>
        </w:rPr>
        <w:t>填表人：</w:t>
      </w:r>
      <w:r w:rsidR="00FF191C">
        <w:rPr>
          <w:rFonts w:eastAsia="仿宋_GB2312" w:hint="eastAsia"/>
          <w:sz w:val="22"/>
        </w:rPr>
        <w:t>余佳敏</w:t>
      </w:r>
      <w:r w:rsidR="00FF191C">
        <w:rPr>
          <w:rFonts w:eastAsia="仿宋_GB2312" w:hint="eastAsia"/>
          <w:sz w:val="22"/>
        </w:rPr>
        <w:t xml:space="preserve">                                      </w:t>
      </w:r>
      <w:r>
        <w:rPr>
          <w:rFonts w:eastAsia="仿宋_GB2312"/>
          <w:sz w:val="22"/>
        </w:rPr>
        <w:t>填报日期：</w:t>
      </w:r>
      <w:r w:rsidR="00FF191C">
        <w:rPr>
          <w:rFonts w:eastAsia="仿宋_GB2312" w:hint="eastAsia"/>
          <w:sz w:val="22"/>
        </w:rPr>
        <w:t>2023</w:t>
      </w:r>
      <w:r w:rsidR="00FF191C">
        <w:rPr>
          <w:rFonts w:eastAsia="仿宋_GB2312" w:hint="eastAsia"/>
          <w:sz w:val="22"/>
        </w:rPr>
        <w:t>年</w:t>
      </w:r>
      <w:r w:rsidR="00FF191C">
        <w:rPr>
          <w:rFonts w:ascii="宋体" w:hAnsi="宋体" w:cs="宋体" w:hint="eastAsia"/>
          <w:sz w:val="22"/>
        </w:rPr>
        <w:t>7月12日</w:t>
      </w:r>
      <w:r>
        <w:rPr>
          <w:rFonts w:eastAsia="仿宋_GB2312"/>
          <w:sz w:val="22"/>
        </w:rPr>
        <w:t xml:space="preserve"> </w:t>
      </w:r>
    </w:p>
    <w:p w:rsidR="00150DA2" w:rsidRDefault="000D1E5F">
      <w:pPr>
        <w:widowControl/>
        <w:spacing w:line="400" w:lineRule="exact"/>
        <w:jc w:val="left"/>
        <w:rPr>
          <w:rFonts w:eastAsia="黑体"/>
          <w:sz w:val="32"/>
          <w:szCs w:val="32"/>
        </w:rPr>
      </w:pPr>
      <w:r>
        <w:rPr>
          <w:rFonts w:eastAsia="仿宋_GB2312"/>
          <w:sz w:val="22"/>
        </w:rPr>
        <w:t>联系电话：</w:t>
      </w:r>
      <w:r w:rsidR="00FF191C">
        <w:rPr>
          <w:rFonts w:eastAsia="仿宋_GB2312" w:hint="eastAsia"/>
          <w:sz w:val="22"/>
        </w:rPr>
        <w:t xml:space="preserve">18773089332                               </w:t>
      </w:r>
      <w:r>
        <w:rPr>
          <w:rFonts w:eastAsia="仿宋_GB2312"/>
          <w:sz w:val="22"/>
        </w:rPr>
        <w:t>单位负责人签字：</w:t>
      </w:r>
      <w:r>
        <w:rPr>
          <w:rFonts w:eastAsia="仿宋_GB2312"/>
          <w:sz w:val="22"/>
        </w:rPr>
        <w:br w:type="page"/>
      </w:r>
      <w:r>
        <w:rPr>
          <w:rFonts w:ascii="黑体" w:eastAsia="黑体" w:hAnsi="黑体" w:cs="黑体"/>
          <w:sz w:val="32"/>
          <w:szCs w:val="32"/>
        </w:rPr>
        <w:lastRenderedPageBreak/>
        <w:t>附件</w:t>
      </w:r>
      <w:r>
        <w:rPr>
          <w:rFonts w:ascii="黑体" w:eastAsia="黑体" w:hAnsi="黑体" w:cs="黑体" w:hint="eastAsia"/>
          <w:sz w:val="32"/>
          <w:szCs w:val="32"/>
        </w:rPr>
        <w:t>2</w:t>
      </w:r>
    </w:p>
    <w:p w:rsidR="00150DA2" w:rsidRDefault="000D1E5F" w:rsidP="00182462">
      <w:pPr>
        <w:spacing w:beforeLines="50" w:afterLines="100"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2022年度部门整体支出绩效自评表</w:t>
      </w:r>
    </w:p>
    <w:tbl>
      <w:tblPr>
        <w:tblW w:w="4996" w:type="pct"/>
        <w:jc w:val="center"/>
        <w:tblLayout w:type="fixed"/>
        <w:tblLook w:val="04A0"/>
      </w:tblPr>
      <w:tblGrid>
        <w:gridCol w:w="823"/>
        <w:gridCol w:w="640"/>
        <w:gridCol w:w="807"/>
        <w:gridCol w:w="1715"/>
        <w:gridCol w:w="960"/>
        <w:gridCol w:w="960"/>
        <w:gridCol w:w="551"/>
        <w:gridCol w:w="765"/>
        <w:gridCol w:w="1492"/>
      </w:tblGrid>
      <w:tr w:rsidR="00150DA2">
        <w:trPr>
          <w:trHeight w:val="1003"/>
          <w:jc w:val="center"/>
        </w:trPr>
        <w:tc>
          <w:tcPr>
            <w:tcW w:w="472"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县级预算部门名称</w:t>
            </w:r>
          </w:p>
        </w:tc>
        <w:tc>
          <w:tcPr>
            <w:tcW w:w="4527" w:type="pct"/>
            <w:gridSpan w:val="8"/>
            <w:tcBorders>
              <w:top w:val="single" w:sz="4" w:space="0" w:color="auto"/>
              <w:left w:val="nil"/>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eastAsia="仿宋_GB2312" w:hint="eastAsia"/>
                <w:sz w:val="32"/>
                <w:szCs w:val="32"/>
              </w:rPr>
              <w:t>华容县东山镇人民政府</w:t>
            </w:r>
          </w:p>
        </w:tc>
      </w:tr>
      <w:tr w:rsidR="00150DA2">
        <w:trPr>
          <w:trHeight w:val="863"/>
          <w:jc w:val="center"/>
        </w:trPr>
        <w:tc>
          <w:tcPr>
            <w:tcW w:w="472" w:type="pct"/>
            <w:vMerge w:val="restart"/>
            <w:tcBorders>
              <w:top w:val="nil"/>
              <w:left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年度</w:t>
            </w:r>
          </w:p>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预算</w:t>
            </w:r>
          </w:p>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申请</w:t>
            </w:r>
          </w:p>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（万元）</w:t>
            </w:r>
          </w:p>
        </w:tc>
        <w:tc>
          <w:tcPr>
            <w:tcW w:w="830" w:type="pct"/>
            <w:gridSpan w:val="2"/>
            <w:tcBorders>
              <w:top w:val="nil"/>
              <w:left w:val="nil"/>
              <w:bottom w:val="single" w:sz="4" w:space="0" w:color="auto"/>
              <w:right w:val="single" w:sz="4" w:space="0" w:color="auto"/>
            </w:tcBorders>
            <w:vAlign w:val="center"/>
          </w:tcPr>
          <w:p w:rsidR="00150DA2" w:rsidRDefault="00150DA2">
            <w:pPr>
              <w:spacing w:line="0" w:lineRule="atLeast"/>
              <w:jc w:val="center"/>
              <w:rPr>
                <w:rFonts w:ascii="新宋体" w:eastAsia="新宋体" w:hAnsi="新宋体" w:cs="新宋体"/>
                <w:szCs w:val="21"/>
              </w:rPr>
            </w:pPr>
          </w:p>
        </w:tc>
        <w:tc>
          <w:tcPr>
            <w:tcW w:w="984" w:type="pct"/>
            <w:tcBorders>
              <w:top w:val="nil"/>
              <w:left w:val="nil"/>
              <w:bottom w:val="single" w:sz="4" w:space="0" w:color="auto"/>
              <w:right w:val="single" w:sz="4" w:space="0" w:color="auto"/>
            </w:tcBorders>
            <w:vAlign w:val="center"/>
          </w:tcPr>
          <w:p w:rsidR="00150DA2" w:rsidRDefault="000D1E5F">
            <w:pPr>
              <w:spacing w:line="0" w:lineRule="atLeast"/>
              <w:jc w:val="center"/>
              <w:rPr>
                <w:rFonts w:ascii="新宋体" w:eastAsia="新宋体" w:hAnsi="新宋体" w:cs="新宋体"/>
                <w:szCs w:val="21"/>
              </w:rPr>
            </w:pPr>
            <w:r>
              <w:rPr>
                <w:rFonts w:ascii="新宋体" w:eastAsia="新宋体" w:hAnsi="新宋体" w:cs="新宋体" w:hint="eastAsia"/>
                <w:szCs w:val="21"/>
              </w:rPr>
              <w:t>年初</w:t>
            </w:r>
          </w:p>
          <w:p w:rsidR="00150DA2" w:rsidRDefault="000D1E5F">
            <w:pPr>
              <w:spacing w:line="0" w:lineRule="atLeast"/>
              <w:jc w:val="center"/>
              <w:rPr>
                <w:rFonts w:ascii="新宋体" w:eastAsia="新宋体" w:hAnsi="新宋体" w:cs="新宋体"/>
                <w:szCs w:val="21"/>
              </w:rPr>
            </w:pPr>
            <w:r>
              <w:rPr>
                <w:rFonts w:ascii="新宋体" w:eastAsia="新宋体" w:hAnsi="新宋体" w:cs="新宋体" w:hint="eastAsia"/>
                <w:szCs w:val="21"/>
              </w:rPr>
              <w:t>预算数</w:t>
            </w:r>
          </w:p>
        </w:tc>
        <w:tc>
          <w:tcPr>
            <w:tcW w:w="551" w:type="pct"/>
            <w:tcBorders>
              <w:top w:val="nil"/>
              <w:left w:val="nil"/>
              <w:bottom w:val="single" w:sz="4" w:space="0" w:color="auto"/>
              <w:right w:val="single" w:sz="4" w:space="0" w:color="auto"/>
            </w:tcBorders>
            <w:vAlign w:val="center"/>
          </w:tcPr>
          <w:p w:rsidR="00150DA2" w:rsidRDefault="000D1E5F">
            <w:pPr>
              <w:spacing w:line="0" w:lineRule="atLeast"/>
              <w:jc w:val="center"/>
              <w:rPr>
                <w:rFonts w:ascii="新宋体" w:eastAsia="新宋体" w:hAnsi="新宋体" w:cs="新宋体"/>
                <w:szCs w:val="21"/>
              </w:rPr>
            </w:pPr>
            <w:r>
              <w:rPr>
                <w:rFonts w:ascii="新宋体" w:eastAsia="新宋体" w:hAnsi="新宋体" w:cs="新宋体" w:hint="eastAsia"/>
                <w:szCs w:val="21"/>
              </w:rPr>
              <w:t>全年</w:t>
            </w:r>
          </w:p>
          <w:p w:rsidR="00150DA2" w:rsidRDefault="000D1E5F">
            <w:pPr>
              <w:spacing w:line="0" w:lineRule="atLeast"/>
              <w:jc w:val="center"/>
              <w:rPr>
                <w:rFonts w:ascii="新宋体" w:eastAsia="新宋体" w:hAnsi="新宋体" w:cs="新宋体"/>
                <w:szCs w:val="21"/>
              </w:rPr>
            </w:pPr>
            <w:r>
              <w:rPr>
                <w:rFonts w:ascii="新宋体" w:eastAsia="新宋体" w:hAnsi="新宋体" w:cs="新宋体" w:hint="eastAsia"/>
                <w:szCs w:val="21"/>
              </w:rPr>
              <w:t>预算数</w:t>
            </w:r>
          </w:p>
        </w:tc>
        <w:tc>
          <w:tcPr>
            <w:tcW w:w="550" w:type="pct"/>
            <w:tcBorders>
              <w:top w:val="nil"/>
              <w:left w:val="nil"/>
              <w:bottom w:val="single" w:sz="4" w:space="0" w:color="auto"/>
              <w:right w:val="single" w:sz="4" w:space="0" w:color="auto"/>
            </w:tcBorders>
            <w:vAlign w:val="center"/>
          </w:tcPr>
          <w:p w:rsidR="00150DA2" w:rsidRDefault="000D1E5F">
            <w:pPr>
              <w:spacing w:line="0" w:lineRule="atLeast"/>
              <w:jc w:val="center"/>
              <w:rPr>
                <w:rFonts w:ascii="新宋体" w:eastAsia="新宋体" w:hAnsi="新宋体" w:cs="新宋体"/>
                <w:szCs w:val="21"/>
              </w:rPr>
            </w:pPr>
            <w:r>
              <w:rPr>
                <w:rFonts w:ascii="新宋体" w:eastAsia="新宋体" w:hAnsi="新宋体" w:cs="新宋体" w:hint="eastAsia"/>
                <w:szCs w:val="21"/>
              </w:rPr>
              <w:t>全年</w:t>
            </w:r>
          </w:p>
          <w:p w:rsidR="00150DA2" w:rsidRDefault="000D1E5F">
            <w:pPr>
              <w:spacing w:line="0" w:lineRule="atLeast"/>
              <w:jc w:val="center"/>
              <w:rPr>
                <w:rFonts w:ascii="新宋体" w:eastAsia="新宋体" w:hAnsi="新宋体" w:cs="新宋体"/>
                <w:szCs w:val="21"/>
              </w:rPr>
            </w:pPr>
            <w:r>
              <w:rPr>
                <w:rFonts w:ascii="新宋体" w:eastAsia="新宋体" w:hAnsi="新宋体" w:cs="新宋体" w:hint="eastAsia"/>
                <w:szCs w:val="21"/>
              </w:rPr>
              <w:t>执行数</w:t>
            </w:r>
          </w:p>
        </w:tc>
        <w:tc>
          <w:tcPr>
            <w:tcW w:w="316" w:type="pct"/>
            <w:tcBorders>
              <w:top w:val="nil"/>
              <w:left w:val="nil"/>
              <w:bottom w:val="single" w:sz="4" w:space="0" w:color="auto"/>
              <w:right w:val="single" w:sz="4" w:space="0" w:color="auto"/>
            </w:tcBorders>
            <w:vAlign w:val="center"/>
          </w:tcPr>
          <w:p w:rsidR="00150DA2" w:rsidRDefault="000D1E5F">
            <w:pPr>
              <w:spacing w:line="0" w:lineRule="atLeast"/>
              <w:jc w:val="center"/>
              <w:rPr>
                <w:rFonts w:ascii="新宋体" w:eastAsia="新宋体" w:hAnsi="新宋体" w:cs="新宋体"/>
                <w:szCs w:val="21"/>
              </w:rPr>
            </w:pPr>
            <w:r>
              <w:rPr>
                <w:rFonts w:ascii="新宋体" w:eastAsia="新宋体" w:hAnsi="新宋体" w:cs="新宋体" w:hint="eastAsia"/>
                <w:szCs w:val="21"/>
              </w:rPr>
              <w:t>分值</w:t>
            </w:r>
          </w:p>
        </w:tc>
        <w:tc>
          <w:tcPr>
            <w:tcW w:w="439" w:type="pct"/>
            <w:tcBorders>
              <w:top w:val="nil"/>
              <w:left w:val="nil"/>
              <w:bottom w:val="single" w:sz="4" w:space="0" w:color="auto"/>
              <w:right w:val="single" w:sz="4" w:space="0" w:color="auto"/>
            </w:tcBorders>
            <w:vAlign w:val="center"/>
          </w:tcPr>
          <w:p w:rsidR="00150DA2" w:rsidRDefault="000D1E5F">
            <w:pPr>
              <w:spacing w:line="0" w:lineRule="atLeast"/>
              <w:jc w:val="center"/>
              <w:rPr>
                <w:rFonts w:ascii="新宋体" w:eastAsia="新宋体" w:hAnsi="新宋体" w:cs="新宋体"/>
                <w:szCs w:val="21"/>
              </w:rPr>
            </w:pPr>
            <w:r>
              <w:rPr>
                <w:rFonts w:ascii="新宋体" w:eastAsia="新宋体" w:hAnsi="新宋体" w:cs="新宋体" w:hint="eastAsia"/>
                <w:szCs w:val="21"/>
              </w:rPr>
              <w:t>执行率</w:t>
            </w:r>
          </w:p>
        </w:tc>
        <w:tc>
          <w:tcPr>
            <w:tcW w:w="855" w:type="pct"/>
            <w:tcBorders>
              <w:top w:val="nil"/>
              <w:left w:val="nil"/>
              <w:bottom w:val="single" w:sz="4" w:space="0" w:color="auto"/>
              <w:right w:val="single" w:sz="4" w:space="0" w:color="auto"/>
            </w:tcBorders>
            <w:vAlign w:val="center"/>
          </w:tcPr>
          <w:p w:rsidR="00150DA2" w:rsidRDefault="000D1E5F">
            <w:pPr>
              <w:spacing w:line="0" w:lineRule="atLeast"/>
              <w:jc w:val="center"/>
              <w:rPr>
                <w:rFonts w:ascii="新宋体" w:eastAsia="新宋体" w:hAnsi="新宋体" w:cs="新宋体"/>
                <w:szCs w:val="21"/>
              </w:rPr>
            </w:pPr>
            <w:r>
              <w:rPr>
                <w:rFonts w:ascii="新宋体" w:eastAsia="新宋体" w:hAnsi="新宋体" w:cs="新宋体" w:hint="eastAsia"/>
                <w:szCs w:val="21"/>
              </w:rPr>
              <w:t>得分</w:t>
            </w:r>
          </w:p>
        </w:tc>
      </w:tr>
      <w:tr w:rsidR="00150DA2">
        <w:trPr>
          <w:trHeight w:val="462"/>
          <w:jc w:val="center"/>
        </w:trPr>
        <w:tc>
          <w:tcPr>
            <w:tcW w:w="472" w:type="pct"/>
            <w:vMerge/>
            <w:tcBorders>
              <w:top w:val="nil"/>
              <w:left w:val="single" w:sz="4" w:space="0" w:color="auto"/>
              <w:right w:val="single" w:sz="4" w:space="0" w:color="auto"/>
            </w:tcBorders>
            <w:vAlign w:val="center"/>
          </w:tcPr>
          <w:p w:rsidR="00150DA2" w:rsidRDefault="00150DA2">
            <w:pPr>
              <w:widowControl/>
              <w:spacing w:line="0" w:lineRule="atLeast"/>
              <w:jc w:val="center"/>
              <w:rPr>
                <w:rFonts w:ascii="新宋体" w:eastAsia="新宋体" w:hAnsi="新宋体" w:cs="新宋体"/>
                <w:color w:val="000000"/>
                <w:szCs w:val="21"/>
              </w:rPr>
            </w:pPr>
          </w:p>
        </w:tc>
        <w:tc>
          <w:tcPr>
            <w:tcW w:w="830" w:type="pct"/>
            <w:gridSpan w:val="2"/>
            <w:tcBorders>
              <w:top w:val="nil"/>
              <w:left w:val="nil"/>
              <w:bottom w:val="single" w:sz="4" w:space="0" w:color="auto"/>
              <w:right w:val="single" w:sz="4" w:space="0" w:color="auto"/>
            </w:tcBorders>
            <w:vAlign w:val="center"/>
          </w:tcPr>
          <w:p w:rsidR="00150DA2" w:rsidRDefault="000D1E5F">
            <w:pPr>
              <w:spacing w:line="0" w:lineRule="atLeast"/>
              <w:jc w:val="center"/>
              <w:rPr>
                <w:rFonts w:ascii="新宋体" w:eastAsia="新宋体" w:hAnsi="新宋体" w:cs="新宋体"/>
                <w:szCs w:val="21"/>
              </w:rPr>
            </w:pPr>
            <w:r>
              <w:rPr>
                <w:rFonts w:ascii="新宋体" w:eastAsia="新宋体" w:hAnsi="新宋体" w:cs="新宋体" w:hint="eastAsia"/>
                <w:color w:val="000000"/>
                <w:szCs w:val="21"/>
              </w:rPr>
              <w:t>年度资金总额</w:t>
            </w:r>
          </w:p>
        </w:tc>
        <w:tc>
          <w:tcPr>
            <w:tcW w:w="984" w:type="pct"/>
            <w:tcBorders>
              <w:top w:val="nil"/>
              <w:left w:val="nil"/>
              <w:bottom w:val="single" w:sz="4" w:space="0" w:color="auto"/>
              <w:right w:val="single" w:sz="4" w:space="0" w:color="auto"/>
            </w:tcBorders>
            <w:vAlign w:val="center"/>
          </w:tcPr>
          <w:p w:rsidR="00150DA2" w:rsidRDefault="000D1E5F">
            <w:pPr>
              <w:spacing w:line="0" w:lineRule="atLeast"/>
              <w:jc w:val="center"/>
              <w:rPr>
                <w:rFonts w:ascii="新宋体" w:eastAsia="新宋体" w:hAnsi="新宋体" w:cs="新宋体"/>
                <w:szCs w:val="21"/>
              </w:rPr>
            </w:pPr>
            <w:r>
              <w:rPr>
                <w:rFonts w:ascii="新宋体" w:eastAsia="新宋体" w:hAnsi="新宋体" w:cs="新宋体" w:hint="eastAsia"/>
                <w:szCs w:val="21"/>
              </w:rPr>
              <w:t>1302.09</w:t>
            </w:r>
          </w:p>
        </w:tc>
        <w:tc>
          <w:tcPr>
            <w:tcW w:w="551" w:type="pct"/>
            <w:tcBorders>
              <w:top w:val="nil"/>
              <w:left w:val="nil"/>
              <w:bottom w:val="single" w:sz="4" w:space="0" w:color="auto"/>
              <w:right w:val="single" w:sz="4" w:space="0" w:color="auto"/>
            </w:tcBorders>
            <w:vAlign w:val="center"/>
          </w:tcPr>
          <w:p w:rsidR="00150DA2" w:rsidRDefault="000D1E5F">
            <w:pPr>
              <w:spacing w:line="0" w:lineRule="atLeast"/>
              <w:jc w:val="center"/>
              <w:rPr>
                <w:rFonts w:ascii="新宋体" w:eastAsia="新宋体" w:hAnsi="新宋体" w:cs="新宋体"/>
                <w:szCs w:val="21"/>
              </w:rPr>
            </w:pPr>
            <w:r>
              <w:rPr>
                <w:rFonts w:ascii="新宋体" w:eastAsia="新宋体" w:hAnsi="新宋体" w:cs="新宋体" w:hint="eastAsia"/>
                <w:szCs w:val="21"/>
              </w:rPr>
              <w:t>5995.14</w:t>
            </w:r>
          </w:p>
        </w:tc>
        <w:tc>
          <w:tcPr>
            <w:tcW w:w="550" w:type="pct"/>
            <w:tcBorders>
              <w:top w:val="nil"/>
              <w:left w:val="nil"/>
              <w:bottom w:val="single" w:sz="4" w:space="0" w:color="auto"/>
              <w:right w:val="single" w:sz="4" w:space="0" w:color="auto"/>
            </w:tcBorders>
            <w:vAlign w:val="center"/>
          </w:tcPr>
          <w:p w:rsidR="00150DA2" w:rsidRDefault="000D1E5F">
            <w:pPr>
              <w:spacing w:line="0" w:lineRule="atLeast"/>
              <w:jc w:val="center"/>
              <w:rPr>
                <w:rFonts w:ascii="新宋体" w:eastAsia="新宋体" w:hAnsi="新宋体" w:cs="新宋体"/>
                <w:szCs w:val="21"/>
              </w:rPr>
            </w:pPr>
            <w:r>
              <w:rPr>
                <w:rFonts w:ascii="新宋体" w:eastAsia="新宋体" w:hAnsi="新宋体" w:cs="新宋体" w:hint="eastAsia"/>
                <w:szCs w:val="21"/>
              </w:rPr>
              <w:t>5995.14</w:t>
            </w:r>
          </w:p>
        </w:tc>
        <w:tc>
          <w:tcPr>
            <w:tcW w:w="316" w:type="pct"/>
            <w:tcBorders>
              <w:top w:val="nil"/>
              <w:left w:val="nil"/>
              <w:bottom w:val="single" w:sz="4" w:space="0" w:color="auto"/>
              <w:right w:val="single" w:sz="4" w:space="0" w:color="auto"/>
            </w:tcBorders>
            <w:vAlign w:val="center"/>
          </w:tcPr>
          <w:p w:rsidR="00150DA2" w:rsidRDefault="000D1E5F">
            <w:pPr>
              <w:spacing w:line="0" w:lineRule="atLeast"/>
              <w:jc w:val="center"/>
              <w:rPr>
                <w:rFonts w:ascii="新宋体" w:eastAsia="新宋体" w:hAnsi="新宋体" w:cs="新宋体"/>
                <w:szCs w:val="21"/>
              </w:rPr>
            </w:pPr>
            <w:r>
              <w:rPr>
                <w:rFonts w:ascii="新宋体" w:eastAsia="新宋体" w:hAnsi="新宋体" w:cs="新宋体" w:hint="eastAsia"/>
                <w:szCs w:val="21"/>
              </w:rPr>
              <w:t>10</w:t>
            </w:r>
          </w:p>
        </w:tc>
        <w:tc>
          <w:tcPr>
            <w:tcW w:w="439" w:type="pct"/>
            <w:tcBorders>
              <w:top w:val="nil"/>
              <w:left w:val="nil"/>
              <w:bottom w:val="single" w:sz="4" w:space="0" w:color="auto"/>
              <w:right w:val="single" w:sz="4" w:space="0" w:color="auto"/>
            </w:tcBorders>
            <w:vAlign w:val="center"/>
          </w:tcPr>
          <w:p w:rsidR="00150DA2" w:rsidRDefault="000D1E5F">
            <w:pPr>
              <w:spacing w:line="0" w:lineRule="atLeast"/>
              <w:jc w:val="center"/>
              <w:rPr>
                <w:rFonts w:ascii="新宋体" w:eastAsia="新宋体" w:hAnsi="新宋体" w:cs="新宋体"/>
                <w:szCs w:val="21"/>
              </w:rPr>
            </w:pPr>
            <w:r>
              <w:rPr>
                <w:rFonts w:ascii="新宋体" w:eastAsia="新宋体" w:hAnsi="新宋体" w:cs="新宋体" w:hint="eastAsia"/>
                <w:szCs w:val="21"/>
              </w:rPr>
              <w:t>100%</w:t>
            </w:r>
          </w:p>
        </w:tc>
        <w:tc>
          <w:tcPr>
            <w:tcW w:w="855" w:type="pct"/>
            <w:tcBorders>
              <w:top w:val="nil"/>
              <w:left w:val="nil"/>
              <w:bottom w:val="single" w:sz="4" w:space="0" w:color="auto"/>
              <w:right w:val="single" w:sz="4" w:space="0" w:color="auto"/>
            </w:tcBorders>
            <w:vAlign w:val="center"/>
          </w:tcPr>
          <w:p w:rsidR="00150DA2" w:rsidRDefault="000D1E5F">
            <w:pPr>
              <w:spacing w:line="0" w:lineRule="atLeast"/>
              <w:jc w:val="center"/>
              <w:rPr>
                <w:rFonts w:ascii="新宋体" w:eastAsia="新宋体" w:hAnsi="新宋体" w:cs="新宋体"/>
                <w:szCs w:val="21"/>
              </w:rPr>
            </w:pPr>
            <w:r>
              <w:rPr>
                <w:rFonts w:ascii="新宋体" w:eastAsia="新宋体" w:hAnsi="新宋体" w:cs="新宋体" w:hint="eastAsia"/>
                <w:szCs w:val="21"/>
              </w:rPr>
              <w:t>10</w:t>
            </w:r>
          </w:p>
        </w:tc>
      </w:tr>
      <w:tr w:rsidR="00150DA2">
        <w:trPr>
          <w:trHeight w:val="462"/>
          <w:jc w:val="center"/>
        </w:trPr>
        <w:tc>
          <w:tcPr>
            <w:tcW w:w="472" w:type="pct"/>
            <w:vMerge/>
            <w:tcBorders>
              <w:left w:val="single" w:sz="4" w:space="0" w:color="auto"/>
              <w:right w:val="single" w:sz="4" w:space="0" w:color="auto"/>
            </w:tcBorders>
            <w:vAlign w:val="center"/>
          </w:tcPr>
          <w:p w:rsidR="00150DA2" w:rsidRDefault="00150DA2">
            <w:pPr>
              <w:widowControl/>
              <w:spacing w:line="0" w:lineRule="atLeast"/>
              <w:jc w:val="center"/>
              <w:rPr>
                <w:rFonts w:ascii="新宋体" w:eastAsia="新宋体" w:hAnsi="新宋体" w:cs="新宋体"/>
                <w:color w:val="000000"/>
                <w:szCs w:val="21"/>
              </w:rPr>
            </w:pPr>
          </w:p>
        </w:tc>
        <w:tc>
          <w:tcPr>
            <w:tcW w:w="2365" w:type="pct"/>
            <w:gridSpan w:val="4"/>
            <w:tcBorders>
              <w:top w:val="nil"/>
              <w:left w:val="nil"/>
              <w:bottom w:val="single" w:sz="4" w:space="0" w:color="auto"/>
              <w:right w:val="single" w:sz="4" w:space="0" w:color="auto"/>
            </w:tcBorders>
            <w:vAlign w:val="center"/>
          </w:tcPr>
          <w:p w:rsidR="00150DA2" w:rsidRDefault="000D1E5F">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按收入性质分：</w:t>
            </w:r>
          </w:p>
        </w:tc>
        <w:tc>
          <w:tcPr>
            <w:tcW w:w="2162" w:type="pct"/>
            <w:gridSpan w:val="4"/>
            <w:tcBorders>
              <w:top w:val="nil"/>
              <w:left w:val="nil"/>
              <w:bottom w:val="single" w:sz="4" w:space="0" w:color="auto"/>
              <w:right w:val="single" w:sz="4" w:space="0" w:color="auto"/>
            </w:tcBorders>
            <w:vAlign w:val="center"/>
          </w:tcPr>
          <w:p w:rsidR="00150DA2" w:rsidRDefault="000D1E5F">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按支出性质分：</w:t>
            </w:r>
          </w:p>
        </w:tc>
      </w:tr>
      <w:tr w:rsidR="00150DA2">
        <w:trPr>
          <w:trHeight w:val="462"/>
          <w:jc w:val="center"/>
        </w:trPr>
        <w:tc>
          <w:tcPr>
            <w:tcW w:w="472" w:type="pct"/>
            <w:vMerge/>
            <w:tcBorders>
              <w:left w:val="single" w:sz="4" w:space="0" w:color="auto"/>
              <w:right w:val="single" w:sz="4" w:space="0" w:color="auto"/>
            </w:tcBorders>
            <w:vAlign w:val="center"/>
          </w:tcPr>
          <w:p w:rsidR="00150DA2" w:rsidRDefault="00150DA2">
            <w:pPr>
              <w:widowControl/>
              <w:spacing w:line="0" w:lineRule="atLeast"/>
              <w:jc w:val="center"/>
              <w:rPr>
                <w:rFonts w:ascii="新宋体" w:eastAsia="新宋体" w:hAnsi="新宋体" w:cs="新宋体"/>
                <w:color w:val="000000"/>
                <w:szCs w:val="21"/>
              </w:rPr>
            </w:pPr>
          </w:p>
        </w:tc>
        <w:tc>
          <w:tcPr>
            <w:tcW w:w="2365" w:type="pct"/>
            <w:gridSpan w:val="4"/>
            <w:tcBorders>
              <w:top w:val="nil"/>
              <w:left w:val="nil"/>
              <w:bottom w:val="single" w:sz="4" w:space="0" w:color="auto"/>
              <w:right w:val="single" w:sz="4" w:space="0" w:color="auto"/>
            </w:tcBorders>
            <w:vAlign w:val="center"/>
          </w:tcPr>
          <w:p w:rsidR="00150DA2" w:rsidRDefault="000D1E5F">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其中：  一般公共预算：5579.58</w:t>
            </w:r>
          </w:p>
        </w:tc>
        <w:tc>
          <w:tcPr>
            <w:tcW w:w="2162" w:type="pct"/>
            <w:gridSpan w:val="4"/>
            <w:tcBorders>
              <w:top w:val="nil"/>
              <w:left w:val="nil"/>
              <w:bottom w:val="single" w:sz="4" w:space="0" w:color="auto"/>
              <w:right w:val="single" w:sz="4" w:space="0" w:color="auto"/>
            </w:tcBorders>
            <w:vAlign w:val="center"/>
          </w:tcPr>
          <w:p w:rsidR="00150DA2" w:rsidRDefault="000D1E5F">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其中：基本支出：1975.59</w:t>
            </w:r>
          </w:p>
        </w:tc>
      </w:tr>
      <w:tr w:rsidR="00150DA2">
        <w:trPr>
          <w:trHeight w:val="462"/>
          <w:jc w:val="center"/>
        </w:trPr>
        <w:tc>
          <w:tcPr>
            <w:tcW w:w="472" w:type="pct"/>
            <w:vMerge/>
            <w:tcBorders>
              <w:left w:val="single" w:sz="4" w:space="0" w:color="auto"/>
              <w:right w:val="single" w:sz="4" w:space="0" w:color="auto"/>
            </w:tcBorders>
            <w:vAlign w:val="center"/>
          </w:tcPr>
          <w:p w:rsidR="00150DA2" w:rsidRDefault="00150DA2">
            <w:pPr>
              <w:widowControl/>
              <w:spacing w:line="0" w:lineRule="atLeast"/>
              <w:jc w:val="center"/>
              <w:rPr>
                <w:rFonts w:ascii="新宋体" w:eastAsia="新宋体" w:hAnsi="新宋体" w:cs="新宋体"/>
                <w:color w:val="000000"/>
                <w:szCs w:val="21"/>
              </w:rPr>
            </w:pPr>
          </w:p>
        </w:tc>
        <w:tc>
          <w:tcPr>
            <w:tcW w:w="2365" w:type="pct"/>
            <w:gridSpan w:val="4"/>
            <w:tcBorders>
              <w:top w:val="nil"/>
              <w:left w:val="nil"/>
              <w:bottom w:val="single" w:sz="4" w:space="0" w:color="auto"/>
              <w:right w:val="single" w:sz="4" w:space="0" w:color="auto"/>
            </w:tcBorders>
            <w:vAlign w:val="center"/>
          </w:tcPr>
          <w:p w:rsidR="00150DA2" w:rsidRDefault="000D1E5F">
            <w:pPr>
              <w:widowControl/>
              <w:spacing w:line="0" w:lineRule="atLeast"/>
              <w:ind w:firstLineChars="300" w:firstLine="630"/>
              <w:jc w:val="left"/>
              <w:rPr>
                <w:rFonts w:ascii="新宋体" w:eastAsia="新宋体" w:hAnsi="新宋体" w:cs="新宋体"/>
                <w:color w:val="000000"/>
                <w:szCs w:val="21"/>
              </w:rPr>
            </w:pPr>
            <w:r>
              <w:rPr>
                <w:rFonts w:ascii="新宋体" w:eastAsia="新宋体" w:hAnsi="新宋体" w:cs="新宋体" w:hint="eastAsia"/>
                <w:color w:val="000000"/>
                <w:szCs w:val="21"/>
              </w:rPr>
              <w:t>政府性基金拨款：415.56</w:t>
            </w:r>
          </w:p>
        </w:tc>
        <w:tc>
          <w:tcPr>
            <w:tcW w:w="2162" w:type="pct"/>
            <w:gridSpan w:val="4"/>
            <w:tcBorders>
              <w:top w:val="nil"/>
              <w:left w:val="nil"/>
              <w:bottom w:val="single" w:sz="4" w:space="0" w:color="auto"/>
              <w:right w:val="single" w:sz="4" w:space="0" w:color="auto"/>
            </w:tcBorders>
            <w:vAlign w:val="center"/>
          </w:tcPr>
          <w:p w:rsidR="00150DA2" w:rsidRDefault="000D1E5F">
            <w:pPr>
              <w:widowControl/>
              <w:spacing w:line="0" w:lineRule="atLeast"/>
              <w:ind w:firstLineChars="300" w:firstLine="630"/>
              <w:jc w:val="left"/>
              <w:rPr>
                <w:rFonts w:ascii="新宋体" w:eastAsia="新宋体" w:hAnsi="新宋体" w:cs="新宋体"/>
                <w:color w:val="000000"/>
                <w:szCs w:val="21"/>
              </w:rPr>
            </w:pPr>
            <w:r>
              <w:rPr>
                <w:rFonts w:ascii="新宋体" w:eastAsia="新宋体" w:hAnsi="新宋体" w:cs="新宋体" w:hint="eastAsia"/>
                <w:color w:val="000000"/>
                <w:szCs w:val="21"/>
              </w:rPr>
              <w:t>项目支出：4019.55</w:t>
            </w:r>
          </w:p>
        </w:tc>
      </w:tr>
      <w:tr w:rsidR="00150DA2">
        <w:trPr>
          <w:trHeight w:val="462"/>
          <w:jc w:val="center"/>
        </w:trPr>
        <w:tc>
          <w:tcPr>
            <w:tcW w:w="472" w:type="pct"/>
            <w:vMerge/>
            <w:tcBorders>
              <w:left w:val="single" w:sz="4" w:space="0" w:color="auto"/>
              <w:right w:val="single" w:sz="4" w:space="0" w:color="auto"/>
            </w:tcBorders>
            <w:vAlign w:val="center"/>
          </w:tcPr>
          <w:p w:rsidR="00150DA2" w:rsidRDefault="00150DA2">
            <w:pPr>
              <w:widowControl/>
              <w:spacing w:line="0" w:lineRule="atLeast"/>
              <w:jc w:val="center"/>
              <w:rPr>
                <w:rFonts w:ascii="新宋体" w:eastAsia="新宋体" w:hAnsi="新宋体" w:cs="新宋体"/>
                <w:color w:val="000000"/>
                <w:szCs w:val="21"/>
              </w:rPr>
            </w:pPr>
          </w:p>
        </w:tc>
        <w:tc>
          <w:tcPr>
            <w:tcW w:w="2365" w:type="pct"/>
            <w:gridSpan w:val="4"/>
            <w:tcBorders>
              <w:top w:val="nil"/>
              <w:left w:val="nil"/>
              <w:bottom w:val="single" w:sz="4" w:space="0" w:color="auto"/>
              <w:right w:val="single" w:sz="4" w:space="0" w:color="auto"/>
            </w:tcBorders>
            <w:vAlign w:val="center"/>
          </w:tcPr>
          <w:p w:rsidR="00150DA2" w:rsidRDefault="000D1E5F">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纳入专户管理的非税收入拨款：</w:t>
            </w:r>
          </w:p>
        </w:tc>
        <w:tc>
          <w:tcPr>
            <w:tcW w:w="2162" w:type="pct"/>
            <w:gridSpan w:val="4"/>
            <w:tcBorders>
              <w:top w:val="nil"/>
              <w:left w:val="nil"/>
              <w:bottom w:val="single" w:sz="4" w:space="0" w:color="auto"/>
              <w:right w:val="single" w:sz="4" w:space="0" w:color="auto"/>
            </w:tcBorders>
            <w:vAlign w:val="center"/>
          </w:tcPr>
          <w:p w:rsidR="00150DA2" w:rsidRDefault="00150DA2">
            <w:pPr>
              <w:widowControl/>
              <w:spacing w:line="0" w:lineRule="atLeast"/>
              <w:jc w:val="left"/>
              <w:rPr>
                <w:rFonts w:ascii="新宋体" w:eastAsia="新宋体" w:hAnsi="新宋体" w:cs="新宋体"/>
                <w:color w:val="000000"/>
                <w:szCs w:val="21"/>
              </w:rPr>
            </w:pPr>
          </w:p>
        </w:tc>
      </w:tr>
      <w:tr w:rsidR="00150DA2">
        <w:trPr>
          <w:trHeight w:val="462"/>
          <w:jc w:val="center"/>
        </w:trPr>
        <w:tc>
          <w:tcPr>
            <w:tcW w:w="472" w:type="pct"/>
            <w:vMerge/>
            <w:tcBorders>
              <w:left w:val="single" w:sz="4" w:space="0" w:color="auto"/>
              <w:bottom w:val="single" w:sz="4" w:space="0" w:color="000000"/>
              <w:right w:val="single" w:sz="4" w:space="0" w:color="auto"/>
            </w:tcBorders>
            <w:vAlign w:val="center"/>
          </w:tcPr>
          <w:p w:rsidR="00150DA2" w:rsidRDefault="00150DA2">
            <w:pPr>
              <w:widowControl/>
              <w:spacing w:line="0" w:lineRule="atLeast"/>
              <w:jc w:val="center"/>
              <w:rPr>
                <w:rFonts w:ascii="新宋体" w:eastAsia="新宋体" w:hAnsi="新宋体" w:cs="新宋体"/>
                <w:color w:val="000000"/>
                <w:szCs w:val="21"/>
              </w:rPr>
            </w:pPr>
          </w:p>
        </w:tc>
        <w:tc>
          <w:tcPr>
            <w:tcW w:w="2365" w:type="pct"/>
            <w:gridSpan w:val="4"/>
            <w:tcBorders>
              <w:top w:val="nil"/>
              <w:left w:val="nil"/>
              <w:bottom w:val="single" w:sz="4" w:space="0" w:color="auto"/>
              <w:right w:val="single" w:sz="4" w:space="0" w:color="auto"/>
            </w:tcBorders>
            <w:vAlign w:val="center"/>
          </w:tcPr>
          <w:p w:rsidR="00150DA2" w:rsidRDefault="000D1E5F">
            <w:pPr>
              <w:widowControl/>
              <w:spacing w:line="0" w:lineRule="atLeast"/>
              <w:ind w:firstLineChars="600" w:firstLine="1260"/>
              <w:jc w:val="left"/>
              <w:rPr>
                <w:rFonts w:ascii="新宋体" w:eastAsia="新宋体" w:hAnsi="新宋体" w:cs="新宋体"/>
                <w:color w:val="000000"/>
                <w:szCs w:val="21"/>
              </w:rPr>
            </w:pPr>
            <w:r>
              <w:rPr>
                <w:rFonts w:ascii="新宋体" w:eastAsia="新宋体" w:hAnsi="新宋体" w:cs="新宋体" w:hint="eastAsia"/>
                <w:color w:val="000000"/>
                <w:szCs w:val="21"/>
              </w:rPr>
              <w:t>其他资金：</w:t>
            </w:r>
          </w:p>
        </w:tc>
        <w:tc>
          <w:tcPr>
            <w:tcW w:w="2162" w:type="pct"/>
            <w:gridSpan w:val="4"/>
            <w:tcBorders>
              <w:top w:val="nil"/>
              <w:left w:val="nil"/>
              <w:bottom w:val="single" w:sz="4" w:space="0" w:color="auto"/>
              <w:right w:val="single" w:sz="4" w:space="0" w:color="auto"/>
            </w:tcBorders>
            <w:vAlign w:val="center"/>
          </w:tcPr>
          <w:p w:rsidR="00150DA2" w:rsidRDefault="00150DA2">
            <w:pPr>
              <w:widowControl/>
              <w:spacing w:line="0" w:lineRule="atLeast"/>
              <w:jc w:val="left"/>
              <w:rPr>
                <w:rFonts w:ascii="新宋体" w:eastAsia="新宋体" w:hAnsi="新宋体" w:cs="新宋体"/>
                <w:color w:val="000000"/>
                <w:szCs w:val="21"/>
              </w:rPr>
            </w:pPr>
          </w:p>
        </w:tc>
      </w:tr>
      <w:tr w:rsidR="00150DA2">
        <w:trPr>
          <w:trHeight w:val="462"/>
          <w:jc w:val="center"/>
        </w:trPr>
        <w:tc>
          <w:tcPr>
            <w:tcW w:w="472" w:type="pct"/>
            <w:vMerge w:val="restart"/>
            <w:tcBorders>
              <w:top w:val="nil"/>
              <w:left w:val="single" w:sz="4" w:space="0" w:color="auto"/>
              <w:bottom w:val="single" w:sz="4" w:space="0" w:color="000000"/>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年度</w:t>
            </w:r>
          </w:p>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总体目标</w:t>
            </w:r>
          </w:p>
        </w:tc>
        <w:tc>
          <w:tcPr>
            <w:tcW w:w="2365" w:type="pct"/>
            <w:gridSpan w:val="4"/>
            <w:tcBorders>
              <w:top w:val="single" w:sz="4" w:space="0" w:color="auto"/>
              <w:left w:val="nil"/>
              <w:bottom w:val="single" w:sz="4" w:space="0" w:color="auto"/>
              <w:right w:val="single" w:sz="4" w:space="0" w:color="000000"/>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预期目标</w:t>
            </w:r>
          </w:p>
        </w:tc>
        <w:tc>
          <w:tcPr>
            <w:tcW w:w="2162" w:type="pct"/>
            <w:gridSpan w:val="4"/>
            <w:tcBorders>
              <w:top w:val="single" w:sz="4" w:space="0" w:color="auto"/>
              <w:left w:val="nil"/>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 xml:space="preserve">实际完成情况　</w:t>
            </w:r>
          </w:p>
        </w:tc>
      </w:tr>
      <w:tr w:rsidR="00150DA2">
        <w:trPr>
          <w:trHeight w:val="462"/>
          <w:jc w:val="center"/>
        </w:trPr>
        <w:tc>
          <w:tcPr>
            <w:tcW w:w="472" w:type="pct"/>
            <w:vMerge/>
            <w:tcBorders>
              <w:top w:val="nil"/>
              <w:left w:val="single" w:sz="4" w:space="0" w:color="auto"/>
              <w:bottom w:val="single" w:sz="4" w:space="0" w:color="auto"/>
              <w:right w:val="single" w:sz="4" w:space="0" w:color="auto"/>
            </w:tcBorders>
            <w:vAlign w:val="center"/>
          </w:tcPr>
          <w:p w:rsidR="00150DA2" w:rsidRDefault="00150DA2">
            <w:pPr>
              <w:widowControl/>
              <w:spacing w:line="0" w:lineRule="atLeast"/>
              <w:jc w:val="center"/>
              <w:rPr>
                <w:rFonts w:ascii="新宋体" w:eastAsia="新宋体" w:hAnsi="新宋体" w:cs="新宋体"/>
                <w:color w:val="000000"/>
                <w:szCs w:val="21"/>
              </w:rPr>
            </w:pPr>
          </w:p>
        </w:tc>
        <w:tc>
          <w:tcPr>
            <w:tcW w:w="2365" w:type="pct"/>
            <w:gridSpan w:val="4"/>
            <w:tcBorders>
              <w:top w:val="single" w:sz="4" w:space="0" w:color="auto"/>
              <w:left w:val="nil"/>
              <w:bottom w:val="single" w:sz="4" w:space="0" w:color="auto"/>
              <w:right w:val="single" w:sz="4" w:space="0" w:color="000000"/>
            </w:tcBorders>
            <w:vAlign w:val="center"/>
          </w:tcPr>
          <w:p w:rsidR="00150DA2" w:rsidRDefault="000D1E5F">
            <w:pPr>
              <w:widowControl/>
              <w:spacing w:line="0" w:lineRule="atLeast"/>
              <w:ind w:firstLineChars="100" w:firstLine="210"/>
              <w:jc w:val="left"/>
              <w:rPr>
                <w:rFonts w:ascii="新宋体" w:eastAsia="新宋体" w:hAnsi="新宋体" w:cs="新宋体"/>
                <w:color w:val="000000"/>
                <w:szCs w:val="21"/>
              </w:rPr>
            </w:pPr>
            <w:r>
              <w:rPr>
                <w:rFonts w:ascii="新宋体" w:eastAsia="新宋体" w:hAnsi="新宋体" w:cs="新宋体" w:hint="eastAsia"/>
                <w:color w:val="000000"/>
                <w:szCs w:val="21"/>
              </w:rPr>
              <w:t>2022 年是本届政府的大考之年，也是东山发展史上浓墨重彩的一年。在县委、县政府和镇党委的坚强领导下，镇人大、政协的监督支持下，以习近平新时代中国特色社会主义思想和党的二十大精神为指引，认真贯彻中央、省、市、县决策部署，有效应对“3.15”舆情危机、多轮疫情冲击、罕见高温干旱等 多重困难挑战，全力推进东山镇“一极三镇”建设进程，稳步开启了东山高质量发展新篇章。</w:t>
            </w:r>
          </w:p>
          <w:p w:rsidR="00150DA2" w:rsidRDefault="00150DA2">
            <w:pPr>
              <w:widowControl/>
              <w:spacing w:line="0" w:lineRule="atLeast"/>
              <w:jc w:val="center"/>
              <w:rPr>
                <w:rFonts w:ascii="新宋体" w:eastAsia="新宋体" w:hAnsi="新宋体" w:cs="新宋体"/>
                <w:color w:val="000000"/>
                <w:szCs w:val="21"/>
              </w:rPr>
            </w:pPr>
          </w:p>
        </w:tc>
        <w:tc>
          <w:tcPr>
            <w:tcW w:w="2162" w:type="pct"/>
            <w:gridSpan w:val="4"/>
            <w:tcBorders>
              <w:top w:val="single" w:sz="4" w:space="0" w:color="auto"/>
              <w:left w:val="nil"/>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已完成</w:t>
            </w:r>
          </w:p>
        </w:tc>
      </w:tr>
      <w:tr w:rsidR="00150DA2">
        <w:trPr>
          <w:trHeight w:val="850"/>
          <w:jc w:val="center"/>
        </w:trPr>
        <w:tc>
          <w:tcPr>
            <w:tcW w:w="472" w:type="pct"/>
            <w:vMerge w:val="restar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绩</w:t>
            </w:r>
          </w:p>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效</w:t>
            </w:r>
          </w:p>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w:t>
            </w:r>
          </w:p>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标</w:t>
            </w:r>
          </w:p>
        </w:tc>
        <w:tc>
          <w:tcPr>
            <w:tcW w:w="367"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一级</w:t>
            </w:r>
          </w:p>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462"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二级</w:t>
            </w:r>
          </w:p>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984"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三级</w:t>
            </w:r>
          </w:p>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551"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年度</w:t>
            </w:r>
          </w:p>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指标值</w:t>
            </w:r>
          </w:p>
        </w:tc>
        <w:tc>
          <w:tcPr>
            <w:tcW w:w="550"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实际</w:t>
            </w:r>
          </w:p>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完成值</w:t>
            </w:r>
          </w:p>
        </w:tc>
        <w:tc>
          <w:tcPr>
            <w:tcW w:w="316"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分值</w:t>
            </w:r>
          </w:p>
        </w:tc>
        <w:tc>
          <w:tcPr>
            <w:tcW w:w="439"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得分</w:t>
            </w:r>
          </w:p>
        </w:tc>
        <w:tc>
          <w:tcPr>
            <w:tcW w:w="855"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偏差原因分析及改进措施</w:t>
            </w:r>
          </w:p>
        </w:tc>
      </w:tr>
      <w:tr w:rsidR="00150DA2">
        <w:trPr>
          <w:trHeight w:val="462"/>
          <w:jc w:val="center"/>
        </w:trPr>
        <w:tc>
          <w:tcPr>
            <w:tcW w:w="472" w:type="pct"/>
            <w:vMerge/>
            <w:tcBorders>
              <w:top w:val="single" w:sz="4" w:space="0" w:color="auto"/>
              <w:left w:val="single" w:sz="4" w:space="0" w:color="auto"/>
              <w:bottom w:val="single" w:sz="4" w:space="0" w:color="auto"/>
              <w:right w:val="single" w:sz="4" w:space="0" w:color="auto"/>
            </w:tcBorders>
            <w:vAlign w:val="center"/>
          </w:tcPr>
          <w:p w:rsidR="00150DA2" w:rsidRDefault="00150DA2">
            <w:pPr>
              <w:spacing w:line="0" w:lineRule="atLeast"/>
              <w:jc w:val="center"/>
              <w:rPr>
                <w:rFonts w:ascii="新宋体" w:eastAsia="新宋体" w:hAnsi="新宋体" w:cs="新宋体"/>
                <w:color w:val="000000"/>
                <w:szCs w:val="21"/>
              </w:rPr>
            </w:pPr>
          </w:p>
        </w:tc>
        <w:tc>
          <w:tcPr>
            <w:tcW w:w="367" w:type="pct"/>
            <w:vMerge w:val="restar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产出</w:t>
            </w:r>
          </w:p>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(50分)</w:t>
            </w:r>
          </w:p>
        </w:tc>
        <w:tc>
          <w:tcPr>
            <w:tcW w:w="462" w:type="pct"/>
            <w:vMerge w:val="restar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数量</w:t>
            </w:r>
          </w:p>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984"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洪山头工业园完成 300 亩征地拆迁及场平工作</w:t>
            </w:r>
          </w:p>
          <w:p w:rsidR="00150DA2" w:rsidRDefault="00150DA2">
            <w:pPr>
              <w:widowControl/>
              <w:spacing w:line="0" w:lineRule="atLeast"/>
              <w:jc w:val="left"/>
              <w:rPr>
                <w:rFonts w:ascii="新宋体" w:eastAsia="新宋体" w:hAnsi="新宋体" w:cs="新宋体"/>
                <w:color w:val="000000"/>
                <w:szCs w:val="21"/>
              </w:rPr>
            </w:pPr>
          </w:p>
        </w:tc>
        <w:tc>
          <w:tcPr>
            <w:tcW w:w="551"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left"/>
              <w:rPr>
                <w:rFonts w:ascii="新宋体" w:eastAsia="新宋体" w:hAnsi="新宋体" w:cs="新宋体"/>
                <w:color w:val="000000"/>
                <w:szCs w:val="21"/>
              </w:rPr>
            </w:pPr>
            <w:r>
              <w:rPr>
                <w:rFonts w:ascii="宋体" w:hAnsi="宋体" w:cs="宋体" w:hint="eastAsia"/>
                <w:color w:val="000000"/>
                <w:kern w:val="0"/>
                <w:sz w:val="20"/>
                <w:szCs w:val="20"/>
              </w:rPr>
              <w:t>&gt;=300亩</w:t>
            </w:r>
          </w:p>
        </w:tc>
        <w:tc>
          <w:tcPr>
            <w:tcW w:w="550"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300亩</w:t>
            </w:r>
          </w:p>
        </w:tc>
        <w:tc>
          <w:tcPr>
            <w:tcW w:w="316"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5</w:t>
            </w:r>
          </w:p>
        </w:tc>
        <w:tc>
          <w:tcPr>
            <w:tcW w:w="439"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5</w:t>
            </w:r>
          </w:p>
        </w:tc>
        <w:tc>
          <w:tcPr>
            <w:tcW w:w="855"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150DA2">
        <w:trPr>
          <w:trHeight w:val="462"/>
          <w:jc w:val="center"/>
        </w:trPr>
        <w:tc>
          <w:tcPr>
            <w:tcW w:w="472" w:type="pct"/>
            <w:vMerge/>
            <w:tcBorders>
              <w:top w:val="single" w:sz="4" w:space="0" w:color="auto"/>
              <w:left w:val="single" w:sz="4" w:space="0" w:color="auto"/>
              <w:bottom w:val="single" w:sz="4" w:space="0" w:color="auto"/>
              <w:right w:val="single" w:sz="4" w:space="0" w:color="auto"/>
            </w:tcBorders>
            <w:vAlign w:val="center"/>
          </w:tcPr>
          <w:p w:rsidR="00150DA2" w:rsidRDefault="00150DA2">
            <w:pPr>
              <w:spacing w:line="0" w:lineRule="atLeast"/>
              <w:jc w:val="center"/>
              <w:rPr>
                <w:rFonts w:ascii="新宋体" w:eastAsia="新宋体" w:hAnsi="新宋体" w:cs="新宋体"/>
                <w:color w:val="000000"/>
                <w:szCs w:val="21"/>
              </w:rPr>
            </w:pPr>
          </w:p>
        </w:tc>
        <w:tc>
          <w:tcPr>
            <w:tcW w:w="367" w:type="pct"/>
            <w:vMerge/>
            <w:tcBorders>
              <w:top w:val="single" w:sz="4" w:space="0" w:color="auto"/>
              <w:left w:val="single" w:sz="4" w:space="0" w:color="auto"/>
              <w:bottom w:val="single" w:sz="4" w:space="0" w:color="auto"/>
              <w:right w:val="single" w:sz="4" w:space="0" w:color="auto"/>
            </w:tcBorders>
            <w:vAlign w:val="center"/>
          </w:tcPr>
          <w:p w:rsidR="00150DA2" w:rsidRDefault="00150DA2">
            <w:pPr>
              <w:spacing w:line="0" w:lineRule="atLeast"/>
              <w:jc w:val="center"/>
              <w:rPr>
                <w:rFonts w:ascii="新宋体" w:eastAsia="新宋体" w:hAnsi="新宋体" w:cs="新宋体"/>
                <w:color w:val="000000"/>
                <w:szCs w:val="21"/>
              </w:rPr>
            </w:pPr>
          </w:p>
        </w:tc>
        <w:tc>
          <w:tcPr>
            <w:tcW w:w="462" w:type="pct"/>
            <w:vMerge/>
            <w:tcBorders>
              <w:top w:val="single" w:sz="4" w:space="0" w:color="auto"/>
              <w:left w:val="single" w:sz="4" w:space="0" w:color="auto"/>
              <w:bottom w:val="single" w:sz="4" w:space="0" w:color="auto"/>
              <w:right w:val="single" w:sz="4" w:space="0" w:color="auto"/>
            </w:tcBorders>
            <w:vAlign w:val="center"/>
          </w:tcPr>
          <w:p w:rsidR="00150DA2" w:rsidRDefault="00150DA2">
            <w:pPr>
              <w:spacing w:line="0" w:lineRule="atLeast"/>
              <w:jc w:val="center"/>
              <w:rPr>
                <w:rFonts w:ascii="新宋体" w:eastAsia="新宋体" w:hAnsi="新宋体" w:cs="新宋体"/>
                <w:color w:val="000000"/>
                <w:szCs w:val="21"/>
              </w:rPr>
            </w:pPr>
          </w:p>
        </w:tc>
        <w:tc>
          <w:tcPr>
            <w:tcW w:w="984"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全年完成 516 个新厕建设</w:t>
            </w:r>
          </w:p>
          <w:p w:rsidR="00150DA2" w:rsidRDefault="00150DA2">
            <w:pPr>
              <w:widowControl/>
              <w:spacing w:line="0" w:lineRule="atLeast"/>
              <w:jc w:val="left"/>
              <w:rPr>
                <w:rFonts w:ascii="新宋体" w:eastAsia="新宋体" w:hAnsi="新宋体" w:cs="新宋体"/>
                <w:color w:val="000000"/>
                <w:szCs w:val="21"/>
              </w:rPr>
            </w:pPr>
          </w:p>
        </w:tc>
        <w:tc>
          <w:tcPr>
            <w:tcW w:w="551"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left"/>
              <w:rPr>
                <w:rFonts w:ascii="新宋体" w:eastAsia="新宋体" w:hAnsi="新宋体" w:cs="新宋体"/>
                <w:color w:val="000000"/>
                <w:szCs w:val="21"/>
              </w:rPr>
            </w:pPr>
            <w:r>
              <w:rPr>
                <w:rFonts w:ascii="宋体" w:hAnsi="宋体" w:cs="宋体" w:hint="eastAsia"/>
                <w:color w:val="000000"/>
                <w:kern w:val="0"/>
                <w:sz w:val="20"/>
                <w:szCs w:val="20"/>
              </w:rPr>
              <w:t>&gt;=500个</w:t>
            </w:r>
          </w:p>
        </w:tc>
        <w:tc>
          <w:tcPr>
            <w:tcW w:w="550"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516个</w:t>
            </w:r>
          </w:p>
        </w:tc>
        <w:tc>
          <w:tcPr>
            <w:tcW w:w="316"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5</w:t>
            </w:r>
          </w:p>
        </w:tc>
        <w:tc>
          <w:tcPr>
            <w:tcW w:w="439"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5</w:t>
            </w:r>
          </w:p>
        </w:tc>
        <w:tc>
          <w:tcPr>
            <w:tcW w:w="855"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150DA2">
        <w:trPr>
          <w:trHeight w:val="462"/>
          <w:jc w:val="center"/>
        </w:trPr>
        <w:tc>
          <w:tcPr>
            <w:tcW w:w="472" w:type="pct"/>
            <w:vMerge/>
            <w:tcBorders>
              <w:top w:val="single" w:sz="4" w:space="0" w:color="auto"/>
              <w:left w:val="single" w:sz="4" w:space="0" w:color="auto"/>
              <w:bottom w:val="single" w:sz="4" w:space="0" w:color="auto"/>
              <w:right w:val="single" w:sz="4" w:space="0" w:color="auto"/>
            </w:tcBorders>
            <w:vAlign w:val="center"/>
          </w:tcPr>
          <w:p w:rsidR="00150DA2" w:rsidRDefault="00150DA2">
            <w:pPr>
              <w:spacing w:line="0" w:lineRule="atLeast"/>
              <w:jc w:val="center"/>
              <w:rPr>
                <w:rFonts w:ascii="新宋体" w:eastAsia="新宋体" w:hAnsi="新宋体" w:cs="新宋体"/>
                <w:color w:val="000000"/>
                <w:szCs w:val="21"/>
              </w:rPr>
            </w:pPr>
          </w:p>
        </w:tc>
        <w:tc>
          <w:tcPr>
            <w:tcW w:w="367" w:type="pct"/>
            <w:vMerge/>
            <w:tcBorders>
              <w:top w:val="single" w:sz="4" w:space="0" w:color="auto"/>
              <w:left w:val="single" w:sz="4" w:space="0" w:color="auto"/>
              <w:bottom w:val="single" w:sz="4" w:space="0" w:color="auto"/>
              <w:right w:val="single" w:sz="4" w:space="0" w:color="auto"/>
            </w:tcBorders>
            <w:vAlign w:val="center"/>
          </w:tcPr>
          <w:p w:rsidR="00150DA2" w:rsidRDefault="00150DA2">
            <w:pPr>
              <w:spacing w:line="0" w:lineRule="atLeast"/>
              <w:jc w:val="center"/>
              <w:rPr>
                <w:rFonts w:ascii="新宋体" w:eastAsia="新宋体" w:hAnsi="新宋体" w:cs="新宋体"/>
                <w:color w:val="000000"/>
                <w:szCs w:val="21"/>
              </w:rPr>
            </w:pPr>
          </w:p>
        </w:tc>
        <w:tc>
          <w:tcPr>
            <w:tcW w:w="462" w:type="pct"/>
            <w:vMerge/>
            <w:tcBorders>
              <w:top w:val="single" w:sz="4" w:space="0" w:color="auto"/>
              <w:left w:val="single" w:sz="4" w:space="0" w:color="auto"/>
              <w:bottom w:val="single" w:sz="4" w:space="0" w:color="auto"/>
              <w:right w:val="single" w:sz="4" w:space="0" w:color="auto"/>
            </w:tcBorders>
            <w:vAlign w:val="center"/>
          </w:tcPr>
          <w:p w:rsidR="00150DA2" w:rsidRDefault="00150DA2">
            <w:pPr>
              <w:widowControl/>
              <w:spacing w:line="0" w:lineRule="atLeast"/>
              <w:jc w:val="center"/>
              <w:rPr>
                <w:rFonts w:ascii="新宋体" w:eastAsia="新宋体" w:hAnsi="新宋体" w:cs="新宋体"/>
                <w:color w:val="000000"/>
                <w:szCs w:val="21"/>
              </w:rPr>
            </w:pPr>
          </w:p>
        </w:tc>
        <w:tc>
          <w:tcPr>
            <w:tcW w:w="984"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住房普查任务</w:t>
            </w:r>
          </w:p>
        </w:tc>
        <w:tc>
          <w:tcPr>
            <w:tcW w:w="551"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宋体" w:hAnsi="宋体" w:cs="宋体" w:hint="eastAsia"/>
                <w:color w:val="000000"/>
                <w:kern w:val="0"/>
                <w:sz w:val="20"/>
                <w:szCs w:val="20"/>
              </w:rPr>
              <w:t>&gt;=18800户</w:t>
            </w:r>
          </w:p>
        </w:tc>
        <w:tc>
          <w:tcPr>
            <w:tcW w:w="550"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18821户</w:t>
            </w:r>
          </w:p>
        </w:tc>
        <w:tc>
          <w:tcPr>
            <w:tcW w:w="316"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5</w:t>
            </w:r>
          </w:p>
        </w:tc>
        <w:tc>
          <w:tcPr>
            <w:tcW w:w="439"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5</w:t>
            </w:r>
          </w:p>
        </w:tc>
        <w:tc>
          <w:tcPr>
            <w:tcW w:w="855"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150DA2">
        <w:trPr>
          <w:trHeight w:val="462"/>
          <w:jc w:val="center"/>
        </w:trPr>
        <w:tc>
          <w:tcPr>
            <w:tcW w:w="472" w:type="pct"/>
            <w:vMerge/>
            <w:tcBorders>
              <w:top w:val="single" w:sz="4" w:space="0" w:color="auto"/>
              <w:left w:val="single" w:sz="4" w:space="0" w:color="auto"/>
              <w:bottom w:val="single" w:sz="4" w:space="0" w:color="auto"/>
              <w:right w:val="single" w:sz="4" w:space="0" w:color="auto"/>
            </w:tcBorders>
            <w:vAlign w:val="center"/>
          </w:tcPr>
          <w:p w:rsidR="00150DA2" w:rsidRDefault="00150DA2">
            <w:pPr>
              <w:spacing w:line="0" w:lineRule="atLeast"/>
              <w:jc w:val="center"/>
              <w:rPr>
                <w:rFonts w:ascii="新宋体" w:eastAsia="新宋体" w:hAnsi="新宋体" w:cs="新宋体"/>
                <w:color w:val="000000"/>
                <w:szCs w:val="21"/>
              </w:rPr>
            </w:pPr>
          </w:p>
        </w:tc>
        <w:tc>
          <w:tcPr>
            <w:tcW w:w="367" w:type="pct"/>
            <w:vMerge/>
            <w:tcBorders>
              <w:top w:val="single" w:sz="4" w:space="0" w:color="auto"/>
              <w:left w:val="single" w:sz="4" w:space="0" w:color="auto"/>
              <w:bottom w:val="single" w:sz="4" w:space="0" w:color="auto"/>
              <w:right w:val="single" w:sz="4" w:space="0" w:color="auto"/>
            </w:tcBorders>
            <w:vAlign w:val="center"/>
          </w:tcPr>
          <w:p w:rsidR="00150DA2" w:rsidRDefault="00150DA2">
            <w:pPr>
              <w:spacing w:line="0" w:lineRule="atLeast"/>
              <w:jc w:val="center"/>
              <w:rPr>
                <w:rFonts w:ascii="新宋体" w:eastAsia="新宋体" w:hAnsi="新宋体" w:cs="新宋体"/>
                <w:color w:val="000000"/>
                <w:szCs w:val="21"/>
              </w:rPr>
            </w:pPr>
          </w:p>
        </w:tc>
        <w:tc>
          <w:tcPr>
            <w:tcW w:w="462" w:type="pct"/>
            <w:vMerge w:val="restar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质量</w:t>
            </w:r>
          </w:p>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984"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jc w:val="left"/>
              <w:textAlignment w:val="center"/>
              <w:rPr>
                <w:rFonts w:ascii="新宋体" w:eastAsia="新宋体" w:hAnsi="新宋体" w:cs="新宋体"/>
                <w:color w:val="000000"/>
                <w:szCs w:val="21"/>
              </w:rPr>
            </w:pPr>
            <w:r>
              <w:rPr>
                <w:rFonts w:ascii="宋体" w:hAnsi="宋体" w:cs="宋体" w:hint="eastAsia"/>
                <w:color w:val="000000"/>
                <w:kern w:val="0"/>
                <w:sz w:val="22"/>
                <w:szCs w:val="22"/>
              </w:rPr>
              <w:t>办公设备利用率</w:t>
            </w:r>
          </w:p>
        </w:tc>
        <w:tc>
          <w:tcPr>
            <w:tcW w:w="551"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jc w:val="center"/>
              <w:textAlignment w:val="center"/>
              <w:rPr>
                <w:rFonts w:ascii="新宋体" w:eastAsia="新宋体" w:hAnsi="新宋体" w:cs="新宋体"/>
                <w:color w:val="000000"/>
                <w:szCs w:val="21"/>
              </w:rPr>
            </w:pPr>
            <w:r>
              <w:rPr>
                <w:rFonts w:ascii="宋体" w:hAnsi="宋体" w:cs="宋体" w:hint="eastAsia"/>
                <w:color w:val="000000"/>
                <w:kern w:val="0"/>
                <w:sz w:val="22"/>
                <w:szCs w:val="22"/>
              </w:rPr>
              <w:t>&gt;=90%</w:t>
            </w:r>
          </w:p>
        </w:tc>
        <w:tc>
          <w:tcPr>
            <w:tcW w:w="550"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jc w:val="center"/>
              <w:textAlignment w:val="center"/>
              <w:rPr>
                <w:rFonts w:ascii="新宋体" w:eastAsia="新宋体" w:hAnsi="新宋体" w:cs="新宋体"/>
                <w:color w:val="000000"/>
                <w:szCs w:val="21"/>
              </w:rPr>
            </w:pPr>
            <w:r>
              <w:rPr>
                <w:rFonts w:ascii="宋体" w:hAnsi="宋体" w:cs="宋体" w:hint="eastAsia"/>
                <w:color w:val="000000"/>
                <w:kern w:val="0"/>
                <w:sz w:val="20"/>
                <w:szCs w:val="20"/>
              </w:rPr>
              <w:t>100%</w:t>
            </w:r>
          </w:p>
        </w:tc>
        <w:tc>
          <w:tcPr>
            <w:tcW w:w="316" w:type="pct"/>
            <w:tcBorders>
              <w:top w:val="single" w:sz="4" w:space="0" w:color="auto"/>
              <w:left w:val="single" w:sz="4" w:space="0" w:color="auto"/>
              <w:bottom w:val="single" w:sz="4" w:space="0" w:color="auto"/>
              <w:right w:val="single" w:sz="4" w:space="0" w:color="auto"/>
            </w:tcBorders>
            <w:vAlign w:val="center"/>
          </w:tcPr>
          <w:p w:rsidR="00150DA2" w:rsidRDefault="000D1E5F">
            <w:pPr>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5</w:t>
            </w:r>
          </w:p>
        </w:tc>
        <w:tc>
          <w:tcPr>
            <w:tcW w:w="439"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5</w:t>
            </w:r>
          </w:p>
        </w:tc>
        <w:tc>
          <w:tcPr>
            <w:tcW w:w="855"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150DA2">
        <w:trPr>
          <w:trHeight w:val="462"/>
          <w:jc w:val="center"/>
        </w:trPr>
        <w:tc>
          <w:tcPr>
            <w:tcW w:w="472" w:type="pct"/>
            <w:vMerge/>
            <w:tcBorders>
              <w:top w:val="single" w:sz="4" w:space="0" w:color="auto"/>
              <w:left w:val="single" w:sz="4" w:space="0" w:color="auto"/>
              <w:bottom w:val="single" w:sz="4" w:space="0" w:color="auto"/>
              <w:right w:val="single" w:sz="4" w:space="0" w:color="auto"/>
            </w:tcBorders>
            <w:vAlign w:val="center"/>
          </w:tcPr>
          <w:p w:rsidR="00150DA2" w:rsidRDefault="00150DA2">
            <w:pPr>
              <w:spacing w:line="0" w:lineRule="atLeast"/>
              <w:jc w:val="center"/>
              <w:rPr>
                <w:rFonts w:ascii="新宋体" w:eastAsia="新宋体" w:hAnsi="新宋体" w:cs="新宋体"/>
                <w:color w:val="000000"/>
                <w:szCs w:val="21"/>
              </w:rPr>
            </w:pPr>
          </w:p>
        </w:tc>
        <w:tc>
          <w:tcPr>
            <w:tcW w:w="367" w:type="pct"/>
            <w:vMerge/>
            <w:tcBorders>
              <w:top w:val="single" w:sz="4" w:space="0" w:color="auto"/>
              <w:left w:val="single" w:sz="4" w:space="0" w:color="auto"/>
              <w:bottom w:val="single" w:sz="4" w:space="0" w:color="auto"/>
              <w:right w:val="single" w:sz="4" w:space="0" w:color="auto"/>
            </w:tcBorders>
            <w:vAlign w:val="center"/>
          </w:tcPr>
          <w:p w:rsidR="00150DA2" w:rsidRDefault="00150DA2">
            <w:pPr>
              <w:spacing w:line="0" w:lineRule="atLeast"/>
              <w:jc w:val="center"/>
              <w:rPr>
                <w:rFonts w:ascii="新宋体" w:eastAsia="新宋体" w:hAnsi="新宋体" w:cs="新宋体"/>
                <w:color w:val="000000"/>
                <w:szCs w:val="21"/>
              </w:rPr>
            </w:pPr>
          </w:p>
        </w:tc>
        <w:tc>
          <w:tcPr>
            <w:tcW w:w="462" w:type="pct"/>
            <w:vMerge/>
            <w:tcBorders>
              <w:top w:val="single" w:sz="4" w:space="0" w:color="auto"/>
              <w:left w:val="single" w:sz="4" w:space="0" w:color="auto"/>
              <w:bottom w:val="single" w:sz="4" w:space="0" w:color="auto"/>
              <w:right w:val="single" w:sz="4" w:space="0" w:color="auto"/>
            </w:tcBorders>
            <w:vAlign w:val="center"/>
          </w:tcPr>
          <w:p w:rsidR="00150DA2" w:rsidRDefault="00150DA2">
            <w:pPr>
              <w:spacing w:line="0" w:lineRule="atLeast"/>
              <w:jc w:val="center"/>
              <w:rPr>
                <w:rFonts w:ascii="新宋体" w:eastAsia="新宋体" w:hAnsi="新宋体" w:cs="新宋体"/>
                <w:color w:val="000000"/>
                <w:szCs w:val="21"/>
              </w:rPr>
            </w:pPr>
          </w:p>
        </w:tc>
        <w:tc>
          <w:tcPr>
            <w:tcW w:w="984"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jc w:val="left"/>
              <w:textAlignment w:val="center"/>
              <w:rPr>
                <w:rFonts w:ascii="新宋体" w:eastAsia="新宋体" w:hAnsi="新宋体" w:cs="新宋体"/>
                <w:color w:val="000000"/>
                <w:szCs w:val="21"/>
              </w:rPr>
            </w:pPr>
            <w:r>
              <w:rPr>
                <w:rFonts w:ascii="宋体" w:hAnsi="宋体" w:cs="宋体" w:hint="eastAsia"/>
                <w:color w:val="000000"/>
                <w:kern w:val="0"/>
                <w:sz w:val="22"/>
                <w:szCs w:val="22"/>
              </w:rPr>
              <w:t>考核指标对标对表率</w:t>
            </w:r>
          </w:p>
        </w:tc>
        <w:tc>
          <w:tcPr>
            <w:tcW w:w="551"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jc w:val="center"/>
              <w:textAlignment w:val="center"/>
              <w:rPr>
                <w:rFonts w:ascii="新宋体" w:eastAsia="新宋体" w:hAnsi="新宋体" w:cs="新宋体"/>
                <w:color w:val="000000"/>
                <w:szCs w:val="21"/>
              </w:rPr>
            </w:pPr>
            <w:r>
              <w:rPr>
                <w:rFonts w:ascii="宋体" w:hAnsi="宋体" w:cs="宋体" w:hint="eastAsia"/>
                <w:color w:val="000000"/>
                <w:kern w:val="0"/>
                <w:sz w:val="22"/>
                <w:szCs w:val="22"/>
              </w:rPr>
              <w:t>&gt;=90%</w:t>
            </w:r>
          </w:p>
        </w:tc>
        <w:tc>
          <w:tcPr>
            <w:tcW w:w="550"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jc w:val="center"/>
              <w:textAlignment w:val="center"/>
              <w:rPr>
                <w:rFonts w:ascii="新宋体" w:eastAsia="新宋体" w:hAnsi="新宋体" w:cs="新宋体"/>
                <w:color w:val="000000"/>
                <w:szCs w:val="21"/>
              </w:rPr>
            </w:pPr>
            <w:r>
              <w:rPr>
                <w:rFonts w:ascii="宋体" w:hAnsi="宋体" w:cs="宋体" w:hint="eastAsia"/>
                <w:color w:val="000000"/>
                <w:kern w:val="0"/>
                <w:sz w:val="20"/>
                <w:szCs w:val="20"/>
              </w:rPr>
              <w:t>100%</w:t>
            </w:r>
          </w:p>
        </w:tc>
        <w:tc>
          <w:tcPr>
            <w:tcW w:w="316" w:type="pct"/>
            <w:tcBorders>
              <w:top w:val="single" w:sz="4" w:space="0" w:color="auto"/>
              <w:left w:val="single" w:sz="4" w:space="0" w:color="auto"/>
              <w:bottom w:val="single" w:sz="4" w:space="0" w:color="auto"/>
              <w:right w:val="single" w:sz="4" w:space="0" w:color="auto"/>
            </w:tcBorders>
            <w:vAlign w:val="center"/>
          </w:tcPr>
          <w:p w:rsidR="00150DA2" w:rsidRDefault="000D1E5F">
            <w:pPr>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5</w:t>
            </w:r>
          </w:p>
        </w:tc>
        <w:tc>
          <w:tcPr>
            <w:tcW w:w="439"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5</w:t>
            </w:r>
          </w:p>
        </w:tc>
        <w:tc>
          <w:tcPr>
            <w:tcW w:w="855"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150DA2">
        <w:trPr>
          <w:trHeight w:val="462"/>
          <w:jc w:val="center"/>
        </w:trPr>
        <w:tc>
          <w:tcPr>
            <w:tcW w:w="472" w:type="pct"/>
            <w:vMerge/>
            <w:tcBorders>
              <w:top w:val="single" w:sz="4" w:space="0" w:color="auto"/>
              <w:left w:val="single" w:sz="4" w:space="0" w:color="auto"/>
              <w:bottom w:val="single" w:sz="4" w:space="0" w:color="auto"/>
              <w:right w:val="single" w:sz="4" w:space="0" w:color="auto"/>
            </w:tcBorders>
            <w:vAlign w:val="center"/>
          </w:tcPr>
          <w:p w:rsidR="00150DA2" w:rsidRDefault="00150DA2">
            <w:pPr>
              <w:spacing w:line="0" w:lineRule="atLeast"/>
              <w:jc w:val="center"/>
              <w:rPr>
                <w:rFonts w:ascii="新宋体" w:eastAsia="新宋体" w:hAnsi="新宋体" w:cs="新宋体"/>
                <w:color w:val="000000"/>
                <w:szCs w:val="21"/>
              </w:rPr>
            </w:pPr>
          </w:p>
        </w:tc>
        <w:tc>
          <w:tcPr>
            <w:tcW w:w="367" w:type="pct"/>
            <w:vMerge/>
            <w:tcBorders>
              <w:top w:val="single" w:sz="4" w:space="0" w:color="auto"/>
              <w:left w:val="single" w:sz="4" w:space="0" w:color="auto"/>
              <w:bottom w:val="single" w:sz="4" w:space="0" w:color="auto"/>
              <w:right w:val="single" w:sz="4" w:space="0" w:color="auto"/>
            </w:tcBorders>
            <w:vAlign w:val="center"/>
          </w:tcPr>
          <w:p w:rsidR="00150DA2" w:rsidRDefault="00150DA2">
            <w:pPr>
              <w:spacing w:line="0" w:lineRule="atLeast"/>
              <w:jc w:val="center"/>
              <w:rPr>
                <w:rFonts w:ascii="新宋体" w:eastAsia="新宋体" w:hAnsi="新宋体" w:cs="新宋体"/>
                <w:color w:val="000000"/>
                <w:szCs w:val="21"/>
              </w:rPr>
            </w:pPr>
          </w:p>
        </w:tc>
        <w:tc>
          <w:tcPr>
            <w:tcW w:w="462" w:type="pct"/>
            <w:vMerge/>
            <w:tcBorders>
              <w:top w:val="single" w:sz="4" w:space="0" w:color="auto"/>
              <w:left w:val="single" w:sz="4" w:space="0" w:color="auto"/>
              <w:bottom w:val="single" w:sz="4" w:space="0" w:color="auto"/>
              <w:right w:val="single" w:sz="4" w:space="0" w:color="auto"/>
            </w:tcBorders>
            <w:vAlign w:val="center"/>
          </w:tcPr>
          <w:p w:rsidR="00150DA2" w:rsidRDefault="00150DA2">
            <w:pPr>
              <w:widowControl/>
              <w:spacing w:line="0" w:lineRule="atLeast"/>
              <w:jc w:val="center"/>
              <w:rPr>
                <w:rFonts w:ascii="新宋体" w:eastAsia="新宋体" w:hAnsi="新宋体" w:cs="新宋体"/>
                <w:color w:val="000000"/>
                <w:szCs w:val="21"/>
              </w:rPr>
            </w:pPr>
          </w:p>
        </w:tc>
        <w:tc>
          <w:tcPr>
            <w:tcW w:w="984"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jc w:val="left"/>
              <w:textAlignment w:val="center"/>
              <w:rPr>
                <w:rFonts w:ascii="新宋体" w:eastAsia="新宋体" w:hAnsi="新宋体" w:cs="新宋体"/>
                <w:color w:val="000000"/>
                <w:szCs w:val="21"/>
              </w:rPr>
            </w:pPr>
            <w:r>
              <w:rPr>
                <w:rFonts w:ascii="宋体" w:hAnsi="宋体" w:cs="宋体" w:hint="eastAsia"/>
                <w:color w:val="000000"/>
                <w:kern w:val="0"/>
                <w:sz w:val="22"/>
                <w:szCs w:val="22"/>
              </w:rPr>
              <w:t>完成工作及时率</w:t>
            </w:r>
          </w:p>
        </w:tc>
        <w:tc>
          <w:tcPr>
            <w:tcW w:w="551"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jc w:val="center"/>
              <w:textAlignment w:val="center"/>
              <w:rPr>
                <w:rFonts w:ascii="新宋体" w:eastAsia="新宋体" w:hAnsi="新宋体" w:cs="新宋体"/>
                <w:color w:val="000000"/>
                <w:szCs w:val="21"/>
              </w:rPr>
            </w:pPr>
            <w:r>
              <w:rPr>
                <w:rFonts w:ascii="宋体" w:hAnsi="宋体" w:cs="宋体" w:hint="eastAsia"/>
                <w:color w:val="000000"/>
                <w:kern w:val="0"/>
                <w:sz w:val="22"/>
                <w:szCs w:val="22"/>
              </w:rPr>
              <w:t>&gt;=98%</w:t>
            </w:r>
          </w:p>
        </w:tc>
        <w:tc>
          <w:tcPr>
            <w:tcW w:w="550"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jc w:val="center"/>
              <w:textAlignment w:val="center"/>
              <w:rPr>
                <w:rFonts w:ascii="新宋体" w:eastAsia="新宋体" w:hAnsi="新宋体" w:cs="新宋体"/>
                <w:color w:val="000000"/>
                <w:szCs w:val="21"/>
              </w:rPr>
            </w:pPr>
            <w:r>
              <w:rPr>
                <w:rFonts w:ascii="宋体" w:hAnsi="宋体" w:cs="宋体" w:hint="eastAsia"/>
                <w:color w:val="000000"/>
                <w:kern w:val="0"/>
                <w:sz w:val="20"/>
                <w:szCs w:val="20"/>
              </w:rPr>
              <w:t>100%</w:t>
            </w:r>
          </w:p>
        </w:tc>
        <w:tc>
          <w:tcPr>
            <w:tcW w:w="316" w:type="pct"/>
            <w:tcBorders>
              <w:top w:val="single" w:sz="4" w:space="0" w:color="auto"/>
              <w:left w:val="single" w:sz="4" w:space="0" w:color="auto"/>
              <w:bottom w:val="single" w:sz="4" w:space="0" w:color="auto"/>
              <w:right w:val="single" w:sz="4" w:space="0" w:color="auto"/>
            </w:tcBorders>
            <w:vAlign w:val="center"/>
          </w:tcPr>
          <w:p w:rsidR="00150DA2" w:rsidRDefault="000D1E5F">
            <w:pPr>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5</w:t>
            </w:r>
          </w:p>
        </w:tc>
        <w:tc>
          <w:tcPr>
            <w:tcW w:w="439"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5</w:t>
            </w:r>
          </w:p>
        </w:tc>
        <w:tc>
          <w:tcPr>
            <w:tcW w:w="855"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150DA2">
        <w:trPr>
          <w:trHeight w:val="462"/>
          <w:jc w:val="center"/>
        </w:trPr>
        <w:tc>
          <w:tcPr>
            <w:tcW w:w="472" w:type="pct"/>
            <w:vMerge/>
            <w:tcBorders>
              <w:top w:val="single" w:sz="4" w:space="0" w:color="auto"/>
              <w:left w:val="single" w:sz="4" w:space="0" w:color="auto"/>
              <w:bottom w:val="single" w:sz="4" w:space="0" w:color="auto"/>
              <w:right w:val="single" w:sz="4" w:space="0" w:color="auto"/>
            </w:tcBorders>
            <w:vAlign w:val="center"/>
          </w:tcPr>
          <w:p w:rsidR="00150DA2" w:rsidRDefault="00150DA2">
            <w:pPr>
              <w:spacing w:line="0" w:lineRule="atLeast"/>
              <w:jc w:val="center"/>
              <w:rPr>
                <w:rFonts w:ascii="新宋体" w:eastAsia="新宋体" w:hAnsi="新宋体" w:cs="新宋体"/>
                <w:color w:val="000000"/>
                <w:szCs w:val="21"/>
              </w:rPr>
            </w:pPr>
          </w:p>
        </w:tc>
        <w:tc>
          <w:tcPr>
            <w:tcW w:w="367" w:type="pct"/>
            <w:vMerge/>
            <w:tcBorders>
              <w:top w:val="single" w:sz="4" w:space="0" w:color="auto"/>
              <w:left w:val="single" w:sz="4" w:space="0" w:color="auto"/>
              <w:bottom w:val="single" w:sz="4" w:space="0" w:color="auto"/>
              <w:right w:val="single" w:sz="4" w:space="0" w:color="auto"/>
            </w:tcBorders>
            <w:vAlign w:val="center"/>
          </w:tcPr>
          <w:p w:rsidR="00150DA2" w:rsidRDefault="00150DA2">
            <w:pPr>
              <w:spacing w:line="0" w:lineRule="atLeast"/>
              <w:jc w:val="center"/>
              <w:rPr>
                <w:rFonts w:ascii="新宋体" w:eastAsia="新宋体" w:hAnsi="新宋体" w:cs="新宋体"/>
                <w:color w:val="000000"/>
                <w:szCs w:val="21"/>
              </w:rPr>
            </w:pPr>
          </w:p>
        </w:tc>
        <w:tc>
          <w:tcPr>
            <w:tcW w:w="462"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时效</w:t>
            </w:r>
          </w:p>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984"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jc w:val="left"/>
              <w:textAlignment w:val="center"/>
              <w:rPr>
                <w:rFonts w:ascii="新宋体" w:eastAsia="新宋体" w:hAnsi="新宋体" w:cs="新宋体"/>
                <w:color w:val="000000"/>
                <w:szCs w:val="21"/>
              </w:rPr>
            </w:pPr>
            <w:r>
              <w:rPr>
                <w:rFonts w:ascii="宋体" w:hAnsi="宋体" w:cs="宋体" w:hint="eastAsia"/>
                <w:color w:val="000000"/>
                <w:kern w:val="0"/>
                <w:sz w:val="22"/>
                <w:szCs w:val="22"/>
              </w:rPr>
              <w:t>12月30日前预算执行支出率</w:t>
            </w:r>
          </w:p>
        </w:tc>
        <w:tc>
          <w:tcPr>
            <w:tcW w:w="551"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jc w:val="center"/>
              <w:textAlignment w:val="center"/>
              <w:rPr>
                <w:rFonts w:ascii="新宋体" w:eastAsia="新宋体" w:hAnsi="新宋体" w:cs="新宋体"/>
                <w:color w:val="000000"/>
                <w:szCs w:val="21"/>
              </w:rPr>
            </w:pPr>
            <w:r>
              <w:rPr>
                <w:rFonts w:ascii="宋体" w:hAnsi="宋体" w:cs="宋体" w:hint="eastAsia"/>
                <w:color w:val="000000"/>
                <w:kern w:val="0"/>
                <w:sz w:val="22"/>
                <w:szCs w:val="22"/>
              </w:rPr>
              <w:t>=100%</w:t>
            </w:r>
          </w:p>
        </w:tc>
        <w:tc>
          <w:tcPr>
            <w:tcW w:w="550"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jc w:val="center"/>
              <w:textAlignment w:val="center"/>
              <w:rPr>
                <w:rFonts w:ascii="新宋体" w:eastAsia="新宋体" w:hAnsi="新宋体" w:cs="新宋体"/>
                <w:color w:val="000000"/>
                <w:szCs w:val="21"/>
              </w:rPr>
            </w:pPr>
            <w:r>
              <w:rPr>
                <w:rFonts w:ascii="宋体" w:hAnsi="宋体" w:cs="宋体" w:hint="eastAsia"/>
                <w:color w:val="000000"/>
                <w:kern w:val="0"/>
                <w:sz w:val="20"/>
                <w:szCs w:val="20"/>
              </w:rPr>
              <w:t>100%</w:t>
            </w:r>
          </w:p>
        </w:tc>
        <w:tc>
          <w:tcPr>
            <w:tcW w:w="316"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w:t>
            </w:r>
          </w:p>
        </w:tc>
        <w:tc>
          <w:tcPr>
            <w:tcW w:w="439"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w:t>
            </w:r>
          </w:p>
        </w:tc>
        <w:tc>
          <w:tcPr>
            <w:tcW w:w="855"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150DA2">
        <w:trPr>
          <w:trHeight w:val="462"/>
          <w:jc w:val="center"/>
        </w:trPr>
        <w:tc>
          <w:tcPr>
            <w:tcW w:w="472" w:type="pct"/>
            <w:vMerge/>
            <w:tcBorders>
              <w:top w:val="single" w:sz="4" w:space="0" w:color="auto"/>
              <w:left w:val="single" w:sz="4" w:space="0" w:color="auto"/>
              <w:bottom w:val="single" w:sz="4" w:space="0" w:color="auto"/>
              <w:right w:val="single" w:sz="4" w:space="0" w:color="auto"/>
            </w:tcBorders>
            <w:vAlign w:val="center"/>
          </w:tcPr>
          <w:p w:rsidR="00150DA2" w:rsidRDefault="00150DA2">
            <w:pPr>
              <w:spacing w:line="0" w:lineRule="atLeast"/>
              <w:jc w:val="center"/>
              <w:rPr>
                <w:rFonts w:ascii="新宋体" w:eastAsia="新宋体" w:hAnsi="新宋体" w:cs="新宋体"/>
                <w:color w:val="000000"/>
                <w:szCs w:val="21"/>
              </w:rPr>
            </w:pPr>
          </w:p>
        </w:tc>
        <w:tc>
          <w:tcPr>
            <w:tcW w:w="367" w:type="pct"/>
            <w:vMerge/>
            <w:tcBorders>
              <w:top w:val="single" w:sz="4" w:space="0" w:color="auto"/>
              <w:left w:val="single" w:sz="4" w:space="0" w:color="auto"/>
              <w:bottom w:val="single" w:sz="4" w:space="0" w:color="auto"/>
              <w:right w:val="single" w:sz="4" w:space="0" w:color="auto"/>
            </w:tcBorders>
            <w:vAlign w:val="center"/>
          </w:tcPr>
          <w:p w:rsidR="00150DA2" w:rsidRDefault="00150DA2">
            <w:pPr>
              <w:spacing w:line="0" w:lineRule="atLeast"/>
              <w:jc w:val="center"/>
              <w:rPr>
                <w:rFonts w:ascii="新宋体" w:eastAsia="新宋体" w:hAnsi="新宋体" w:cs="新宋体"/>
                <w:color w:val="000000"/>
                <w:szCs w:val="21"/>
              </w:rPr>
            </w:pPr>
          </w:p>
        </w:tc>
        <w:tc>
          <w:tcPr>
            <w:tcW w:w="462" w:type="pct"/>
            <w:vMerge w:val="restar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成本</w:t>
            </w:r>
          </w:p>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984"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rPr>
                <w:rFonts w:ascii="新宋体" w:eastAsia="新宋体" w:hAnsi="新宋体" w:cs="新宋体"/>
                <w:color w:val="000000"/>
                <w:szCs w:val="21"/>
              </w:rPr>
            </w:pPr>
            <w:r>
              <w:rPr>
                <w:rFonts w:ascii="新宋体" w:eastAsia="新宋体" w:hAnsi="新宋体" w:cs="新宋体" w:hint="eastAsia"/>
                <w:color w:val="000000"/>
                <w:szCs w:val="21"/>
              </w:rPr>
              <w:t>基本支出</w:t>
            </w:r>
          </w:p>
        </w:tc>
        <w:tc>
          <w:tcPr>
            <w:tcW w:w="551"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1975.59</w:t>
            </w:r>
          </w:p>
        </w:tc>
        <w:tc>
          <w:tcPr>
            <w:tcW w:w="550"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100%</w:t>
            </w:r>
          </w:p>
        </w:tc>
        <w:tc>
          <w:tcPr>
            <w:tcW w:w="316"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5</w:t>
            </w:r>
          </w:p>
        </w:tc>
        <w:tc>
          <w:tcPr>
            <w:tcW w:w="439"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5</w:t>
            </w:r>
          </w:p>
        </w:tc>
        <w:tc>
          <w:tcPr>
            <w:tcW w:w="855"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150DA2">
        <w:trPr>
          <w:trHeight w:val="462"/>
          <w:jc w:val="center"/>
        </w:trPr>
        <w:tc>
          <w:tcPr>
            <w:tcW w:w="472" w:type="pct"/>
            <w:vMerge/>
            <w:tcBorders>
              <w:top w:val="single" w:sz="4" w:space="0" w:color="auto"/>
              <w:left w:val="single" w:sz="4" w:space="0" w:color="auto"/>
              <w:bottom w:val="single" w:sz="4" w:space="0" w:color="auto"/>
              <w:right w:val="single" w:sz="4" w:space="0" w:color="auto"/>
            </w:tcBorders>
            <w:vAlign w:val="center"/>
          </w:tcPr>
          <w:p w:rsidR="00150DA2" w:rsidRDefault="00150DA2">
            <w:pPr>
              <w:spacing w:line="0" w:lineRule="atLeast"/>
              <w:jc w:val="center"/>
              <w:rPr>
                <w:rFonts w:ascii="新宋体" w:eastAsia="新宋体" w:hAnsi="新宋体" w:cs="新宋体"/>
                <w:color w:val="000000"/>
                <w:szCs w:val="21"/>
              </w:rPr>
            </w:pPr>
          </w:p>
        </w:tc>
        <w:tc>
          <w:tcPr>
            <w:tcW w:w="367" w:type="pct"/>
            <w:vMerge/>
            <w:tcBorders>
              <w:top w:val="single" w:sz="4" w:space="0" w:color="auto"/>
              <w:left w:val="single" w:sz="4" w:space="0" w:color="auto"/>
              <w:bottom w:val="single" w:sz="4" w:space="0" w:color="auto"/>
              <w:right w:val="single" w:sz="4" w:space="0" w:color="auto"/>
            </w:tcBorders>
            <w:vAlign w:val="center"/>
          </w:tcPr>
          <w:p w:rsidR="00150DA2" w:rsidRDefault="00150DA2">
            <w:pPr>
              <w:spacing w:line="0" w:lineRule="atLeast"/>
              <w:jc w:val="center"/>
              <w:rPr>
                <w:rFonts w:ascii="新宋体" w:eastAsia="新宋体" w:hAnsi="新宋体" w:cs="新宋体"/>
                <w:color w:val="000000"/>
                <w:szCs w:val="21"/>
              </w:rPr>
            </w:pPr>
          </w:p>
        </w:tc>
        <w:tc>
          <w:tcPr>
            <w:tcW w:w="462" w:type="pct"/>
            <w:vMerge/>
            <w:tcBorders>
              <w:top w:val="single" w:sz="4" w:space="0" w:color="auto"/>
              <w:left w:val="single" w:sz="4" w:space="0" w:color="auto"/>
              <w:bottom w:val="single" w:sz="4" w:space="0" w:color="auto"/>
              <w:right w:val="single" w:sz="4" w:space="0" w:color="auto"/>
            </w:tcBorders>
            <w:vAlign w:val="center"/>
          </w:tcPr>
          <w:p w:rsidR="00150DA2" w:rsidRDefault="00150DA2">
            <w:pPr>
              <w:spacing w:line="0" w:lineRule="atLeast"/>
              <w:jc w:val="left"/>
              <w:rPr>
                <w:rFonts w:ascii="新宋体" w:eastAsia="新宋体" w:hAnsi="新宋体" w:cs="新宋体"/>
                <w:color w:val="000000"/>
                <w:szCs w:val="21"/>
              </w:rPr>
            </w:pPr>
          </w:p>
        </w:tc>
        <w:tc>
          <w:tcPr>
            <w:tcW w:w="984"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项目支出</w:t>
            </w:r>
          </w:p>
        </w:tc>
        <w:tc>
          <w:tcPr>
            <w:tcW w:w="551"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4019.55</w:t>
            </w:r>
          </w:p>
        </w:tc>
        <w:tc>
          <w:tcPr>
            <w:tcW w:w="550"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100%</w:t>
            </w:r>
          </w:p>
        </w:tc>
        <w:tc>
          <w:tcPr>
            <w:tcW w:w="316"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5</w:t>
            </w:r>
          </w:p>
        </w:tc>
        <w:tc>
          <w:tcPr>
            <w:tcW w:w="439"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5</w:t>
            </w:r>
          </w:p>
        </w:tc>
        <w:tc>
          <w:tcPr>
            <w:tcW w:w="855"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150DA2">
        <w:trPr>
          <w:trHeight w:val="850"/>
          <w:jc w:val="center"/>
        </w:trPr>
        <w:tc>
          <w:tcPr>
            <w:tcW w:w="472" w:type="pct"/>
            <w:vMerge w:val="restart"/>
            <w:tcBorders>
              <w:top w:val="single" w:sz="4" w:space="0" w:color="auto"/>
              <w:left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绩</w:t>
            </w:r>
          </w:p>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效</w:t>
            </w:r>
          </w:p>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w:t>
            </w:r>
          </w:p>
          <w:p w:rsidR="00150DA2" w:rsidRDefault="000D1E5F">
            <w:pPr>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标</w:t>
            </w:r>
          </w:p>
        </w:tc>
        <w:tc>
          <w:tcPr>
            <w:tcW w:w="367"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一级</w:t>
            </w:r>
          </w:p>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462"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二级</w:t>
            </w:r>
          </w:p>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984"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三级</w:t>
            </w:r>
          </w:p>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551"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年度</w:t>
            </w:r>
          </w:p>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指标值</w:t>
            </w:r>
          </w:p>
        </w:tc>
        <w:tc>
          <w:tcPr>
            <w:tcW w:w="550"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实际</w:t>
            </w:r>
          </w:p>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完成值</w:t>
            </w:r>
          </w:p>
        </w:tc>
        <w:tc>
          <w:tcPr>
            <w:tcW w:w="316"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分值</w:t>
            </w:r>
          </w:p>
        </w:tc>
        <w:tc>
          <w:tcPr>
            <w:tcW w:w="439"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得分</w:t>
            </w:r>
          </w:p>
        </w:tc>
        <w:tc>
          <w:tcPr>
            <w:tcW w:w="855"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偏差原因分析及改进措施</w:t>
            </w:r>
          </w:p>
        </w:tc>
      </w:tr>
      <w:tr w:rsidR="00150DA2">
        <w:trPr>
          <w:trHeight w:val="462"/>
          <w:jc w:val="center"/>
        </w:trPr>
        <w:tc>
          <w:tcPr>
            <w:tcW w:w="472" w:type="pct"/>
            <w:vMerge/>
            <w:tcBorders>
              <w:left w:val="single" w:sz="4" w:space="0" w:color="auto"/>
              <w:right w:val="single" w:sz="4" w:space="0" w:color="auto"/>
            </w:tcBorders>
            <w:vAlign w:val="center"/>
          </w:tcPr>
          <w:p w:rsidR="00150DA2" w:rsidRDefault="00150DA2">
            <w:pPr>
              <w:spacing w:line="0" w:lineRule="atLeast"/>
              <w:jc w:val="center"/>
              <w:rPr>
                <w:rFonts w:ascii="新宋体" w:eastAsia="新宋体" w:hAnsi="新宋体" w:cs="新宋体"/>
                <w:color w:val="000000"/>
                <w:szCs w:val="21"/>
              </w:rPr>
            </w:pPr>
          </w:p>
        </w:tc>
        <w:tc>
          <w:tcPr>
            <w:tcW w:w="367" w:type="pct"/>
            <w:vMerge w:val="restar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效益</w:t>
            </w:r>
          </w:p>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（30分）</w:t>
            </w:r>
          </w:p>
        </w:tc>
        <w:tc>
          <w:tcPr>
            <w:tcW w:w="462"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经济效</w:t>
            </w:r>
          </w:p>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益指标</w:t>
            </w:r>
          </w:p>
        </w:tc>
        <w:tc>
          <w:tcPr>
            <w:tcW w:w="984"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jc w:val="left"/>
              <w:textAlignment w:val="center"/>
              <w:rPr>
                <w:rFonts w:ascii="宋体" w:hAnsi="宋体" w:cs="宋体"/>
                <w:color w:val="000000"/>
                <w:kern w:val="0"/>
                <w:sz w:val="22"/>
                <w:szCs w:val="22"/>
              </w:rPr>
            </w:pPr>
            <w:r>
              <w:rPr>
                <w:rFonts w:ascii="宋体" w:hAnsi="宋体" w:cs="宋体" w:hint="eastAsia"/>
                <w:color w:val="000000"/>
                <w:kern w:val="0"/>
                <w:sz w:val="22"/>
                <w:szCs w:val="22"/>
              </w:rPr>
              <w:t xml:space="preserve">华容道皱皮柑、兰家红松菌、桃花山竹笋、塔市驿蒸菜等地域特色产品在省、市、 </w:t>
            </w:r>
          </w:p>
          <w:p w:rsidR="00150DA2" w:rsidRDefault="000D1E5F">
            <w:pPr>
              <w:widowControl/>
              <w:jc w:val="left"/>
              <w:textAlignment w:val="center"/>
              <w:rPr>
                <w:rFonts w:ascii="宋体" w:hAnsi="宋体" w:cs="宋体"/>
                <w:color w:val="000000"/>
                <w:kern w:val="0"/>
                <w:sz w:val="22"/>
                <w:szCs w:val="22"/>
              </w:rPr>
            </w:pPr>
            <w:r>
              <w:rPr>
                <w:rFonts w:ascii="宋体" w:hAnsi="宋体" w:cs="宋体" w:hint="eastAsia"/>
                <w:color w:val="000000"/>
                <w:kern w:val="0"/>
                <w:sz w:val="22"/>
                <w:szCs w:val="22"/>
              </w:rPr>
              <w:t xml:space="preserve">县影响力进一步扩大，特色小镇内涵不断丰富，乡村振兴“基 </w:t>
            </w:r>
          </w:p>
          <w:p w:rsidR="00150DA2" w:rsidRDefault="000D1E5F">
            <w:pPr>
              <w:widowControl/>
              <w:jc w:val="left"/>
              <w:textAlignment w:val="center"/>
              <w:rPr>
                <w:rFonts w:ascii="宋体" w:hAnsi="宋体" w:cs="宋体"/>
                <w:color w:val="000000"/>
                <w:kern w:val="0"/>
                <w:sz w:val="22"/>
                <w:szCs w:val="22"/>
              </w:rPr>
            </w:pPr>
            <w:r>
              <w:rPr>
                <w:rFonts w:ascii="宋体" w:hAnsi="宋体" w:cs="宋体" w:hint="eastAsia"/>
                <w:color w:val="000000"/>
                <w:kern w:val="0"/>
                <w:sz w:val="22"/>
                <w:szCs w:val="22"/>
              </w:rPr>
              <w:t>座”不断夯实</w:t>
            </w:r>
          </w:p>
          <w:p w:rsidR="00150DA2" w:rsidRDefault="00150DA2">
            <w:pPr>
              <w:widowControl/>
              <w:jc w:val="left"/>
              <w:textAlignment w:val="center"/>
              <w:rPr>
                <w:rFonts w:ascii="宋体" w:hAnsi="宋体" w:cs="宋体"/>
                <w:color w:val="000000"/>
                <w:kern w:val="0"/>
                <w:sz w:val="22"/>
                <w:szCs w:val="22"/>
              </w:rPr>
            </w:pPr>
          </w:p>
        </w:tc>
        <w:tc>
          <w:tcPr>
            <w:tcW w:w="551"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=人均收入较上年提高%</w:t>
            </w:r>
          </w:p>
        </w:tc>
        <w:tc>
          <w:tcPr>
            <w:tcW w:w="550"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100%</w:t>
            </w:r>
          </w:p>
        </w:tc>
        <w:tc>
          <w:tcPr>
            <w:tcW w:w="316"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w:t>
            </w:r>
          </w:p>
        </w:tc>
        <w:tc>
          <w:tcPr>
            <w:tcW w:w="439"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w:t>
            </w:r>
          </w:p>
        </w:tc>
        <w:tc>
          <w:tcPr>
            <w:tcW w:w="855"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150DA2">
        <w:trPr>
          <w:trHeight w:val="462"/>
          <w:jc w:val="center"/>
        </w:trPr>
        <w:tc>
          <w:tcPr>
            <w:tcW w:w="472" w:type="pct"/>
            <w:vMerge/>
            <w:tcBorders>
              <w:left w:val="single" w:sz="4" w:space="0" w:color="auto"/>
              <w:right w:val="single" w:sz="4" w:space="0" w:color="auto"/>
            </w:tcBorders>
            <w:vAlign w:val="center"/>
          </w:tcPr>
          <w:p w:rsidR="00150DA2" w:rsidRDefault="00150DA2">
            <w:pPr>
              <w:spacing w:line="0" w:lineRule="atLeast"/>
              <w:jc w:val="center"/>
              <w:rPr>
                <w:rFonts w:ascii="新宋体" w:eastAsia="新宋体" w:hAnsi="新宋体" w:cs="新宋体"/>
                <w:color w:val="000000"/>
                <w:szCs w:val="21"/>
              </w:rPr>
            </w:pPr>
          </w:p>
        </w:tc>
        <w:tc>
          <w:tcPr>
            <w:tcW w:w="367" w:type="pct"/>
            <w:vMerge/>
            <w:tcBorders>
              <w:left w:val="nil"/>
              <w:right w:val="single" w:sz="4" w:space="0" w:color="auto"/>
            </w:tcBorders>
            <w:vAlign w:val="center"/>
          </w:tcPr>
          <w:p w:rsidR="00150DA2" w:rsidRDefault="00150DA2">
            <w:pPr>
              <w:spacing w:line="0" w:lineRule="atLeast"/>
              <w:jc w:val="center"/>
              <w:rPr>
                <w:rFonts w:ascii="新宋体" w:eastAsia="新宋体" w:hAnsi="新宋体" w:cs="新宋体"/>
                <w:color w:val="000000"/>
                <w:szCs w:val="21"/>
              </w:rPr>
            </w:pPr>
          </w:p>
        </w:tc>
        <w:tc>
          <w:tcPr>
            <w:tcW w:w="462" w:type="pct"/>
            <w:tcBorders>
              <w:top w:val="nil"/>
              <w:left w:val="nil"/>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社会效</w:t>
            </w:r>
          </w:p>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益指标</w:t>
            </w:r>
          </w:p>
        </w:tc>
        <w:tc>
          <w:tcPr>
            <w:tcW w:w="984" w:type="pct"/>
            <w:tcBorders>
              <w:top w:val="nil"/>
              <w:left w:val="nil"/>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社会和谐稳定</w:t>
            </w:r>
          </w:p>
        </w:tc>
        <w:tc>
          <w:tcPr>
            <w:tcW w:w="551" w:type="pct"/>
            <w:tcBorders>
              <w:top w:val="nil"/>
              <w:left w:val="nil"/>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=信访维稳，促进和谐稳定%</w:t>
            </w:r>
          </w:p>
        </w:tc>
        <w:tc>
          <w:tcPr>
            <w:tcW w:w="550" w:type="pct"/>
            <w:tcBorders>
              <w:top w:val="nil"/>
              <w:left w:val="nil"/>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100%</w:t>
            </w:r>
          </w:p>
        </w:tc>
        <w:tc>
          <w:tcPr>
            <w:tcW w:w="316" w:type="pct"/>
            <w:tcBorders>
              <w:top w:val="nil"/>
              <w:left w:val="nil"/>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 xml:space="preserve">5　</w:t>
            </w:r>
          </w:p>
        </w:tc>
        <w:tc>
          <w:tcPr>
            <w:tcW w:w="439" w:type="pct"/>
            <w:tcBorders>
              <w:top w:val="nil"/>
              <w:left w:val="nil"/>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 xml:space="preserve">5　</w:t>
            </w:r>
          </w:p>
        </w:tc>
        <w:tc>
          <w:tcPr>
            <w:tcW w:w="855" w:type="pct"/>
            <w:tcBorders>
              <w:top w:val="nil"/>
              <w:left w:val="nil"/>
              <w:bottom w:val="single" w:sz="4" w:space="0" w:color="auto"/>
              <w:right w:val="single" w:sz="4" w:space="0" w:color="auto"/>
            </w:tcBorders>
            <w:vAlign w:val="center"/>
          </w:tcPr>
          <w:p w:rsidR="00150DA2" w:rsidRDefault="000D1E5F">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150DA2">
        <w:trPr>
          <w:trHeight w:val="462"/>
          <w:jc w:val="center"/>
        </w:trPr>
        <w:tc>
          <w:tcPr>
            <w:tcW w:w="472" w:type="pct"/>
            <w:vMerge/>
            <w:tcBorders>
              <w:left w:val="single" w:sz="4" w:space="0" w:color="auto"/>
              <w:right w:val="single" w:sz="4" w:space="0" w:color="auto"/>
            </w:tcBorders>
            <w:vAlign w:val="center"/>
          </w:tcPr>
          <w:p w:rsidR="00150DA2" w:rsidRDefault="00150DA2">
            <w:pPr>
              <w:spacing w:line="0" w:lineRule="atLeast"/>
              <w:jc w:val="center"/>
              <w:rPr>
                <w:rFonts w:ascii="新宋体" w:eastAsia="新宋体" w:hAnsi="新宋体" w:cs="新宋体"/>
                <w:color w:val="000000"/>
                <w:szCs w:val="21"/>
              </w:rPr>
            </w:pPr>
          </w:p>
        </w:tc>
        <w:tc>
          <w:tcPr>
            <w:tcW w:w="367" w:type="pct"/>
            <w:vMerge/>
            <w:tcBorders>
              <w:left w:val="nil"/>
              <w:right w:val="single" w:sz="4" w:space="0" w:color="auto"/>
            </w:tcBorders>
            <w:vAlign w:val="center"/>
          </w:tcPr>
          <w:p w:rsidR="00150DA2" w:rsidRDefault="00150DA2">
            <w:pPr>
              <w:spacing w:line="0" w:lineRule="atLeast"/>
              <w:jc w:val="center"/>
              <w:rPr>
                <w:rFonts w:ascii="新宋体" w:eastAsia="新宋体" w:hAnsi="新宋体" w:cs="新宋体"/>
                <w:color w:val="000000"/>
                <w:szCs w:val="21"/>
              </w:rPr>
            </w:pPr>
          </w:p>
        </w:tc>
        <w:tc>
          <w:tcPr>
            <w:tcW w:w="462" w:type="pct"/>
            <w:tcBorders>
              <w:top w:val="nil"/>
              <w:left w:val="nil"/>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生态效</w:t>
            </w:r>
          </w:p>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益指标</w:t>
            </w:r>
          </w:p>
        </w:tc>
        <w:tc>
          <w:tcPr>
            <w:tcW w:w="984" w:type="pct"/>
            <w:tcBorders>
              <w:top w:val="nil"/>
              <w:left w:val="nil"/>
              <w:bottom w:val="single" w:sz="4" w:space="0" w:color="auto"/>
              <w:right w:val="single" w:sz="4" w:space="0" w:color="auto"/>
            </w:tcBorders>
            <w:vAlign w:val="center"/>
          </w:tcPr>
          <w:p w:rsidR="00150DA2" w:rsidRDefault="000D1E5F">
            <w:pPr>
              <w:widowControl/>
              <w:jc w:val="left"/>
              <w:textAlignment w:val="center"/>
              <w:rPr>
                <w:rFonts w:ascii="宋体" w:hAnsi="宋体" w:cs="宋体"/>
                <w:color w:val="000000"/>
                <w:kern w:val="0"/>
                <w:sz w:val="22"/>
                <w:szCs w:val="22"/>
              </w:rPr>
            </w:pPr>
            <w:r>
              <w:rPr>
                <w:rFonts w:ascii="宋体" w:hAnsi="宋体" w:cs="宋体" w:hint="eastAsia"/>
                <w:color w:val="000000"/>
                <w:kern w:val="0"/>
                <w:sz w:val="22"/>
                <w:szCs w:val="22"/>
              </w:rPr>
              <w:t>对 25 家养殖场逐户上门签订承诺书，完成华容道养鸡场、烟灯村养猪场整体退出及周边环境复绿工作，并顺利通过</w:t>
            </w:r>
            <w:r>
              <w:rPr>
                <w:rFonts w:ascii="宋体" w:hAnsi="宋体" w:cs="宋体" w:hint="eastAsia"/>
                <w:color w:val="000000"/>
                <w:kern w:val="0"/>
                <w:sz w:val="22"/>
                <w:szCs w:val="22"/>
              </w:rPr>
              <w:lastRenderedPageBreak/>
              <w:t>省级验收</w:t>
            </w:r>
          </w:p>
          <w:p w:rsidR="00150DA2" w:rsidRDefault="00150DA2">
            <w:pPr>
              <w:widowControl/>
              <w:spacing w:line="0" w:lineRule="atLeast"/>
              <w:jc w:val="center"/>
              <w:rPr>
                <w:rFonts w:ascii="新宋体" w:eastAsia="新宋体" w:hAnsi="新宋体" w:cs="新宋体"/>
                <w:color w:val="000000"/>
                <w:szCs w:val="21"/>
              </w:rPr>
            </w:pPr>
          </w:p>
        </w:tc>
        <w:tc>
          <w:tcPr>
            <w:tcW w:w="551" w:type="pct"/>
            <w:tcBorders>
              <w:top w:val="nil"/>
              <w:left w:val="nil"/>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lastRenderedPageBreak/>
              <w:t xml:space="preserve">=人居环境得到改善%　</w:t>
            </w:r>
          </w:p>
        </w:tc>
        <w:tc>
          <w:tcPr>
            <w:tcW w:w="550" w:type="pct"/>
            <w:tcBorders>
              <w:top w:val="nil"/>
              <w:left w:val="nil"/>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 xml:space="preserve">100%　</w:t>
            </w:r>
          </w:p>
        </w:tc>
        <w:tc>
          <w:tcPr>
            <w:tcW w:w="316" w:type="pct"/>
            <w:tcBorders>
              <w:top w:val="nil"/>
              <w:left w:val="nil"/>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 xml:space="preserve">10　</w:t>
            </w:r>
          </w:p>
        </w:tc>
        <w:tc>
          <w:tcPr>
            <w:tcW w:w="439" w:type="pct"/>
            <w:tcBorders>
              <w:top w:val="nil"/>
              <w:left w:val="nil"/>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 xml:space="preserve">10　</w:t>
            </w:r>
          </w:p>
        </w:tc>
        <w:tc>
          <w:tcPr>
            <w:tcW w:w="855" w:type="pct"/>
            <w:tcBorders>
              <w:top w:val="nil"/>
              <w:left w:val="nil"/>
              <w:bottom w:val="single" w:sz="4" w:space="0" w:color="auto"/>
              <w:right w:val="single" w:sz="4" w:space="0" w:color="auto"/>
            </w:tcBorders>
            <w:vAlign w:val="center"/>
          </w:tcPr>
          <w:p w:rsidR="00150DA2" w:rsidRDefault="000D1E5F">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150DA2">
        <w:trPr>
          <w:trHeight w:val="462"/>
          <w:jc w:val="center"/>
        </w:trPr>
        <w:tc>
          <w:tcPr>
            <w:tcW w:w="472" w:type="pct"/>
            <w:vMerge/>
            <w:tcBorders>
              <w:left w:val="single" w:sz="4" w:space="0" w:color="auto"/>
              <w:right w:val="single" w:sz="4" w:space="0" w:color="auto"/>
            </w:tcBorders>
            <w:vAlign w:val="center"/>
          </w:tcPr>
          <w:p w:rsidR="00150DA2" w:rsidRDefault="00150DA2">
            <w:pPr>
              <w:widowControl/>
              <w:spacing w:line="0" w:lineRule="atLeast"/>
              <w:jc w:val="center"/>
              <w:rPr>
                <w:rFonts w:ascii="新宋体" w:eastAsia="新宋体" w:hAnsi="新宋体" w:cs="新宋体"/>
                <w:color w:val="000000"/>
                <w:szCs w:val="21"/>
              </w:rPr>
            </w:pPr>
          </w:p>
        </w:tc>
        <w:tc>
          <w:tcPr>
            <w:tcW w:w="367" w:type="pct"/>
            <w:vMerge/>
            <w:tcBorders>
              <w:left w:val="nil"/>
              <w:right w:val="single" w:sz="4" w:space="0" w:color="auto"/>
            </w:tcBorders>
            <w:vAlign w:val="center"/>
          </w:tcPr>
          <w:p w:rsidR="00150DA2" w:rsidRDefault="00150DA2">
            <w:pPr>
              <w:widowControl/>
              <w:spacing w:line="0" w:lineRule="atLeast"/>
              <w:jc w:val="center"/>
              <w:rPr>
                <w:rFonts w:ascii="新宋体" w:eastAsia="新宋体" w:hAnsi="新宋体" w:cs="新宋体"/>
                <w:color w:val="000000"/>
                <w:szCs w:val="21"/>
              </w:rPr>
            </w:pPr>
          </w:p>
        </w:tc>
        <w:tc>
          <w:tcPr>
            <w:tcW w:w="462" w:type="pct"/>
            <w:tcBorders>
              <w:top w:val="single" w:sz="4" w:space="0" w:color="auto"/>
              <w:left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可持续影响指标</w:t>
            </w:r>
          </w:p>
        </w:tc>
        <w:tc>
          <w:tcPr>
            <w:tcW w:w="984"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全镇经济发展</w:t>
            </w:r>
          </w:p>
        </w:tc>
        <w:tc>
          <w:tcPr>
            <w:tcW w:w="551"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=促进全镇经济发展%</w:t>
            </w:r>
          </w:p>
        </w:tc>
        <w:tc>
          <w:tcPr>
            <w:tcW w:w="550"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全镇经济发展</w:t>
            </w:r>
          </w:p>
        </w:tc>
        <w:tc>
          <w:tcPr>
            <w:tcW w:w="316"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 xml:space="preserve">5　</w:t>
            </w:r>
          </w:p>
        </w:tc>
        <w:tc>
          <w:tcPr>
            <w:tcW w:w="439"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 xml:space="preserve">5　</w:t>
            </w:r>
          </w:p>
        </w:tc>
        <w:tc>
          <w:tcPr>
            <w:tcW w:w="855" w:type="pct"/>
            <w:tcBorders>
              <w:top w:val="single" w:sz="4" w:space="0" w:color="auto"/>
              <w:left w:val="single" w:sz="4" w:space="0" w:color="auto"/>
              <w:bottom w:val="single" w:sz="4" w:space="0" w:color="auto"/>
              <w:right w:val="single" w:sz="4" w:space="0" w:color="auto"/>
            </w:tcBorders>
            <w:vAlign w:val="center"/>
          </w:tcPr>
          <w:p w:rsidR="00150DA2" w:rsidRDefault="000D1E5F">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150DA2">
        <w:trPr>
          <w:trHeight w:val="462"/>
          <w:jc w:val="center"/>
        </w:trPr>
        <w:tc>
          <w:tcPr>
            <w:tcW w:w="472" w:type="pct"/>
            <w:vMerge/>
            <w:tcBorders>
              <w:left w:val="single" w:sz="4" w:space="0" w:color="auto"/>
              <w:right w:val="single" w:sz="4" w:space="0" w:color="auto"/>
            </w:tcBorders>
            <w:vAlign w:val="center"/>
          </w:tcPr>
          <w:p w:rsidR="00150DA2" w:rsidRDefault="00150DA2">
            <w:pPr>
              <w:spacing w:line="0" w:lineRule="atLeast"/>
              <w:jc w:val="center"/>
              <w:rPr>
                <w:rFonts w:ascii="新宋体" w:eastAsia="新宋体" w:hAnsi="新宋体" w:cs="新宋体"/>
                <w:color w:val="000000"/>
                <w:szCs w:val="21"/>
              </w:rPr>
            </w:pPr>
          </w:p>
        </w:tc>
        <w:tc>
          <w:tcPr>
            <w:tcW w:w="367" w:type="pct"/>
            <w:tcBorders>
              <w:top w:val="nil"/>
              <w:left w:val="nil"/>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满意度</w:t>
            </w:r>
          </w:p>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（10分）</w:t>
            </w:r>
          </w:p>
        </w:tc>
        <w:tc>
          <w:tcPr>
            <w:tcW w:w="462" w:type="pct"/>
            <w:tcBorders>
              <w:top w:val="nil"/>
              <w:left w:val="nil"/>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服务对象满意度指标</w:t>
            </w:r>
          </w:p>
        </w:tc>
        <w:tc>
          <w:tcPr>
            <w:tcW w:w="1827" w:type="dxa"/>
            <w:tcBorders>
              <w:top w:val="nil"/>
              <w:left w:val="nil"/>
              <w:bottom w:val="single" w:sz="4" w:space="0" w:color="auto"/>
              <w:right w:val="single" w:sz="4" w:space="0" w:color="auto"/>
            </w:tcBorders>
            <w:vAlign w:val="center"/>
          </w:tcPr>
          <w:p w:rsidR="00150DA2" w:rsidRDefault="000D1E5F">
            <w:pPr>
              <w:widowControl/>
              <w:jc w:val="center"/>
              <w:textAlignment w:val="center"/>
              <w:rPr>
                <w:rFonts w:ascii="新宋体" w:eastAsia="新宋体" w:hAnsi="新宋体" w:cs="新宋体"/>
                <w:color w:val="000000"/>
                <w:szCs w:val="21"/>
              </w:rPr>
            </w:pPr>
            <w:r>
              <w:rPr>
                <w:rFonts w:ascii="宋体" w:hAnsi="宋体" w:cs="宋体" w:hint="eastAsia"/>
                <w:color w:val="000000"/>
                <w:kern w:val="0"/>
                <w:sz w:val="22"/>
                <w:szCs w:val="22"/>
              </w:rPr>
              <w:t>&gt;=95%</w:t>
            </w:r>
          </w:p>
        </w:tc>
        <w:tc>
          <w:tcPr>
            <w:tcW w:w="1023" w:type="dxa"/>
            <w:tcBorders>
              <w:top w:val="nil"/>
              <w:left w:val="nil"/>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1022" w:type="dxa"/>
            <w:tcBorders>
              <w:top w:val="nil"/>
              <w:left w:val="nil"/>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 xml:space="preserve">90%　</w:t>
            </w:r>
          </w:p>
        </w:tc>
        <w:tc>
          <w:tcPr>
            <w:tcW w:w="587" w:type="dxa"/>
            <w:tcBorders>
              <w:top w:val="nil"/>
              <w:left w:val="nil"/>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 xml:space="preserve">10　</w:t>
            </w:r>
          </w:p>
        </w:tc>
        <w:tc>
          <w:tcPr>
            <w:tcW w:w="816" w:type="dxa"/>
            <w:tcBorders>
              <w:top w:val="nil"/>
              <w:left w:val="nil"/>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 xml:space="preserve">8　</w:t>
            </w:r>
          </w:p>
        </w:tc>
        <w:tc>
          <w:tcPr>
            <w:tcW w:w="855" w:type="pct"/>
            <w:tcBorders>
              <w:top w:val="nil"/>
              <w:left w:val="nil"/>
              <w:bottom w:val="single" w:sz="4" w:space="0" w:color="auto"/>
              <w:right w:val="single" w:sz="4" w:space="0" w:color="auto"/>
            </w:tcBorders>
            <w:vAlign w:val="center"/>
          </w:tcPr>
          <w:p w:rsidR="00150DA2" w:rsidRDefault="00150DA2">
            <w:pPr>
              <w:widowControl/>
              <w:spacing w:line="0" w:lineRule="atLeast"/>
              <w:jc w:val="center"/>
              <w:rPr>
                <w:rFonts w:ascii="新宋体" w:eastAsia="新宋体" w:hAnsi="新宋体" w:cs="新宋体"/>
                <w:color w:val="000000"/>
                <w:szCs w:val="21"/>
              </w:rPr>
            </w:pPr>
          </w:p>
        </w:tc>
      </w:tr>
      <w:tr w:rsidR="00150DA2">
        <w:trPr>
          <w:trHeight w:val="489"/>
          <w:jc w:val="center"/>
        </w:trPr>
        <w:tc>
          <w:tcPr>
            <w:tcW w:w="3388" w:type="pct"/>
            <w:gridSpan w:val="6"/>
            <w:tcBorders>
              <w:top w:val="single" w:sz="4" w:space="0" w:color="auto"/>
              <w:left w:val="single" w:sz="4" w:space="0" w:color="auto"/>
              <w:bottom w:val="single" w:sz="4" w:space="0" w:color="auto"/>
              <w:right w:val="single" w:sz="4" w:space="0" w:color="000000"/>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总分</w:t>
            </w:r>
          </w:p>
        </w:tc>
        <w:tc>
          <w:tcPr>
            <w:tcW w:w="316" w:type="pct"/>
            <w:tcBorders>
              <w:top w:val="nil"/>
              <w:left w:val="nil"/>
              <w:bottom w:val="single" w:sz="4" w:space="0" w:color="auto"/>
              <w:right w:val="single" w:sz="4" w:space="0" w:color="auto"/>
            </w:tcBorders>
            <w:vAlign w:val="center"/>
          </w:tcPr>
          <w:p w:rsidR="00150DA2" w:rsidRDefault="000D1E5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100</w:t>
            </w:r>
          </w:p>
        </w:tc>
        <w:tc>
          <w:tcPr>
            <w:tcW w:w="439" w:type="pct"/>
            <w:tcBorders>
              <w:top w:val="nil"/>
              <w:left w:val="nil"/>
              <w:bottom w:val="single" w:sz="4" w:space="0" w:color="auto"/>
              <w:right w:val="single" w:sz="4" w:space="0" w:color="auto"/>
            </w:tcBorders>
            <w:vAlign w:val="center"/>
          </w:tcPr>
          <w:p w:rsidR="00150DA2" w:rsidRDefault="000D1E5F">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98</w:t>
            </w:r>
          </w:p>
        </w:tc>
        <w:tc>
          <w:tcPr>
            <w:tcW w:w="855" w:type="pct"/>
            <w:tcBorders>
              <w:top w:val="nil"/>
              <w:left w:val="nil"/>
              <w:bottom w:val="single" w:sz="4" w:space="0" w:color="auto"/>
              <w:right w:val="single" w:sz="4" w:space="0" w:color="auto"/>
            </w:tcBorders>
            <w:vAlign w:val="center"/>
          </w:tcPr>
          <w:p w:rsidR="00150DA2" w:rsidRDefault="000D1E5F">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bl>
    <w:p w:rsidR="00150DA2" w:rsidRDefault="000D1E5F">
      <w:pPr>
        <w:rPr>
          <w:rFonts w:eastAsia="仿宋_GB2312"/>
          <w:sz w:val="22"/>
        </w:rPr>
      </w:pPr>
      <w:r>
        <w:rPr>
          <w:rFonts w:eastAsia="仿宋_GB2312"/>
          <w:sz w:val="22"/>
        </w:rPr>
        <w:t>说明：</w:t>
      </w:r>
      <w:r>
        <w:rPr>
          <w:rFonts w:eastAsia="仿宋_GB2312" w:hint="eastAsia"/>
          <w:sz w:val="22"/>
        </w:rPr>
        <w:t>以上数据参照</w:t>
      </w:r>
      <w:r>
        <w:rPr>
          <w:rFonts w:eastAsia="仿宋_GB2312" w:hint="eastAsia"/>
          <w:sz w:val="22"/>
        </w:rPr>
        <w:t>2022</w:t>
      </w:r>
      <w:r>
        <w:rPr>
          <w:rFonts w:eastAsia="仿宋_GB2312" w:hint="eastAsia"/>
          <w:sz w:val="22"/>
        </w:rPr>
        <w:t>年部门决算报表中的“收入支出决算总表”</w:t>
      </w:r>
      <w:r>
        <w:rPr>
          <w:rFonts w:eastAsia="仿宋_GB2312" w:hint="eastAsia"/>
          <w:sz w:val="22"/>
        </w:rPr>
        <w:t>(</w:t>
      </w:r>
      <w:r>
        <w:rPr>
          <w:rFonts w:eastAsia="仿宋_GB2312" w:hint="eastAsia"/>
          <w:sz w:val="22"/>
        </w:rPr>
        <w:t>财决</w:t>
      </w:r>
      <w:r>
        <w:rPr>
          <w:rFonts w:eastAsia="仿宋_GB2312" w:hint="eastAsia"/>
          <w:sz w:val="22"/>
        </w:rPr>
        <w:t>01</w:t>
      </w:r>
      <w:r>
        <w:rPr>
          <w:rFonts w:eastAsia="仿宋_GB2312" w:hint="eastAsia"/>
          <w:sz w:val="22"/>
        </w:rPr>
        <w:t>表</w:t>
      </w:r>
      <w:r>
        <w:rPr>
          <w:rFonts w:eastAsia="仿宋_GB2312" w:hint="eastAsia"/>
          <w:sz w:val="22"/>
        </w:rPr>
        <w:t>)</w:t>
      </w:r>
      <w:r>
        <w:rPr>
          <w:rFonts w:eastAsia="仿宋_GB2312" w:hint="eastAsia"/>
          <w:sz w:val="22"/>
        </w:rPr>
        <w:t>。</w:t>
      </w:r>
    </w:p>
    <w:p w:rsidR="00150DA2" w:rsidRDefault="00150DA2">
      <w:pPr>
        <w:pStyle w:val="a6"/>
      </w:pPr>
    </w:p>
    <w:p w:rsidR="00FF191C" w:rsidRDefault="00FF191C" w:rsidP="00FF191C">
      <w:pPr>
        <w:widowControl/>
        <w:spacing w:line="400" w:lineRule="exact"/>
        <w:jc w:val="left"/>
        <w:rPr>
          <w:rFonts w:eastAsia="仿宋_GB2312"/>
          <w:sz w:val="22"/>
        </w:rPr>
      </w:pPr>
      <w:r>
        <w:rPr>
          <w:rFonts w:eastAsia="仿宋_GB2312"/>
          <w:sz w:val="22"/>
        </w:rPr>
        <w:t>填表人：</w:t>
      </w:r>
      <w:r>
        <w:rPr>
          <w:rFonts w:eastAsia="仿宋_GB2312" w:hint="eastAsia"/>
          <w:sz w:val="22"/>
        </w:rPr>
        <w:t>余佳敏</w:t>
      </w:r>
      <w:r>
        <w:rPr>
          <w:rFonts w:eastAsia="仿宋_GB2312" w:hint="eastAsia"/>
          <w:sz w:val="22"/>
        </w:rPr>
        <w:t xml:space="preserve">                                      </w:t>
      </w:r>
      <w:r>
        <w:rPr>
          <w:rFonts w:eastAsia="仿宋_GB2312"/>
          <w:sz w:val="22"/>
        </w:rPr>
        <w:t>填报日期：</w:t>
      </w:r>
      <w:r>
        <w:rPr>
          <w:rFonts w:eastAsia="仿宋_GB2312" w:hint="eastAsia"/>
          <w:sz w:val="22"/>
        </w:rPr>
        <w:t>2023</w:t>
      </w:r>
      <w:r>
        <w:rPr>
          <w:rFonts w:eastAsia="仿宋_GB2312" w:hint="eastAsia"/>
          <w:sz w:val="22"/>
        </w:rPr>
        <w:t>年</w:t>
      </w:r>
      <w:r>
        <w:rPr>
          <w:rFonts w:ascii="宋体" w:hAnsi="宋体" w:cs="宋体" w:hint="eastAsia"/>
          <w:sz w:val="22"/>
        </w:rPr>
        <w:t>7月12日</w:t>
      </w:r>
      <w:r>
        <w:rPr>
          <w:rFonts w:eastAsia="仿宋_GB2312"/>
          <w:sz w:val="22"/>
        </w:rPr>
        <w:t xml:space="preserve"> </w:t>
      </w:r>
    </w:p>
    <w:p w:rsidR="00150DA2" w:rsidRDefault="00FF191C" w:rsidP="00FF191C">
      <w:pPr>
        <w:rPr>
          <w:rFonts w:ascii="黑体" w:eastAsia="黑体" w:hAnsi="黑体" w:cs="黑体"/>
          <w:sz w:val="32"/>
          <w:szCs w:val="32"/>
        </w:rPr>
      </w:pPr>
      <w:r>
        <w:rPr>
          <w:rFonts w:eastAsia="仿宋_GB2312"/>
          <w:sz w:val="22"/>
        </w:rPr>
        <w:t>联系电话：</w:t>
      </w:r>
      <w:r>
        <w:rPr>
          <w:rFonts w:eastAsia="仿宋_GB2312" w:hint="eastAsia"/>
          <w:sz w:val="22"/>
        </w:rPr>
        <w:t xml:space="preserve">18773089332                               </w:t>
      </w:r>
      <w:r>
        <w:rPr>
          <w:rFonts w:eastAsia="仿宋_GB2312"/>
          <w:sz w:val="22"/>
        </w:rPr>
        <w:t>单位负责人签字：</w:t>
      </w:r>
      <w:r w:rsidR="000D1E5F">
        <w:rPr>
          <w:rFonts w:eastAsia="仿宋_GB2312"/>
          <w:sz w:val="22"/>
          <w:szCs w:val="22"/>
        </w:rPr>
        <w:br w:type="page"/>
      </w:r>
      <w:r w:rsidR="000D1E5F">
        <w:rPr>
          <w:rFonts w:ascii="黑体" w:eastAsia="黑体" w:hAnsi="黑体" w:cs="黑体" w:hint="eastAsia"/>
          <w:sz w:val="32"/>
          <w:szCs w:val="32"/>
        </w:rPr>
        <w:lastRenderedPageBreak/>
        <w:t>附件3</w:t>
      </w:r>
    </w:p>
    <w:p w:rsidR="00150DA2" w:rsidRDefault="00150DA2">
      <w:pPr>
        <w:jc w:val="center"/>
        <w:rPr>
          <w:rFonts w:eastAsia="方正小标宋_GBK"/>
          <w:sz w:val="52"/>
          <w:szCs w:val="52"/>
        </w:rPr>
      </w:pPr>
    </w:p>
    <w:p w:rsidR="00150DA2" w:rsidRDefault="000D1E5F">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2022年度华容县东山镇人民政府整体支出</w:t>
      </w:r>
    </w:p>
    <w:p w:rsidR="00150DA2" w:rsidRDefault="000D1E5F">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绩效自评报告</w:t>
      </w:r>
    </w:p>
    <w:p w:rsidR="00150DA2" w:rsidRDefault="00150DA2">
      <w:pPr>
        <w:jc w:val="center"/>
        <w:rPr>
          <w:rFonts w:eastAsia="方正小标宋_GBK"/>
          <w:b/>
          <w:sz w:val="52"/>
          <w:szCs w:val="52"/>
        </w:rPr>
      </w:pPr>
    </w:p>
    <w:p w:rsidR="00150DA2" w:rsidRDefault="00150DA2">
      <w:pPr>
        <w:jc w:val="center"/>
        <w:rPr>
          <w:rFonts w:eastAsia="楷体_GB2312"/>
          <w:b/>
          <w:sz w:val="32"/>
          <w:szCs w:val="32"/>
        </w:rPr>
      </w:pPr>
    </w:p>
    <w:p w:rsidR="00150DA2" w:rsidRDefault="00150DA2">
      <w:pPr>
        <w:jc w:val="center"/>
        <w:rPr>
          <w:rFonts w:eastAsia="楷体_GB2312"/>
          <w:b/>
          <w:sz w:val="32"/>
          <w:szCs w:val="32"/>
        </w:rPr>
      </w:pPr>
    </w:p>
    <w:p w:rsidR="00150DA2" w:rsidRDefault="00150DA2">
      <w:pPr>
        <w:jc w:val="center"/>
        <w:rPr>
          <w:rFonts w:eastAsia="楷体_GB2312"/>
          <w:b/>
          <w:sz w:val="32"/>
          <w:szCs w:val="32"/>
        </w:rPr>
      </w:pPr>
    </w:p>
    <w:p w:rsidR="00150DA2" w:rsidRDefault="00150DA2">
      <w:pPr>
        <w:jc w:val="center"/>
        <w:rPr>
          <w:rFonts w:eastAsia="楷体_GB2312"/>
          <w:b/>
          <w:sz w:val="32"/>
          <w:szCs w:val="32"/>
        </w:rPr>
      </w:pPr>
    </w:p>
    <w:p w:rsidR="00150DA2" w:rsidRDefault="00150DA2">
      <w:pPr>
        <w:jc w:val="center"/>
        <w:rPr>
          <w:rFonts w:eastAsia="楷体_GB2312"/>
          <w:b/>
          <w:sz w:val="32"/>
          <w:szCs w:val="32"/>
        </w:rPr>
      </w:pPr>
    </w:p>
    <w:p w:rsidR="00150DA2" w:rsidRDefault="00150DA2">
      <w:pPr>
        <w:jc w:val="center"/>
        <w:rPr>
          <w:rFonts w:eastAsia="楷体_GB2312"/>
          <w:b/>
          <w:sz w:val="32"/>
          <w:szCs w:val="32"/>
        </w:rPr>
      </w:pPr>
    </w:p>
    <w:p w:rsidR="00150DA2" w:rsidRDefault="00150DA2">
      <w:pPr>
        <w:jc w:val="center"/>
        <w:rPr>
          <w:rFonts w:eastAsia="黑体"/>
          <w:sz w:val="32"/>
          <w:szCs w:val="32"/>
        </w:rPr>
      </w:pPr>
    </w:p>
    <w:p w:rsidR="00150DA2" w:rsidRDefault="00150DA2">
      <w:pPr>
        <w:jc w:val="center"/>
        <w:rPr>
          <w:rFonts w:eastAsia="黑体"/>
          <w:sz w:val="32"/>
          <w:szCs w:val="32"/>
        </w:rPr>
      </w:pPr>
    </w:p>
    <w:p w:rsidR="00150DA2" w:rsidRDefault="00150DA2">
      <w:pPr>
        <w:jc w:val="center"/>
        <w:rPr>
          <w:rFonts w:eastAsia="黑体"/>
          <w:sz w:val="32"/>
          <w:szCs w:val="32"/>
        </w:rPr>
      </w:pPr>
    </w:p>
    <w:p w:rsidR="00150DA2" w:rsidRDefault="00150DA2">
      <w:pPr>
        <w:jc w:val="center"/>
        <w:rPr>
          <w:rFonts w:eastAsia="黑体"/>
          <w:sz w:val="32"/>
          <w:szCs w:val="32"/>
        </w:rPr>
      </w:pPr>
    </w:p>
    <w:p w:rsidR="00150DA2" w:rsidRDefault="00150DA2">
      <w:pPr>
        <w:jc w:val="center"/>
        <w:rPr>
          <w:rFonts w:eastAsia="黑体"/>
          <w:sz w:val="32"/>
          <w:szCs w:val="32"/>
        </w:rPr>
      </w:pPr>
    </w:p>
    <w:p w:rsidR="00150DA2" w:rsidRDefault="00150DA2">
      <w:pPr>
        <w:jc w:val="center"/>
        <w:rPr>
          <w:rFonts w:eastAsia="黑体"/>
          <w:sz w:val="32"/>
          <w:szCs w:val="32"/>
        </w:rPr>
      </w:pPr>
    </w:p>
    <w:p w:rsidR="00150DA2" w:rsidRDefault="00150DA2">
      <w:pPr>
        <w:rPr>
          <w:rFonts w:eastAsia="黑体"/>
          <w:sz w:val="32"/>
          <w:szCs w:val="32"/>
        </w:rPr>
      </w:pPr>
    </w:p>
    <w:p w:rsidR="00150DA2" w:rsidRDefault="000D1E5F">
      <w:pPr>
        <w:spacing w:line="600" w:lineRule="exact"/>
        <w:jc w:val="center"/>
        <w:rPr>
          <w:rFonts w:eastAsia="仿宋_GB2312"/>
          <w:sz w:val="32"/>
          <w:szCs w:val="32"/>
          <w:u w:val="single"/>
        </w:rPr>
      </w:pPr>
      <w:r>
        <w:rPr>
          <w:rFonts w:eastAsia="仿宋_GB2312"/>
          <w:sz w:val="32"/>
          <w:szCs w:val="32"/>
        </w:rPr>
        <w:t>部门（单位）名称：</w:t>
      </w:r>
      <w:r w:rsidR="00FF191C">
        <w:rPr>
          <w:rFonts w:eastAsia="仿宋_GB2312" w:hint="eastAsia"/>
          <w:sz w:val="32"/>
          <w:szCs w:val="32"/>
          <w:u w:val="single"/>
        </w:rPr>
        <w:t>东山镇人民政府</w:t>
      </w:r>
    </w:p>
    <w:p w:rsidR="00150DA2" w:rsidRDefault="000D1E5F">
      <w:pPr>
        <w:spacing w:line="600" w:lineRule="exact"/>
        <w:jc w:val="center"/>
        <w:rPr>
          <w:rFonts w:eastAsia="楷体_GB2312"/>
          <w:sz w:val="32"/>
          <w:szCs w:val="32"/>
        </w:rPr>
      </w:pPr>
      <w:r>
        <w:rPr>
          <w:rFonts w:eastAsia="楷体_GB2312" w:hint="eastAsia"/>
          <w:sz w:val="32"/>
          <w:szCs w:val="32"/>
        </w:rPr>
        <w:t>2023</w:t>
      </w:r>
      <w:r>
        <w:rPr>
          <w:rFonts w:eastAsia="楷体_GB2312"/>
          <w:sz w:val="32"/>
          <w:szCs w:val="32"/>
        </w:rPr>
        <w:t>年</w:t>
      </w:r>
      <w:r>
        <w:rPr>
          <w:rFonts w:eastAsia="楷体_GB2312"/>
          <w:sz w:val="32"/>
          <w:szCs w:val="32"/>
        </w:rPr>
        <w:t xml:space="preserve"> </w:t>
      </w:r>
      <w:r>
        <w:rPr>
          <w:rFonts w:eastAsia="楷体_GB2312" w:hint="eastAsia"/>
          <w:sz w:val="32"/>
          <w:szCs w:val="32"/>
        </w:rPr>
        <w:t>7</w:t>
      </w:r>
      <w:r>
        <w:rPr>
          <w:rFonts w:eastAsia="楷体_GB2312"/>
          <w:sz w:val="32"/>
          <w:szCs w:val="32"/>
        </w:rPr>
        <w:t xml:space="preserve"> </w:t>
      </w:r>
      <w:r>
        <w:rPr>
          <w:rFonts w:eastAsia="楷体_GB2312"/>
          <w:sz w:val="32"/>
          <w:szCs w:val="32"/>
        </w:rPr>
        <w:t>月</w:t>
      </w:r>
      <w:r w:rsidR="00FF191C">
        <w:rPr>
          <w:rFonts w:eastAsia="楷体_GB2312"/>
          <w:sz w:val="32"/>
          <w:szCs w:val="32"/>
        </w:rPr>
        <w:t xml:space="preserve"> </w:t>
      </w:r>
      <w:r>
        <w:rPr>
          <w:rFonts w:eastAsia="楷体_GB2312" w:hint="eastAsia"/>
          <w:sz w:val="32"/>
          <w:szCs w:val="32"/>
        </w:rPr>
        <w:t>1</w:t>
      </w:r>
      <w:r w:rsidR="00182462">
        <w:rPr>
          <w:rFonts w:eastAsia="楷体_GB2312" w:hint="eastAsia"/>
          <w:sz w:val="32"/>
          <w:szCs w:val="32"/>
        </w:rPr>
        <w:t>2</w:t>
      </w:r>
      <w:r>
        <w:rPr>
          <w:rFonts w:eastAsia="楷体_GB2312"/>
          <w:sz w:val="32"/>
          <w:szCs w:val="32"/>
        </w:rPr>
        <w:t>日</w:t>
      </w:r>
    </w:p>
    <w:p w:rsidR="00150DA2" w:rsidRDefault="000D1E5F">
      <w:pPr>
        <w:spacing w:line="61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2022年度华容县东山镇人民政府整体支出</w:t>
      </w:r>
    </w:p>
    <w:p w:rsidR="00150DA2" w:rsidRDefault="000D1E5F">
      <w:pPr>
        <w:spacing w:line="61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绩效自评报告</w:t>
      </w:r>
    </w:p>
    <w:p w:rsidR="00150DA2" w:rsidRDefault="000D1E5F">
      <w:pPr>
        <w:spacing w:line="540" w:lineRule="exact"/>
        <w:ind w:firstLineChars="200" w:firstLine="640"/>
        <w:rPr>
          <w:rFonts w:eastAsia="仿宋_GB2312"/>
          <w:sz w:val="32"/>
          <w:szCs w:val="32"/>
        </w:rPr>
      </w:pPr>
      <w:r>
        <w:rPr>
          <w:rFonts w:ascii="仿宋" w:eastAsia="仿宋" w:hAnsi="仿宋" w:cs="仿宋" w:hint="eastAsia"/>
          <w:sz w:val="32"/>
          <w:szCs w:val="32"/>
        </w:rPr>
        <w:t>根据《华容县财政局关于开展2022年度部门整体支出绩效自评工作的通知》（华财函〔2023〕63号）的相关规定和要求，现对我部门2022年度整体支出开展绩效自评，现将情况汇报如下：</w:t>
      </w:r>
    </w:p>
    <w:p w:rsidR="00150DA2" w:rsidRDefault="000D1E5F">
      <w:pPr>
        <w:numPr>
          <w:ilvl w:val="0"/>
          <w:numId w:val="1"/>
        </w:numPr>
        <w:spacing w:line="610" w:lineRule="exact"/>
        <w:ind w:firstLineChars="200" w:firstLine="640"/>
        <w:rPr>
          <w:rFonts w:eastAsia="黑体"/>
          <w:sz w:val="32"/>
          <w:szCs w:val="32"/>
        </w:rPr>
      </w:pPr>
      <w:r>
        <w:rPr>
          <w:rFonts w:eastAsia="黑体"/>
          <w:sz w:val="32"/>
          <w:szCs w:val="32"/>
        </w:rPr>
        <w:t>部门（单位）基本情况</w:t>
      </w:r>
    </w:p>
    <w:p w:rsidR="00150DA2" w:rsidRDefault="000D1E5F">
      <w:pPr>
        <w:spacing w:line="560" w:lineRule="exact"/>
        <w:ind w:firstLineChars="200" w:firstLine="420"/>
        <w:rPr>
          <w:rFonts w:ascii="仿宋" w:eastAsia="仿宋" w:hAnsi="仿宋" w:cs="仿宋"/>
          <w:bCs/>
          <w:sz w:val="32"/>
          <w:szCs w:val="32"/>
        </w:rPr>
      </w:pPr>
      <w:r>
        <w:rPr>
          <w:rFonts w:hint="eastAsia"/>
        </w:rPr>
        <w:t xml:space="preserve">  </w:t>
      </w:r>
      <w:r>
        <w:rPr>
          <w:rFonts w:ascii="仿宋" w:eastAsia="仿宋" w:hAnsi="仿宋" w:cs="仿宋" w:hint="eastAsia"/>
          <w:bCs/>
          <w:sz w:val="32"/>
          <w:szCs w:val="32"/>
        </w:rPr>
        <w:t>（一）部门基本情况</w:t>
      </w:r>
    </w:p>
    <w:p w:rsidR="00150DA2" w:rsidRDefault="000D1E5F">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华容县东山镇人民政府共有</w:t>
      </w:r>
      <w:r>
        <w:rPr>
          <w:rFonts w:ascii="仿宋" w:eastAsia="仿宋" w:hAnsi="仿宋" w:cs="仿宋" w:hint="eastAsia"/>
          <w:sz w:val="32"/>
          <w:szCs w:val="32"/>
          <w:lang w:val="zh-CN"/>
        </w:rPr>
        <w:t>镇政府机关、镇财政所、镇农业综合服务中心、镇社会事业综合服务中心、镇退役军人服务站、镇综合行政执法大队、镇水利服务站</w:t>
      </w:r>
      <w:r>
        <w:rPr>
          <w:rFonts w:ascii="仿宋" w:eastAsia="仿宋" w:hAnsi="仿宋" w:cs="仿宋" w:hint="eastAsia"/>
          <w:sz w:val="32"/>
          <w:szCs w:val="32"/>
        </w:rPr>
        <w:t>7个独立核算工作机构。现有人员编制117名（其中：行政编制44名，事业全额编制73名），实有在职干部、职工117人（其中：全额人员117人）。</w:t>
      </w:r>
    </w:p>
    <w:p w:rsidR="00150DA2" w:rsidRDefault="000D1E5F">
      <w:pPr>
        <w:spacing w:line="560" w:lineRule="exact"/>
        <w:ind w:firstLineChars="200" w:firstLine="640"/>
        <w:rPr>
          <w:rFonts w:ascii="仿宋" w:eastAsia="仿宋" w:hAnsi="仿宋" w:cs="仿宋"/>
          <w:bCs/>
          <w:sz w:val="32"/>
          <w:szCs w:val="32"/>
        </w:rPr>
      </w:pPr>
      <w:r>
        <w:rPr>
          <w:rFonts w:ascii="仿宋" w:eastAsia="仿宋" w:hAnsi="仿宋" w:cs="仿宋" w:hint="eastAsia"/>
          <w:bCs/>
          <w:sz w:val="32"/>
          <w:szCs w:val="32"/>
        </w:rPr>
        <w:t>（二）部门整体支出规模、使用方向和主要内容、涉及范围等</w:t>
      </w:r>
    </w:p>
    <w:p w:rsidR="00150DA2" w:rsidRDefault="000D1E5F">
      <w:pPr>
        <w:widowControl/>
        <w:ind w:firstLineChars="200" w:firstLine="640"/>
        <w:jc w:val="left"/>
      </w:pPr>
      <w:r>
        <w:rPr>
          <w:rFonts w:ascii="仿宋" w:eastAsia="仿宋" w:hAnsi="仿宋" w:cs="仿宋" w:hint="eastAsia"/>
          <w:sz w:val="32"/>
          <w:szCs w:val="32"/>
        </w:rPr>
        <w:t>2022年，县财政下达我单位预算总收入5995.14万元，其中：一般公共预算财政拨款收入5579.58万元，政府性基金收入415.56万元；预算总支出5995.14万元；年末无结余，预算收支平衡。预算拨款总额比2021年增加653.31万元，增加的主要原因政府增加了项目的投入，其中工资福利支出1283.98万元，一般商品和服务支出463.44万元，对个人和</w:t>
      </w:r>
      <w:r>
        <w:rPr>
          <w:rFonts w:ascii="仿宋" w:eastAsia="仿宋" w:hAnsi="仿宋" w:cs="仿宋" w:hint="eastAsia"/>
          <w:sz w:val="32"/>
          <w:szCs w:val="32"/>
        </w:rPr>
        <w:lastRenderedPageBreak/>
        <w:t>家庭的补助201.45万元，资本性支出26.72万元，项目支出4019.55万元。资金主要用于：职工的工资福利、五险一金；国能岳阳电厂项目建设；洪山头工业园完成 300 亩征地拆迁及场平工作；塔市驿深水码头 83.6 亩征地工作；高标准农田建设项目； 516 个新厕建设、330 个问题厕所整改；9.6 公里村级公路建设、3 座危桥改造。</w:t>
      </w:r>
    </w:p>
    <w:p w:rsidR="00150DA2" w:rsidRDefault="000D1E5F">
      <w:pPr>
        <w:pStyle w:val="aa"/>
        <w:widowControl/>
        <w:numPr>
          <w:ilvl w:val="0"/>
          <w:numId w:val="1"/>
        </w:numPr>
        <w:spacing w:line="610" w:lineRule="exact"/>
        <w:ind w:firstLine="640"/>
        <w:rPr>
          <w:rFonts w:ascii="Times New Roman" w:eastAsia="黑体" w:hAnsi="Times New Roman"/>
          <w:sz w:val="32"/>
          <w:szCs w:val="32"/>
        </w:rPr>
      </w:pPr>
      <w:r>
        <w:rPr>
          <w:rFonts w:ascii="Times New Roman" w:eastAsia="黑体" w:hAnsi="Times New Roman"/>
          <w:sz w:val="32"/>
          <w:szCs w:val="32"/>
        </w:rPr>
        <w:t>基本支出情况</w:t>
      </w:r>
    </w:p>
    <w:p w:rsidR="00150DA2" w:rsidRDefault="000D1E5F">
      <w:pPr>
        <w:spacing w:line="540" w:lineRule="exact"/>
        <w:ind w:firstLineChars="200" w:firstLine="640"/>
        <w:rPr>
          <w:rFonts w:eastAsia="黑体"/>
          <w:sz w:val="32"/>
          <w:szCs w:val="32"/>
        </w:rPr>
      </w:pPr>
      <w:r>
        <w:rPr>
          <w:rFonts w:ascii="仿宋" w:eastAsia="仿宋" w:hAnsi="仿宋" w:cs="仿宋" w:hint="eastAsia"/>
          <w:sz w:val="32"/>
          <w:szCs w:val="32"/>
        </w:rPr>
        <w:t>2022年我单位基本支出共1975.59万元，主要用于职工的工资福利支出、五险一金支出及商品服务支出；其中人员经费1485.44万元，日常公用经费490.16万元。2021年基本支出中人员经费1352.82万元，本年比上年增加132.62万元，增幅9.80%；日常公用经费402.31万元，本年上年度增加87.85万元，增幅21.84%。主要原因是工资标准增加，人员经费增加。</w:t>
      </w:r>
    </w:p>
    <w:p w:rsidR="00150DA2" w:rsidRDefault="000D1E5F">
      <w:pPr>
        <w:pStyle w:val="aa"/>
        <w:widowControl/>
        <w:numPr>
          <w:ilvl w:val="0"/>
          <w:numId w:val="1"/>
        </w:numPr>
        <w:spacing w:line="610" w:lineRule="exact"/>
        <w:ind w:firstLine="640"/>
        <w:rPr>
          <w:rFonts w:ascii="Times New Roman" w:eastAsia="黑体" w:hAnsi="Times New Roman"/>
          <w:sz w:val="32"/>
          <w:szCs w:val="32"/>
        </w:rPr>
      </w:pPr>
      <w:r>
        <w:rPr>
          <w:rFonts w:ascii="Times New Roman" w:eastAsia="黑体" w:hAnsi="Times New Roman"/>
          <w:sz w:val="32"/>
          <w:szCs w:val="32"/>
        </w:rPr>
        <w:t>项目支出情况</w:t>
      </w:r>
    </w:p>
    <w:p w:rsidR="00150DA2" w:rsidRDefault="000D1E5F" w:rsidP="00FF191C">
      <w:pPr>
        <w:pStyle w:val="aa"/>
        <w:widowControl/>
        <w:spacing w:line="610" w:lineRule="exact"/>
        <w:ind w:leftChars="200" w:left="420" w:firstLineChars="0" w:firstLine="0"/>
        <w:rPr>
          <w:rFonts w:ascii="Times New Roman" w:eastAsia="黑体" w:hAnsi="Times New Roman"/>
          <w:sz w:val="32"/>
          <w:szCs w:val="32"/>
        </w:rPr>
      </w:pPr>
      <w:r>
        <w:rPr>
          <w:rFonts w:ascii="Times New Roman" w:eastAsia="黑体" w:hAnsi="Times New Roman" w:hint="eastAsia"/>
          <w:sz w:val="32"/>
          <w:szCs w:val="32"/>
        </w:rPr>
        <w:t xml:space="preserve"> </w:t>
      </w:r>
      <w:r>
        <w:rPr>
          <w:rFonts w:ascii="仿宋" w:eastAsia="仿宋" w:hAnsi="仿宋" w:cs="仿宋" w:hint="eastAsia"/>
          <w:b/>
          <w:bCs/>
          <w:sz w:val="32"/>
          <w:szCs w:val="32"/>
        </w:rPr>
        <w:t>1.专项资金安排落实、总投入等情况分析</w:t>
      </w:r>
    </w:p>
    <w:p w:rsidR="00150DA2" w:rsidRDefault="000D1E5F">
      <w:pPr>
        <w:spacing w:line="560" w:lineRule="exact"/>
        <w:ind w:firstLineChars="200" w:firstLine="640"/>
        <w:rPr>
          <w:rFonts w:ascii="仿宋" w:eastAsia="仿宋" w:hAnsi="仿宋" w:cs="仿宋"/>
          <w:color w:val="000000"/>
          <w:sz w:val="32"/>
          <w:szCs w:val="32"/>
          <w:shd w:val="clear" w:color="auto" w:fill="F5F9FD"/>
        </w:rPr>
      </w:pPr>
      <w:r>
        <w:rPr>
          <w:rFonts w:ascii="仿宋" w:eastAsia="仿宋" w:hAnsi="仿宋" w:cs="仿宋" w:hint="eastAsia"/>
          <w:bCs/>
          <w:sz w:val="32"/>
          <w:szCs w:val="32"/>
        </w:rPr>
        <w:t>2022</w:t>
      </w:r>
      <w:r>
        <w:rPr>
          <w:rFonts w:ascii="仿宋" w:eastAsia="仿宋" w:hAnsi="仿宋" w:cs="仿宋" w:hint="eastAsia"/>
          <w:color w:val="000000"/>
          <w:sz w:val="32"/>
          <w:szCs w:val="32"/>
          <w:shd w:val="clear" w:color="auto" w:fill="F5F9FD"/>
        </w:rPr>
        <w:t>年项目支出为4019.55万元，占总支出的72.04%，主要是项目建设支付的办公费、印刷费、差旅费、会议费、培训费、劳务费、对企事业单位的补贴、基础设施建设、拆迁补偿、大型修缮等商品和服务支出。其中商品和服务支出408.36万元,对个人和家庭的补助1597.69万元，资本性支出2013.50万元</w:t>
      </w:r>
      <w:bookmarkStart w:id="0" w:name="_GoBack"/>
      <w:bookmarkEnd w:id="0"/>
      <w:r>
        <w:rPr>
          <w:rFonts w:ascii="仿宋" w:eastAsia="仿宋" w:hAnsi="仿宋" w:cs="仿宋" w:hint="eastAsia"/>
          <w:color w:val="000000"/>
          <w:sz w:val="32"/>
          <w:szCs w:val="32"/>
          <w:shd w:val="clear" w:color="auto" w:fill="F5F9FD"/>
        </w:rPr>
        <w:t>。</w:t>
      </w:r>
    </w:p>
    <w:p w:rsidR="00150DA2" w:rsidRDefault="000D1E5F">
      <w:pPr>
        <w:spacing w:line="560"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lastRenderedPageBreak/>
        <w:t>2.专项资金实际使用情况分析</w:t>
      </w:r>
    </w:p>
    <w:p w:rsidR="00150DA2" w:rsidRDefault="000D1E5F" w:rsidP="00FF191C">
      <w:pPr>
        <w:spacing w:line="560" w:lineRule="exact"/>
        <w:ind w:firstLineChars="184" w:firstLine="589"/>
        <w:rPr>
          <w:rFonts w:ascii="仿宋" w:eastAsia="仿宋" w:hAnsi="仿宋" w:cs="仿宋"/>
          <w:bCs/>
          <w:sz w:val="32"/>
          <w:szCs w:val="32"/>
        </w:rPr>
      </w:pPr>
      <w:r>
        <w:rPr>
          <w:rFonts w:ascii="仿宋" w:eastAsia="仿宋" w:hAnsi="仿宋" w:cs="仿宋" w:hint="eastAsia"/>
          <w:bCs/>
          <w:sz w:val="32"/>
          <w:szCs w:val="32"/>
        </w:rPr>
        <w:t>2022年专项总收入4019.55万元，专项总支出4019.55万元，收支平衡，无资金结余。</w:t>
      </w:r>
    </w:p>
    <w:p w:rsidR="00150DA2" w:rsidRDefault="000D1E5F">
      <w:pPr>
        <w:spacing w:line="560"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3.专项资金管理情况分析</w:t>
      </w:r>
    </w:p>
    <w:p w:rsidR="00150DA2" w:rsidRDefault="000D1E5F">
      <w:pPr>
        <w:spacing w:line="560" w:lineRule="exact"/>
        <w:ind w:firstLineChars="200" w:firstLine="640"/>
        <w:rPr>
          <w:rFonts w:eastAsia="黑体"/>
          <w:sz w:val="32"/>
          <w:szCs w:val="32"/>
        </w:rPr>
      </w:pPr>
      <w:r>
        <w:rPr>
          <w:rFonts w:ascii="仿宋" w:eastAsia="仿宋" w:hAnsi="仿宋" w:cs="仿宋" w:hint="eastAsia"/>
          <w:color w:val="000000"/>
          <w:sz w:val="32"/>
          <w:szCs w:val="32"/>
          <w:shd w:val="clear" w:color="auto" w:fill="FFFFFF"/>
        </w:rPr>
        <w:t>为加强项目资金管理，规范</w:t>
      </w:r>
      <w:r>
        <w:rPr>
          <w:rFonts w:ascii="仿宋" w:eastAsia="仿宋" w:hAnsi="仿宋" w:cs="仿宋" w:hint="eastAsia"/>
          <w:color w:val="333333"/>
          <w:sz w:val="32"/>
          <w:szCs w:val="32"/>
          <w:shd w:val="clear" w:color="auto" w:fill="FFFFFF"/>
        </w:rPr>
        <w:t>项目资金管理行为，提高项目管理水平及项目资金使用效益，</w:t>
      </w:r>
      <w:r>
        <w:rPr>
          <w:rFonts w:ascii="仿宋" w:eastAsia="仿宋" w:hAnsi="仿宋" w:cs="仿宋" w:hint="eastAsia"/>
          <w:color w:val="000000"/>
          <w:sz w:val="32"/>
          <w:szCs w:val="32"/>
          <w:shd w:val="clear" w:color="auto" w:fill="FFFFFF"/>
        </w:rPr>
        <w:t>本部门制定了财务管理制度、项目资金管理制度、专项资金管理办法等，对项目管理职责、申报与组织实施、项目资金的管理、监督检查与验收等进行了规定，成立了工作领导小组、明确工作职责、确定责任单位、制定工作方案、项目实施细则、考核办法等。</w:t>
      </w:r>
      <w:r>
        <w:rPr>
          <w:rFonts w:ascii="仿宋" w:eastAsia="仿宋" w:hAnsi="仿宋" w:cs="仿宋" w:hint="eastAsia"/>
          <w:color w:val="333333"/>
          <w:sz w:val="32"/>
          <w:szCs w:val="32"/>
          <w:shd w:val="clear" w:color="auto" w:fill="FFFFFF"/>
        </w:rPr>
        <w:t>项目资金严格按指定用途专款专用，实行专项报告制度，并接受财政部门或上级部门的检查、验收。2022年本部门项目支出，基本能够严格按照相关制度规定等进行。</w:t>
      </w:r>
    </w:p>
    <w:p w:rsidR="00150DA2" w:rsidRDefault="000D1E5F">
      <w:pPr>
        <w:widowControl/>
        <w:spacing w:line="610" w:lineRule="exact"/>
        <w:ind w:firstLineChars="200" w:firstLine="640"/>
        <w:rPr>
          <w:rFonts w:eastAsia="黑体"/>
          <w:sz w:val="32"/>
          <w:szCs w:val="32"/>
        </w:rPr>
      </w:pPr>
      <w:r>
        <w:rPr>
          <w:rFonts w:eastAsia="黑体" w:hint="eastAsia"/>
          <w:sz w:val="32"/>
          <w:szCs w:val="32"/>
        </w:rPr>
        <w:t>四</w:t>
      </w:r>
      <w:r>
        <w:rPr>
          <w:rFonts w:eastAsia="黑体"/>
          <w:sz w:val="32"/>
          <w:szCs w:val="32"/>
        </w:rPr>
        <w:t>、部门整体支出绩效情况</w:t>
      </w:r>
    </w:p>
    <w:p w:rsidR="00150DA2" w:rsidRDefault="000D1E5F">
      <w:pPr>
        <w:spacing w:line="56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 xml:space="preserve">2022 年是本届政府的大考之年，也是东山发展史上浓墨重彩的一年。在县委、县政府和镇党委的坚强领导下，镇人大、 </w:t>
      </w:r>
    </w:p>
    <w:p w:rsidR="00150DA2" w:rsidRDefault="000D1E5F">
      <w:pPr>
        <w:spacing w:line="560" w:lineRule="exact"/>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 xml:space="preserve">政协的监督支持下，以习近平新时代中国特色社会主义思想和 </w:t>
      </w:r>
    </w:p>
    <w:p w:rsidR="00150DA2" w:rsidRDefault="000D1E5F">
      <w:pPr>
        <w:spacing w:line="560" w:lineRule="exact"/>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 xml:space="preserve">党的二十大精神为指引，认真贯彻中央、省、市、县决策部署， </w:t>
      </w:r>
    </w:p>
    <w:p w:rsidR="00150DA2" w:rsidRDefault="000D1E5F">
      <w:pPr>
        <w:spacing w:line="560" w:lineRule="exact"/>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 xml:space="preserve">有效应对“3.15”舆情危机、多轮疫情冲击、罕见高温干旱等 </w:t>
      </w:r>
    </w:p>
    <w:p w:rsidR="00150DA2" w:rsidRDefault="000D1E5F">
      <w:pPr>
        <w:spacing w:line="560" w:lineRule="exact"/>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 xml:space="preserve">多重困难挑战，全力推进东山镇“一极三镇”建设进程，稳步 </w:t>
      </w:r>
    </w:p>
    <w:p w:rsidR="00150DA2" w:rsidRDefault="000D1E5F">
      <w:pPr>
        <w:spacing w:line="560" w:lineRule="exact"/>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 xml:space="preserve">开启了东山高质量发展新篇章。 </w:t>
      </w:r>
    </w:p>
    <w:p w:rsidR="00150DA2" w:rsidRDefault="000D1E5F">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——逆势加速，项目重镇风采彰显。突出“项目为王”，</w:t>
      </w:r>
      <w:r>
        <w:rPr>
          <w:rFonts w:ascii="仿宋" w:eastAsia="仿宋" w:hAnsi="仿宋" w:cs="仿宋" w:hint="eastAsia"/>
          <w:sz w:val="32"/>
          <w:szCs w:val="32"/>
        </w:rPr>
        <w:lastRenderedPageBreak/>
        <w:t xml:space="preserve">主动抓窗口、攻切口、找接口，全方位推进两个百亿项目和 15 平方公里岳阳自贸片区华容联动创新区建设，在发展资源全面 </w:t>
      </w:r>
    </w:p>
    <w:p w:rsidR="00150DA2" w:rsidRDefault="000D1E5F">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 xml:space="preserve">紧缩的大环境下，项目建设逆势加速，成为全县年度开工项目 </w:t>
      </w:r>
    </w:p>
    <w:p w:rsidR="00150DA2" w:rsidRDefault="000D1E5F">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中块头最大、份额最重的“领头羊”。</w:t>
      </w:r>
    </w:p>
    <w:p w:rsidR="00150DA2" w:rsidRDefault="000D1E5F">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 xml:space="preserve">——产业聚力，特色小镇招牌重塑。大力推动能源经济、林下经济、田园经济、文旅产业，优质产品、特色产业向“合作共创、优势互补、强强联合”模式转变，华容道皱皮柑、兰家红松菌、桃花山竹笋、塔市驿蒸菜等地域特色产品在省、市、县影响力进一步扩大，特色小镇内涵不断丰富，乡村振兴“基座”不断夯实。 </w:t>
      </w:r>
    </w:p>
    <w:p w:rsidR="00150DA2" w:rsidRDefault="000D1E5F">
      <w:pPr>
        <w:widowControl/>
        <w:jc w:val="left"/>
        <w:rPr>
          <w:rFonts w:ascii="仿宋" w:eastAsia="仿宋" w:hAnsi="仿宋" w:cs="仿宋"/>
          <w:sz w:val="32"/>
          <w:szCs w:val="32"/>
        </w:rPr>
      </w:pPr>
      <w:r>
        <w:rPr>
          <w:rFonts w:ascii="仿宋" w:eastAsia="仿宋" w:hAnsi="仿宋" w:cs="仿宋" w:hint="eastAsia"/>
          <w:b/>
          <w:bCs/>
          <w:color w:val="000000"/>
          <w:kern w:val="0"/>
          <w:sz w:val="32"/>
          <w:szCs w:val="32"/>
        </w:rPr>
        <w:t>——生态优先，临江美镇魅力攀升。</w:t>
      </w:r>
      <w:r>
        <w:rPr>
          <w:rFonts w:ascii="仿宋" w:eastAsia="仿宋" w:hAnsi="仿宋" w:cs="仿宋" w:hint="eastAsia"/>
          <w:color w:val="000000"/>
          <w:kern w:val="0"/>
          <w:sz w:val="32"/>
          <w:szCs w:val="32"/>
        </w:rPr>
        <w:t xml:space="preserve">扎实担牢“守护好一江碧 </w:t>
      </w:r>
    </w:p>
    <w:p w:rsidR="00150DA2" w:rsidRDefault="000D1E5F">
      <w:pPr>
        <w:widowControl/>
        <w:jc w:val="left"/>
        <w:rPr>
          <w:rFonts w:ascii="仿宋" w:eastAsia="仿宋" w:hAnsi="仿宋" w:cs="仿宋"/>
          <w:sz w:val="32"/>
          <w:szCs w:val="32"/>
        </w:rPr>
      </w:pPr>
      <w:r>
        <w:rPr>
          <w:rFonts w:ascii="仿宋" w:eastAsia="仿宋" w:hAnsi="仿宋" w:cs="仿宋" w:hint="eastAsia"/>
          <w:color w:val="000000"/>
          <w:kern w:val="0"/>
          <w:sz w:val="32"/>
          <w:szCs w:val="32"/>
        </w:rPr>
        <w:t xml:space="preserve">水”的政治责任，大力推进沿江基础建设，全方位开展生态修 </w:t>
      </w:r>
    </w:p>
    <w:p w:rsidR="00150DA2" w:rsidRDefault="000D1E5F">
      <w:pPr>
        <w:widowControl/>
        <w:jc w:val="left"/>
        <w:rPr>
          <w:rFonts w:ascii="仿宋" w:eastAsia="仿宋" w:hAnsi="仿宋" w:cs="仿宋"/>
          <w:sz w:val="32"/>
          <w:szCs w:val="32"/>
        </w:rPr>
      </w:pPr>
      <w:r>
        <w:rPr>
          <w:rFonts w:ascii="仿宋" w:eastAsia="仿宋" w:hAnsi="仿宋" w:cs="仿宋" w:hint="eastAsia"/>
          <w:color w:val="000000"/>
          <w:kern w:val="0"/>
          <w:sz w:val="32"/>
          <w:szCs w:val="32"/>
        </w:rPr>
        <w:t xml:space="preserve">复，“河长”“林长”“田长”责任压紧压实，“净滩”“护 </w:t>
      </w:r>
    </w:p>
    <w:p w:rsidR="00150DA2" w:rsidRDefault="000D1E5F">
      <w:pPr>
        <w:widowControl/>
        <w:jc w:val="left"/>
        <w:rPr>
          <w:rFonts w:ascii="仿宋" w:eastAsia="仿宋" w:hAnsi="仿宋" w:cs="仿宋"/>
          <w:sz w:val="32"/>
          <w:szCs w:val="32"/>
        </w:rPr>
      </w:pPr>
      <w:r>
        <w:rPr>
          <w:rFonts w:ascii="仿宋" w:eastAsia="仿宋" w:hAnsi="仿宋" w:cs="仿宋" w:hint="eastAsia"/>
          <w:color w:val="000000"/>
          <w:kern w:val="0"/>
          <w:sz w:val="32"/>
          <w:szCs w:val="32"/>
        </w:rPr>
        <w:t xml:space="preserve">江”“禁烧”“巡山”等行动高频次开展，各部门、村（社区） </w:t>
      </w:r>
    </w:p>
    <w:p w:rsidR="00150DA2" w:rsidRDefault="000D1E5F">
      <w:pPr>
        <w:widowControl/>
        <w:jc w:val="left"/>
        <w:rPr>
          <w:rFonts w:ascii="仿宋" w:eastAsia="仿宋" w:hAnsi="仿宋" w:cs="仿宋"/>
          <w:sz w:val="32"/>
          <w:szCs w:val="32"/>
        </w:rPr>
      </w:pPr>
      <w:r>
        <w:rPr>
          <w:rFonts w:ascii="仿宋" w:eastAsia="仿宋" w:hAnsi="仿宋" w:cs="仿宋" w:hint="eastAsia"/>
          <w:color w:val="000000"/>
          <w:kern w:val="0"/>
          <w:sz w:val="32"/>
          <w:szCs w:val="32"/>
        </w:rPr>
        <w:t xml:space="preserve">和社会各界力量凝聚共识、攥指成拳，取得全镇山水林田湖草 </w:t>
      </w:r>
    </w:p>
    <w:p w:rsidR="00150DA2" w:rsidRDefault="000D1E5F">
      <w:pPr>
        <w:widowControl/>
        <w:jc w:val="left"/>
        <w:rPr>
          <w:rFonts w:ascii="仿宋" w:eastAsia="仿宋" w:hAnsi="仿宋" w:cs="仿宋"/>
          <w:sz w:val="32"/>
          <w:szCs w:val="32"/>
        </w:rPr>
      </w:pPr>
      <w:r>
        <w:rPr>
          <w:rFonts w:ascii="仿宋" w:eastAsia="仿宋" w:hAnsi="仿宋" w:cs="仿宋" w:hint="eastAsia"/>
          <w:color w:val="000000"/>
          <w:kern w:val="0"/>
          <w:sz w:val="32"/>
          <w:szCs w:val="32"/>
        </w:rPr>
        <w:t xml:space="preserve">沙一体化保护新成效，实现从“沿江首镇”向“临江美镇”转变。 </w:t>
      </w:r>
    </w:p>
    <w:p w:rsidR="00150DA2" w:rsidRDefault="000D1E5F">
      <w:pPr>
        <w:widowControl/>
        <w:jc w:val="left"/>
        <w:rPr>
          <w:rFonts w:ascii="仿宋" w:eastAsia="仿宋" w:hAnsi="仿宋" w:cs="仿宋"/>
          <w:sz w:val="32"/>
          <w:szCs w:val="32"/>
        </w:rPr>
      </w:pPr>
      <w:r>
        <w:rPr>
          <w:rFonts w:ascii="仿宋" w:eastAsia="仿宋" w:hAnsi="仿宋" w:cs="仿宋" w:hint="eastAsia"/>
          <w:b/>
          <w:bCs/>
          <w:color w:val="000000"/>
          <w:kern w:val="0"/>
          <w:sz w:val="32"/>
          <w:szCs w:val="32"/>
        </w:rPr>
        <w:t>——众志成城，合力谱写大镇担当。</w:t>
      </w:r>
      <w:r>
        <w:rPr>
          <w:rFonts w:ascii="仿宋" w:eastAsia="仿宋" w:hAnsi="仿宋" w:cs="仿宋" w:hint="eastAsia"/>
          <w:color w:val="000000"/>
          <w:kern w:val="0"/>
          <w:sz w:val="32"/>
          <w:szCs w:val="32"/>
        </w:rPr>
        <w:t xml:space="preserve">以“大乡镇应有大担 </w:t>
      </w:r>
    </w:p>
    <w:p w:rsidR="00150DA2" w:rsidRDefault="000D1E5F">
      <w:pPr>
        <w:widowControl/>
        <w:jc w:val="left"/>
        <w:rPr>
          <w:rFonts w:ascii="仿宋" w:eastAsia="仿宋" w:hAnsi="仿宋" w:cs="仿宋"/>
          <w:sz w:val="32"/>
          <w:szCs w:val="32"/>
        </w:rPr>
      </w:pPr>
      <w:r>
        <w:rPr>
          <w:rFonts w:ascii="仿宋" w:eastAsia="仿宋" w:hAnsi="仿宋" w:cs="仿宋" w:hint="eastAsia"/>
          <w:color w:val="000000"/>
          <w:kern w:val="0"/>
          <w:sz w:val="32"/>
          <w:szCs w:val="32"/>
        </w:rPr>
        <w:t xml:space="preserve">当”的坚守，全面落实防风险、保安全、护稳定责任，干部群 </w:t>
      </w:r>
    </w:p>
    <w:p w:rsidR="00150DA2" w:rsidRDefault="000D1E5F">
      <w:pPr>
        <w:widowControl/>
        <w:jc w:val="left"/>
        <w:rPr>
          <w:rFonts w:ascii="仿宋" w:eastAsia="仿宋" w:hAnsi="仿宋" w:cs="仿宋"/>
          <w:sz w:val="32"/>
          <w:szCs w:val="32"/>
        </w:rPr>
      </w:pPr>
      <w:r>
        <w:rPr>
          <w:rFonts w:ascii="仿宋" w:eastAsia="仿宋" w:hAnsi="仿宋" w:cs="仿宋" w:hint="eastAsia"/>
          <w:color w:val="000000"/>
          <w:kern w:val="0"/>
          <w:sz w:val="32"/>
          <w:szCs w:val="32"/>
        </w:rPr>
        <w:t xml:space="preserve">众齐心协力，共克时艰，高效有序应对三郎堰社区疫情和多轮 </w:t>
      </w:r>
    </w:p>
    <w:p w:rsidR="00150DA2" w:rsidRDefault="000D1E5F">
      <w:pPr>
        <w:widowControl/>
        <w:jc w:val="left"/>
        <w:rPr>
          <w:rFonts w:ascii="仿宋" w:eastAsia="仿宋" w:hAnsi="仿宋" w:cs="仿宋"/>
          <w:sz w:val="32"/>
          <w:szCs w:val="32"/>
        </w:rPr>
      </w:pPr>
      <w:r>
        <w:rPr>
          <w:rFonts w:ascii="仿宋" w:eastAsia="仿宋" w:hAnsi="仿宋" w:cs="仿宋" w:hint="eastAsia"/>
          <w:color w:val="000000"/>
          <w:kern w:val="0"/>
          <w:sz w:val="32"/>
          <w:szCs w:val="32"/>
        </w:rPr>
        <w:t xml:space="preserve">涉疫区域人员输入；抗旱保收调度科学，确保了“大旱之年无 </w:t>
      </w:r>
    </w:p>
    <w:p w:rsidR="00150DA2" w:rsidRDefault="000D1E5F">
      <w:pPr>
        <w:widowControl/>
        <w:jc w:val="left"/>
        <w:rPr>
          <w:rFonts w:ascii="仿宋" w:eastAsia="仿宋" w:hAnsi="仿宋" w:cs="仿宋"/>
          <w:sz w:val="32"/>
          <w:szCs w:val="32"/>
        </w:rPr>
      </w:pPr>
      <w:r>
        <w:rPr>
          <w:rFonts w:ascii="仿宋" w:eastAsia="仿宋" w:hAnsi="仿宋" w:cs="仿宋" w:hint="eastAsia"/>
          <w:color w:val="000000"/>
          <w:kern w:val="0"/>
          <w:sz w:val="32"/>
          <w:szCs w:val="32"/>
        </w:rPr>
        <w:lastRenderedPageBreak/>
        <w:t xml:space="preserve">大灾”；全年无重大及以上森林火灾和安全事故；特护期信访 </w:t>
      </w:r>
    </w:p>
    <w:p w:rsidR="00150DA2" w:rsidRDefault="000D1E5F">
      <w:pPr>
        <w:widowControl/>
        <w:jc w:val="left"/>
        <w:rPr>
          <w:rFonts w:ascii="仿宋" w:eastAsia="仿宋" w:hAnsi="仿宋" w:cs="仿宋"/>
          <w:sz w:val="32"/>
          <w:szCs w:val="32"/>
        </w:rPr>
      </w:pPr>
      <w:r>
        <w:rPr>
          <w:rFonts w:ascii="仿宋" w:eastAsia="仿宋" w:hAnsi="仿宋" w:cs="仿宋" w:hint="eastAsia"/>
          <w:color w:val="000000"/>
          <w:kern w:val="0"/>
          <w:sz w:val="32"/>
          <w:szCs w:val="32"/>
        </w:rPr>
        <w:t xml:space="preserve">维稳实现“三个不发生、五个无”目标，全镇政治安全、社会 </w:t>
      </w:r>
    </w:p>
    <w:p w:rsidR="00150DA2" w:rsidRDefault="000D1E5F">
      <w:pPr>
        <w:widowControl/>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安全的局面持续巩固。</w:t>
      </w:r>
    </w:p>
    <w:p w:rsidR="00150DA2" w:rsidRDefault="000D1E5F">
      <w:pPr>
        <w:widowControl/>
        <w:ind w:firstLineChars="200" w:firstLine="640"/>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 xml:space="preserve">一年来，以稳中求快、难中求成的坚定决心，紧扣镇党委 </w:t>
      </w:r>
    </w:p>
    <w:p w:rsidR="00150DA2" w:rsidRDefault="000D1E5F">
      <w:pPr>
        <w:widowControl/>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 xml:space="preserve">“一三五”工作思路和 50 件民生实事，重点抓实了以下工作： </w:t>
      </w:r>
    </w:p>
    <w:p w:rsidR="00150DA2" w:rsidRDefault="000D1E5F">
      <w:pPr>
        <w:widowControl/>
        <w:jc w:val="left"/>
        <w:rPr>
          <w:rFonts w:ascii="仿宋" w:eastAsia="仿宋" w:hAnsi="仿宋" w:cs="仿宋"/>
          <w:color w:val="000000"/>
          <w:kern w:val="0"/>
          <w:sz w:val="32"/>
          <w:szCs w:val="32"/>
        </w:rPr>
      </w:pPr>
      <w:r>
        <w:rPr>
          <w:rFonts w:ascii="仿宋" w:eastAsia="仿宋" w:hAnsi="仿宋" w:cs="仿宋" w:hint="eastAsia"/>
          <w:b/>
          <w:bCs/>
          <w:color w:val="000000"/>
          <w:kern w:val="0"/>
          <w:sz w:val="32"/>
          <w:szCs w:val="32"/>
        </w:rPr>
        <w:t>一、聚焦项目建设，发展快车蓄能积势</w:t>
      </w:r>
      <w:r>
        <w:rPr>
          <w:rFonts w:ascii="仿宋" w:eastAsia="仿宋" w:hAnsi="仿宋" w:cs="仿宋" w:hint="eastAsia"/>
          <w:color w:val="000000"/>
          <w:kern w:val="0"/>
          <w:sz w:val="32"/>
          <w:szCs w:val="32"/>
        </w:rPr>
        <w:t xml:space="preserve"> </w:t>
      </w:r>
    </w:p>
    <w:p w:rsidR="00150DA2" w:rsidRDefault="000D1E5F">
      <w:pPr>
        <w:widowControl/>
        <w:ind w:firstLineChars="200" w:firstLine="640"/>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 xml:space="preserve">全力以赴推动项目建设，奋力推动县域新增长极建设。重 </w:t>
      </w:r>
    </w:p>
    <w:p w:rsidR="00150DA2" w:rsidRDefault="000D1E5F">
      <w:pPr>
        <w:widowControl/>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 xml:space="preserve">点项目“破冰突围”。国能岳阳电厂项目进入封闭式施工阶段， </w:t>
      </w:r>
    </w:p>
    <w:p w:rsidR="00150DA2" w:rsidRDefault="000D1E5F">
      <w:pPr>
        <w:widowControl/>
        <w:jc w:val="left"/>
        <w:rPr>
          <w:rFonts w:ascii="仿宋" w:eastAsia="仿宋" w:hAnsi="仿宋" w:cs="仿宋"/>
          <w:sz w:val="32"/>
          <w:szCs w:val="32"/>
        </w:rPr>
      </w:pPr>
      <w:r>
        <w:rPr>
          <w:rFonts w:ascii="仿宋" w:eastAsia="仿宋" w:hAnsi="仿宋" w:cs="仿宋" w:hint="eastAsia"/>
          <w:color w:val="000000"/>
          <w:kern w:val="0"/>
          <w:sz w:val="32"/>
          <w:szCs w:val="32"/>
        </w:rPr>
        <w:t xml:space="preserve">预计明年 6 月份完成主体建设，配套产业园即将启动征拆；铁水联运煤炭储配基地项目铁路启动铺轨建设，物流园启动场平；华容电厂—洞庭 I、II 回 500kV 线路工程、电厂长江引水项目正在施工。既定项目“涅槃重生”。洪山头工业园完成 300 亩征地拆迁及场平工作，塔市驿深水码头 83.6 亩征地任务全面启动，洪山头天字一号码头预计明年 5 月份完成建设，桃花山风力发电进入有序运营阶段，利华跨江公铁两用大桥项目纳入议事日程。 </w:t>
      </w:r>
    </w:p>
    <w:p w:rsidR="00150DA2" w:rsidRDefault="000D1E5F">
      <w:pPr>
        <w:widowControl/>
        <w:jc w:val="left"/>
        <w:rPr>
          <w:rFonts w:ascii="仿宋" w:eastAsia="仿宋" w:hAnsi="仿宋" w:cs="仿宋"/>
          <w:b/>
          <w:bCs/>
          <w:sz w:val="32"/>
          <w:szCs w:val="32"/>
        </w:rPr>
      </w:pPr>
      <w:r>
        <w:rPr>
          <w:rFonts w:ascii="仿宋" w:eastAsia="仿宋" w:hAnsi="仿宋" w:cs="仿宋" w:hint="eastAsia"/>
          <w:b/>
          <w:bCs/>
          <w:color w:val="000000"/>
          <w:kern w:val="0"/>
          <w:sz w:val="32"/>
          <w:szCs w:val="32"/>
        </w:rPr>
        <w:t xml:space="preserve">二、聚焦产业培育，振兴渠道拓宽加固 </w:t>
      </w:r>
    </w:p>
    <w:p w:rsidR="00150DA2" w:rsidRDefault="000D1E5F">
      <w:pPr>
        <w:widowControl/>
        <w:ind w:firstLineChars="200" w:firstLine="640"/>
        <w:jc w:val="left"/>
        <w:rPr>
          <w:rFonts w:ascii="仿宋" w:eastAsia="仿宋" w:hAnsi="仿宋" w:cs="仿宋"/>
          <w:sz w:val="32"/>
          <w:szCs w:val="32"/>
        </w:rPr>
      </w:pPr>
      <w:r>
        <w:rPr>
          <w:rFonts w:ascii="仿宋" w:eastAsia="仿宋" w:hAnsi="仿宋" w:cs="仿宋" w:hint="eastAsia"/>
          <w:color w:val="000000"/>
          <w:kern w:val="0"/>
          <w:sz w:val="32"/>
          <w:szCs w:val="32"/>
        </w:rPr>
        <w:t>坚持挖掘新产业、升级旧产业、扶强好产业。</w:t>
      </w:r>
      <w:r>
        <w:rPr>
          <w:rFonts w:ascii="仿宋" w:eastAsia="仿宋" w:hAnsi="仿宋" w:cs="仿宋" w:hint="eastAsia"/>
          <w:b/>
          <w:bCs/>
          <w:color w:val="000000"/>
          <w:kern w:val="0"/>
          <w:sz w:val="32"/>
          <w:szCs w:val="32"/>
        </w:rPr>
        <w:t xml:space="preserve">粮食生产“底 </w:t>
      </w:r>
    </w:p>
    <w:p w:rsidR="00150DA2" w:rsidRDefault="000D1E5F">
      <w:pPr>
        <w:widowControl/>
        <w:jc w:val="left"/>
        <w:rPr>
          <w:rFonts w:ascii="仿宋" w:eastAsia="仿宋" w:hAnsi="仿宋" w:cs="仿宋"/>
          <w:sz w:val="32"/>
          <w:szCs w:val="32"/>
        </w:rPr>
      </w:pPr>
      <w:r>
        <w:rPr>
          <w:rFonts w:ascii="仿宋" w:eastAsia="仿宋" w:hAnsi="仿宋" w:cs="仿宋" w:hint="eastAsia"/>
          <w:b/>
          <w:bCs/>
          <w:color w:val="000000"/>
          <w:kern w:val="0"/>
          <w:sz w:val="32"/>
          <w:szCs w:val="32"/>
        </w:rPr>
        <w:t>板加固”。</w:t>
      </w:r>
      <w:r>
        <w:rPr>
          <w:rFonts w:ascii="仿宋" w:eastAsia="仿宋" w:hAnsi="仿宋" w:cs="仿宋" w:hint="eastAsia"/>
          <w:color w:val="000000"/>
          <w:kern w:val="0"/>
          <w:sz w:val="32"/>
          <w:szCs w:val="32"/>
        </w:rPr>
        <w:t xml:space="preserve">积极培育新型经营主体，积极推广早稻集中育秧、 </w:t>
      </w:r>
    </w:p>
    <w:p w:rsidR="00150DA2" w:rsidRDefault="000D1E5F">
      <w:pPr>
        <w:widowControl/>
        <w:jc w:val="left"/>
        <w:rPr>
          <w:rFonts w:ascii="仿宋" w:eastAsia="仿宋" w:hAnsi="仿宋" w:cs="仿宋"/>
          <w:sz w:val="32"/>
          <w:szCs w:val="32"/>
        </w:rPr>
      </w:pPr>
      <w:r>
        <w:rPr>
          <w:rFonts w:ascii="仿宋" w:eastAsia="仿宋" w:hAnsi="仿宋" w:cs="仿宋" w:hint="eastAsia"/>
          <w:color w:val="000000"/>
          <w:kern w:val="0"/>
          <w:sz w:val="32"/>
          <w:szCs w:val="32"/>
        </w:rPr>
        <w:t xml:space="preserve">统防统治、代耕代种、联耕联种等社会化服务。大力推动桃花 </w:t>
      </w:r>
    </w:p>
    <w:p w:rsidR="00150DA2" w:rsidRDefault="000D1E5F">
      <w:pPr>
        <w:widowControl/>
        <w:jc w:val="left"/>
        <w:rPr>
          <w:rFonts w:ascii="仿宋" w:eastAsia="仿宋" w:hAnsi="仿宋" w:cs="仿宋"/>
          <w:sz w:val="32"/>
          <w:szCs w:val="32"/>
        </w:rPr>
      </w:pPr>
      <w:r>
        <w:rPr>
          <w:rFonts w:ascii="仿宋" w:eastAsia="仿宋" w:hAnsi="仿宋" w:cs="仿宋" w:hint="eastAsia"/>
          <w:color w:val="000000"/>
          <w:kern w:val="0"/>
          <w:sz w:val="32"/>
          <w:szCs w:val="32"/>
        </w:rPr>
        <w:lastRenderedPageBreak/>
        <w:t xml:space="preserve">山村、白果树村耕地高质量发展；规划打造长岗庙村、关山村、 </w:t>
      </w:r>
    </w:p>
    <w:p w:rsidR="00150DA2" w:rsidRDefault="000D1E5F">
      <w:pPr>
        <w:widowControl/>
        <w:jc w:val="left"/>
        <w:rPr>
          <w:rFonts w:ascii="仿宋" w:eastAsia="仿宋" w:hAnsi="仿宋" w:cs="仿宋"/>
          <w:sz w:val="32"/>
          <w:szCs w:val="32"/>
        </w:rPr>
      </w:pPr>
      <w:r>
        <w:rPr>
          <w:rFonts w:ascii="仿宋" w:eastAsia="仿宋" w:hAnsi="仿宋" w:cs="仿宋" w:hint="eastAsia"/>
          <w:color w:val="000000"/>
          <w:kern w:val="0"/>
          <w:sz w:val="32"/>
          <w:szCs w:val="32"/>
        </w:rPr>
        <w:t xml:space="preserve">天井山村、牌坊村、佛寺村、东旭村、仙鹅寺村、华容道村万 </w:t>
      </w:r>
    </w:p>
    <w:p w:rsidR="00150DA2" w:rsidRDefault="000D1E5F">
      <w:pPr>
        <w:widowControl/>
        <w:jc w:val="left"/>
        <w:rPr>
          <w:rFonts w:ascii="仿宋" w:eastAsia="仿宋" w:hAnsi="仿宋" w:cs="仿宋"/>
          <w:sz w:val="32"/>
          <w:szCs w:val="32"/>
        </w:rPr>
      </w:pPr>
      <w:r>
        <w:rPr>
          <w:rFonts w:ascii="仿宋" w:eastAsia="仿宋" w:hAnsi="仿宋" w:cs="仿宋" w:hint="eastAsia"/>
          <w:color w:val="000000"/>
          <w:kern w:val="0"/>
          <w:sz w:val="32"/>
          <w:szCs w:val="32"/>
        </w:rPr>
        <w:t>亩双季稻示范板块；投资 2000 万元的高标准农田建设项目全面完成，年度粮食种植任务超额完成，粮食安全进一步巩固。</w:t>
      </w:r>
      <w:r>
        <w:rPr>
          <w:rFonts w:ascii="仿宋" w:eastAsia="仿宋" w:hAnsi="仿宋" w:cs="仿宋" w:hint="eastAsia"/>
          <w:b/>
          <w:bCs/>
          <w:color w:val="000000"/>
          <w:kern w:val="0"/>
          <w:sz w:val="32"/>
          <w:szCs w:val="32"/>
        </w:rPr>
        <w:t>芥菜产业“全面翻新”。</w:t>
      </w:r>
      <w:r>
        <w:rPr>
          <w:rFonts w:ascii="仿宋" w:eastAsia="仿宋" w:hAnsi="仿宋" w:cs="仿宋" w:hint="eastAsia"/>
          <w:color w:val="000000"/>
          <w:kern w:val="0"/>
          <w:sz w:val="32"/>
          <w:szCs w:val="32"/>
        </w:rPr>
        <w:t>完成 30 口腌制池选址工作，采取以奖代投的方式，全面调动种植户积极性。目前，全镇芥菜种植面积达 2500 亩，并与华容县新一家食品有限公司和华容县华丰食品有限公司签订收购协议。</w:t>
      </w:r>
      <w:r>
        <w:rPr>
          <w:rFonts w:ascii="仿宋" w:eastAsia="仿宋" w:hAnsi="仿宋" w:cs="仿宋" w:hint="eastAsia"/>
          <w:b/>
          <w:bCs/>
          <w:color w:val="000000"/>
          <w:kern w:val="0"/>
          <w:sz w:val="32"/>
          <w:szCs w:val="32"/>
        </w:rPr>
        <w:t>文化旅游“破茧成蝶”。</w:t>
      </w:r>
      <w:r>
        <w:rPr>
          <w:rFonts w:ascii="仿宋" w:eastAsia="仿宋" w:hAnsi="仿宋" w:cs="仿宋" w:hint="eastAsia"/>
          <w:color w:val="000000"/>
          <w:kern w:val="0"/>
          <w:sz w:val="32"/>
          <w:szCs w:val="32"/>
        </w:rPr>
        <w:t xml:space="preserve">利用融媒体平台广泛宣传雷打岩、易家岭民宿、云梦塔、塔市驿康养基地和蛋子山等景点，效果良好，周末旅游人次显著增加；为讲好东山故事，对境内千年银杏树、明碧山革命纪念地、云梦塔等较为成熟的景点进行服务升级，着重培养了一批以镇、村干部为主的解说员；精心制作了展现东山底蕴和风貌的宣传片，谱写的歌曲《东山向未来》，在省市县引起高度关注。 </w:t>
      </w:r>
    </w:p>
    <w:p w:rsidR="00150DA2" w:rsidRDefault="000D1E5F">
      <w:pPr>
        <w:widowControl/>
        <w:jc w:val="left"/>
        <w:rPr>
          <w:rFonts w:ascii="仿宋" w:eastAsia="仿宋" w:hAnsi="仿宋" w:cs="仿宋"/>
          <w:b/>
          <w:bCs/>
          <w:sz w:val="32"/>
          <w:szCs w:val="32"/>
        </w:rPr>
      </w:pPr>
      <w:r>
        <w:rPr>
          <w:rFonts w:ascii="仿宋" w:eastAsia="仿宋" w:hAnsi="仿宋" w:cs="仿宋" w:hint="eastAsia"/>
          <w:b/>
          <w:bCs/>
          <w:color w:val="000000"/>
          <w:kern w:val="0"/>
          <w:sz w:val="32"/>
          <w:szCs w:val="32"/>
        </w:rPr>
        <w:t xml:space="preserve">三、聚焦环境治理，生态优先深入人心 </w:t>
      </w:r>
    </w:p>
    <w:p w:rsidR="00150DA2" w:rsidRDefault="000D1E5F">
      <w:pPr>
        <w:widowControl/>
        <w:ind w:firstLineChars="200" w:firstLine="640"/>
        <w:jc w:val="left"/>
        <w:rPr>
          <w:rFonts w:ascii="仿宋" w:eastAsia="仿宋" w:hAnsi="仿宋" w:cs="仿宋"/>
          <w:sz w:val="32"/>
          <w:szCs w:val="32"/>
        </w:rPr>
      </w:pPr>
      <w:r>
        <w:rPr>
          <w:rFonts w:ascii="仿宋" w:eastAsia="仿宋" w:hAnsi="仿宋" w:cs="仿宋" w:hint="eastAsia"/>
          <w:color w:val="000000"/>
          <w:kern w:val="0"/>
          <w:sz w:val="32"/>
          <w:szCs w:val="32"/>
        </w:rPr>
        <w:t xml:space="preserve">坚持共抓大保护、不搞大开发，“绿水青山就是金山银山” </w:t>
      </w:r>
    </w:p>
    <w:p w:rsidR="00150DA2" w:rsidRDefault="000D1E5F">
      <w:pPr>
        <w:widowControl/>
        <w:jc w:val="left"/>
        <w:rPr>
          <w:rFonts w:ascii="仿宋" w:eastAsia="仿宋" w:hAnsi="仿宋" w:cs="仿宋"/>
          <w:sz w:val="32"/>
          <w:szCs w:val="32"/>
        </w:rPr>
      </w:pPr>
      <w:r>
        <w:rPr>
          <w:rFonts w:ascii="仿宋" w:eastAsia="仿宋" w:hAnsi="仿宋" w:cs="仿宋" w:hint="eastAsia"/>
          <w:color w:val="000000"/>
          <w:kern w:val="0"/>
          <w:sz w:val="32"/>
          <w:szCs w:val="32"/>
        </w:rPr>
        <w:t>理念与镇域发展深度融合。</w:t>
      </w:r>
      <w:r>
        <w:rPr>
          <w:rFonts w:ascii="仿宋" w:eastAsia="仿宋" w:hAnsi="仿宋" w:cs="仿宋" w:hint="eastAsia"/>
          <w:b/>
          <w:bCs/>
          <w:color w:val="000000"/>
          <w:kern w:val="0"/>
          <w:sz w:val="32"/>
          <w:szCs w:val="32"/>
        </w:rPr>
        <w:t>沿江生态向好向优。</w:t>
      </w:r>
      <w:r>
        <w:rPr>
          <w:rFonts w:ascii="仿宋" w:eastAsia="仿宋" w:hAnsi="仿宋" w:cs="仿宋" w:hint="eastAsia"/>
          <w:color w:val="000000"/>
          <w:kern w:val="0"/>
          <w:sz w:val="32"/>
          <w:szCs w:val="32"/>
        </w:rPr>
        <w:t xml:space="preserve">完成了 7 处长江沿线排渍口整治，水质达到了三类标准；长江“十年禁捕” </w:t>
      </w:r>
    </w:p>
    <w:p w:rsidR="00150DA2" w:rsidRDefault="000D1E5F">
      <w:pPr>
        <w:widowControl/>
        <w:jc w:val="left"/>
        <w:rPr>
          <w:rFonts w:ascii="仿宋" w:eastAsia="仿宋" w:hAnsi="仿宋" w:cs="仿宋"/>
          <w:sz w:val="32"/>
          <w:szCs w:val="32"/>
        </w:rPr>
      </w:pPr>
      <w:r>
        <w:rPr>
          <w:rFonts w:ascii="仿宋" w:eastAsia="仿宋" w:hAnsi="仿宋" w:cs="仿宋" w:hint="eastAsia"/>
          <w:color w:val="000000"/>
          <w:kern w:val="0"/>
          <w:sz w:val="32"/>
          <w:szCs w:val="32"/>
        </w:rPr>
        <w:t xml:space="preserve">持续推进，全年共销毁捕鱼电瓶 5 台，虾笼 260 个，鱼竿 650 </w:t>
      </w:r>
    </w:p>
    <w:p w:rsidR="00150DA2" w:rsidRDefault="000D1E5F">
      <w:pPr>
        <w:widowControl/>
        <w:jc w:val="left"/>
        <w:rPr>
          <w:rFonts w:ascii="仿宋" w:eastAsia="仿宋" w:hAnsi="仿宋" w:cs="仿宋"/>
          <w:sz w:val="32"/>
          <w:szCs w:val="32"/>
        </w:rPr>
      </w:pPr>
      <w:r>
        <w:rPr>
          <w:rFonts w:ascii="仿宋" w:eastAsia="仿宋" w:hAnsi="仿宋" w:cs="仿宋" w:hint="eastAsia"/>
          <w:color w:val="000000"/>
          <w:kern w:val="0"/>
          <w:sz w:val="32"/>
          <w:szCs w:val="32"/>
        </w:rPr>
        <w:lastRenderedPageBreak/>
        <w:t>根。</w:t>
      </w:r>
      <w:r>
        <w:rPr>
          <w:rFonts w:ascii="仿宋" w:eastAsia="仿宋" w:hAnsi="仿宋" w:cs="仿宋" w:hint="eastAsia"/>
          <w:b/>
          <w:bCs/>
          <w:color w:val="000000"/>
          <w:kern w:val="0"/>
          <w:sz w:val="32"/>
          <w:szCs w:val="32"/>
        </w:rPr>
        <w:t>环境卫生走深走实。</w:t>
      </w:r>
      <w:r>
        <w:rPr>
          <w:rFonts w:ascii="仿宋" w:eastAsia="仿宋" w:hAnsi="仿宋" w:cs="仿宋" w:hint="eastAsia"/>
          <w:color w:val="000000"/>
          <w:kern w:val="0"/>
          <w:sz w:val="32"/>
          <w:szCs w:val="32"/>
        </w:rPr>
        <w:t>扎实开展垃圾清零行动，实现 25 个村（社区）全覆盖，卫生死角全面销号；对照“统一采购、统一施工、统一验收”标准，全年完成 516 个新厕建设、330 个问题厕所整改，厕所革命、污水治理全面铺开；深入推进垃圾池（围）拆除工作，300 个垃圾池（围）拆除和 600 个垃圾桶添置任务全面完成。</w:t>
      </w:r>
      <w:r>
        <w:rPr>
          <w:rFonts w:ascii="仿宋" w:eastAsia="仿宋" w:hAnsi="仿宋" w:cs="仿宋" w:hint="eastAsia"/>
          <w:b/>
          <w:bCs/>
          <w:color w:val="000000"/>
          <w:kern w:val="0"/>
          <w:sz w:val="32"/>
          <w:szCs w:val="32"/>
        </w:rPr>
        <w:t>环境质量提质提标。</w:t>
      </w:r>
      <w:r>
        <w:rPr>
          <w:rFonts w:ascii="仿宋" w:eastAsia="仿宋" w:hAnsi="仿宋" w:cs="仿宋" w:hint="eastAsia"/>
          <w:color w:val="000000"/>
          <w:kern w:val="0"/>
          <w:sz w:val="32"/>
          <w:szCs w:val="32"/>
        </w:rPr>
        <w:t xml:space="preserve">在全镇范围内开展养殖场环保问题专项整治行动，对 25 家养殖场逐户上门签订承诺书，完成华容道养鸡场、烟灯村养猪场整体退出及周边环境复绿工作，并顺利通过省级验收。 </w:t>
      </w:r>
    </w:p>
    <w:p w:rsidR="00150DA2" w:rsidRDefault="000D1E5F">
      <w:pPr>
        <w:widowControl/>
        <w:jc w:val="left"/>
        <w:rPr>
          <w:rFonts w:ascii="仿宋" w:eastAsia="仿宋" w:hAnsi="仿宋" w:cs="仿宋"/>
          <w:b/>
          <w:bCs/>
          <w:sz w:val="32"/>
          <w:szCs w:val="32"/>
        </w:rPr>
      </w:pPr>
      <w:r>
        <w:rPr>
          <w:rFonts w:ascii="仿宋" w:eastAsia="仿宋" w:hAnsi="仿宋" w:cs="仿宋" w:hint="eastAsia"/>
          <w:b/>
          <w:bCs/>
          <w:color w:val="000000"/>
          <w:kern w:val="0"/>
          <w:sz w:val="32"/>
          <w:szCs w:val="32"/>
        </w:rPr>
        <w:t xml:space="preserve">四、聚焦为民服务，民生保障持续升温 </w:t>
      </w:r>
    </w:p>
    <w:p w:rsidR="00150DA2" w:rsidRDefault="000D1E5F">
      <w:pPr>
        <w:widowControl/>
        <w:ind w:firstLineChars="200" w:firstLine="643"/>
        <w:jc w:val="left"/>
        <w:rPr>
          <w:rFonts w:ascii="仿宋" w:eastAsia="仿宋" w:hAnsi="仿宋" w:cs="仿宋"/>
          <w:sz w:val="32"/>
          <w:szCs w:val="32"/>
        </w:rPr>
      </w:pPr>
      <w:r>
        <w:rPr>
          <w:rFonts w:ascii="仿宋" w:eastAsia="仿宋" w:hAnsi="仿宋" w:cs="仿宋" w:hint="eastAsia"/>
          <w:b/>
          <w:bCs/>
          <w:color w:val="000000"/>
          <w:kern w:val="0"/>
          <w:sz w:val="32"/>
          <w:szCs w:val="32"/>
        </w:rPr>
        <w:t>基础建设更加完善。</w:t>
      </w:r>
      <w:r>
        <w:rPr>
          <w:rFonts w:ascii="仿宋" w:eastAsia="仿宋" w:hAnsi="仿宋" w:cs="仿宋" w:hint="eastAsia"/>
          <w:color w:val="000000"/>
          <w:kern w:val="0"/>
          <w:sz w:val="32"/>
          <w:szCs w:val="32"/>
        </w:rPr>
        <w:t>全力推动G240和三郎堰集镇黑化工程，完成 9.6 公里村级公路建设、3 座危桥改造；塔市驿中心小学教学楼整体维修加固，三郎小学综合楼、学生食堂新建使用，洪山头中心小学办学条件改善。</w:t>
      </w:r>
      <w:r>
        <w:rPr>
          <w:rFonts w:ascii="仿宋" w:eastAsia="仿宋" w:hAnsi="仿宋" w:cs="仿宋" w:hint="eastAsia"/>
          <w:b/>
          <w:bCs/>
          <w:color w:val="000000"/>
          <w:kern w:val="0"/>
          <w:sz w:val="32"/>
          <w:szCs w:val="32"/>
        </w:rPr>
        <w:t>便民服务更加全面。</w:t>
      </w:r>
      <w:r>
        <w:rPr>
          <w:rFonts w:ascii="仿宋" w:eastAsia="仿宋" w:hAnsi="仿宋" w:cs="仿宋" w:hint="eastAsia"/>
          <w:color w:val="000000"/>
          <w:kern w:val="0"/>
          <w:sz w:val="32"/>
          <w:szCs w:val="32"/>
        </w:rPr>
        <w:t>实现农村合作医疗、最低生活保障和义务教育全覆盖；65 岁以上老人和重大慢性病患者免费体检、农村妇女“两癌”筛查受益人数达 7000 人；“一网通办”“一窗受理”全面普及，全年办件 53224件，“一门式”工作位居全县前列。</w:t>
      </w:r>
      <w:r>
        <w:rPr>
          <w:rFonts w:ascii="仿宋" w:eastAsia="仿宋" w:hAnsi="仿宋" w:cs="仿宋" w:hint="eastAsia"/>
          <w:b/>
          <w:bCs/>
          <w:color w:val="000000"/>
          <w:kern w:val="0"/>
          <w:sz w:val="32"/>
          <w:szCs w:val="32"/>
        </w:rPr>
        <w:t>社会管理更加精细。</w:t>
      </w:r>
      <w:r>
        <w:rPr>
          <w:rFonts w:ascii="仿宋" w:eastAsia="仿宋" w:hAnsi="仿宋" w:cs="仿宋" w:hint="eastAsia"/>
          <w:color w:val="000000"/>
          <w:kern w:val="0"/>
          <w:sz w:val="32"/>
          <w:szCs w:val="32"/>
        </w:rPr>
        <w:t>安全生产检查工作机制全面完善，重点行业、重点领域、重点部位的监督管理迈向精准化、规范化；信访处置机</w:t>
      </w:r>
      <w:r>
        <w:rPr>
          <w:rFonts w:ascii="仿宋" w:eastAsia="仿宋" w:hAnsi="仿宋" w:cs="仿宋" w:hint="eastAsia"/>
          <w:color w:val="000000"/>
          <w:kern w:val="0"/>
          <w:sz w:val="32"/>
          <w:szCs w:val="32"/>
        </w:rPr>
        <w:lastRenderedPageBreak/>
        <w:t xml:space="preserve">制进一步完善，干部坐班接访、带案下访、主动约访常态化、长效化，历经十年的“三跨三分离”杨军信访事件成功得到化解；社会治安综合治理能力增强，重大网络舆情化解处理水平提升，“一村一 辅警”持续实施，采购 10 台治安巡逻摩托车，有效扩大巡逻面，扫黑除恶、禁毒反诈成效显著。 </w:t>
      </w:r>
    </w:p>
    <w:p w:rsidR="00150DA2" w:rsidRDefault="000D1E5F">
      <w:pPr>
        <w:widowControl/>
        <w:jc w:val="left"/>
        <w:rPr>
          <w:rFonts w:ascii="仿宋" w:eastAsia="仿宋" w:hAnsi="仿宋" w:cs="仿宋"/>
          <w:b/>
          <w:bCs/>
          <w:sz w:val="32"/>
          <w:szCs w:val="32"/>
        </w:rPr>
      </w:pPr>
      <w:r>
        <w:rPr>
          <w:rFonts w:ascii="仿宋" w:eastAsia="仿宋" w:hAnsi="仿宋" w:cs="仿宋" w:hint="eastAsia"/>
          <w:b/>
          <w:bCs/>
          <w:color w:val="000000"/>
          <w:kern w:val="0"/>
          <w:sz w:val="32"/>
          <w:szCs w:val="32"/>
        </w:rPr>
        <w:t xml:space="preserve">五、聚焦大战大考，服务大局不遗余力 </w:t>
      </w:r>
    </w:p>
    <w:p w:rsidR="00150DA2" w:rsidRDefault="000D1E5F">
      <w:pPr>
        <w:widowControl/>
        <w:ind w:firstLineChars="200" w:firstLine="640"/>
        <w:jc w:val="left"/>
        <w:rPr>
          <w:rFonts w:ascii="仿宋" w:eastAsia="仿宋" w:hAnsi="仿宋" w:cs="仿宋"/>
          <w:sz w:val="32"/>
          <w:szCs w:val="32"/>
        </w:rPr>
      </w:pPr>
      <w:r>
        <w:rPr>
          <w:rFonts w:ascii="仿宋" w:eastAsia="仿宋" w:hAnsi="仿宋" w:cs="仿宋" w:hint="eastAsia"/>
          <w:color w:val="000000"/>
          <w:kern w:val="0"/>
          <w:sz w:val="32"/>
          <w:szCs w:val="32"/>
        </w:rPr>
        <w:t>坚持以一镇之力为大局添彩。</w:t>
      </w:r>
      <w:r>
        <w:rPr>
          <w:rFonts w:ascii="仿宋" w:eastAsia="仿宋" w:hAnsi="仿宋" w:cs="仿宋" w:hint="eastAsia"/>
          <w:b/>
          <w:bCs/>
          <w:color w:val="000000"/>
          <w:kern w:val="0"/>
          <w:sz w:val="32"/>
          <w:szCs w:val="32"/>
        </w:rPr>
        <w:t>全力阻隔疫情。</w:t>
      </w:r>
      <w:r>
        <w:rPr>
          <w:rFonts w:ascii="仿宋" w:eastAsia="仿宋" w:hAnsi="仿宋" w:cs="仿宋" w:hint="eastAsia"/>
          <w:color w:val="000000"/>
          <w:kern w:val="0"/>
          <w:sz w:val="32"/>
          <w:szCs w:val="32"/>
        </w:rPr>
        <w:t xml:space="preserve">通过压实“五 </w:t>
      </w:r>
    </w:p>
    <w:p w:rsidR="00150DA2" w:rsidRDefault="000D1E5F">
      <w:pPr>
        <w:widowControl/>
        <w:jc w:val="left"/>
        <w:rPr>
          <w:rFonts w:ascii="仿宋" w:eastAsia="仿宋" w:hAnsi="仿宋" w:cs="仿宋"/>
          <w:sz w:val="32"/>
          <w:szCs w:val="32"/>
        </w:rPr>
      </w:pPr>
      <w:r>
        <w:rPr>
          <w:rFonts w:ascii="仿宋" w:eastAsia="仿宋" w:hAnsi="仿宋" w:cs="仿宋" w:hint="eastAsia"/>
          <w:color w:val="000000"/>
          <w:kern w:val="0"/>
          <w:sz w:val="32"/>
          <w:szCs w:val="32"/>
        </w:rPr>
        <w:t xml:space="preserve">包一”责任制，加强涉风险地区人员摸排管控，推进疫苗接种， </w:t>
      </w:r>
    </w:p>
    <w:p w:rsidR="00150DA2" w:rsidRDefault="000D1E5F">
      <w:pPr>
        <w:widowControl/>
        <w:jc w:val="left"/>
        <w:rPr>
          <w:rFonts w:ascii="仿宋" w:eastAsia="仿宋" w:hAnsi="仿宋" w:cs="仿宋"/>
          <w:sz w:val="32"/>
          <w:szCs w:val="32"/>
        </w:rPr>
      </w:pPr>
      <w:r>
        <w:rPr>
          <w:rFonts w:ascii="仿宋" w:eastAsia="仿宋" w:hAnsi="仿宋" w:cs="仿宋" w:hint="eastAsia"/>
          <w:color w:val="000000"/>
          <w:kern w:val="0"/>
          <w:sz w:val="32"/>
          <w:szCs w:val="32"/>
        </w:rPr>
        <w:t>全面实现“疫情要防住、经济要稳住”目标。</w:t>
      </w:r>
      <w:r>
        <w:rPr>
          <w:rFonts w:ascii="仿宋" w:eastAsia="仿宋" w:hAnsi="仿宋" w:cs="仿宋" w:hint="eastAsia"/>
          <w:b/>
          <w:bCs/>
          <w:color w:val="000000"/>
          <w:kern w:val="0"/>
          <w:sz w:val="32"/>
          <w:szCs w:val="32"/>
        </w:rPr>
        <w:t xml:space="preserve">全力抗旱保收。 </w:t>
      </w:r>
    </w:p>
    <w:p w:rsidR="00150DA2" w:rsidRDefault="000D1E5F">
      <w:pPr>
        <w:widowControl/>
        <w:jc w:val="left"/>
        <w:rPr>
          <w:rFonts w:ascii="仿宋" w:eastAsia="仿宋" w:hAnsi="仿宋" w:cs="仿宋"/>
          <w:sz w:val="32"/>
          <w:szCs w:val="32"/>
        </w:rPr>
      </w:pPr>
      <w:r>
        <w:rPr>
          <w:rFonts w:ascii="仿宋" w:eastAsia="仿宋" w:hAnsi="仿宋" w:cs="仿宋" w:hint="eastAsia"/>
          <w:color w:val="000000"/>
          <w:kern w:val="0"/>
          <w:sz w:val="32"/>
          <w:szCs w:val="32"/>
        </w:rPr>
        <w:t xml:space="preserve">采取“八大举措”，科学引水提水管水，实现“居民饮水有保 </w:t>
      </w:r>
    </w:p>
    <w:p w:rsidR="00150DA2" w:rsidRDefault="000D1E5F">
      <w:pPr>
        <w:widowControl/>
        <w:jc w:val="left"/>
        <w:rPr>
          <w:rFonts w:ascii="仿宋" w:eastAsia="仿宋" w:hAnsi="仿宋" w:cs="仿宋"/>
          <w:sz w:val="32"/>
          <w:szCs w:val="32"/>
        </w:rPr>
      </w:pPr>
      <w:r>
        <w:rPr>
          <w:rFonts w:ascii="仿宋" w:eastAsia="仿宋" w:hAnsi="仿宋" w:cs="仿宋" w:hint="eastAsia"/>
          <w:color w:val="000000"/>
          <w:kern w:val="0"/>
          <w:sz w:val="32"/>
          <w:szCs w:val="32"/>
        </w:rPr>
        <w:t>障，农业灌溉能满足”的目标。</w:t>
      </w:r>
      <w:r>
        <w:rPr>
          <w:rFonts w:ascii="仿宋" w:eastAsia="仿宋" w:hAnsi="仿宋" w:cs="仿宋" w:hint="eastAsia"/>
          <w:b/>
          <w:bCs/>
          <w:color w:val="000000"/>
          <w:kern w:val="0"/>
          <w:sz w:val="32"/>
          <w:szCs w:val="32"/>
        </w:rPr>
        <w:t>全力排查清底。</w:t>
      </w:r>
      <w:r>
        <w:rPr>
          <w:rFonts w:ascii="仿宋" w:eastAsia="仿宋" w:hAnsi="仿宋" w:cs="仿宋" w:hint="eastAsia"/>
          <w:color w:val="000000"/>
          <w:kern w:val="0"/>
          <w:sz w:val="32"/>
          <w:szCs w:val="32"/>
        </w:rPr>
        <w:t xml:space="preserve">深入推进自建 </w:t>
      </w:r>
    </w:p>
    <w:p w:rsidR="00150DA2" w:rsidRDefault="000D1E5F">
      <w:pPr>
        <w:widowControl/>
        <w:jc w:val="left"/>
        <w:rPr>
          <w:rFonts w:ascii="仿宋" w:eastAsia="仿宋" w:hAnsi="仿宋" w:cs="仿宋"/>
          <w:sz w:val="32"/>
          <w:szCs w:val="32"/>
        </w:rPr>
      </w:pPr>
      <w:r>
        <w:rPr>
          <w:rFonts w:ascii="仿宋" w:eastAsia="仿宋" w:hAnsi="仿宋" w:cs="仿宋" w:hint="eastAsia"/>
          <w:color w:val="000000"/>
          <w:kern w:val="0"/>
          <w:sz w:val="32"/>
          <w:szCs w:val="32"/>
        </w:rPr>
        <w:t xml:space="preserve">房摸排工作，完成 18821 户住房普查任务，完成 55 户安全隐患房屋的改造和整修，住房安全得到进一步保障。 </w:t>
      </w:r>
    </w:p>
    <w:p w:rsidR="00150DA2" w:rsidRDefault="000D1E5F">
      <w:pPr>
        <w:pStyle w:val="aa"/>
        <w:widowControl/>
        <w:spacing w:line="610" w:lineRule="exact"/>
        <w:ind w:firstLine="640"/>
        <w:rPr>
          <w:rFonts w:ascii="Times New Roman" w:eastAsia="黑体" w:hAnsi="Times New Roman"/>
          <w:sz w:val="32"/>
          <w:szCs w:val="32"/>
        </w:rPr>
      </w:pPr>
      <w:r>
        <w:rPr>
          <w:rFonts w:ascii="Times New Roman" w:eastAsia="黑体" w:hAnsi="Times New Roman" w:hint="eastAsia"/>
          <w:sz w:val="32"/>
          <w:szCs w:val="32"/>
        </w:rPr>
        <w:t>五</w:t>
      </w:r>
      <w:r>
        <w:rPr>
          <w:rFonts w:ascii="Times New Roman" w:eastAsia="黑体" w:hAnsi="Times New Roman"/>
          <w:sz w:val="32"/>
          <w:szCs w:val="32"/>
        </w:rPr>
        <w:t>、存在的问题及原因分析</w:t>
      </w:r>
    </w:p>
    <w:p w:rsidR="00150DA2" w:rsidRDefault="000D1E5F">
      <w:pPr>
        <w:pStyle w:val="a7"/>
        <w:widowControl/>
        <w:shd w:val="clear" w:color="auto" w:fill="FFFFFF"/>
        <w:spacing w:beforeAutospacing="0" w:afterAutospacing="0" w:line="33" w:lineRule="atLeast"/>
        <w:ind w:firstLineChars="200" w:firstLine="640"/>
        <w:jc w:val="both"/>
        <w:rPr>
          <w:rFonts w:ascii="仿宋" w:eastAsia="仿宋" w:hAnsi="仿宋" w:cs="仿宋"/>
          <w:color w:val="000000"/>
          <w:kern w:val="2"/>
          <w:sz w:val="32"/>
          <w:szCs w:val="32"/>
          <w:shd w:val="clear" w:color="auto" w:fill="FFFFFF"/>
        </w:rPr>
      </w:pPr>
      <w:r>
        <w:rPr>
          <w:rFonts w:ascii="仿宋" w:eastAsia="仿宋" w:hAnsi="仿宋" w:cs="仿宋" w:hint="eastAsia"/>
          <w:color w:val="000000"/>
          <w:kern w:val="2"/>
          <w:sz w:val="32"/>
          <w:szCs w:val="32"/>
          <w:shd w:val="clear" w:color="auto" w:fill="FFFFFF"/>
        </w:rPr>
        <w:t>1.预算绩效指标体系存在进一步完善的空间，我单位现建立的各项预算绩效目标指标仍有不科学、不细致的地方，影响了预算绩效评价的结果。</w:t>
      </w:r>
    </w:p>
    <w:p w:rsidR="00150DA2" w:rsidRDefault="000D1E5F">
      <w:pPr>
        <w:pStyle w:val="a7"/>
        <w:widowControl/>
        <w:shd w:val="clear" w:color="auto" w:fill="FFFFFF"/>
        <w:spacing w:beforeAutospacing="0" w:afterAutospacing="0" w:line="33" w:lineRule="atLeast"/>
        <w:ind w:firstLineChars="200" w:firstLine="640"/>
        <w:jc w:val="both"/>
        <w:rPr>
          <w:rFonts w:ascii="仿宋" w:eastAsia="仿宋" w:hAnsi="仿宋" w:cs="仿宋"/>
          <w:color w:val="000000"/>
          <w:kern w:val="2"/>
          <w:sz w:val="32"/>
          <w:szCs w:val="32"/>
          <w:shd w:val="clear" w:color="auto" w:fill="FFFFFF"/>
        </w:rPr>
      </w:pPr>
      <w:r>
        <w:rPr>
          <w:rFonts w:ascii="仿宋" w:eastAsia="仿宋" w:hAnsi="仿宋" w:cs="仿宋" w:hint="eastAsia"/>
          <w:color w:val="000000"/>
          <w:kern w:val="2"/>
          <w:sz w:val="32"/>
          <w:szCs w:val="32"/>
          <w:shd w:val="clear" w:color="auto" w:fill="FFFFFF"/>
        </w:rPr>
        <w:t>2.预算绩效管理经验需要进一步积累。因为预算绩效管理工作具有政策性强、专业性强、涉及面广、操作难度大等特点，经验不足，导致工作多走许多弯路，影响工作效果</w:t>
      </w:r>
    </w:p>
    <w:p w:rsidR="00150DA2" w:rsidRDefault="000D1E5F">
      <w:pPr>
        <w:widowControl/>
        <w:spacing w:line="610" w:lineRule="exact"/>
        <w:ind w:firstLineChars="200" w:firstLine="640"/>
        <w:rPr>
          <w:rFonts w:eastAsia="黑体"/>
          <w:sz w:val="32"/>
          <w:szCs w:val="32"/>
        </w:rPr>
      </w:pPr>
      <w:r>
        <w:rPr>
          <w:rFonts w:eastAsia="黑体" w:hint="eastAsia"/>
          <w:sz w:val="32"/>
          <w:szCs w:val="32"/>
        </w:rPr>
        <w:lastRenderedPageBreak/>
        <w:t>六</w:t>
      </w:r>
      <w:r>
        <w:rPr>
          <w:rFonts w:eastAsia="黑体"/>
          <w:sz w:val="32"/>
          <w:szCs w:val="32"/>
        </w:rPr>
        <w:t>、下一步改进措施</w:t>
      </w:r>
    </w:p>
    <w:p w:rsidR="00150DA2" w:rsidRDefault="000D1E5F">
      <w:pPr>
        <w:pStyle w:val="2"/>
        <w:ind w:leftChars="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我单位应立足实际，坚持推行精细化管理，强化预算绩效目标管理、细化绩效目标，并将绩效目标细化分解为具体工作计划，同时，计划应明确规定在一定时间内完成的目标、任务和和应达到的要求，任务和要求应具体明确任务数量、质量。建立健全财政各项资金管理制度，严格执行财务管理制度，做到了财务处理及时，会计核算规范，严格按照计划进度支付。各项目资金严格实行专款专用，保证更规范严要求使用资金。在下年度的预算编制工作中，我们会时刻跟踪项目的进度，更好地完成预算资金，做好绩效评价工作。</w:t>
      </w:r>
    </w:p>
    <w:p w:rsidR="00150DA2" w:rsidRDefault="00150DA2" w:rsidP="00FF191C">
      <w:pPr>
        <w:pStyle w:val="2"/>
        <w:ind w:left="420"/>
      </w:pPr>
    </w:p>
    <w:p w:rsidR="00150DA2" w:rsidRDefault="00150DA2">
      <w:pPr>
        <w:widowControl/>
        <w:spacing w:line="560" w:lineRule="exact"/>
        <w:ind w:firstLineChars="200" w:firstLine="640"/>
        <w:rPr>
          <w:rFonts w:eastAsia="仿宋_GB2312"/>
          <w:sz w:val="32"/>
          <w:szCs w:val="32"/>
        </w:rPr>
      </w:pPr>
    </w:p>
    <w:p w:rsidR="00150DA2" w:rsidRDefault="00150DA2">
      <w:pPr>
        <w:spacing w:line="560" w:lineRule="exact"/>
        <w:jc w:val="left"/>
        <w:outlineLvl w:val="0"/>
        <w:rPr>
          <w:rFonts w:ascii="仿宋_GB2312" w:eastAsia="仿宋_GB2312"/>
          <w:sz w:val="32"/>
          <w:szCs w:val="32"/>
        </w:rPr>
        <w:sectPr w:rsidR="00150DA2">
          <w:footerReference w:type="default" r:id="rId8"/>
          <w:pgSz w:w="11906" w:h="16838"/>
          <w:pgMar w:top="1984" w:right="1701" w:bottom="1984" w:left="1701" w:header="851" w:footer="992" w:gutter="0"/>
          <w:cols w:space="0"/>
          <w:docGrid w:type="lines" w:linePitch="312"/>
        </w:sectPr>
      </w:pPr>
    </w:p>
    <w:p w:rsidR="00150DA2" w:rsidRDefault="00150DA2">
      <w:pPr>
        <w:widowControl/>
        <w:spacing w:line="610" w:lineRule="exact"/>
        <w:ind w:firstLineChars="200" w:firstLine="640"/>
        <w:rPr>
          <w:rFonts w:ascii="仿宋_GB2312" w:eastAsia="仿宋_GB2312"/>
          <w:sz w:val="32"/>
          <w:szCs w:val="32"/>
        </w:rPr>
      </w:pPr>
    </w:p>
    <w:sectPr w:rsidR="00150DA2" w:rsidSect="00150DA2">
      <w:pgSz w:w="11906" w:h="16838"/>
      <w:pgMar w:top="1984" w:right="1701" w:bottom="1984" w:left="1701"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3CDE" w:rsidRDefault="00103CDE" w:rsidP="00150DA2">
      <w:r>
        <w:separator/>
      </w:r>
    </w:p>
  </w:endnote>
  <w:endnote w:type="continuationSeparator" w:id="0">
    <w:p w:rsidR="00103CDE" w:rsidRDefault="00103CDE" w:rsidP="00150D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embedRegular r:id="rId1" w:subsetted="1" w:fontKey="{F49AF144-5779-4F09-AFE6-3C07398AECE7}"/>
  </w:font>
  <w:font w:name="Calibri">
    <w:panose1 w:val="020F0502020204030204"/>
    <w:charset w:val="00"/>
    <w:family w:val="swiss"/>
    <w:pitch w:val="variable"/>
    <w:sig w:usb0="E00002FF" w:usb1="4000ACFF" w:usb2="00000001" w:usb3="00000000" w:csb0="0000019F" w:csb1="00000000"/>
    <w:embedRegular r:id="rId2" w:fontKey="{5E92C17D-98A7-4D68-A3E5-0D7B718BFC25}"/>
  </w:font>
  <w:font w:name="方正小标宋简体">
    <w:altName w:val="仿宋_GB2312"/>
    <w:charset w:val="86"/>
    <w:family w:val="auto"/>
    <w:pitch w:val="default"/>
    <w:sig w:usb0="00000000" w:usb1="00000000" w:usb2="00000000" w:usb3="00000000" w:csb0="00040000" w:csb1="00000000"/>
    <w:embedRegular r:id="rId3" w:subsetted="1" w:fontKey="{694212C0-8EBF-4AE5-A2BA-90E066BF1306}"/>
  </w:font>
  <w:font w:name="新宋体">
    <w:panose1 w:val="02010609030101010101"/>
    <w:charset w:val="86"/>
    <w:family w:val="modern"/>
    <w:pitch w:val="fixed"/>
    <w:sig w:usb0="00000003" w:usb1="288F0000" w:usb2="00000016" w:usb3="00000000" w:csb0="00040001" w:csb1="00000000"/>
    <w:embedRegular r:id="rId4" w:subsetted="1" w:fontKey="{CBB38A3D-054B-4BB8-A866-6883992939F8}"/>
    <w:embedBold r:id="rId5" w:subsetted="1" w:fontKey="{A43FD8D2-1607-4820-8FD7-2D26973344AA}"/>
  </w:font>
  <w:font w:name="仿宋_GB2312">
    <w:charset w:val="86"/>
    <w:family w:val="auto"/>
    <w:pitch w:val="default"/>
    <w:sig w:usb0="00000001" w:usb1="080E0000" w:usb2="00000000" w:usb3="00000000" w:csb0="00040000" w:csb1="00000000"/>
    <w:embedRegular r:id="rId6" w:subsetted="1" w:fontKey="{4B23B8B9-C863-4B7E-894F-23A5D11748D6}"/>
  </w:font>
  <w:font w:name="方正小标宋_GBK">
    <w:altName w:val="hakuyoxingshu7000"/>
    <w:charset w:val="86"/>
    <w:family w:val="script"/>
    <w:pitch w:val="default"/>
    <w:sig w:usb0="00000001" w:usb1="080E0000" w:usb2="00000000" w:usb3="00000000" w:csb0="00040000" w:csb1="00000000"/>
  </w:font>
  <w:font w:name="楷体_GB2312">
    <w:charset w:val="86"/>
    <w:family w:val="auto"/>
    <w:pitch w:val="default"/>
    <w:sig w:usb0="00000001" w:usb1="080E0000" w:usb2="00000000" w:usb3="00000000" w:csb0="00040000" w:csb1="00000000"/>
    <w:embedRegular r:id="rId7" w:subsetted="1" w:fontKey="{F28540AE-C230-4F4C-B5E6-5E54938DFEDF}"/>
  </w:font>
  <w:font w:name="仿宋">
    <w:panose1 w:val="02010609060101010101"/>
    <w:charset w:val="86"/>
    <w:family w:val="modern"/>
    <w:pitch w:val="fixed"/>
    <w:sig w:usb0="800002BF" w:usb1="38CF7CFA" w:usb2="00000016" w:usb3="00000000" w:csb0="00040001" w:csb1="00000000"/>
    <w:embedRegular r:id="rId8" w:subsetted="1" w:fontKey="{F032750B-11AA-407D-827B-CD9648F6462C}"/>
    <w:embedBold r:id="rId9" w:subsetted="1" w:fontKey="{AF008A9F-0071-43B2-B853-1552F7350504}"/>
  </w:font>
  <w:font w:name="Cambria">
    <w:panose1 w:val="02040503050406030204"/>
    <w:charset w:val="00"/>
    <w:family w:val="roman"/>
    <w:pitch w:val="variable"/>
    <w:sig w:usb0="E00002FF" w:usb1="400004FF" w:usb2="00000000" w:usb3="00000000" w:csb0="0000019F" w:csb1="00000000"/>
    <w:embedRegular r:id="rId10" w:fontKey="{FF3862D7-089B-4A82-9E14-6D312D1EF91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DA2" w:rsidRDefault="00150DA2">
    <w:pPr>
      <w:pStyle w:val="a4"/>
      <w:jc w:val="right"/>
      <w:rPr>
        <w:rFonts w:ascii="仿宋_GB2312" w:eastAsia="仿宋_GB2312"/>
        <w:sz w:val="28"/>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3CDE" w:rsidRDefault="00103CDE" w:rsidP="00150DA2">
      <w:r>
        <w:separator/>
      </w:r>
    </w:p>
  </w:footnote>
  <w:footnote w:type="continuationSeparator" w:id="0">
    <w:p w:rsidR="00103CDE" w:rsidRDefault="00103CDE" w:rsidP="00150D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685A951"/>
    <w:multiLevelType w:val="singleLevel"/>
    <w:tmpl w:val="E685A951"/>
    <w:lvl w:ilvl="0">
      <w:start w:val="1"/>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TrueTypeFonts/>
  <w:bordersDoNotSurroundHeader/>
  <w:bordersDoNotSurroundFooter/>
  <w:proofState w:spelling="clean"/>
  <w:defaultTabStop w:val="420"/>
  <w:drawingGridVerticalSpacing w:val="156"/>
  <w:noPunctuationKerning/>
  <w:characterSpacingControl w:val="compressPunctuation"/>
  <w:noLineBreaksAfter w:lang="zh-CN" w:val="$([{£¥·‘“〈《「『【〔〖〝﹙﹛﹝＄（．［｛￡￥"/>
  <w:noLineBreaksBefore w:lang="zh-CN" w:val="!%),.:;&gt;?]}¢¨°·ˇˉ―‖’”…‰′″›℃∶、。〃〉》」』】〕〗〞︶︺︾﹀﹄﹚﹜﹞！＂％＇），．：；？］｀｜｝～￠"/>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nderlineTabInNumList/>
  </w:compat>
  <w:docVars>
    <w:docVar w:name="commondata" w:val="eyJoZGlkIjoiM2EzMTc3YjllNTI5Y2UyNTk5ZWVjZGQyYjJmYTkwZjcifQ=="/>
  </w:docVars>
  <w:rsids>
    <w:rsidRoot w:val="0CCB7736"/>
    <w:rsid w:val="00047FEF"/>
    <w:rsid w:val="000A3906"/>
    <w:rsid w:val="000D1E5F"/>
    <w:rsid w:val="00103CDE"/>
    <w:rsid w:val="00150DA2"/>
    <w:rsid w:val="001776F1"/>
    <w:rsid w:val="00182462"/>
    <w:rsid w:val="00400A01"/>
    <w:rsid w:val="006F0A16"/>
    <w:rsid w:val="00773328"/>
    <w:rsid w:val="00821883"/>
    <w:rsid w:val="00917857"/>
    <w:rsid w:val="00A755C2"/>
    <w:rsid w:val="00C74B6A"/>
    <w:rsid w:val="00FF191C"/>
    <w:rsid w:val="016A347B"/>
    <w:rsid w:val="02B50488"/>
    <w:rsid w:val="0338470A"/>
    <w:rsid w:val="034822A9"/>
    <w:rsid w:val="03D86621"/>
    <w:rsid w:val="04EE6171"/>
    <w:rsid w:val="05395EA9"/>
    <w:rsid w:val="06C07969"/>
    <w:rsid w:val="0ABD557B"/>
    <w:rsid w:val="0BBB5A8D"/>
    <w:rsid w:val="0BC159E2"/>
    <w:rsid w:val="0C104906"/>
    <w:rsid w:val="0CCB7736"/>
    <w:rsid w:val="0D9E0E8D"/>
    <w:rsid w:val="0EAB7397"/>
    <w:rsid w:val="0EF755B3"/>
    <w:rsid w:val="0F17035E"/>
    <w:rsid w:val="0F4E168D"/>
    <w:rsid w:val="11404466"/>
    <w:rsid w:val="11963ADD"/>
    <w:rsid w:val="11EB0F5C"/>
    <w:rsid w:val="11F20483"/>
    <w:rsid w:val="131756F5"/>
    <w:rsid w:val="136F31F8"/>
    <w:rsid w:val="138750E0"/>
    <w:rsid w:val="15A620D3"/>
    <w:rsid w:val="16A3369E"/>
    <w:rsid w:val="178536BD"/>
    <w:rsid w:val="19516372"/>
    <w:rsid w:val="19575CC2"/>
    <w:rsid w:val="19A80228"/>
    <w:rsid w:val="1A101464"/>
    <w:rsid w:val="1AB74849"/>
    <w:rsid w:val="1AC52FF2"/>
    <w:rsid w:val="1AE6175D"/>
    <w:rsid w:val="1B742AA7"/>
    <w:rsid w:val="1CA34935"/>
    <w:rsid w:val="1D5A640E"/>
    <w:rsid w:val="1F7640EC"/>
    <w:rsid w:val="20D76C5F"/>
    <w:rsid w:val="21057490"/>
    <w:rsid w:val="214A230E"/>
    <w:rsid w:val="21B052C4"/>
    <w:rsid w:val="22FF5445"/>
    <w:rsid w:val="238D0E57"/>
    <w:rsid w:val="24256710"/>
    <w:rsid w:val="251E7983"/>
    <w:rsid w:val="260D5D83"/>
    <w:rsid w:val="274C6D50"/>
    <w:rsid w:val="27543200"/>
    <w:rsid w:val="284A2254"/>
    <w:rsid w:val="292F1467"/>
    <w:rsid w:val="29786927"/>
    <w:rsid w:val="297B51B4"/>
    <w:rsid w:val="29E40467"/>
    <w:rsid w:val="29F527E2"/>
    <w:rsid w:val="2B054C74"/>
    <w:rsid w:val="2BF35971"/>
    <w:rsid w:val="2C487650"/>
    <w:rsid w:val="2E387AD1"/>
    <w:rsid w:val="2E4F43C0"/>
    <w:rsid w:val="2EC7368E"/>
    <w:rsid w:val="30FB4B41"/>
    <w:rsid w:val="31621165"/>
    <w:rsid w:val="323C5548"/>
    <w:rsid w:val="32597306"/>
    <w:rsid w:val="329F4483"/>
    <w:rsid w:val="33D93B09"/>
    <w:rsid w:val="37450F88"/>
    <w:rsid w:val="37D6106F"/>
    <w:rsid w:val="38F862EB"/>
    <w:rsid w:val="39343807"/>
    <w:rsid w:val="39887BBC"/>
    <w:rsid w:val="3A53023B"/>
    <w:rsid w:val="3AF42D2D"/>
    <w:rsid w:val="3B3A041F"/>
    <w:rsid w:val="3B59279F"/>
    <w:rsid w:val="3BAE6BF9"/>
    <w:rsid w:val="3C8B67A1"/>
    <w:rsid w:val="3CA4104C"/>
    <w:rsid w:val="3CCA47F2"/>
    <w:rsid w:val="3CDE0708"/>
    <w:rsid w:val="3D5877DF"/>
    <w:rsid w:val="3DC55CAA"/>
    <w:rsid w:val="3DD556CA"/>
    <w:rsid w:val="3F450429"/>
    <w:rsid w:val="40226C80"/>
    <w:rsid w:val="40C451A5"/>
    <w:rsid w:val="4156470B"/>
    <w:rsid w:val="41630D72"/>
    <w:rsid w:val="41943ACE"/>
    <w:rsid w:val="425D4066"/>
    <w:rsid w:val="43173FD4"/>
    <w:rsid w:val="44143822"/>
    <w:rsid w:val="44654A12"/>
    <w:rsid w:val="457C5F26"/>
    <w:rsid w:val="49CF255F"/>
    <w:rsid w:val="4B2C5DCD"/>
    <w:rsid w:val="4B7D1173"/>
    <w:rsid w:val="4C150E22"/>
    <w:rsid w:val="4C6A38FC"/>
    <w:rsid w:val="4C773D77"/>
    <w:rsid w:val="4CE74BC3"/>
    <w:rsid w:val="4CF5000E"/>
    <w:rsid w:val="4DB17672"/>
    <w:rsid w:val="50AC44C4"/>
    <w:rsid w:val="50EA6DB9"/>
    <w:rsid w:val="51CA7471"/>
    <w:rsid w:val="521C2FA3"/>
    <w:rsid w:val="522529B2"/>
    <w:rsid w:val="53910AF4"/>
    <w:rsid w:val="555952B3"/>
    <w:rsid w:val="556B5A36"/>
    <w:rsid w:val="55AF40BB"/>
    <w:rsid w:val="56B94FF6"/>
    <w:rsid w:val="56F72F7C"/>
    <w:rsid w:val="57D83DFC"/>
    <w:rsid w:val="586243BF"/>
    <w:rsid w:val="58FD3402"/>
    <w:rsid w:val="59F60B1C"/>
    <w:rsid w:val="5AAF7799"/>
    <w:rsid w:val="5B5C1753"/>
    <w:rsid w:val="5E134100"/>
    <w:rsid w:val="5F7A1C50"/>
    <w:rsid w:val="601C4AB5"/>
    <w:rsid w:val="60BE691E"/>
    <w:rsid w:val="61444403"/>
    <w:rsid w:val="62123D64"/>
    <w:rsid w:val="62265BDF"/>
    <w:rsid w:val="62E1699A"/>
    <w:rsid w:val="63CD5B11"/>
    <w:rsid w:val="64147F0D"/>
    <w:rsid w:val="64342361"/>
    <w:rsid w:val="64D66362"/>
    <w:rsid w:val="65860217"/>
    <w:rsid w:val="667E0AA1"/>
    <w:rsid w:val="66FA4F74"/>
    <w:rsid w:val="68FB17C3"/>
    <w:rsid w:val="695F12F9"/>
    <w:rsid w:val="69636C3A"/>
    <w:rsid w:val="69CF7B2C"/>
    <w:rsid w:val="6A0B0004"/>
    <w:rsid w:val="6BA1010E"/>
    <w:rsid w:val="6CE47E41"/>
    <w:rsid w:val="6CED5810"/>
    <w:rsid w:val="6CF92413"/>
    <w:rsid w:val="6DFE5E04"/>
    <w:rsid w:val="6E87203D"/>
    <w:rsid w:val="6F9278BB"/>
    <w:rsid w:val="71572F19"/>
    <w:rsid w:val="719B7427"/>
    <w:rsid w:val="724A6793"/>
    <w:rsid w:val="741F26FA"/>
    <w:rsid w:val="74470DF8"/>
    <w:rsid w:val="75FD1676"/>
    <w:rsid w:val="799536BA"/>
    <w:rsid w:val="7B170752"/>
    <w:rsid w:val="7B2C1554"/>
    <w:rsid w:val="7B8F681B"/>
    <w:rsid w:val="7DD96C0E"/>
    <w:rsid w:val="7E474F7B"/>
    <w:rsid w:val="7E522459"/>
    <w:rsid w:val="7E8F7AC1"/>
    <w:rsid w:val="7E951A7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unhideWhenUsed="0" w:qFormat="1"/>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nhideWhenUsed="0" w:qFormat="1"/>
    <w:lsdException w:name="Body Text Indent" w:semiHidden="0" w:uiPriority="0" w:unhideWhenUsed="0" w:qFormat="1"/>
    <w:lsdException w:name="Subtitle" w:locked="1" w:semiHidden="0" w:uiPriority="0" w:unhideWhenUsed="0" w:qFormat="1"/>
    <w:lsdException w:name="Body Text First Indent 2" w:semiHidden="0" w:uiPriority="0" w:unhideWhenUsed="0" w:qFormat="1"/>
    <w:lsdException w:name="Strong" w:locked="1" w:semiHidden="0" w:uiPriority="0" w:unhideWhenUsed="0" w:qFormat="1"/>
    <w:lsdException w:name="Emphasis" w:locked="1" w:semiHidden="0" w:uiPriority="0" w:unhideWhenUsed="0" w:qFormat="1"/>
    <w:lsdException w:name="Normal (Web)" w:qFormat="1"/>
    <w:lsdException w:name="Normal Table" w:qFormat="1"/>
    <w:lsdException w:name="Table Grid"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150DA2"/>
    <w:pPr>
      <w:widowControl w:val="0"/>
      <w:jc w:val="both"/>
    </w:pPr>
    <w:rPr>
      <w:kern w:val="2"/>
      <w:sz w:val="21"/>
      <w:szCs w:val="24"/>
    </w:rPr>
  </w:style>
  <w:style w:type="paragraph" w:styleId="1">
    <w:name w:val="heading 1"/>
    <w:basedOn w:val="a"/>
    <w:next w:val="a"/>
    <w:qFormat/>
    <w:locked/>
    <w:rsid w:val="00150DA2"/>
    <w:pPr>
      <w:keepNext/>
      <w:keepLines/>
      <w:outlineLvl w:val="0"/>
    </w:pPr>
    <w:rPr>
      <w:rFonts w:eastAsia="黑体"/>
      <w:bCs/>
      <w:kern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rsid w:val="00150DA2"/>
    <w:pPr>
      <w:spacing w:before="100" w:beforeAutospacing="1" w:after="0"/>
      <w:ind w:left="0" w:firstLineChars="200" w:firstLine="420"/>
    </w:pPr>
    <w:rPr>
      <w:rFonts w:ascii="Calibri" w:hAnsi="Calibri"/>
    </w:rPr>
  </w:style>
  <w:style w:type="paragraph" w:styleId="a3">
    <w:name w:val="Body Text Indent"/>
    <w:basedOn w:val="a"/>
    <w:qFormat/>
    <w:rsid w:val="00150DA2"/>
    <w:pPr>
      <w:spacing w:after="120"/>
      <w:ind w:leftChars="200" w:left="420"/>
    </w:pPr>
  </w:style>
  <w:style w:type="paragraph" w:styleId="a4">
    <w:name w:val="footer"/>
    <w:basedOn w:val="a"/>
    <w:link w:val="Char"/>
    <w:uiPriority w:val="99"/>
    <w:qFormat/>
    <w:rsid w:val="00150DA2"/>
    <w:pPr>
      <w:tabs>
        <w:tab w:val="center" w:pos="4153"/>
        <w:tab w:val="right" w:pos="8306"/>
      </w:tabs>
      <w:snapToGrid w:val="0"/>
      <w:jc w:val="left"/>
    </w:pPr>
    <w:rPr>
      <w:sz w:val="18"/>
      <w:szCs w:val="18"/>
    </w:rPr>
  </w:style>
  <w:style w:type="paragraph" w:styleId="a5">
    <w:name w:val="header"/>
    <w:basedOn w:val="a"/>
    <w:link w:val="Char0"/>
    <w:uiPriority w:val="99"/>
    <w:qFormat/>
    <w:rsid w:val="00150DA2"/>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0">
    <w:name w:val="toc 1"/>
    <w:basedOn w:val="a"/>
    <w:next w:val="a"/>
    <w:qFormat/>
    <w:rsid w:val="00150DA2"/>
  </w:style>
  <w:style w:type="paragraph" w:styleId="a6">
    <w:name w:val="footnote text"/>
    <w:basedOn w:val="a"/>
    <w:next w:val="a"/>
    <w:qFormat/>
    <w:rsid w:val="00150DA2"/>
    <w:pPr>
      <w:snapToGrid w:val="0"/>
      <w:jc w:val="left"/>
    </w:pPr>
    <w:rPr>
      <w:sz w:val="18"/>
      <w:szCs w:val="18"/>
    </w:rPr>
  </w:style>
  <w:style w:type="paragraph" w:styleId="a7">
    <w:name w:val="Normal (Web)"/>
    <w:basedOn w:val="a"/>
    <w:uiPriority w:val="99"/>
    <w:semiHidden/>
    <w:unhideWhenUsed/>
    <w:qFormat/>
    <w:rsid w:val="00150DA2"/>
    <w:pPr>
      <w:spacing w:beforeAutospacing="1" w:afterAutospacing="1"/>
      <w:jc w:val="left"/>
    </w:pPr>
    <w:rPr>
      <w:kern w:val="0"/>
      <w:sz w:val="24"/>
    </w:rPr>
  </w:style>
  <w:style w:type="table" w:styleId="a8">
    <w:name w:val="Table Grid"/>
    <w:basedOn w:val="a1"/>
    <w:uiPriority w:val="99"/>
    <w:qFormat/>
    <w:rsid w:val="00150DA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age number"/>
    <w:basedOn w:val="a0"/>
    <w:uiPriority w:val="99"/>
    <w:qFormat/>
    <w:rsid w:val="00150DA2"/>
    <w:rPr>
      <w:rFonts w:cs="Times New Roman"/>
    </w:rPr>
  </w:style>
  <w:style w:type="character" w:customStyle="1" w:styleId="Char">
    <w:name w:val="页脚 Char"/>
    <w:basedOn w:val="a0"/>
    <w:link w:val="a4"/>
    <w:uiPriority w:val="99"/>
    <w:semiHidden/>
    <w:qFormat/>
    <w:rsid w:val="00150DA2"/>
    <w:rPr>
      <w:sz w:val="18"/>
      <w:szCs w:val="18"/>
    </w:rPr>
  </w:style>
  <w:style w:type="character" w:customStyle="1" w:styleId="Char0">
    <w:name w:val="页眉 Char"/>
    <w:basedOn w:val="a0"/>
    <w:link w:val="a5"/>
    <w:uiPriority w:val="99"/>
    <w:semiHidden/>
    <w:qFormat/>
    <w:rsid w:val="00150DA2"/>
    <w:rPr>
      <w:sz w:val="18"/>
      <w:szCs w:val="18"/>
    </w:rPr>
  </w:style>
  <w:style w:type="paragraph" w:styleId="aa">
    <w:name w:val="List Paragraph"/>
    <w:basedOn w:val="a"/>
    <w:uiPriority w:val="99"/>
    <w:qFormat/>
    <w:rsid w:val="00150DA2"/>
    <w:pPr>
      <w:ind w:firstLineChars="200" w:firstLine="420"/>
    </w:pPr>
    <w:rPr>
      <w:rFonts w:ascii="Calibri" w:hAnsi="Calibri"/>
      <w:szCs w:val="2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1001</Words>
  <Characters>5706</Characters>
  <Application>Microsoft Office Word</Application>
  <DocSecurity>0</DocSecurity>
  <Lines>47</Lines>
  <Paragraphs>13</Paragraphs>
  <ScaleCrop>false</ScaleCrop>
  <Company/>
  <LinksUpToDate>false</LinksUpToDate>
  <CharactersWithSpaces>6694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6</cp:revision>
  <cp:lastPrinted>2023-07-12T02:06:00Z</cp:lastPrinted>
  <dcterms:created xsi:type="dcterms:W3CDTF">2020-06-04T01:07:00Z</dcterms:created>
  <dcterms:modified xsi:type="dcterms:W3CDTF">2023-07-12T02:07:00Z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SaveFontToCloudKey">
    <vt:lpwstr>386772509_embed</vt:lpwstr>
  </property>
  <property fmtid="{D5CDD505-2E9C-101B-9397-08002B2CF9AE}" pid="4" name="ICV">
    <vt:lpwstr>22F6C65267154955AD5E17359874E52A_13</vt:lpwstr>
  </property>
</Properties>
</file>