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20" w:afterLines="50" w:line="600" w:lineRule="exact"/>
        <w:jc w:val="both"/>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p>
      <w:pPr>
        <w:keepNext w:val="0"/>
        <w:keepLines w:val="0"/>
        <w:pageBreakBefore w:val="0"/>
        <w:widowControl w:val="0"/>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年度部门整体支出绩效评价基础数据表</w:t>
      </w:r>
    </w:p>
    <w:tbl>
      <w:tblPr>
        <w:tblStyle w:val="8"/>
        <w:tblW w:w="4998" w:type="pct"/>
        <w:jc w:val="center"/>
        <w:tblLayout w:type="autofit"/>
        <w:tblCellMar>
          <w:top w:w="0" w:type="dxa"/>
          <w:left w:w="108" w:type="dxa"/>
          <w:bottom w:w="0" w:type="dxa"/>
          <w:right w:w="108" w:type="dxa"/>
        </w:tblCellMar>
      </w:tblPr>
      <w:tblGrid>
        <w:gridCol w:w="3022"/>
        <w:gridCol w:w="1836"/>
        <w:gridCol w:w="2288"/>
        <w:gridCol w:w="1571"/>
      </w:tblGrid>
      <w:tr>
        <w:tblPrEx>
          <w:tblCellMar>
            <w:top w:w="0" w:type="dxa"/>
            <w:left w:w="108" w:type="dxa"/>
            <w:bottom w:w="0" w:type="dxa"/>
            <w:right w:w="108" w:type="dxa"/>
          </w:tblCellMar>
        </w:tblPrEx>
        <w:trPr>
          <w:trHeight w:val="539" w:hRule="atLeast"/>
          <w:jc w:val="center"/>
        </w:trPr>
        <w:tc>
          <w:tcPr>
            <w:tcW w:w="1733"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rPr>
              <w:t>财政供养人员情况（人）</w:t>
            </w:r>
          </w:p>
        </w:tc>
        <w:tc>
          <w:tcPr>
            <w:tcW w:w="1053"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编制数</w:t>
            </w:r>
          </w:p>
        </w:tc>
        <w:tc>
          <w:tcPr>
            <w:tcW w:w="1312"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年实际在职人数</w:t>
            </w:r>
          </w:p>
        </w:tc>
        <w:tc>
          <w:tcPr>
            <w:tcW w:w="900"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控制率</w:t>
            </w:r>
          </w:p>
        </w:tc>
      </w:tr>
      <w:tr>
        <w:tblPrEx>
          <w:tblCellMar>
            <w:top w:w="0" w:type="dxa"/>
            <w:left w:w="108" w:type="dxa"/>
            <w:bottom w:w="0" w:type="dxa"/>
            <w:right w:w="108" w:type="dxa"/>
          </w:tblCellMar>
        </w:tblPrEx>
        <w:trPr>
          <w:trHeight w:val="539" w:hRule="atLeast"/>
          <w:jc w:val="center"/>
        </w:trPr>
        <w:tc>
          <w:tcPr>
            <w:tcW w:w="173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053"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8</w:t>
            </w:r>
          </w:p>
        </w:tc>
        <w:tc>
          <w:tcPr>
            <w:tcW w:w="1312"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8</w:t>
            </w:r>
          </w:p>
        </w:tc>
        <w:tc>
          <w:tcPr>
            <w:tcW w:w="900"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100%</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rPr>
              <w:t>经费控制情况（万元）</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lang w:val="en-US" w:eastAsia="zh-CN"/>
              </w:rPr>
            </w:pPr>
            <w:r>
              <w:rPr>
                <w:rFonts w:hint="eastAsia" w:ascii="新宋体" w:hAnsi="新宋体" w:eastAsia="新宋体" w:cs="新宋体"/>
                <w:b/>
                <w:bCs/>
                <w:sz w:val="21"/>
                <w:szCs w:val="21"/>
                <w:lang w:val="en-US" w:eastAsia="zh-CN"/>
              </w:rPr>
              <w:t>2021年决算数</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年预算数</w:t>
            </w:r>
          </w:p>
        </w:tc>
        <w:tc>
          <w:tcPr>
            <w:tcW w:w="900"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年决算数</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一、基本支出：</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117</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131</w:t>
            </w:r>
          </w:p>
        </w:tc>
        <w:tc>
          <w:tcPr>
            <w:tcW w:w="900"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131</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其中：</w:t>
            </w:r>
            <w:r>
              <w:rPr>
                <w:rFonts w:hint="eastAsia" w:ascii="新宋体" w:hAnsi="新宋体" w:eastAsia="新宋体" w:cs="新宋体"/>
                <w:sz w:val="21"/>
                <w:szCs w:val="21"/>
              </w:rPr>
              <w:t>三公经费</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0"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1</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公务用车购置和维护经费</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0"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其中：公车购置</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0"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公车运行维护</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0"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2</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出国经费</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0"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3</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公务接待</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0.4145</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5.00</w:t>
            </w:r>
          </w:p>
        </w:tc>
        <w:tc>
          <w:tcPr>
            <w:tcW w:w="900"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0.415</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二、</w:t>
            </w:r>
            <w:r>
              <w:rPr>
                <w:rFonts w:hint="eastAsia" w:ascii="新宋体" w:hAnsi="新宋体" w:eastAsia="新宋体" w:cs="新宋体"/>
                <w:sz w:val="21"/>
                <w:szCs w:val="21"/>
              </w:rPr>
              <w:t>项目支出：</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0"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1</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lang w:eastAsia="zh-CN"/>
              </w:rPr>
              <w:t>县级</w:t>
            </w:r>
            <w:r>
              <w:rPr>
                <w:rFonts w:hint="eastAsia" w:ascii="新宋体" w:hAnsi="新宋体" w:eastAsia="新宋体" w:cs="新宋体"/>
                <w:sz w:val="21"/>
                <w:szCs w:val="21"/>
              </w:rPr>
              <w:t>专项资金</w:t>
            </w:r>
          </w:p>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（一个专项一行）</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0"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2</w:t>
            </w:r>
            <w:r>
              <w:rPr>
                <w:rFonts w:hint="eastAsia" w:ascii="新宋体" w:hAnsi="新宋体" w:eastAsia="新宋体" w:cs="新宋体"/>
                <w:sz w:val="21"/>
                <w:szCs w:val="21"/>
                <w:lang w:val="en-US" w:eastAsia="zh-CN"/>
              </w:rPr>
              <w:t>.XX项目</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0"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3.XX项目</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0"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lang w:val="en-US" w:eastAsia="zh-CN"/>
              </w:rPr>
            </w:pP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0"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lang w:val="en-US" w:eastAsia="zh-CN"/>
              </w:rPr>
            </w:pP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0"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厉行节约保障措施</w:t>
            </w:r>
          </w:p>
        </w:tc>
        <w:tc>
          <w:tcPr>
            <w:tcW w:w="3266" w:type="pct"/>
            <w:gridSpan w:val="3"/>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bl>
    <w:p>
      <w:pPr>
        <w:widowControl/>
        <w:spacing w:afterLines="0" w:line="400" w:lineRule="exact"/>
        <w:jc w:val="left"/>
        <w:rPr>
          <w:rFonts w:hint="eastAsia" w:ascii="新宋体" w:hAnsi="新宋体" w:eastAsia="新宋体" w:cs="新宋体"/>
          <w:sz w:val="21"/>
          <w:szCs w:val="21"/>
          <w:lang w:eastAsia="zh-CN"/>
        </w:rPr>
      </w:pPr>
      <w:r>
        <w:rPr>
          <w:rFonts w:hint="eastAsia" w:ascii="新宋体" w:hAnsi="新宋体" w:eastAsia="新宋体" w:cs="新宋体"/>
          <w:sz w:val="21"/>
          <w:szCs w:val="21"/>
        </w:rPr>
        <w:t>说明：</w:t>
      </w:r>
      <w:r>
        <w:rPr>
          <w:rFonts w:hint="eastAsia" w:ascii="新宋体" w:hAnsi="新宋体" w:eastAsia="新宋体" w:cs="新宋体"/>
          <w:sz w:val="21"/>
          <w:szCs w:val="21"/>
          <w:lang w:eastAsia="zh-CN"/>
        </w:rPr>
        <w:t>以上数据均来源于</w:t>
      </w:r>
      <w:r>
        <w:rPr>
          <w:rFonts w:hint="eastAsia" w:ascii="新宋体" w:hAnsi="新宋体" w:eastAsia="新宋体" w:cs="新宋体"/>
          <w:sz w:val="21"/>
          <w:szCs w:val="21"/>
          <w:lang w:val="en-US" w:eastAsia="zh-CN"/>
        </w:rPr>
        <w:t>部门决算报表，其中</w:t>
      </w:r>
      <w:r>
        <w:rPr>
          <w:rFonts w:hint="eastAsia" w:ascii="新宋体" w:hAnsi="新宋体" w:eastAsia="新宋体" w:cs="新宋体"/>
          <w:sz w:val="21"/>
          <w:szCs w:val="21"/>
        </w:rPr>
        <w:t>“</w:t>
      </w:r>
      <w:r>
        <w:rPr>
          <w:rFonts w:hint="eastAsia" w:ascii="新宋体" w:hAnsi="新宋体" w:eastAsia="新宋体" w:cs="新宋体"/>
          <w:sz w:val="21"/>
          <w:szCs w:val="21"/>
          <w:lang w:eastAsia="zh-CN"/>
        </w:rPr>
        <w:t>基本支出</w:t>
      </w:r>
      <w:r>
        <w:rPr>
          <w:rFonts w:hint="eastAsia" w:ascii="新宋体" w:hAnsi="新宋体" w:eastAsia="新宋体" w:cs="新宋体"/>
          <w:sz w:val="21"/>
          <w:szCs w:val="21"/>
        </w:rPr>
        <w:t>”</w:t>
      </w:r>
      <w:r>
        <w:rPr>
          <w:rFonts w:hint="eastAsia" w:ascii="新宋体" w:hAnsi="新宋体" w:eastAsia="新宋体" w:cs="新宋体"/>
          <w:sz w:val="21"/>
          <w:szCs w:val="21"/>
          <w:lang w:eastAsia="zh-CN"/>
        </w:rPr>
        <w:t>数据参照基本支出决算明细表（财决</w:t>
      </w:r>
      <w:r>
        <w:rPr>
          <w:rFonts w:hint="eastAsia" w:ascii="新宋体" w:hAnsi="新宋体" w:eastAsia="新宋体" w:cs="新宋体"/>
          <w:sz w:val="21"/>
          <w:szCs w:val="21"/>
          <w:lang w:val="en-US" w:eastAsia="zh-CN"/>
        </w:rPr>
        <w:t>05-1表</w:t>
      </w:r>
      <w:r>
        <w:rPr>
          <w:rFonts w:hint="eastAsia" w:ascii="新宋体" w:hAnsi="新宋体" w:eastAsia="新宋体" w:cs="新宋体"/>
          <w:sz w:val="21"/>
          <w:szCs w:val="21"/>
          <w:lang w:eastAsia="zh-CN"/>
        </w:rPr>
        <w:t>）；“三公经费”数据参照机构运行信息表（财决附</w:t>
      </w:r>
      <w:r>
        <w:rPr>
          <w:rFonts w:hint="eastAsia" w:ascii="新宋体" w:hAnsi="新宋体" w:eastAsia="新宋体" w:cs="新宋体"/>
          <w:sz w:val="21"/>
          <w:szCs w:val="21"/>
          <w:lang w:val="en-US" w:eastAsia="zh-CN"/>
        </w:rPr>
        <w:t>03表</w:t>
      </w:r>
      <w:r>
        <w:rPr>
          <w:rFonts w:hint="eastAsia" w:ascii="新宋体" w:hAnsi="新宋体" w:eastAsia="新宋体" w:cs="新宋体"/>
          <w:sz w:val="21"/>
          <w:szCs w:val="21"/>
          <w:lang w:eastAsia="zh-CN"/>
        </w:rPr>
        <w:t>）；</w:t>
      </w:r>
      <w:r>
        <w:rPr>
          <w:rFonts w:hint="eastAsia" w:ascii="新宋体" w:hAnsi="新宋体" w:eastAsia="新宋体" w:cs="新宋体"/>
          <w:sz w:val="21"/>
          <w:szCs w:val="21"/>
        </w:rPr>
        <w:t>“项目支出”</w:t>
      </w:r>
      <w:r>
        <w:rPr>
          <w:rFonts w:hint="eastAsia" w:ascii="新宋体" w:hAnsi="新宋体" w:eastAsia="新宋体" w:cs="新宋体"/>
          <w:sz w:val="21"/>
          <w:szCs w:val="21"/>
          <w:lang w:eastAsia="zh-CN"/>
        </w:rPr>
        <w:t>数据参照项目支出决算明细表（财决</w:t>
      </w:r>
      <w:r>
        <w:rPr>
          <w:rFonts w:hint="eastAsia" w:ascii="新宋体" w:hAnsi="新宋体" w:eastAsia="新宋体" w:cs="新宋体"/>
          <w:sz w:val="21"/>
          <w:szCs w:val="21"/>
          <w:lang w:val="en-US" w:eastAsia="zh-CN"/>
        </w:rPr>
        <w:t>05-2表</w:t>
      </w:r>
      <w:r>
        <w:rPr>
          <w:rFonts w:hint="eastAsia" w:ascii="新宋体" w:hAnsi="新宋体" w:eastAsia="新宋体" w:cs="新宋体"/>
          <w:sz w:val="21"/>
          <w:szCs w:val="21"/>
          <w:lang w:eastAsia="zh-CN"/>
        </w:rPr>
        <w:t>）。</w:t>
      </w:r>
    </w:p>
    <w:p>
      <w:pPr>
        <w:widowControl/>
        <w:spacing w:after="0" w:afterLines="0" w:line="400" w:lineRule="exact"/>
        <w:jc w:val="left"/>
        <w:rPr>
          <w:rFonts w:hint="default" w:ascii="Times New Roman" w:hAnsi="Times New Roman" w:eastAsia="仿宋_GB2312" w:cs="Times New Roman"/>
          <w:sz w:val="22"/>
        </w:rPr>
      </w:pPr>
    </w:p>
    <w:p>
      <w:pPr>
        <w:widowControl/>
        <w:spacing w:after="0" w:afterLines="0" w:line="400" w:lineRule="exact"/>
        <w:jc w:val="left"/>
        <w:rPr>
          <w:rFonts w:hint="eastAsia" w:ascii="Times New Roman" w:hAnsi="Times New Roman" w:eastAsia="黑体" w:cs="Times New Roman"/>
          <w:sz w:val="32"/>
          <w:szCs w:val="32"/>
          <w:lang w:eastAsia="zh-CN"/>
        </w:rPr>
      </w:pPr>
      <w:r>
        <w:rPr>
          <w:rFonts w:hint="default" w:ascii="Times New Roman" w:hAnsi="Times New Roman" w:eastAsia="仿宋_GB2312" w:cs="Times New Roman"/>
          <w:sz w:val="22"/>
        </w:rPr>
        <w:t>填表人：        填报日期：          联系电话：            单位负责人签字：</w:t>
      </w:r>
      <w:r>
        <w:rPr>
          <w:rFonts w:hint="default" w:ascii="Times New Roman" w:hAnsi="Times New Roman" w:eastAsia="仿宋_GB2312" w:cs="Times New Roman"/>
          <w:sz w:val="22"/>
        </w:rPr>
        <w:br w:type="page"/>
      </w:r>
      <w:r>
        <w:rPr>
          <w:rFonts w:hint="default" w:ascii="黑体" w:hAnsi="黑体" w:eastAsia="黑体" w:cs="黑体"/>
          <w:sz w:val="32"/>
          <w:szCs w:val="32"/>
          <w:lang w:eastAsia="zh-CN"/>
        </w:rPr>
        <w:t>附件</w:t>
      </w:r>
      <w:r>
        <w:rPr>
          <w:rFonts w:hint="eastAsia" w:ascii="黑体" w:hAnsi="黑体" w:eastAsia="黑体" w:cs="黑体"/>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年度部门整体支出绩效自评表</w:t>
      </w:r>
    </w:p>
    <w:tbl>
      <w:tblPr>
        <w:tblStyle w:val="8"/>
        <w:tblW w:w="4996" w:type="pct"/>
        <w:jc w:val="center"/>
        <w:tblLayout w:type="autofit"/>
        <w:tblCellMar>
          <w:top w:w="0" w:type="dxa"/>
          <w:left w:w="108" w:type="dxa"/>
          <w:bottom w:w="0" w:type="dxa"/>
          <w:right w:w="108" w:type="dxa"/>
        </w:tblCellMar>
      </w:tblPr>
      <w:tblGrid>
        <w:gridCol w:w="1023"/>
        <w:gridCol w:w="817"/>
        <w:gridCol w:w="819"/>
        <w:gridCol w:w="988"/>
        <w:gridCol w:w="1040"/>
        <w:gridCol w:w="1032"/>
        <w:gridCol w:w="551"/>
        <w:gridCol w:w="953"/>
        <w:gridCol w:w="1490"/>
      </w:tblGrid>
      <w:tr>
        <w:tblPrEx>
          <w:tblCellMar>
            <w:top w:w="0" w:type="dxa"/>
            <w:left w:w="108" w:type="dxa"/>
            <w:bottom w:w="0" w:type="dxa"/>
            <w:right w:w="108" w:type="dxa"/>
          </w:tblCellMar>
        </w:tblPrEx>
        <w:trPr>
          <w:trHeight w:val="1003" w:hRule="atLeast"/>
          <w:jc w:val="center"/>
        </w:trPr>
        <w:tc>
          <w:tcPr>
            <w:tcW w:w="58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eastAsia="zh-CN"/>
              </w:rPr>
              <w:t>县</w:t>
            </w:r>
            <w:r>
              <w:rPr>
                <w:rFonts w:hint="eastAsia" w:ascii="新宋体" w:hAnsi="新宋体" w:eastAsia="新宋体" w:cs="新宋体"/>
                <w:color w:val="000000"/>
                <w:sz w:val="21"/>
                <w:szCs w:val="21"/>
              </w:rPr>
              <w:t>级预算部门名称</w:t>
            </w:r>
          </w:p>
        </w:tc>
        <w:tc>
          <w:tcPr>
            <w:tcW w:w="4412" w:type="pct"/>
            <w:gridSpan w:val="8"/>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eastAsia="FangSong_GB2312"/>
                <w:sz w:val="32"/>
                <w:szCs w:val="32"/>
              </w:rPr>
              <w:t>华容县</w:t>
            </w:r>
            <w:r>
              <w:rPr>
                <w:rFonts w:hint="eastAsia" w:eastAsia="FangSong_GB2312"/>
                <w:sz w:val="32"/>
                <w:szCs w:val="32"/>
                <w:lang w:eastAsia="zh-CN"/>
              </w:rPr>
              <w:t>万庾</w:t>
            </w:r>
            <w:r>
              <w:rPr>
                <w:rFonts w:hint="eastAsia" w:eastAsia="FangSong_GB2312"/>
                <w:sz w:val="32"/>
                <w:szCs w:val="32"/>
              </w:rPr>
              <w:t>镇财政所</w:t>
            </w:r>
          </w:p>
        </w:tc>
      </w:tr>
      <w:tr>
        <w:tblPrEx>
          <w:tblCellMar>
            <w:top w:w="0" w:type="dxa"/>
            <w:left w:w="108" w:type="dxa"/>
            <w:bottom w:w="0" w:type="dxa"/>
            <w:right w:w="108" w:type="dxa"/>
          </w:tblCellMar>
        </w:tblPrEx>
        <w:trPr>
          <w:trHeight w:val="863" w:hRule="atLeast"/>
          <w:jc w:val="center"/>
        </w:trPr>
        <w:tc>
          <w:tcPr>
            <w:tcW w:w="587" w:type="pct"/>
            <w:vMerge w:val="restart"/>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预算</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lang w:eastAsia="zh-CN"/>
              </w:rPr>
            </w:pPr>
            <w:r>
              <w:rPr>
                <w:rFonts w:hint="eastAsia" w:ascii="新宋体" w:hAnsi="新宋体" w:eastAsia="新宋体" w:cs="新宋体"/>
                <w:i w:val="0"/>
                <w:iCs w:val="0"/>
                <w:color w:val="000000"/>
                <w:sz w:val="21"/>
                <w:szCs w:val="21"/>
              </w:rPr>
              <w:t>申请</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（万元）</w:t>
            </w:r>
          </w:p>
        </w:tc>
        <w:tc>
          <w:tcPr>
            <w:tcW w:w="939" w:type="pct"/>
            <w:gridSpan w:val="2"/>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p>
        </w:tc>
        <w:tc>
          <w:tcPr>
            <w:tcW w:w="567"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年初</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预算数</w:t>
            </w:r>
          </w:p>
        </w:tc>
        <w:tc>
          <w:tcPr>
            <w:tcW w:w="596"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预算数</w:t>
            </w:r>
          </w:p>
        </w:tc>
        <w:tc>
          <w:tcPr>
            <w:tcW w:w="589"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执行数</w:t>
            </w:r>
          </w:p>
        </w:tc>
        <w:tc>
          <w:tcPr>
            <w:tcW w:w="316"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分值</w:t>
            </w:r>
          </w:p>
        </w:tc>
        <w:tc>
          <w:tcPr>
            <w:tcW w:w="547"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执行率</w:t>
            </w:r>
          </w:p>
        </w:tc>
        <w:tc>
          <w:tcPr>
            <w:tcW w:w="856"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得分</w:t>
            </w:r>
          </w:p>
        </w:tc>
      </w:tr>
      <w:tr>
        <w:tblPrEx>
          <w:tblCellMar>
            <w:top w:w="0" w:type="dxa"/>
            <w:left w:w="108" w:type="dxa"/>
            <w:bottom w:w="0" w:type="dxa"/>
            <w:right w:w="108" w:type="dxa"/>
          </w:tblCellMar>
        </w:tblPrEx>
        <w:trPr>
          <w:trHeight w:val="462" w:hRule="atLeast"/>
          <w:jc w:val="center"/>
        </w:trPr>
        <w:tc>
          <w:tcPr>
            <w:tcW w:w="587" w:type="pct"/>
            <w:vMerge w:val="continue"/>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939" w:type="pct"/>
            <w:gridSpan w:val="2"/>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color w:val="000000"/>
                <w:sz w:val="21"/>
                <w:szCs w:val="21"/>
              </w:rPr>
              <w:t>年度资金总额</w:t>
            </w:r>
          </w:p>
        </w:tc>
        <w:tc>
          <w:tcPr>
            <w:tcW w:w="567"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i w:val="0"/>
                <w:iCs w:val="0"/>
                <w:sz w:val="21"/>
                <w:szCs w:val="21"/>
                <w:lang w:val="en-US" w:eastAsia="zh-CN"/>
              </w:rPr>
            </w:pPr>
            <w:r>
              <w:rPr>
                <w:rFonts w:hint="eastAsia" w:ascii="新宋体" w:hAnsi="新宋体" w:eastAsia="新宋体" w:cs="新宋体"/>
                <w:i w:val="0"/>
                <w:iCs w:val="0"/>
                <w:sz w:val="21"/>
                <w:szCs w:val="21"/>
                <w:lang w:val="en-US" w:eastAsia="zh-CN"/>
              </w:rPr>
              <w:t>95</w:t>
            </w:r>
          </w:p>
        </w:tc>
        <w:tc>
          <w:tcPr>
            <w:tcW w:w="596"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i w:val="0"/>
                <w:iCs w:val="0"/>
                <w:sz w:val="21"/>
                <w:szCs w:val="21"/>
                <w:lang w:val="en-US" w:eastAsia="zh-CN"/>
              </w:rPr>
            </w:pPr>
            <w:r>
              <w:rPr>
                <w:rFonts w:hint="eastAsia" w:ascii="新宋体" w:hAnsi="新宋体" w:eastAsia="新宋体" w:cs="新宋体"/>
                <w:i w:val="0"/>
                <w:iCs w:val="0"/>
                <w:sz w:val="21"/>
                <w:szCs w:val="21"/>
                <w:lang w:val="en-US" w:eastAsia="zh-CN"/>
              </w:rPr>
              <w:t>131</w:t>
            </w:r>
          </w:p>
        </w:tc>
        <w:tc>
          <w:tcPr>
            <w:tcW w:w="589"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131</w:t>
            </w:r>
          </w:p>
        </w:tc>
        <w:tc>
          <w:tcPr>
            <w:tcW w:w="316"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10</w:t>
            </w:r>
          </w:p>
        </w:tc>
        <w:tc>
          <w:tcPr>
            <w:tcW w:w="547"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100%</w:t>
            </w:r>
          </w:p>
        </w:tc>
        <w:tc>
          <w:tcPr>
            <w:tcW w:w="856"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w:t>
            </w:r>
          </w:p>
        </w:tc>
      </w:tr>
      <w:tr>
        <w:tblPrEx>
          <w:tblCellMar>
            <w:top w:w="0" w:type="dxa"/>
            <w:left w:w="108" w:type="dxa"/>
            <w:bottom w:w="0" w:type="dxa"/>
            <w:right w:w="108" w:type="dxa"/>
          </w:tblCellMar>
        </w:tblPrEx>
        <w:trPr>
          <w:trHeight w:val="462" w:hRule="atLeast"/>
          <w:jc w:val="center"/>
        </w:trPr>
        <w:tc>
          <w:tcPr>
            <w:tcW w:w="587"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103"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rPr>
              <w:t>按收入性质分：</w:t>
            </w:r>
            <w:r>
              <w:rPr>
                <w:rFonts w:hint="eastAsia" w:ascii="新宋体" w:hAnsi="新宋体" w:eastAsia="新宋体" w:cs="新宋体"/>
                <w:i w:val="0"/>
                <w:iCs w:val="0"/>
                <w:color w:val="000000"/>
                <w:sz w:val="21"/>
                <w:szCs w:val="21"/>
                <w:lang w:val="en-US" w:eastAsia="zh-CN"/>
              </w:rPr>
              <w:t>131</w:t>
            </w:r>
          </w:p>
        </w:tc>
        <w:tc>
          <w:tcPr>
            <w:tcW w:w="2309"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按支出性质分：</w:t>
            </w:r>
            <w:r>
              <w:rPr>
                <w:rFonts w:hint="eastAsia" w:ascii="新宋体" w:hAnsi="新宋体" w:eastAsia="新宋体" w:cs="新宋体"/>
                <w:color w:val="000000"/>
                <w:sz w:val="21"/>
                <w:szCs w:val="21"/>
                <w:lang w:val="en-US" w:eastAsia="zh-CN"/>
              </w:rPr>
              <w:t>131</w:t>
            </w:r>
          </w:p>
        </w:tc>
      </w:tr>
      <w:tr>
        <w:tblPrEx>
          <w:tblCellMar>
            <w:top w:w="0" w:type="dxa"/>
            <w:left w:w="108" w:type="dxa"/>
            <w:bottom w:w="0" w:type="dxa"/>
            <w:right w:w="108" w:type="dxa"/>
          </w:tblCellMar>
        </w:tblPrEx>
        <w:trPr>
          <w:trHeight w:val="462" w:hRule="atLeast"/>
          <w:jc w:val="center"/>
        </w:trPr>
        <w:tc>
          <w:tcPr>
            <w:tcW w:w="587"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103"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rPr>
              <w:t>其中：</w:t>
            </w:r>
            <w:r>
              <w:rPr>
                <w:rFonts w:hint="eastAsia" w:ascii="新宋体" w:hAnsi="新宋体" w:eastAsia="新宋体" w:cs="新宋体"/>
                <w:i w:val="0"/>
                <w:iCs w:val="0"/>
                <w:color w:val="000000"/>
                <w:sz w:val="21"/>
                <w:szCs w:val="21"/>
                <w:lang w:val="en-US" w:eastAsia="zh-CN"/>
              </w:rPr>
              <w:t xml:space="preserve">  </w:t>
            </w:r>
            <w:r>
              <w:rPr>
                <w:rFonts w:hint="eastAsia" w:ascii="新宋体" w:hAnsi="新宋体" w:eastAsia="新宋体" w:cs="新宋体"/>
                <w:i w:val="0"/>
                <w:iCs w:val="0"/>
                <w:color w:val="000000"/>
                <w:sz w:val="21"/>
                <w:szCs w:val="21"/>
              </w:rPr>
              <w:t>一般公共预算：</w:t>
            </w:r>
            <w:r>
              <w:rPr>
                <w:rFonts w:hint="eastAsia" w:ascii="新宋体" w:hAnsi="新宋体" w:eastAsia="新宋体" w:cs="新宋体"/>
                <w:i w:val="0"/>
                <w:iCs w:val="0"/>
                <w:color w:val="000000"/>
                <w:sz w:val="21"/>
                <w:szCs w:val="21"/>
                <w:lang w:val="en-US" w:eastAsia="zh-CN"/>
              </w:rPr>
              <w:t>131</w:t>
            </w:r>
          </w:p>
        </w:tc>
        <w:tc>
          <w:tcPr>
            <w:tcW w:w="2309"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其中：基本支出：</w:t>
            </w:r>
            <w:r>
              <w:rPr>
                <w:rFonts w:hint="eastAsia" w:ascii="新宋体" w:hAnsi="新宋体" w:eastAsia="新宋体" w:cs="新宋体"/>
                <w:color w:val="000000"/>
                <w:sz w:val="21"/>
                <w:szCs w:val="21"/>
                <w:lang w:val="en-US" w:eastAsia="zh-CN"/>
              </w:rPr>
              <w:t>131</w:t>
            </w:r>
          </w:p>
        </w:tc>
      </w:tr>
      <w:tr>
        <w:tblPrEx>
          <w:tblCellMar>
            <w:top w:w="0" w:type="dxa"/>
            <w:left w:w="108" w:type="dxa"/>
            <w:bottom w:w="0" w:type="dxa"/>
            <w:right w:w="108" w:type="dxa"/>
          </w:tblCellMar>
        </w:tblPrEx>
        <w:trPr>
          <w:trHeight w:val="462" w:hRule="atLeast"/>
          <w:jc w:val="center"/>
        </w:trPr>
        <w:tc>
          <w:tcPr>
            <w:tcW w:w="587"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103"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630" w:firstLineChars="300"/>
              <w:jc w:val="left"/>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rPr>
              <w:t>政府性基金拨款：</w:t>
            </w:r>
          </w:p>
        </w:tc>
        <w:tc>
          <w:tcPr>
            <w:tcW w:w="2309"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630" w:firstLineChars="30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项目支出：</w:t>
            </w:r>
          </w:p>
        </w:tc>
      </w:tr>
      <w:tr>
        <w:tblPrEx>
          <w:tblCellMar>
            <w:top w:w="0" w:type="dxa"/>
            <w:left w:w="108" w:type="dxa"/>
            <w:bottom w:w="0" w:type="dxa"/>
            <w:right w:w="108" w:type="dxa"/>
          </w:tblCellMar>
        </w:tblPrEx>
        <w:trPr>
          <w:trHeight w:val="462" w:hRule="atLeast"/>
          <w:jc w:val="center"/>
        </w:trPr>
        <w:tc>
          <w:tcPr>
            <w:tcW w:w="587"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103"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纳入专户管理的非税收入拨款：</w:t>
            </w:r>
          </w:p>
        </w:tc>
        <w:tc>
          <w:tcPr>
            <w:tcW w:w="2309"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62" w:hRule="atLeast"/>
          <w:jc w:val="center"/>
        </w:trPr>
        <w:tc>
          <w:tcPr>
            <w:tcW w:w="587" w:type="pct"/>
            <w:vMerge w:val="continue"/>
            <w:tcBorders>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103"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1260" w:firstLineChars="600"/>
              <w:jc w:val="left"/>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其他资金：</w:t>
            </w:r>
          </w:p>
        </w:tc>
        <w:tc>
          <w:tcPr>
            <w:tcW w:w="2309"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62" w:hRule="atLeast"/>
          <w:jc w:val="center"/>
        </w:trPr>
        <w:tc>
          <w:tcPr>
            <w:tcW w:w="587" w:type="pct"/>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总体目标</w:t>
            </w:r>
          </w:p>
        </w:tc>
        <w:tc>
          <w:tcPr>
            <w:tcW w:w="2103" w:type="pct"/>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预期目标</w:t>
            </w:r>
          </w:p>
        </w:tc>
        <w:tc>
          <w:tcPr>
            <w:tcW w:w="2309" w:type="pct"/>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实际完成情况　</w:t>
            </w:r>
          </w:p>
        </w:tc>
      </w:tr>
      <w:tr>
        <w:tblPrEx>
          <w:tblCellMar>
            <w:top w:w="0" w:type="dxa"/>
            <w:left w:w="108" w:type="dxa"/>
            <w:bottom w:w="0" w:type="dxa"/>
            <w:right w:w="108" w:type="dxa"/>
          </w:tblCellMar>
        </w:tblPrEx>
        <w:trPr>
          <w:trHeight w:val="462" w:hRule="atLeast"/>
          <w:jc w:val="center"/>
        </w:trPr>
        <w:tc>
          <w:tcPr>
            <w:tcW w:w="587" w:type="pct"/>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2103" w:type="pct"/>
            <w:gridSpan w:val="4"/>
            <w:tcBorders>
              <w:top w:val="single" w:color="auto" w:sz="4" w:space="0"/>
              <w:left w:val="nil"/>
              <w:bottom w:val="single" w:color="auto" w:sz="4" w:space="0"/>
              <w:right w:val="single" w:color="000000" w:sz="4" w:space="0"/>
            </w:tcBorders>
            <w:noWrap w:val="0"/>
            <w:vAlign w:val="center"/>
          </w:tcPr>
          <w:p>
            <w:pPr>
              <w:widowControl/>
              <w:numPr>
                <w:ilvl w:val="0"/>
                <w:numId w:val="1"/>
              </w:numPr>
              <w:spacing w:line="0" w:lineRule="atLeast"/>
              <w:jc w:val="center"/>
              <w:rPr>
                <w:rFonts w:hint="eastAsia"/>
                <w:lang w:val="en-US" w:eastAsia="zh-CN"/>
              </w:rPr>
            </w:pPr>
            <w:r>
              <w:rPr>
                <w:rFonts w:hint="eastAsia"/>
                <w:lang w:eastAsia="zh-CN"/>
              </w:rPr>
              <w:t>完成</w:t>
            </w:r>
            <w:r>
              <w:rPr>
                <w:rFonts w:hint="eastAsia"/>
                <w:lang w:val="en-US" w:eastAsia="zh-CN"/>
              </w:rPr>
              <w:t>2021年决算编制2022年预算编制，执行2022年 预算</w:t>
            </w:r>
          </w:p>
          <w:p>
            <w:pPr>
              <w:pStyle w:val="2"/>
              <w:numPr>
                <w:ilvl w:val="0"/>
                <w:numId w:val="1"/>
              </w:numPr>
              <w:rPr>
                <w:rFonts w:hint="default"/>
                <w:lang w:val="en-US" w:eastAsia="zh-CN"/>
              </w:rPr>
            </w:pPr>
            <w:r>
              <w:rPr>
                <w:rFonts w:hint="eastAsia"/>
                <w:lang w:val="en-US" w:eastAsia="zh-CN"/>
              </w:rPr>
              <w:t>建立健全预算编制程序，加强资金监管</w:t>
            </w:r>
          </w:p>
          <w:p>
            <w:pPr>
              <w:numPr>
                <w:ilvl w:val="0"/>
                <w:numId w:val="1"/>
              </w:numPr>
              <w:ind w:left="0" w:leftChars="0" w:firstLine="0" w:firstLineChars="0"/>
              <w:rPr>
                <w:rFonts w:hint="eastAsia"/>
                <w:lang w:val="en-US" w:eastAsia="zh-CN"/>
              </w:rPr>
            </w:pPr>
            <w:r>
              <w:rPr>
                <w:rFonts w:hint="eastAsia"/>
                <w:lang w:val="en-US" w:eastAsia="zh-CN"/>
              </w:rPr>
              <w:t>严格落实惠农惠民补贴政策，确保惠农惠民政策执行到位。</w:t>
            </w:r>
          </w:p>
          <w:p>
            <w:pPr>
              <w:pStyle w:val="2"/>
              <w:numPr>
                <w:ilvl w:val="0"/>
                <w:numId w:val="1"/>
              </w:numPr>
              <w:ind w:left="0" w:leftChars="0" w:firstLine="0" w:firstLineChars="0"/>
              <w:rPr>
                <w:rFonts w:hint="default"/>
                <w:lang w:val="en-US" w:eastAsia="zh-CN"/>
              </w:rPr>
            </w:pPr>
            <w:r>
              <w:rPr>
                <w:rFonts w:hint="eastAsia"/>
                <w:lang w:val="en-US" w:eastAsia="zh-CN"/>
              </w:rPr>
              <w:t>加强财政资金监管，</w:t>
            </w:r>
          </w:p>
          <w:p>
            <w:pPr>
              <w:numPr>
                <w:ilvl w:val="0"/>
                <w:numId w:val="1"/>
              </w:numPr>
              <w:ind w:left="0" w:leftChars="0" w:firstLine="0" w:firstLineChars="0"/>
              <w:rPr>
                <w:rFonts w:hint="eastAsia"/>
                <w:lang w:val="en-US" w:eastAsia="zh-CN"/>
              </w:rPr>
            </w:pPr>
            <w:r>
              <w:rPr>
                <w:rFonts w:hint="eastAsia"/>
                <w:lang w:val="en-US" w:eastAsia="zh-CN"/>
              </w:rPr>
              <w:t>加强国有资产管理、使用、处置。探索村三级管理新模式</w:t>
            </w:r>
          </w:p>
          <w:p>
            <w:pPr>
              <w:pStyle w:val="2"/>
              <w:numPr>
                <w:ilvl w:val="0"/>
                <w:numId w:val="1"/>
              </w:numPr>
              <w:ind w:left="0" w:leftChars="0" w:firstLine="0" w:firstLineChars="0"/>
              <w:rPr>
                <w:rFonts w:hint="default"/>
                <w:lang w:val="en-US" w:eastAsia="zh-CN"/>
              </w:rPr>
            </w:pPr>
            <w:r>
              <w:rPr>
                <w:rFonts w:hint="eastAsia"/>
                <w:lang w:val="en-US" w:eastAsia="zh-CN"/>
              </w:rPr>
              <w:t>严肃财经纪律。</w:t>
            </w:r>
          </w:p>
        </w:tc>
        <w:tc>
          <w:tcPr>
            <w:tcW w:w="2309" w:type="pct"/>
            <w:gridSpan w:val="4"/>
            <w:tcBorders>
              <w:top w:val="single" w:color="auto" w:sz="4" w:space="0"/>
              <w:left w:val="nil"/>
              <w:bottom w:val="single" w:color="auto" w:sz="4" w:space="0"/>
              <w:right w:val="single" w:color="auto" w:sz="4" w:space="0"/>
            </w:tcBorders>
            <w:noWrap w:val="0"/>
            <w:vAlign w:val="center"/>
          </w:tcPr>
          <w:p>
            <w:pPr>
              <w:widowControl/>
              <w:spacing w:line="0" w:lineRule="atLeast"/>
              <w:jc w:val="left"/>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Cs w:val="21"/>
              </w:rPr>
              <w:t>按要求已完成</w:t>
            </w:r>
          </w:p>
        </w:tc>
      </w:tr>
      <w:tr>
        <w:tblPrEx>
          <w:tblCellMar>
            <w:top w:w="0" w:type="dxa"/>
            <w:left w:w="108" w:type="dxa"/>
            <w:bottom w:w="0" w:type="dxa"/>
            <w:right w:w="108" w:type="dxa"/>
          </w:tblCellMar>
        </w:tblPrEx>
        <w:trPr>
          <w:trHeight w:val="850" w:hRule="atLeast"/>
          <w:jc w:val="center"/>
        </w:trPr>
        <w:tc>
          <w:tcPr>
            <w:tcW w:w="587"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标</w:t>
            </w:r>
          </w:p>
        </w:tc>
        <w:tc>
          <w:tcPr>
            <w:tcW w:w="4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一级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4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二级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6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三级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指标值</w:t>
            </w:r>
          </w:p>
        </w:tc>
        <w:tc>
          <w:tcPr>
            <w:tcW w:w="58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完成值</w:t>
            </w:r>
          </w:p>
        </w:tc>
        <w:tc>
          <w:tcPr>
            <w:tcW w:w="3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分值</w:t>
            </w:r>
          </w:p>
        </w:tc>
        <w:tc>
          <w:tcPr>
            <w:tcW w:w="54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得分</w:t>
            </w:r>
          </w:p>
        </w:tc>
        <w:tc>
          <w:tcPr>
            <w:tcW w:w="85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偏差原因分析及改进措施</w:t>
            </w:r>
          </w:p>
        </w:tc>
      </w:tr>
      <w:tr>
        <w:tblPrEx>
          <w:tblCellMar>
            <w:top w:w="0" w:type="dxa"/>
            <w:left w:w="108" w:type="dxa"/>
            <w:bottom w:w="0" w:type="dxa"/>
            <w:right w:w="108" w:type="dxa"/>
          </w:tblCellMar>
        </w:tblPrEx>
        <w:trPr>
          <w:trHeight w:val="462" w:hRule="atLeast"/>
          <w:jc w:val="center"/>
        </w:trPr>
        <w:tc>
          <w:tcPr>
            <w:tcW w:w="58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产出</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(50分)</w:t>
            </w:r>
          </w:p>
        </w:tc>
        <w:tc>
          <w:tcPr>
            <w:tcW w:w="469"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数量</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67" w:type="pct"/>
            <w:tcBorders>
              <w:top w:val="single" w:color="auto" w:sz="4" w:space="0"/>
              <w:left w:val="single" w:color="auto" w:sz="4" w:space="0"/>
              <w:bottom w:val="single" w:color="auto" w:sz="4" w:space="0"/>
              <w:right w:val="single" w:color="auto" w:sz="4" w:space="0"/>
            </w:tcBorders>
            <w:noWrap w:val="0"/>
            <w:vAlign w:val="center"/>
          </w:tcPr>
          <w:p>
            <w:pPr>
              <w:widowControl/>
              <w:spacing w:line="0" w:lineRule="atLeast"/>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Cs w:val="21"/>
                <w:lang w:eastAsia="zh-CN"/>
              </w:rPr>
              <w:t>预算编制</w:t>
            </w:r>
          </w:p>
        </w:tc>
        <w:tc>
          <w:tcPr>
            <w:tcW w:w="596" w:type="pct"/>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cs="宋体"/>
                <w:color w:val="000000"/>
                <w:sz w:val="20"/>
                <w:szCs w:val="20"/>
                <w:lang w:val="en-US" w:eastAsia="zh-CN"/>
              </w:rPr>
              <w:t>1</w:t>
            </w:r>
            <w:r>
              <w:rPr>
                <w:rFonts w:hint="eastAsia" w:ascii="宋体" w:hAnsi="宋体" w:cs="宋体"/>
                <w:color w:val="000000"/>
                <w:sz w:val="20"/>
                <w:szCs w:val="20"/>
              </w:rPr>
              <w:t>次</w:t>
            </w:r>
          </w:p>
        </w:tc>
        <w:tc>
          <w:tcPr>
            <w:tcW w:w="589" w:type="pct"/>
            <w:tcBorders>
              <w:top w:val="single" w:color="auto" w:sz="4" w:space="0"/>
              <w:left w:val="single" w:color="auto" w:sz="4" w:space="0"/>
              <w:bottom w:val="single" w:color="auto" w:sz="4" w:space="0"/>
              <w:right w:val="single" w:color="auto" w:sz="4" w:space="0"/>
            </w:tcBorders>
            <w:noWrap w:val="0"/>
            <w:vAlign w:val="center"/>
          </w:tcPr>
          <w:p>
            <w:pPr>
              <w:widowControl/>
              <w:spacing w:line="0" w:lineRule="atLeast"/>
              <w:jc w:val="center"/>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Cs w:val="21"/>
              </w:rPr>
              <w:t>100%</w:t>
            </w:r>
          </w:p>
        </w:tc>
        <w:tc>
          <w:tcPr>
            <w:tcW w:w="316" w:type="pct"/>
            <w:tcBorders>
              <w:top w:val="single" w:color="auto" w:sz="4" w:space="0"/>
              <w:left w:val="single" w:color="auto" w:sz="4" w:space="0"/>
              <w:bottom w:val="single" w:color="auto" w:sz="4" w:space="0"/>
              <w:right w:val="single" w:color="auto" w:sz="4" w:space="0"/>
            </w:tcBorders>
            <w:noWrap w:val="0"/>
            <w:vAlign w:val="center"/>
          </w:tcPr>
          <w:p>
            <w:pPr>
              <w:widowControl/>
              <w:spacing w:line="0" w:lineRule="atLeast"/>
              <w:jc w:val="center"/>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Cs w:val="21"/>
                <w:lang w:val="en-US" w:eastAsia="zh-CN"/>
              </w:rPr>
              <w:t>5</w:t>
            </w:r>
          </w:p>
        </w:tc>
        <w:tc>
          <w:tcPr>
            <w:tcW w:w="1016" w:type="dxa"/>
            <w:tcBorders>
              <w:top w:val="single" w:color="auto" w:sz="4" w:space="0"/>
              <w:left w:val="single" w:color="auto" w:sz="4" w:space="0"/>
              <w:bottom w:val="single" w:color="auto" w:sz="4" w:space="0"/>
              <w:right w:val="single" w:color="auto" w:sz="4" w:space="0"/>
            </w:tcBorders>
            <w:noWrap w:val="0"/>
            <w:vAlign w:val="center"/>
          </w:tcPr>
          <w:p>
            <w:pPr>
              <w:widowControl/>
              <w:spacing w:line="0" w:lineRule="atLeast"/>
              <w:jc w:val="center"/>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Cs w:val="21"/>
                <w:lang w:val="en-US" w:eastAsia="zh-CN"/>
              </w:rPr>
              <w:t>5</w:t>
            </w:r>
          </w:p>
        </w:tc>
        <w:tc>
          <w:tcPr>
            <w:tcW w:w="85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7" w:type="pct"/>
            <w:tcBorders>
              <w:top w:val="single" w:color="auto" w:sz="4" w:space="0"/>
              <w:left w:val="single" w:color="auto" w:sz="4" w:space="0"/>
              <w:bottom w:val="single" w:color="auto" w:sz="4" w:space="0"/>
              <w:right w:val="single" w:color="auto" w:sz="4" w:space="0"/>
            </w:tcBorders>
            <w:noWrap w:val="0"/>
            <w:vAlign w:val="center"/>
          </w:tcPr>
          <w:p>
            <w:pPr>
              <w:widowControl/>
              <w:textAlignment w:val="center"/>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Cs w:val="21"/>
                <w:lang w:eastAsia="zh-CN"/>
              </w:rPr>
              <w:t>预算执行</w:t>
            </w:r>
          </w:p>
        </w:tc>
        <w:tc>
          <w:tcPr>
            <w:tcW w:w="596" w:type="pct"/>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cs="宋体"/>
                <w:color w:val="000000"/>
                <w:sz w:val="20"/>
                <w:szCs w:val="20"/>
                <w:lang w:val="en-US" w:eastAsia="zh-CN"/>
              </w:rPr>
              <w:t>1</w:t>
            </w:r>
            <w:r>
              <w:rPr>
                <w:rFonts w:hint="eastAsia" w:ascii="宋体" w:hAnsi="宋体" w:cs="宋体"/>
                <w:color w:val="000000"/>
                <w:sz w:val="20"/>
                <w:szCs w:val="20"/>
              </w:rPr>
              <w:t>次</w:t>
            </w:r>
          </w:p>
        </w:tc>
        <w:tc>
          <w:tcPr>
            <w:tcW w:w="589" w:type="pct"/>
            <w:tcBorders>
              <w:top w:val="single" w:color="auto" w:sz="4" w:space="0"/>
              <w:left w:val="single" w:color="auto" w:sz="4" w:space="0"/>
              <w:bottom w:val="single" w:color="auto" w:sz="4" w:space="0"/>
              <w:right w:val="single" w:color="auto" w:sz="4" w:space="0"/>
            </w:tcBorders>
            <w:noWrap w:val="0"/>
            <w:vAlign w:val="center"/>
          </w:tcPr>
          <w:p>
            <w:pPr>
              <w:widowControl/>
              <w:spacing w:line="0" w:lineRule="atLeast"/>
              <w:jc w:val="center"/>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Cs w:val="21"/>
              </w:rPr>
              <w:t>100%</w:t>
            </w:r>
          </w:p>
        </w:tc>
        <w:tc>
          <w:tcPr>
            <w:tcW w:w="316" w:type="pct"/>
            <w:tcBorders>
              <w:top w:val="single" w:color="auto" w:sz="4" w:space="0"/>
              <w:left w:val="single" w:color="auto" w:sz="4" w:space="0"/>
              <w:bottom w:val="single" w:color="auto" w:sz="4" w:space="0"/>
              <w:right w:val="single" w:color="auto" w:sz="4" w:space="0"/>
            </w:tcBorders>
            <w:noWrap w:val="0"/>
            <w:vAlign w:val="center"/>
          </w:tcPr>
          <w:p>
            <w:pPr>
              <w:widowControl/>
              <w:spacing w:line="0" w:lineRule="atLeast"/>
              <w:jc w:val="center"/>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Cs w:val="21"/>
                <w:lang w:val="en-US" w:eastAsia="zh-CN"/>
              </w:rPr>
              <w:t>5</w:t>
            </w:r>
          </w:p>
        </w:tc>
        <w:tc>
          <w:tcPr>
            <w:tcW w:w="1016" w:type="dxa"/>
            <w:tcBorders>
              <w:top w:val="single" w:color="auto" w:sz="4" w:space="0"/>
              <w:left w:val="single" w:color="auto" w:sz="4" w:space="0"/>
              <w:bottom w:val="single" w:color="auto" w:sz="4" w:space="0"/>
              <w:right w:val="single" w:color="auto" w:sz="4" w:space="0"/>
            </w:tcBorders>
            <w:noWrap w:val="0"/>
            <w:vAlign w:val="center"/>
          </w:tcPr>
          <w:p>
            <w:pPr>
              <w:widowControl/>
              <w:spacing w:line="0" w:lineRule="atLeast"/>
              <w:jc w:val="center"/>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Cs w:val="21"/>
                <w:lang w:val="en-US" w:eastAsia="zh-CN"/>
              </w:rPr>
              <w:t>5</w:t>
            </w:r>
          </w:p>
        </w:tc>
        <w:tc>
          <w:tcPr>
            <w:tcW w:w="85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7" w:type="pct"/>
            <w:tcBorders>
              <w:top w:val="single" w:color="auto" w:sz="4" w:space="0"/>
              <w:left w:val="single" w:color="auto" w:sz="4" w:space="0"/>
              <w:bottom w:val="single" w:color="auto" w:sz="4" w:space="0"/>
              <w:right w:val="single" w:color="auto" w:sz="4" w:space="0"/>
            </w:tcBorders>
            <w:noWrap w:val="0"/>
            <w:vAlign w:val="center"/>
          </w:tcPr>
          <w:p>
            <w:pPr>
              <w:widowControl/>
              <w:spacing w:line="0" w:lineRule="atLeast"/>
              <w:jc w:val="left"/>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Cs w:val="21"/>
              </w:rPr>
              <w:t>三保工作</w:t>
            </w:r>
          </w:p>
        </w:tc>
        <w:tc>
          <w:tcPr>
            <w:tcW w:w="596" w:type="pct"/>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cs="宋体"/>
                <w:color w:val="000000"/>
                <w:sz w:val="20"/>
                <w:szCs w:val="20"/>
                <w:lang w:val="en-US" w:eastAsia="zh-CN"/>
              </w:rPr>
              <w:t>1次</w:t>
            </w:r>
          </w:p>
        </w:tc>
        <w:tc>
          <w:tcPr>
            <w:tcW w:w="589" w:type="pct"/>
            <w:tcBorders>
              <w:top w:val="single" w:color="auto" w:sz="4" w:space="0"/>
              <w:left w:val="single" w:color="auto" w:sz="4" w:space="0"/>
              <w:bottom w:val="single" w:color="auto" w:sz="4" w:space="0"/>
              <w:right w:val="single" w:color="auto" w:sz="4" w:space="0"/>
            </w:tcBorders>
            <w:noWrap w:val="0"/>
            <w:vAlign w:val="center"/>
          </w:tcPr>
          <w:p>
            <w:pPr>
              <w:widowControl/>
              <w:spacing w:line="0" w:lineRule="atLeast"/>
              <w:jc w:val="center"/>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Cs w:val="21"/>
              </w:rPr>
              <w:t>100%</w:t>
            </w:r>
          </w:p>
        </w:tc>
        <w:tc>
          <w:tcPr>
            <w:tcW w:w="316" w:type="pct"/>
            <w:tcBorders>
              <w:top w:val="single" w:color="auto" w:sz="4" w:space="0"/>
              <w:left w:val="single" w:color="auto" w:sz="4" w:space="0"/>
              <w:bottom w:val="single" w:color="auto" w:sz="4" w:space="0"/>
              <w:right w:val="single" w:color="auto" w:sz="4" w:space="0"/>
            </w:tcBorders>
            <w:noWrap w:val="0"/>
            <w:vAlign w:val="center"/>
          </w:tcPr>
          <w:p>
            <w:pPr>
              <w:widowControl/>
              <w:spacing w:line="0" w:lineRule="atLeast"/>
              <w:jc w:val="center"/>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Cs w:val="21"/>
              </w:rPr>
              <w:t>10</w:t>
            </w:r>
          </w:p>
        </w:tc>
        <w:tc>
          <w:tcPr>
            <w:tcW w:w="1016" w:type="dxa"/>
            <w:tcBorders>
              <w:top w:val="single" w:color="auto" w:sz="4" w:space="0"/>
              <w:left w:val="single" w:color="auto" w:sz="4" w:space="0"/>
              <w:bottom w:val="single" w:color="auto" w:sz="4" w:space="0"/>
              <w:right w:val="single" w:color="auto" w:sz="4" w:space="0"/>
            </w:tcBorders>
            <w:noWrap w:val="0"/>
            <w:vAlign w:val="center"/>
          </w:tcPr>
          <w:p>
            <w:pPr>
              <w:widowControl/>
              <w:spacing w:line="0" w:lineRule="atLeast"/>
              <w:jc w:val="center"/>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Cs w:val="21"/>
              </w:rPr>
              <w:t>10</w:t>
            </w:r>
          </w:p>
        </w:tc>
        <w:tc>
          <w:tcPr>
            <w:tcW w:w="85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质量</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6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固定资产清理</w:t>
            </w:r>
          </w:p>
        </w:tc>
        <w:tc>
          <w:tcPr>
            <w:tcW w:w="5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1次</w:t>
            </w:r>
          </w:p>
        </w:tc>
        <w:tc>
          <w:tcPr>
            <w:tcW w:w="58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100%</w:t>
            </w:r>
          </w:p>
        </w:tc>
        <w:tc>
          <w:tcPr>
            <w:tcW w:w="3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w:t>
            </w:r>
          </w:p>
        </w:tc>
        <w:tc>
          <w:tcPr>
            <w:tcW w:w="10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4</w:t>
            </w:r>
          </w:p>
        </w:tc>
        <w:tc>
          <w:tcPr>
            <w:tcW w:w="85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p>
        </w:tc>
        <w:tc>
          <w:tcPr>
            <w:tcW w:w="5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p>
        </w:tc>
        <w:tc>
          <w:tcPr>
            <w:tcW w:w="58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p>
        </w:tc>
        <w:tc>
          <w:tcPr>
            <w:tcW w:w="3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p>
        </w:tc>
        <w:tc>
          <w:tcPr>
            <w:tcW w:w="10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sz w:val="21"/>
                <w:szCs w:val="21"/>
                <w:lang w:val="en-US" w:eastAsia="zh-CN"/>
              </w:rPr>
            </w:pPr>
          </w:p>
        </w:tc>
        <w:tc>
          <w:tcPr>
            <w:tcW w:w="85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p>
        </w:tc>
        <w:tc>
          <w:tcPr>
            <w:tcW w:w="5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p>
        </w:tc>
        <w:tc>
          <w:tcPr>
            <w:tcW w:w="58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p>
        </w:tc>
        <w:tc>
          <w:tcPr>
            <w:tcW w:w="3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p>
        </w:tc>
        <w:tc>
          <w:tcPr>
            <w:tcW w:w="10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sz w:val="21"/>
                <w:szCs w:val="21"/>
                <w:lang w:val="en-US" w:eastAsia="zh-CN"/>
              </w:rPr>
            </w:pPr>
          </w:p>
        </w:tc>
        <w:tc>
          <w:tcPr>
            <w:tcW w:w="85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时效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6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eastAsia="zh-CN"/>
              </w:rPr>
              <w:t>部门报账</w:t>
            </w:r>
          </w:p>
        </w:tc>
        <w:tc>
          <w:tcPr>
            <w:tcW w:w="5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val="en-US" w:eastAsia="zh-CN"/>
              </w:rPr>
              <w:t>12次</w:t>
            </w:r>
          </w:p>
        </w:tc>
        <w:tc>
          <w:tcPr>
            <w:tcW w:w="58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100%</w:t>
            </w:r>
          </w:p>
        </w:tc>
        <w:tc>
          <w:tcPr>
            <w:tcW w:w="3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val="en-US" w:eastAsia="zh-CN"/>
              </w:rPr>
              <w:t>5</w:t>
            </w:r>
          </w:p>
        </w:tc>
        <w:tc>
          <w:tcPr>
            <w:tcW w:w="10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val="en-US" w:eastAsia="zh-CN"/>
              </w:rPr>
              <w:t>5</w:t>
            </w:r>
          </w:p>
        </w:tc>
        <w:tc>
          <w:tcPr>
            <w:tcW w:w="85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eastAsia="zh-CN"/>
              </w:rPr>
              <w:t>站所报账</w:t>
            </w:r>
          </w:p>
        </w:tc>
        <w:tc>
          <w:tcPr>
            <w:tcW w:w="5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6次</w:t>
            </w:r>
          </w:p>
        </w:tc>
        <w:tc>
          <w:tcPr>
            <w:tcW w:w="58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100%</w:t>
            </w:r>
          </w:p>
        </w:tc>
        <w:tc>
          <w:tcPr>
            <w:tcW w:w="3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val="en-US" w:eastAsia="zh-CN"/>
              </w:rPr>
              <w:t>10</w:t>
            </w:r>
          </w:p>
        </w:tc>
        <w:tc>
          <w:tcPr>
            <w:tcW w:w="10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val="en-US" w:eastAsia="zh-CN"/>
              </w:rPr>
              <w:t>9</w:t>
            </w:r>
          </w:p>
        </w:tc>
        <w:tc>
          <w:tcPr>
            <w:tcW w:w="85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eastAsia="zh-CN"/>
              </w:rPr>
              <w:t>村报账</w:t>
            </w:r>
          </w:p>
        </w:tc>
        <w:tc>
          <w:tcPr>
            <w:tcW w:w="5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12次</w:t>
            </w:r>
          </w:p>
        </w:tc>
        <w:tc>
          <w:tcPr>
            <w:tcW w:w="58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100%</w:t>
            </w:r>
          </w:p>
        </w:tc>
        <w:tc>
          <w:tcPr>
            <w:tcW w:w="3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val="en-US" w:eastAsia="zh-CN"/>
              </w:rPr>
              <w:t>10</w:t>
            </w:r>
          </w:p>
        </w:tc>
        <w:tc>
          <w:tcPr>
            <w:tcW w:w="10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val="en-US" w:eastAsia="zh-CN"/>
              </w:rPr>
              <w:t>10</w:t>
            </w:r>
          </w:p>
        </w:tc>
        <w:tc>
          <w:tcPr>
            <w:tcW w:w="85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成本</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6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8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10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6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8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10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6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5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8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10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850" w:hRule="atLeast"/>
          <w:jc w:val="center"/>
        </w:trPr>
        <w:tc>
          <w:tcPr>
            <w:tcW w:w="587" w:type="pct"/>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标</w:t>
            </w:r>
          </w:p>
        </w:tc>
        <w:tc>
          <w:tcPr>
            <w:tcW w:w="4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一级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4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二级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6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三级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指标值</w:t>
            </w:r>
          </w:p>
        </w:tc>
        <w:tc>
          <w:tcPr>
            <w:tcW w:w="58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完成值</w:t>
            </w:r>
          </w:p>
        </w:tc>
        <w:tc>
          <w:tcPr>
            <w:tcW w:w="3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分值</w:t>
            </w:r>
          </w:p>
        </w:tc>
        <w:tc>
          <w:tcPr>
            <w:tcW w:w="10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分值</w:t>
            </w:r>
          </w:p>
        </w:tc>
        <w:tc>
          <w:tcPr>
            <w:tcW w:w="85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偏差原因分析及改进措施</w:t>
            </w:r>
          </w:p>
        </w:tc>
      </w:tr>
      <w:tr>
        <w:tblPrEx>
          <w:tblCellMar>
            <w:top w:w="0" w:type="dxa"/>
            <w:left w:w="108" w:type="dxa"/>
            <w:bottom w:w="0" w:type="dxa"/>
            <w:right w:w="108" w:type="dxa"/>
          </w:tblCellMar>
        </w:tblPrEx>
        <w:trPr>
          <w:trHeight w:val="462" w:hRule="atLeast"/>
          <w:jc w:val="center"/>
        </w:trPr>
        <w:tc>
          <w:tcPr>
            <w:tcW w:w="587"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效益</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（30分）</w:t>
            </w:r>
          </w:p>
        </w:tc>
        <w:tc>
          <w:tcPr>
            <w:tcW w:w="469"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经济效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益指标</w:t>
            </w:r>
          </w:p>
        </w:tc>
        <w:tc>
          <w:tcPr>
            <w:tcW w:w="567" w:type="pct"/>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新宋体" w:hAnsi="新宋体" w:eastAsia="新宋体" w:cs="新宋体"/>
                <w:color w:val="000000"/>
                <w:kern w:val="2"/>
                <w:sz w:val="21"/>
                <w:szCs w:val="21"/>
                <w:lang w:val="en-US" w:eastAsia="zh-CN" w:bidi="ar-SA"/>
              </w:rPr>
            </w:pPr>
            <w:r>
              <w:rPr>
                <w:rFonts w:hint="eastAsia" w:eastAsia="FangSong_GB2312"/>
                <w:color w:val="000000"/>
                <w:kern w:val="0"/>
                <w:szCs w:val="21"/>
              </w:rPr>
              <w:t>助推</w:t>
            </w:r>
            <w:r>
              <w:rPr>
                <w:rFonts w:hint="eastAsia" w:eastAsia="FangSong_GB2312"/>
                <w:color w:val="000000"/>
                <w:kern w:val="0"/>
                <w:szCs w:val="21"/>
                <w:lang w:eastAsia="zh-CN"/>
              </w:rPr>
              <w:t>万庾</w:t>
            </w:r>
            <w:r>
              <w:rPr>
                <w:rFonts w:hint="eastAsia" w:eastAsia="FangSong_GB2312"/>
                <w:color w:val="000000"/>
                <w:kern w:val="0"/>
                <w:szCs w:val="21"/>
              </w:rPr>
              <w:t>经济发展</w:t>
            </w:r>
          </w:p>
        </w:tc>
        <w:tc>
          <w:tcPr>
            <w:tcW w:w="596" w:type="pct"/>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新宋体" w:hAnsi="新宋体" w:eastAsia="新宋体" w:cs="新宋体"/>
                <w:color w:val="000000"/>
                <w:kern w:val="2"/>
                <w:sz w:val="21"/>
                <w:szCs w:val="21"/>
                <w:lang w:val="en-US" w:eastAsia="zh-CN" w:bidi="ar-SA"/>
              </w:rPr>
            </w:pPr>
            <w:r>
              <w:rPr>
                <w:rFonts w:hint="eastAsia" w:eastAsia="FangSong_GB2312"/>
                <w:color w:val="000000"/>
                <w:kern w:val="0"/>
                <w:szCs w:val="21"/>
              </w:rPr>
              <w:t>效果明显</w:t>
            </w:r>
          </w:p>
        </w:tc>
        <w:tc>
          <w:tcPr>
            <w:tcW w:w="589" w:type="pct"/>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新宋体" w:hAnsi="新宋体" w:eastAsia="新宋体" w:cs="新宋体"/>
                <w:color w:val="000000"/>
                <w:kern w:val="2"/>
                <w:sz w:val="21"/>
                <w:szCs w:val="21"/>
                <w:lang w:val="en-US" w:eastAsia="zh-CN" w:bidi="ar-SA"/>
              </w:rPr>
            </w:pPr>
            <w:r>
              <w:rPr>
                <w:rFonts w:hint="eastAsia" w:eastAsia="FangSong_GB2312"/>
                <w:color w:val="000000"/>
                <w:kern w:val="0"/>
                <w:szCs w:val="21"/>
              </w:rPr>
              <w:t>效果明显</w:t>
            </w:r>
          </w:p>
        </w:tc>
        <w:tc>
          <w:tcPr>
            <w:tcW w:w="3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w:t>
            </w:r>
          </w:p>
        </w:tc>
        <w:tc>
          <w:tcPr>
            <w:tcW w:w="10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w:t>
            </w:r>
          </w:p>
        </w:tc>
        <w:tc>
          <w:tcPr>
            <w:tcW w:w="85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7"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7" w:type="pct"/>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新宋体" w:hAnsi="新宋体" w:eastAsia="新宋体" w:cs="新宋体"/>
                <w:color w:val="000000"/>
                <w:kern w:val="2"/>
                <w:sz w:val="21"/>
                <w:szCs w:val="21"/>
                <w:lang w:val="en-US" w:eastAsia="zh-CN" w:bidi="ar-SA"/>
              </w:rPr>
            </w:pPr>
          </w:p>
        </w:tc>
        <w:tc>
          <w:tcPr>
            <w:tcW w:w="596" w:type="pct"/>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新宋体" w:hAnsi="新宋体" w:eastAsia="新宋体" w:cs="新宋体"/>
                <w:color w:val="000000"/>
                <w:kern w:val="2"/>
                <w:sz w:val="21"/>
                <w:szCs w:val="21"/>
                <w:lang w:val="en-US" w:eastAsia="zh-CN" w:bidi="ar-SA"/>
              </w:rPr>
            </w:pPr>
          </w:p>
        </w:tc>
        <w:tc>
          <w:tcPr>
            <w:tcW w:w="589" w:type="pct"/>
            <w:tcBorders>
              <w:top w:val="single" w:color="auto" w:sz="4" w:space="0"/>
              <w:left w:val="single" w:color="auto" w:sz="4" w:space="0"/>
              <w:bottom w:val="single" w:color="auto" w:sz="4" w:space="0"/>
              <w:right w:val="single" w:color="auto" w:sz="4" w:space="0"/>
            </w:tcBorders>
            <w:noWrap w:val="0"/>
            <w:vAlign w:val="center"/>
          </w:tcPr>
          <w:p>
            <w:pPr>
              <w:widowControl/>
              <w:spacing w:line="0" w:lineRule="atLeast"/>
              <w:jc w:val="center"/>
              <w:rPr>
                <w:rFonts w:hint="eastAsia" w:ascii="新宋体" w:hAnsi="新宋体" w:eastAsia="新宋体" w:cs="新宋体"/>
                <w:color w:val="000000"/>
                <w:kern w:val="2"/>
                <w:sz w:val="21"/>
                <w:szCs w:val="21"/>
                <w:lang w:val="en-US" w:eastAsia="zh-CN" w:bidi="ar-SA"/>
              </w:rPr>
            </w:pPr>
          </w:p>
        </w:tc>
        <w:tc>
          <w:tcPr>
            <w:tcW w:w="3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10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7"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vMerge w:val="continue"/>
            <w:tcBorders>
              <w:top w:val="single" w:color="auto" w:sz="4" w:space="0"/>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vMerge w:val="continue"/>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7" w:type="pct"/>
            <w:tcBorders>
              <w:top w:val="single" w:color="auto" w:sz="4" w:space="0"/>
              <w:left w:val="nil"/>
              <w:bottom w:val="single" w:color="auto" w:sz="4" w:space="0"/>
              <w:right w:val="single" w:color="auto" w:sz="4" w:space="0"/>
            </w:tcBorders>
            <w:noWrap w:val="0"/>
            <w:vAlign w:val="center"/>
          </w:tcPr>
          <w:p>
            <w:pPr>
              <w:widowControl/>
              <w:spacing w:line="0" w:lineRule="atLeast"/>
              <w:jc w:val="center"/>
              <w:rPr>
                <w:rFonts w:hint="eastAsia" w:ascii="新宋体" w:hAnsi="新宋体" w:eastAsia="新宋体" w:cs="新宋体"/>
                <w:color w:val="000000"/>
                <w:kern w:val="2"/>
                <w:sz w:val="21"/>
                <w:szCs w:val="21"/>
                <w:lang w:val="en-US" w:eastAsia="zh-CN" w:bidi="ar-SA"/>
              </w:rPr>
            </w:pPr>
          </w:p>
        </w:tc>
        <w:tc>
          <w:tcPr>
            <w:tcW w:w="596" w:type="pct"/>
            <w:tcBorders>
              <w:top w:val="single" w:color="auto" w:sz="4" w:space="0"/>
              <w:left w:val="nil"/>
              <w:bottom w:val="single" w:color="auto" w:sz="4" w:space="0"/>
              <w:right w:val="single" w:color="auto" w:sz="4" w:space="0"/>
            </w:tcBorders>
            <w:noWrap w:val="0"/>
            <w:vAlign w:val="center"/>
          </w:tcPr>
          <w:p>
            <w:pPr>
              <w:widowControl/>
              <w:spacing w:line="0" w:lineRule="atLeast"/>
              <w:jc w:val="center"/>
              <w:rPr>
                <w:rFonts w:hint="eastAsia" w:ascii="新宋体" w:hAnsi="新宋体" w:eastAsia="新宋体" w:cs="新宋体"/>
                <w:color w:val="000000"/>
                <w:kern w:val="2"/>
                <w:sz w:val="21"/>
                <w:szCs w:val="21"/>
                <w:lang w:val="en-US" w:eastAsia="zh-CN" w:bidi="ar-SA"/>
              </w:rPr>
            </w:pPr>
          </w:p>
        </w:tc>
        <w:tc>
          <w:tcPr>
            <w:tcW w:w="589" w:type="pct"/>
            <w:tcBorders>
              <w:top w:val="single" w:color="auto" w:sz="4" w:space="0"/>
              <w:left w:val="nil"/>
              <w:bottom w:val="single" w:color="auto" w:sz="4" w:space="0"/>
              <w:right w:val="single" w:color="auto" w:sz="4" w:space="0"/>
            </w:tcBorders>
            <w:noWrap w:val="0"/>
            <w:vAlign w:val="center"/>
          </w:tcPr>
          <w:p>
            <w:pPr>
              <w:widowControl/>
              <w:spacing w:line="0" w:lineRule="atLeast"/>
              <w:jc w:val="center"/>
              <w:rPr>
                <w:rFonts w:hint="eastAsia" w:ascii="新宋体" w:hAnsi="新宋体" w:eastAsia="新宋体" w:cs="新宋体"/>
                <w:color w:val="000000"/>
                <w:kern w:val="2"/>
                <w:sz w:val="21"/>
                <w:szCs w:val="21"/>
                <w:lang w:val="en-US" w:eastAsia="zh-CN" w:bidi="ar-SA"/>
              </w:rPr>
            </w:pPr>
          </w:p>
        </w:tc>
        <w:tc>
          <w:tcPr>
            <w:tcW w:w="316"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1016"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6"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7"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社会效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益指标</w:t>
            </w:r>
          </w:p>
        </w:tc>
        <w:tc>
          <w:tcPr>
            <w:tcW w:w="567" w:type="pct"/>
            <w:tcBorders>
              <w:top w:val="nil"/>
              <w:left w:val="nil"/>
              <w:bottom w:val="single" w:color="auto" w:sz="4" w:space="0"/>
              <w:right w:val="single" w:color="auto" w:sz="4" w:space="0"/>
            </w:tcBorders>
            <w:noWrap w:val="0"/>
            <w:vAlign w:val="center"/>
          </w:tcPr>
          <w:p>
            <w:pPr>
              <w:widowControl/>
              <w:jc w:val="left"/>
              <w:rPr>
                <w:rFonts w:hint="eastAsia" w:ascii="新宋体" w:hAnsi="新宋体" w:eastAsia="新宋体" w:cs="新宋体"/>
                <w:color w:val="000000"/>
                <w:kern w:val="2"/>
                <w:sz w:val="21"/>
                <w:szCs w:val="21"/>
                <w:lang w:val="en-US" w:eastAsia="zh-CN" w:bidi="ar-SA"/>
              </w:rPr>
            </w:pPr>
            <w:r>
              <w:rPr>
                <w:rFonts w:hint="eastAsia" w:eastAsia="FangSong_GB2312"/>
                <w:color w:val="000000"/>
                <w:kern w:val="0"/>
                <w:szCs w:val="21"/>
              </w:rPr>
              <w:t>做好“三保”工作，维护</w:t>
            </w:r>
            <w:r>
              <w:rPr>
                <w:rFonts w:hint="eastAsia" w:eastAsia="FangSong_GB2312"/>
                <w:color w:val="000000"/>
                <w:kern w:val="0"/>
                <w:szCs w:val="21"/>
                <w:lang w:eastAsia="zh-CN"/>
              </w:rPr>
              <w:t>万庾</w:t>
            </w:r>
            <w:r>
              <w:rPr>
                <w:rFonts w:hint="eastAsia" w:eastAsia="FangSong_GB2312"/>
                <w:color w:val="000000"/>
                <w:kern w:val="0"/>
                <w:szCs w:val="21"/>
              </w:rPr>
              <w:t>经济社会发展大局稳定。</w:t>
            </w:r>
          </w:p>
        </w:tc>
        <w:tc>
          <w:tcPr>
            <w:tcW w:w="596" w:type="pct"/>
            <w:tcBorders>
              <w:top w:val="nil"/>
              <w:left w:val="nil"/>
              <w:bottom w:val="single" w:color="auto" w:sz="4" w:space="0"/>
              <w:right w:val="single" w:color="auto" w:sz="4" w:space="0"/>
            </w:tcBorders>
            <w:noWrap w:val="0"/>
            <w:vAlign w:val="center"/>
          </w:tcPr>
          <w:p>
            <w:pPr>
              <w:widowControl/>
              <w:jc w:val="left"/>
              <w:rPr>
                <w:rFonts w:hint="eastAsia" w:ascii="新宋体" w:hAnsi="新宋体" w:eastAsia="新宋体" w:cs="新宋体"/>
                <w:color w:val="000000"/>
                <w:kern w:val="2"/>
                <w:sz w:val="21"/>
                <w:szCs w:val="21"/>
                <w:lang w:val="en-US" w:eastAsia="zh-CN" w:bidi="ar-SA"/>
              </w:rPr>
            </w:pPr>
            <w:r>
              <w:rPr>
                <w:rFonts w:hint="eastAsia" w:eastAsia="FangSong_GB2312"/>
                <w:color w:val="000000"/>
                <w:kern w:val="0"/>
                <w:szCs w:val="21"/>
              </w:rPr>
              <w:t>做好“三保”工作，维护</w:t>
            </w:r>
            <w:r>
              <w:rPr>
                <w:rFonts w:hint="eastAsia" w:eastAsia="FangSong_GB2312"/>
                <w:color w:val="000000"/>
                <w:kern w:val="0"/>
                <w:szCs w:val="21"/>
                <w:lang w:eastAsia="zh-CN"/>
              </w:rPr>
              <w:t>万庾</w:t>
            </w:r>
            <w:r>
              <w:rPr>
                <w:rFonts w:hint="eastAsia" w:eastAsia="FangSong_GB2312"/>
                <w:color w:val="000000"/>
                <w:kern w:val="0"/>
                <w:szCs w:val="21"/>
              </w:rPr>
              <w:t>经济社会发展大局稳定。。</w:t>
            </w:r>
          </w:p>
        </w:tc>
        <w:tc>
          <w:tcPr>
            <w:tcW w:w="589" w:type="pct"/>
            <w:tcBorders>
              <w:top w:val="nil"/>
              <w:left w:val="nil"/>
              <w:bottom w:val="single" w:color="auto" w:sz="4" w:space="0"/>
              <w:right w:val="single" w:color="auto" w:sz="4" w:space="0"/>
            </w:tcBorders>
            <w:noWrap w:val="0"/>
            <w:vAlign w:val="center"/>
          </w:tcPr>
          <w:p>
            <w:pPr>
              <w:widowControl/>
              <w:spacing w:line="0" w:lineRule="atLeast"/>
              <w:jc w:val="center"/>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Cs w:val="21"/>
              </w:rPr>
              <w:t>100%</w:t>
            </w:r>
          </w:p>
        </w:tc>
        <w:tc>
          <w:tcPr>
            <w:tcW w:w="31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w:t>
            </w:r>
          </w:p>
        </w:tc>
        <w:tc>
          <w:tcPr>
            <w:tcW w:w="1016"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w:t>
            </w:r>
          </w:p>
        </w:tc>
        <w:tc>
          <w:tcPr>
            <w:tcW w:w="85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7"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7" w:type="pct"/>
            <w:tcBorders>
              <w:top w:val="nil"/>
              <w:left w:val="nil"/>
              <w:bottom w:val="single" w:color="auto" w:sz="4" w:space="0"/>
              <w:right w:val="single" w:color="auto" w:sz="4" w:space="0"/>
            </w:tcBorders>
            <w:noWrap w:val="0"/>
            <w:vAlign w:val="center"/>
          </w:tcPr>
          <w:p>
            <w:pPr>
              <w:widowControl/>
              <w:spacing w:line="0" w:lineRule="atLeast"/>
              <w:jc w:val="center"/>
              <w:rPr>
                <w:rFonts w:hint="eastAsia" w:ascii="新宋体" w:hAnsi="新宋体" w:eastAsia="新宋体" w:cs="新宋体"/>
                <w:color w:val="000000"/>
                <w:kern w:val="2"/>
                <w:sz w:val="21"/>
                <w:szCs w:val="21"/>
                <w:lang w:val="en-US" w:eastAsia="zh-CN" w:bidi="ar-SA"/>
              </w:rPr>
            </w:pPr>
          </w:p>
        </w:tc>
        <w:tc>
          <w:tcPr>
            <w:tcW w:w="596" w:type="pct"/>
            <w:tcBorders>
              <w:top w:val="nil"/>
              <w:left w:val="nil"/>
              <w:bottom w:val="single" w:color="auto" w:sz="4" w:space="0"/>
              <w:right w:val="single" w:color="auto" w:sz="4" w:space="0"/>
            </w:tcBorders>
            <w:noWrap w:val="0"/>
            <w:vAlign w:val="center"/>
          </w:tcPr>
          <w:p>
            <w:pPr>
              <w:widowControl/>
              <w:spacing w:line="0" w:lineRule="atLeast"/>
              <w:jc w:val="center"/>
              <w:rPr>
                <w:rFonts w:hint="eastAsia" w:ascii="新宋体" w:hAnsi="新宋体" w:eastAsia="新宋体" w:cs="新宋体"/>
                <w:color w:val="000000"/>
                <w:kern w:val="2"/>
                <w:sz w:val="21"/>
                <w:szCs w:val="21"/>
                <w:lang w:val="en-US" w:eastAsia="zh-CN" w:bidi="ar-SA"/>
              </w:rPr>
            </w:pPr>
          </w:p>
        </w:tc>
        <w:tc>
          <w:tcPr>
            <w:tcW w:w="589" w:type="pct"/>
            <w:tcBorders>
              <w:top w:val="nil"/>
              <w:left w:val="nil"/>
              <w:bottom w:val="single" w:color="auto" w:sz="4" w:space="0"/>
              <w:right w:val="single" w:color="auto" w:sz="4" w:space="0"/>
            </w:tcBorders>
            <w:noWrap w:val="0"/>
            <w:vAlign w:val="center"/>
          </w:tcPr>
          <w:p>
            <w:pPr>
              <w:widowControl/>
              <w:spacing w:line="0" w:lineRule="atLeast"/>
              <w:jc w:val="center"/>
              <w:rPr>
                <w:rFonts w:hint="eastAsia" w:ascii="新宋体" w:hAnsi="新宋体" w:eastAsia="新宋体" w:cs="新宋体"/>
                <w:color w:val="000000"/>
                <w:kern w:val="2"/>
                <w:sz w:val="21"/>
                <w:szCs w:val="21"/>
                <w:lang w:val="en-US" w:eastAsia="zh-CN" w:bidi="ar-SA"/>
              </w:rPr>
            </w:pPr>
          </w:p>
        </w:tc>
        <w:tc>
          <w:tcPr>
            <w:tcW w:w="31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1016"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7"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7" w:type="pct"/>
            <w:tcBorders>
              <w:top w:val="nil"/>
              <w:left w:val="nil"/>
              <w:bottom w:val="single" w:color="auto" w:sz="4" w:space="0"/>
              <w:right w:val="single" w:color="auto" w:sz="4" w:space="0"/>
            </w:tcBorders>
            <w:noWrap w:val="0"/>
            <w:vAlign w:val="center"/>
          </w:tcPr>
          <w:p>
            <w:pPr>
              <w:widowControl/>
              <w:spacing w:line="0" w:lineRule="atLeast"/>
              <w:jc w:val="center"/>
              <w:rPr>
                <w:rFonts w:hint="eastAsia" w:ascii="新宋体" w:hAnsi="新宋体" w:eastAsia="新宋体" w:cs="新宋体"/>
                <w:color w:val="000000"/>
                <w:kern w:val="2"/>
                <w:sz w:val="21"/>
                <w:szCs w:val="21"/>
                <w:lang w:val="en-US" w:eastAsia="zh-CN" w:bidi="ar-SA"/>
              </w:rPr>
            </w:pPr>
          </w:p>
        </w:tc>
        <w:tc>
          <w:tcPr>
            <w:tcW w:w="596" w:type="pct"/>
            <w:tcBorders>
              <w:top w:val="nil"/>
              <w:left w:val="nil"/>
              <w:bottom w:val="single" w:color="auto" w:sz="4" w:space="0"/>
              <w:right w:val="single" w:color="auto" w:sz="4" w:space="0"/>
            </w:tcBorders>
            <w:noWrap w:val="0"/>
            <w:vAlign w:val="center"/>
          </w:tcPr>
          <w:p>
            <w:pPr>
              <w:widowControl/>
              <w:spacing w:line="0" w:lineRule="atLeast"/>
              <w:jc w:val="center"/>
              <w:rPr>
                <w:rFonts w:hint="eastAsia" w:ascii="新宋体" w:hAnsi="新宋体" w:eastAsia="新宋体" w:cs="新宋体"/>
                <w:color w:val="000000"/>
                <w:kern w:val="2"/>
                <w:sz w:val="21"/>
                <w:szCs w:val="21"/>
                <w:lang w:val="en-US" w:eastAsia="zh-CN" w:bidi="ar-SA"/>
              </w:rPr>
            </w:pPr>
          </w:p>
        </w:tc>
        <w:tc>
          <w:tcPr>
            <w:tcW w:w="589" w:type="pct"/>
            <w:tcBorders>
              <w:top w:val="nil"/>
              <w:left w:val="nil"/>
              <w:bottom w:val="single" w:color="auto" w:sz="4" w:space="0"/>
              <w:right w:val="single" w:color="auto" w:sz="4" w:space="0"/>
            </w:tcBorders>
            <w:noWrap w:val="0"/>
            <w:vAlign w:val="center"/>
          </w:tcPr>
          <w:p>
            <w:pPr>
              <w:widowControl/>
              <w:spacing w:line="0" w:lineRule="atLeast"/>
              <w:jc w:val="center"/>
              <w:rPr>
                <w:rFonts w:hint="eastAsia" w:ascii="新宋体" w:hAnsi="新宋体" w:eastAsia="新宋体" w:cs="新宋体"/>
                <w:color w:val="000000"/>
                <w:kern w:val="2"/>
                <w:sz w:val="21"/>
                <w:szCs w:val="21"/>
                <w:lang w:val="en-US" w:eastAsia="zh-CN" w:bidi="ar-SA"/>
              </w:rPr>
            </w:pPr>
          </w:p>
        </w:tc>
        <w:tc>
          <w:tcPr>
            <w:tcW w:w="31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1016"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7"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生态效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益指标</w:t>
            </w:r>
          </w:p>
        </w:tc>
        <w:tc>
          <w:tcPr>
            <w:tcW w:w="567" w:type="pct"/>
            <w:tcBorders>
              <w:top w:val="nil"/>
              <w:left w:val="nil"/>
              <w:bottom w:val="single" w:color="auto" w:sz="4" w:space="0"/>
              <w:right w:val="single" w:color="auto" w:sz="4" w:space="0"/>
            </w:tcBorders>
            <w:noWrap w:val="0"/>
            <w:vAlign w:val="center"/>
          </w:tcPr>
          <w:p>
            <w:pPr>
              <w:widowControl/>
              <w:spacing w:line="0" w:lineRule="atLeast"/>
              <w:jc w:val="center"/>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Cs w:val="21"/>
              </w:rPr>
              <w:t>人居环境得到改善</w:t>
            </w:r>
          </w:p>
        </w:tc>
        <w:tc>
          <w:tcPr>
            <w:tcW w:w="596" w:type="pct"/>
            <w:tcBorders>
              <w:top w:val="nil"/>
              <w:left w:val="nil"/>
              <w:bottom w:val="single" w:color="auto" w:sz="4" w:space="0"/>
              <w:right w:val="single" w:color="auto" w:sz="4" w:space="0"/>
            </w:tcBorders>
            <w:noWrap w:val="0"/>
            <w:vAlign w:val="center"/>
          </w:tcPr>
          <w:p>
            <w:pPr>
              <w:widowControl/>
              <w:spacing w:line="0" w:lineRule="atLeast"/>
              <w:jc w:val="center"/>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Cs w:val="21"/>
              </w:rPr>
              <w:t>=人居环境得到改善%　</w:t>
            </w:r>
          </w:p>
        </w:tc>
        <w:tc>
          <w:tcPr>
            <w:tcW w:w="589" w:type="pct"/>
            <w:tcBorders>
              <w:top w:val="nil"/>
              <w:left w:val="nil"/>
              <w:bottom w:val="single" w:color="auto" w:sz="4" w:space="0"/>
              <w:right w:val="single" w:color="auto" w:sz="4" w:space="0"/>
            </w:tcBorders>
            <w:noWrap w:val="0"/>
            <w:vAlign w:val="center"/>
          </w:tcPr>
          <w:p>
            <w:pPr>
              <w:widowControl/>
              <w:spacing w:line="0" w:lineRule="atLeast"/>
              <w:jc w:val="center"/>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Cs w:val="21"/>
              </w:rPr>
              <w:t>100%　</w:t>
            </w:r>
          </w:p>
        </w:tc>
        <w:tc>
          <w:tcPr>
            <w:tcW w:w="31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w:t>
            </w:r>
          </w:p>
        </w:tc>
        <w:tc>
          <w:tcPr>
            <w:tcW w:w="1016"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w:t>
            </w:r>
          </w:p>
        </w:tc>
        <w:tc>
          <w:tcPr>
            <w:tcW w:w="85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7"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67" w:type="pct"/>
            <w:tcBorders>
              <w:top w:val="nil"/>
              <w:left w:val="nil"/>
              <w:bottom w:val="single" w:color="auto" w:sz="4" w:space="0"/>
              <w:right w:val="single" w:color="auto" w:sz="4" w:space="0"/>
            </w:tcBorders>
            <w:noWrap w:val="0"/>
            <w:vAlign w:val="center"/>
          </w:tcPr>
          <w:p>
            <w:pPr>
              <w:widowControl/>
              <w:spacing w:line="0" w:lineRule="atLeast"/>
              <w:jc w:val="center"/>
              <w:rPr>
                <w:rFonts w:hint="eastAsia" w:ascii="新宋体" w:hAnsi="新宋体" w:eastAsia="新宋体" w:cs="新宋体"/>
                <w:color w:val="000000"/>
                <w:kern w:val="2"/>
                <w:sz w:val="21"/>
                <w:szCs w:val="21"/>
                <w:lang w:val="en-US" w:eastAsia="zh-CN" w:bidi="ar-SA"/>
              </w:rPr>
            </w:pPr>
          </w:p>
        </w:tc>
        <w:tc>
          <w:tcPr>
            <w:tcW w:w="596" w:type="pct"/>
            <w:tcBorders>
              <w:top w:val="nil"/>
              <w:left w:val="nil"/>
              <w:bottom w:val="single" w:color="auto" w:sz="4" w:space="0"/>
              <w:right w:val="single" w:color="auto" w:sz="4" w:space="0"/>
            </w:tcBorders>
            <w:noWrap w:val="0"/>
            <w:vAlign w:val="center"/>
          </w:tcPr>
          <w:p>
            <w:pPr>
              <w:widowControl/>
              <w:spacing w:line="0" w:lineRule="atLeast"/>
              <w:jc w:val="center"/>
              <w:rPr>
                <w:rFonts w:hint="eastAsia" w:ascii="新宋体" w:hAnsi="新宋体" w:eastAsia="新宋体" w:cs="新宋体"/>
                <w:color w:val="000000"/>
                <w:kern w:val="2"/>
                <w:sz w:val="21"/>
                <w:szCs w:val="21"/>
                <w:lang w:val="en-US" w:eastAsia="zh-CN" w:bidi="ar-SA"/>
              </w:rPr>
            </w:pPr>
          </w:p>
        </w:tc>
        <w:tc>
          <w:tcPr>
            <w:tcW w:w="589" w:type="pct"/>
            <w:tcBorders>
              <w:top w:val="nil"/>
              <w:left w:val="nil"/>
              <w:bottom w:val="single" w:color="auto" w:sz="4" w:space="0"/>
              <w:right w:val="single" w:color="auto" w:sz="4" w:space="0"/>
            </w:tcBorders>
            <w:noWrap w:val="0"/>
            <w:vAlign w:val="center"/>
          </w:tcPr>
          <w:p>
            <w:pPr>
              <w:widowControl/>
              <w:spacing w:line="0" w:lineRule="atLeast"/>
              <w:jc w:val="center"/>
              <w:rPr>
                <w:rFonts w:hint="eastAsia" w:ascii="新宋体" w:hAnsi="新宋体" w:eastAsia="新宋体" w:cs="新宋体"/>
                <w:color w:val="000000"/>
                <w:kern w:val="2"/>
                <w:sz w:val="21"/>
                <w:szCs w:val="21"/>
                <w:lang w:val="en-US" w:eastAsia="zh-CN" w:bidi="ar-SA"/>
              </w:rPr>
            </w:pPr>
          </w:p>
        </w:tc>
        <w:tc>
          <w:tcPr>
            <w:tcW w:w="31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1016"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7"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67" w:type="pct"/>
            <w:tcBorders>
              <w:top w:val="nil"/>
              <w:left w:val="nil"/>
              <w:bottom w:val="single" w:color="auto" w:sz="4" w:space="0"/>
              <w:right w:val="single" w:color="auto" w:sz="4" w:space="0"/>
            </w:tcBorders>
            <w:noWrap w:val="0"/>
            <w:vAlign w:val="center"/>
          </w:tcPr>
          <w:p>
            <w:pPr>
              <w:widowControl/>
              <w:jc w:val="center"/>
              <w:textAlignment w:val="center"/>
              <w:rPr>
                <w:rFonts w:hint="eastAsia" w:ascii="新宋体" w:hAnsi="新宋体" w:eastAsia="新宋体" w:cs="新宋体"/>
                <w:color w:val="000000"/>
                <w:kern w:val="2"/>
                <w:sz w:val="21"/>
                <w:szCs w:val="21"/>
                <w:lang w:val="en-US" w:eastAsia="zh-CN" w:bidi="ar-SA"/>
              </w:rPr>
            </w:pPr>
          </w:p>
        </w:tc>
        <w:tc>
          <w:tcPr>
            <w:tcW w:w="596" w:type="pct"/>
            <w:tcBorders>
              <w:top w:val="nil"/>
              <w:left w:val="nil"/>
              <w:bottom w:val="single" w:color="auto" w:sz="4" w:space="0"/>
              <w:right w:val="single" w:color="auto" w:sz="4" w:space="0"/>
            </w:tcBorders>
            <w:noWrap w:val="0"/>
            <w:vAlign w:val="center"/>
          </w:tcPr>
          <w:p>
            <w:pPr>
              <w:widowControl/>
              <w:spacing w:line="0" w:lineRule="atLeast"/>
              <w:jc w:val="center"/>
              <w:rPr>
                <w:rFonts w:hint="eastAsia" w:ascii="新宋体" w:hAnsi="新宋体" w:eastAsia="新宋体" w:cs="新宋体"/>
                <w:color w:val="000000"/>
                <w:kern w:val="2"/>
                <w:sz w:val="21"/>
                <w:szCs w:val="21"/>
                <w:lang w:val="en-US" w:eastAsia="zh-CN" w:bidi="ar-SA"/>
              </w:rPr>
            </w:pPr>
          </w:p>
        </w:tc>
        <w:tc>
          <w:tcPr>
            <w:tcW w:w="589" w:type="pct"/>
            <w:tcBorders>
              <w:top w:val="nil"/>
              <w:left w:val="nil"/>
              <w:bottom w:val="single" w:color="auto" w:sz="4" w:space="0"/>
              <w:right w:val="single" w:color="auto" w:sz="4" w:space="0"/>
            </w:tcBorders>
            <w:noWrap w:val="0"/>
            <w:vAlign w:val="center"/>
          </w:tcPr>
          <w:p>
            <w:pPr>
              <w:widowControl/>
              <w:spacing w:line="0" w:lineRule="atLeast"/>
              <w:jc w:val="center"/>
              <w:rPr>
                <w:rFonts w:hint="eastAsia" w:ascii="新宋体" w:hAnsi="新宋体" w:eastAsia="新宋体" w:cs="新宋体"/>
                <w:color w:val="000000"/>
                <w:kern w:val="2"/>
                <w:sz w:val="21"/>
                <w:szCs w:val="21"/>
                <w:lang w:val="en-US" w:eastAsia="zh-CN" w:bidi="ar-SA"/>
              </w:rPr>
            </w:pPr>
          </w:p>
        </w:tc>
        <w:tc>
          <w:tcPr>
            <w:tcW w:w="31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1016"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7"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可持续影响指标</w:t>
            </w:r>
          </w:p>
        </w:tc>
        <w:tc>
          <w:tcPr>
            <w:tcW w:w="567" w:type="pct"/>
            <w:tcBorders>
              <w:top w:val="single" w:color="auto" w:sz="4" w:space="0"/>
              <w:left w:val="single" w:color="auto" w:sz="4" w:space="0"/>
              <w:bottom w:val="single" w:color="auto" w:sz="4" w:space="0"/>
              <w:right w:val="single" w:color="auto" w:sz="4" w:space="0"/>
            </w:tcBorders>
            <w:noWrap w:val="0"/>
            <w:vAlign w:val="center"/>
          </w:tcPr>
          <w:p>
            <w:pPr>
              <w:widowControl/>
              <w:spacing w:line="0" w:lineRule="atLeast"/>
              <w:jc w:val="center"/>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Cs w:val="21"/>
              </w:rPr>
              <w:t>全镇经济发展</w:t>
            </w:r>
          </w:p>
        </w:tc>
        <w:tc>
          <w:tcPr>
            <w:tcW w:w="596" w:type="pct"/>
            <w:tcBorders>
              <w:top w:val="single" w:color="auto" w:sz="4" w:space="0"/>
              <w:left w:val="single" w:color="auto" w:sz="4" w:space="0"/>
              <w:bottom w:val="single" w:color="auto" w:sz="4" w:space="0"/>
              <w:right w:val="single" w:color="auto" w:sz="4" w:space="0"/>
            </w:tcBorders>
            <w:noWrap w:val="0"/>
            <w:vAlign w:val="center"/>
          </w:tcPr>
          <w:p>
            <w:pPr>
              <w:widowControl/>
              <w:spacing w:line="0" w:lineRule="atLeast"/>
              <w:jc w:val="center"/>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Cs w:val="21"/>
              </w:rPr>
              <w:t>=促进全镇经济发展%</w:t>
            </w:r>
          </w:p>
        </w:tc>
        <w:tc>
          <w:tcPr>
            <w:tcW w:w="589" w:type="pct"/>
            <w:tcBorders>
              <w:top w:val="single" w:color="auto" w:sz="4" w:space="0"/>
              <w:left w:val="single" w:color="auto" w:sz="4" w:space="0"/>
              <w:bottom w:val="single" w:color="auto" w:sz="4" w:space="0"/>
              <w:right w:val="single" w:color="auto" w:sz="4" w:space="0"/>
            </w:tcBorders>
            <w:noWrap w:val="0"/>
            <w:vAlign w:val="center"/>
          </w:tcPr>
          <w:p>
            <w:pPr>
              <w:widowControl/>
              <w:spacing w:line="0" w:lineRule="atLeast"/>
              <w:jc w:val="center"/>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Cs w:val="21"/>
              </w:rPr>
              <w:t>全镇经济发展</w:t>
            </w:r>
          </w:p>
        </w:tc>
        <w:tc>
          <w:tcPr>
            <w:tcW w:w="3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10</w:t>
            </w:r>
            <w:r>
              <w:rPr>
                <w:rFonts w:hint="eastAsia" w:ascii="新宋体" w:hAnsi="新宋体" w:eastAsia="新宋体" w:cs="新宋体"/>
                <w:color w:val="000000"/>
                <w:sz w:val="21"/>
                <w:szCs w:val="21"/>
              </w:rPr>
              <w:t>　</w:t>
            </w:r>
          </w:p>
        </w:tc>
        <w:tc>
          <w:tcPr>
            <w:tcW w:w="10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10</w:t>
            </w:r>
            <w:r>
              <w:rPr>
                <w:rFonts w:hint="eastAsia" w:ascii="新宋体" w:hAnsi="新宋体" w:eastAsia="新宋体" w:cs="新宋体"/>
                <w:color w:val="000000"/>
                <w:sz w:val="21"/>
                <w:szCs w:val="21"/>
              </w:rPr>
              <w:t>　</w:t>
            </w:r>
          </w:p>
        </w:tc>
        <w:tc>
          <w:tcPr>
            <w:tcW w:w="85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7"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67" w:type="pct"/>
            <w:tcBorders>
              <w:top w:val="single" w:color="auto" w:sz="4" w:space="0"/>
              <w:left w:val="nil"/>
              <w:bottom w:val="single" w:color="auto" w:sz="4" w:space="0"/>
              <w:right w:val="single" w:color="auto" w:sz="4" w:space="0"/>
            </w:tcBorders>
            <w:noWrap w:val="0"/>
            <w:vAlign w:val="center"/>
          </w:tcPr>
          <w:p>
            <w:pPr>
              <w:widowControl/>
              <w:jc w:val="center"/>
              <w:textAlignment w:val="center"/>
              <w:rPr>
                <w:rFonts w:hint="eastAsia" w:ascii="新宋体" w:hAnsi="新宋体" w:eastAsia="新宋体" w:cs="新宋体"/>
                <w:color w:val="000000"/>
                <w:kern w:val="2"/>
                <w:sz w:val="21"/>
                <w:szCs w:val="21"/>
                <w:lang w:val="en-US" w:eastAsia="zh-CN" w:bidi="ar-SA"/>
              </w:rPr>
            </w:pPr>
          </w:p>
        </w:tc>
        <w:tc>
          <w:tcPr>
            <w:tcW w:w="596" w:type="pct"/>
            <w:tcBorders>
              <w:top w:val="single" w:color="auto" w:sz="4" w:space="0"/>
              <w:left w:val="nil"/>
              <w:bottom w:val="single" w:color="auto" w:sz="4" w:space="0"/>
              <w:right w:val="single" w:color="auto" w:sz="4" w:space="0"/>
            </w:tcBorders>
            <w:noWrap w:val="0"/>
            <w:vAlign w:val="center"/>
          </w:tcPr>
          <w:p>
            <w:pPr>
              <w:widowControl/>
              <w:spacing w:line="0" w:lineRule="atLeast"/>
              <w:jc w:val="center"/>
              <w:rPr>
                <w:rFonts w:hint="eastAsia" w:ascii="新宋体" w:hAnsi="新宋体" w:eastAsia="新宋体" w:cs="新宋体"/>
                <w:color w:val="000000"/>
                <w:kern w:val="2"/>
                <w:sz w:val="21"/>
                <w:szCs w:val="21"/>
                <w:lang w:val="en-US" w:eastAsia="zh-CN" w:bidi="ar-SA"/>
              </w:rPr>
            </w:pPr>
          </w:p>
        </w:tc>
        <w:tc>
          <w:tcPr>
            <w:tcW w:w="589" w:type="pct"/>
            <w:tcBorders>
              <w:top w:val="single" w:color="auto" w:sz="4" w:space="0"/>
              <w:left w:val="nil"/>
              <w:bottom w:val="single" w:color="auto" w:sz="4" w:space="0"/>
              <w:right w:val="single" w:color="auto" w:sz="4" w:space="0"/>
            </w:tcBorders>
            <w:noWrap w:val="0"/>
            <w:vAlign w:val="center"/>
          </w:tcPr>
          <w:p>
            <w:pPr>
              <w:widowControl/>
              <w:spacing w:line="0" w:lineRule="atLeast"/>
              <w:jc w:val="center"/>
              <w:rPr>
                <w:rFonts w:hint="eastAsia" w:ascii="新宋体" w:hAnsi="新宋体" w:eastAsia="新宋体" w:cs="新宋体"/>
                <w:color w:val="000000"/>
                <w:kern w:val="2"/>
                <w:sz w:val="21"/>
                <w:szCs w:val="21"/>
                <w:lang w:val="en-US" w:eastAsia="zh-CN" w:bidi="ar-SA"/>
              </w:rPr>
            </w:pPr>
          </w:p>
        </w:tc>
        <w:tc>
          <w:tcPr>
            <w:tcW w:w="316"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1016"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6"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7"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6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kern w:val="2"/>
                <w:sz w:val="21"/>
                <w:szCs w:val="21"/>
                <w:lang w:val="en-US" w:eastAsia="zh-CN" w:bidi="ar-SA"/>
              </w:rPr>
            </w:pPr>
          </w:p>
        </w:tc>
        <w:tc>
          <w:tcPr>
            <w:tcW w:w="59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kern w:val="2"/>
                <w:sz w:val="21"/>
                <w:szCs w:val="21"/>
                <w:lang w:val="en-US" w:eastAsia="zh-CN" w:bidi="ar-SA"/>
              </w:rPr>
            </w:pPr>
          </w:p>
        </w:tc>
        <w:tc>
          <w:tcPr>
            <w:tcW w:w="58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kern w:val="2"/>
                <w:sz w:val="21"/>
                <w:szCs w:val="21"/>
                <w:lang w:val="en-US" w:eastAsia="zh-CN" w:bidi="ar-SA"/>
              </w:rPr>
            </w:pPr>
          </w:p>
        </w:tc>
        <w:tc>
          <w:tcPr>
            <w:tcW w:w="31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1016"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7"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（10分）</w:t>
            </w:r>
          </w:p>
        </w:tc>
        <w:tc>
          <w:tcPr>
            <w:tcW w:w="469" w:type="pct"/>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服务对象满意度指标</w:t>
            </w:r>
          </w:p>
        </w:tc>
        <w:tc>
          <w:tcPr>
            <w:tcW w:w="567" w:type="pct"/>
            <w:tcBorders>
              <w:top w:val="nil"/>
              <w:left w:val="nil"/>
              <w:bottom w:val="single" w:color="auto" w:sz="4" w:space="0"/>
              <w:right w:val="single" w:color="auto" w:sz="4" w:space="0"/>
            </w:tcBorders>
            <w:noWrap w:val="0"/>
            <w:vAlign w:val="center"/>
          </w:tcPr>
          <w:p>
            <w:pPr>
              <w:widowControl/>
              <w:jc w:val="center"/>
              <w:textAlignment w:val="center"/>
              <w:rPr>
                <w:rFonts w:hint="eastAsia" w:ascii="新宋体" w:hAnsi="新宋体" w:eastAsia="新宋体" w:cs="新宋体"/>
                <w:color w:val="000000"/>
                <w:kern w:val="2"/>
                <w:sz w:val="21"/>
                <w:szCs w:val="21"/>
                <w:lang w:val="en-US" w:eastAsia="zh-CN" w:bidi="ar-SA"/>
              </w:rPr>
            </w:pPr>
            <w:r>
              <w:rPr>
                <w:rFonts w:hint="eastAsia" w:ascii="宋体" w:hAnsi="宋体" w:cs="宋体"/>
                <w:color w:val="000000"/>
                <w:kern w:val="0"/>
                <w:sz w:val="22"/>
                <w:szCs w:val="22"/>
              </w:rPr>
              <w:t>&gt;=95%</w:t>
            </w:r>
          </w:p>
        </w:tc>
        <w:tc>
          <w:tcPr>
            <w:tcW w:w="596" w:type="pct"/>
            <w:tcBorders>
              <w:top w:val="nil"/>
              <w:left w:val="nil"/>
              <w:bottom w:val="single" w:color="auto" w:sz="4" w:space="0"/>
              <w:right w:val="single" w:color="auto" w:sz="4" w:space="0"/>
            </w:tcBorders>
            <w:noWrap w:val="0"/>
            <w:vAlign w:val="center"/>
          </w:tcPr>
          <w:p>
            <w:pPr>
              <w:widowControl/>
              <w:spacing w:line="0" w:lineRule="atLeast"/>
              <w:jc w:val="center"/>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Cs w:val="21"/>
              </w:rPr>
              <w:t>　</w:t>
            </w:r>
          </w:p>
        </w:tc>
        <w:tc>
          <w:tcPr>
            <w:tcW w:w="589" w:type="pct"/>
            <w:tcBorders>
              <w:top w:val="nil"/>
              <w:left w:val="nil"/>
              <w:bottom w:val="single" w:color="auto" w:sz="4" w:space="0"/>
              <w:right w:val="single" w:color="auto" w:sz="4" w:space="0"/>
            </w:tcBorders>
            <w:noWrap w:val="0"/>
            <w:vAlign w:val="center"/>
          </w:tcPr>
          <w:p>
            <w:pPr>
              <w:widowControl/>
              <w:spacing w:line="0" w:lineRule="atLeast"/>
              <w:jc w:val="center"/>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Cs w:val="21"/>
              </w:rPr>
              <w:t>90%　</w:t>
            </w:r>
          </w:p>
        </w:tc>
        <w:tc>
          <w:tcPr>
            <w:tcW w:w="31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10</w:t>
            </w:r>
            <w:r>
              <w:rPr>
                <w:rFonts w:hint="eastAsia" w:ascii="新宋体" w:hAnsi="新宋体" w:eastAsia="新宋体" w:cs="新宋体"/>
                <w:color w:val="000000"/>
                <w:sz w:val="21"/>
                <w:szCs w:val="21"/>
              </w:rPr>
              <w:t>　</w:t>
            </w:r>
          </w:p>
        </w:tc>
        <w:tc>
          <w:tcPr>
            <w:tcW w:w="1016"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10</w:t>
            </w:r>
            <w:r>
              <w:rPr>
                <w:rFonts w:hint="eastAsia" w:ascii="新宋体" w:hAnsi="新宋体" w:eastAsia="新宋体" w:cs="新宋体"/>
                <w:color w:val="000000"/>
                <w:sz w:val="21"/>
                <w:szCs w:val="21"/>
              </w:rPr>
              <w:t>　</w:t>
            </w:r>
          </w:p>
        </w:tc>
        <w:tc>
          <w:tcPr>
            <w:tcW w:w="85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7"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469"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6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kern w:val="2"/>
                <w:sz w:val="21"/>
                <w:szCs w:val="21"/>
                <w:lang w:val="en-US" w:eastAsia="zh-CN" w:bidi="ar-SA"/>
              </w:rPr>
            </w:pPr>
          </w:p>
        </w:tc>
        <w:tc>
          <w:tcPr>
            <w:tcW w:w="59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rPr>
              <w:t>　</w:t>
            </w:r>
          </w:p>
        </w:tc>
        <w:tc>
          <w:tcPr>
            <w:tcW w:w="58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rPr>
              <w:t>　</w:t>
            </w:r>
          </w:p>
        </w:tc>
        <w:tc>
          <w:tcPr>
            <w:tcW w:w="31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4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800" w:hRule="atLeast"/>
          <w:jc w:val="center"/>
        </w:trPr>
        <w:tc>
          <w:tcPr>
            <w:tcW w:w="587" w:type="pct"/>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469" w:type="pct"/>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6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59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8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4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89" w:hRule="atLeast"/>
          <w:jc w:val="center"/>
        </w:trPr>
        <w:tc>
          <w:tcPr>
            <w:tcW w:w="3280" w:type="pct"/>
            <w:gridSpan w:val="6"/>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总分</w:t>
            </w:r>
          </w:p>
        </w:tc>
        <w:tc>
          <w:tcPr>
            <w:tcW w:w="31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100</w:t>
            </w:r>
          </w:p>
        </w:tc>
        <w:tc>
          <w:tcPr>
            <w:tcW w:w="54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98</w:t>
            </w:r>
          </w:p>
        </w:tc>
        <w:tc>
          <w:tcPr>
            <w:tcW w:w="85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bl>
    <w:p>
      <w:pPr>
        <w:rPr>
          <w:rFonts w:hint="eastAsia" w:eastAsia="仿宋_GB2312" w:cs="Times New Roman"/>
          <w:sz w:val="22"/>
          <w:lang w:val="en-US" w:eastAsia="zh-CN"/>
        </w:rPr>
      </w:pPr>
      <w:r>
        <w:rPr>
          <w:rFonts w:hint="default" w:ascii="Times New Roman" w:hAnsi="Times New Roman" w:eastAsia="仿宋_GB2312" w:cs="Times New Roman"/>
          <w:sz w:val="22"/>
        </w:rPr>
        <w:t>说明：</w:t>
      </w:r>
      <w:r>
        <w:rPr>
          <w:rFonts w:hint="eastAsia" w:eastAsia="仿宋_GB2312" w:cs="Times New Roman"/>
          <w:sz w:val="22"/>
          <w:lang w:eastAsia="zh-CN"/>
        </w:rPr>
        <w:t>以上数据参照</w:t>
      </w:r>
      <w:r>
        <w:rPr>
          <w:rFonts w:hint="eastAsia" w:eastAsia="仿宋_GB2312" w:cs="Times New Roman"/>
          <w:sz w:val="22"/>
          <w:lang w:val="en-US" w:eastAsia="zh-CN"/>
        </w:rPr>
        <w:t>2022年部门决算报表中的“收入支出决算总表”(财决01表)。</w:t>
      </w:r>
    </w:p>
    <w:p>
      <w:pPr>
        <w:pStyle w:val="6"/>
        <w:rPr>
          <w:rFonts w:hint="default"/>
          <w:lang w:val="en-US" w:eastAsia="zh-CN"/>
        </w:rPr>
      </w:pPr>
    </w:p>
    <w:p>
      <w:pPr>
        <w:spacing w:line="600" w:lineRule="exact"/>
        <w:jc w:val="center"/>
        <w:rPr>
          <w:rFonts w:eastAsia="楷体_GB2312"/>
          <w:sz w:val="32"/>
          <w:szCs w:val="32"/>
        </w:rPr>
      </w:pPr>
      <w:r>
        <w:rPr>
          <w:rFonts w:hint="default" w:ascii="Times New Roman" w:hAnsi="Times New Roman" w:eastAsia="仿宋_GB2312" w:cs="Times New Roman"/>
          <w:sz w:val="22"/>
          <w:szCs w:val="22"/>
        </w:rPr>
        <w:t xml:space="preserve">填表人：      填报日期：         联系电话：     </w:t>
      </w:r>
      <w:r>
        <w:rPr>
          <w:rFonts w:hint="eastAsia" w:ascii="Times New Roman" w:hAnsi="Times New Roman" w:eastAsia="仿宋_GB2312" w:cs="Times New Roman"/>
          <w:sz w:val="22"/>
          <w:szCs w:val="22"/>
          <w:lang w:val="en-US" w:eastAsia="zh-CN"/>
        </w:rPr>
        <w:t xml:space="preserve">           </w:t>
      </w:r>
      <w:r>
        <w:rPr>
          <w:rFonts w:hint="default" w:ascii="Times New Roman" w:hAnsi="Times New Roman" w:eastAsia="仿宋_GB2312" w:cs="Times New Roman"/>
          <w:sz w:val="22"/>
          <w:szCs w:val="22"/>
        </w:rPr>
        <w:t>单位负责人签字：</w:t>
      </w:r>
      <w:r>
        <w:rPr>
          <w:rFonts w:hint="default" w:ascii="Times New Roman" w:hAnsi="Times New Roman" w:eastAsia="仿宋_GB2312" w:cs="Times New Roman"/>
          <w:sz w:val="22"/>
          <w:szCs w:val="22"/>
        </w:rPr>
        <w:br w:type="page"/>
      </w:r>
    </w:p>
    <w:p>
      <w:pPr>
        <w:spacing w:line="61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2022年度华容县</w:t>
      </w:r>
      <w:r>
        <w:rPr>
          <w:rFonts w:hint="eastAsia" w:ascii="方正小标宋简体" w:hAnsi="方正小标宋简体" w:eastAsia="方正小标宋简体" w:cs="方正小标宋简体"/>
          <w:sz w:val="44"/>
          <w:szCs w:val="44"/>
          <w:lang w:eastAsia="zh-CN"/>
        </w:rPr>
        <w:t>万庾</w:t>
      </w:r>
      <w:r>
        <w:rPr>
          <w:rFonts w:hint="eastAsia" w:ascii="方正小标宋简体" w:hAnsi="方正小标宋简体" w:eastAsia="方正小标宋简体" w:cs="方正小标宋简体"/>
          <w:sz w:val="44"/>
          <w:szCs w:val="44"/>
        </w:rPr>
        <w:t>镇财政所整体支出</w:t>
      </w:r>
    </w:p>
    <w:p>
      <w:pPr>
        <w:spacing w:line="61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绩效自评报告</w:t>
      </w:r>
    </w:p>
    <w:p>
      <w:pPr>
        <w:spacing w:line="540" w:lineRule="exact"/>
        <w:ind w:firstLine="640" w:firstLineChars="200"/>
        <w:rPr>
          <w:rFonts w:eastAsia="FangSong_GB2312"/>
          <w:sz w:val="32"/>
          <w:szCs w:val="32"/>
        </w:rPr>
      </w:pPr>
      <w:r>
        <w:rPr>
          <w:rFonts w:hint="eastAsia" w:ascii="仿宋" w:hAnsi="仿宋" w:eastAsia="仿宋" w:cs="仿宋"/>
          <w:sz w:val="32"/>
          <w:szCs w:val="32"/>
        </w:rPr>
        <w:t>根据《华容县财政局关于开展2022年度部门整体支出绩效自评工作的通知》（华财函〔2023〕63号）的相关规定和要求，现对我部门2022年度整体支出开展绩效自评，现将情况汇报如下：</w:t>
      </w:r>
    </w:p>
    <w:p>
      <w:pPr>
        <w:numPr>
          <w:ilvl w:val="0"/>
          <w:numId w:val="2"/>
        </w:numPr>
        <w:spacing w:line="610" w:lineRule="exact"/>
        <w:ind w:firstLine="640" w:firstLineChars="200"/>
        <w:rPr>
          <w:rFonts w:eastAsia="黑体"/>
          <w:sz w:val="32"/>
          <w:szCs w:val="32"/>
        </w:rPr>
      </w:pPr>
      <w:r>
        <w:rPr>
          <w:rFonts w:eastAsia="黑体"/>
          <w:sz w:val="32"/>
          <w:szCs w:val="32"/>
        </w:rPr>
        <w:t>部门（单位）基本情况</w:t>
      </w:r>
    </w:p>
    <w:p>
      <w:pPr>
        <w:spacing w:line="560" w:lineRule="exact"/>
        <w:ind w:firstLine="420" w:firstLineChars="200"/>
        <w:rPr>
          <w:rFonts w:ascii="仿宋" w:hAnsi="仿宋" w:eastAsia="仿宋" w:cs="仿宋"/>
          <w:bCs/>
          <w:sz w:val="32"/>
          <w:szCs w:val="32"/>
        </w:rPr>
      </w:pPr>
      <w:r>
        <w:rPr>
          <w:rFonts w:hint="eastAsia"/>
        </w:rPr>
        <w:t xml:space="preserve">  </w:t>
      </w:r>
      <w:r>
        <w:rPr>
          <w:rFonts w:hint="eastAsia" w:ascii="仿宋" w:hAnsi="仿宋" w:eastAsia="仿宋" w:cs="仿宋"/>
          <w:bCs/>
          <w:sz w:val="32"/>
          <w:szCs w:val="32"/>
        </w:rPr>
        <w:t>（一）部门基本情况</w:t>
      </w:r>
    </w:p>
    <w:p>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华容县</w:t>
      </w:r>
      <w:r>
        <w:rPr>
          <w:rFonts w:hint="eastAsia" w:ascii="仿宋" w:hAnsi="仿宋" w:eastAsia="仿宋" w:cs="仿宋"/>
          <w:sz w:val="32"/>
          <w:szCs w:val="32"/>
          <w:lang w:eastAsia="zh-CN"/>
        </w:rPr>
        <w:t>万庾</w:t>
      </w:r>
      <w:r>
        <w:rPr>
          <w:rFonts w:hint="eastAsia" w:ascii="仿宋" w:hAnsi="仿宋" w:eastAsia="仿宋" w:cs="仿宋"/>
          <w:sz w:val="32"/>
          <w:szCs w:val="32"/>
        </w:rPr>
        <w:t>镇人民财政所共有财政所1个独立核算工作机构。现有人员编制</w:t>
      </w:r>
      <w:r>
        <w:rPr>
          <w:rFonts w:hint="eastAsia" w:ascii="仿宋" w:hAnsi="仿宋" w:eastAsia="仿宋" w:cs="仿宋"/>
          <w:sz w:val="32"/>
          <w:szCs w:val="32"/>
          <w:lang w:val="en-US" w:eastAsia="zh-CN"/>
        </w:rPr>
        <w:t>8</w:t>
      </w:r>
      <w:r>
        <w:rPr>
          <w:rFonts w:hint="eastAsia" w:ascii="仿宋" w:hAnsi="仿宋" w:eastAsia="仿宋" w:cs="仿宋"/>
          <w:sz w:val="32"/>
          <w:szCs w:val="32"/>
        </w:rPr>
        <w:t>名（其中：行政编制4名，事业全额编制</w:t>
      </w:r>
      <w:r>
        <w:rPr>
          <w:rFonts w:hint="eastAsia" w:ascii="仿宋" w:hAnsi="仿宋" w:eastAsia="仿宋" w:cs="仿宋"/>
          <w:sz w:val="32"/>
          <w:szCs w:val="32"/>
          <w:lang w:val="en-US" w:eastAsia="zh-CN"/>
        </w:rPr>
        <w:t>8</w:t>
      </w:r>
      <w:r>
        <w:rPr>
          <w:rFonts w:hint="eastAsia" w:ascii="仿宋" w:hAnsi="仿宋" w:eastAsia="仿宋" w:cs="仿宋"/>
          <w:sz w:val="32"/>
          <w:szCs w:val="32"/>
        </w:rPr>
        <w:t>名），实有在职干部、职工8人（其中：全额人员8人）。</w:t>
      </w:r>
    </w:p>
    <w:p>
      <w:pPr>
        <w:spacing w:line="540" w:lineRule="exact"/>
        <w:rPr>
          <w:rFonts w:ascii="仿宋" w:hAnsi="仿宋" w:eastAsia="仿宋" w:cs="仿宋"/>
          <w:sz w:val="32"/>
          <w:szCs w:val="32"/>
        </w:rPr>
      </w:pPr>
      <w:r>
        <w:rPr>
          <w:rFonts w:hint="eastAsia" w:ascii="仿宋" w:hAnsi="仿宋" w:eastAsia="仿宋" w:cs="仿宋"/>
          <w:sz w:val="32"/>
          <w:szCs w:val="32"/>
        </w:rPr>
        <w:t>比2021年减少1人。</w:t>
      </w:r>
    </w:p>
    <w:p>
      <w:pPr>
        <w:spacing w:line="560" w:lineRule="exact"/>
        <w:ind w:left="210"/>
        <w:rPr>
          <w:rFonts w:ascii="仿宋" w:hAnsi="仿宋" w:eastAsia="仿宋" w:cs="仿宋"/>
          <w:bCs/>
          <w:sz w:val="32"/>
          <w:szCs w:val="32"/>
        </w:rPr>
      </w:pPr>
      <w:r>
        <w:rPr>
          <w:rFonts w:hint="eastAsia" w:ascii="仿宋" w:hAnsi="仿宋" w:eastAsia="仿宋" w:cs="仿宋"/>
          <w:bCs/>
          <w:sz w:val="32"/>
          <w:szCs w:val="32"/>
        </w:rPr>
        <w:t xml:space="preserve">   （二）部门整体支出规模、使用方向和主要内容、涉及范围等</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2022年，县财政下达我单位预算总收入</w:t>
      </w:r>
      <w:r>
        <w:rPr>
          <w:rFonts w:hint="eastAsia" w:ascii="仿宋" w:hAnsi="仿宋" w:eastAsia="仿宋" w:cs="仿宋"/>
          <w:sz w:val="32"/>
          <w:szCs w:val="32"/>
          <w:lang w:val="en-US" w:eastAsia="zh-CN"/>
        </w:rPr>
        <w:t>131</w:t>
      </w:r>
      <w:r>
        <w:rPr>
          <w:rFonts w:hint="eastAsia" w:ascii="仿宋" w:hAnsi="仿宋" w:eastAsia="仿宋" w:cs="仿宋"/>
          <w:sz w:val="32"/>
          <w:szCs w:val="32"/>
        </w:rPr>
        <w:t>万元，其中：一般公共预算财政拨款收入</w:t>
      </w:r>
      <w:r>
        <w:rPr>
          <w:rFonts w:hint="eastAsia" w:ascii="仿宋" w:hAnsi="仿宋" w:eastAsia="仿宋" w:cs="仿宋"/>
          <w:sz w:val="32"/>
          <w:szCs w:val="32"/>
          <w:lang w:val="en-US" w:eastAsia="zh-CN"/>
        </w:rPr>
        <w:t>131</w:t>
      </w:r>
      <w:r>
        <w:rPr>
          <w:rFonts w:hint="eastAsia" w:ascii="仿宋" w:hAnsi="仿宋" w:eastAsia="仿宋" w:cs="仿宋"/>
          <w:sz w:val="32"/>
          <w:szCs w:val="32"/>
        </w:rPr>
        <w:t>万元；预算总支出</w:t>
      </w:r>
      <w:r>
        <w:rPr>
          <w:rFonts w:hint="eastAsia" w:ascii="仿宋" w:hAnsi="仿宋" w:eastAsia="仿宋" w:cs="仿宋"/>
          <w:sz w:val="32"/>
          <w:szCs w:val="32"/>
          <w:lang w:val="en-US" w:eastAsia="zh-CN"/>
        </w:rPr>
        <w:t>131</w:t>
      </w:r>
      <w:r>
        <w:rPr>
          <w:rFonts w:hint="eastAsia" w:ascii="仿宋" w:hAnsi="仿宋" w:eastAsia="仿宋" w:cs="仿宋"/>
          <w:sz w:val="32"/>
          <w:szCs w:val="32"/>
        </w:rPr>
        <w:t>万元；年末无结余，预算收支平衡。预算拨款总额比2021年减少</w:t>
      </w:r>
      <w:r>
        <w:rPr>
          <w:rFonts w:hint="eastAsia" w:ascii="仿宋" w:hAnsi="仿宋" w:eastAsia="仿宋" w:cs="仿宋"/>
          <w:sz w:val="32"/>
          <w:szCs w:val="32"/>
          <w:lang w:val="en-US" w:eastAsia="zh-CN"/>
        </w:rPr>
        <w:t>14</w:t>
      </w:r>
      <w:r>
        <w:rPr>
          <w:rFonts w:hint="eastAsia" w:ascii="仿宋" w:hAnsi="仿宋" w:eastAsia="仿宋" w:cs="仿宋"/>
          <w:sz w:val="32"/>
          <w:szCs w:val="32"/>
        </w:rPr>
        <w:t>万元，减少加的主要原因人员的减少，</w:t>
      </w:r>
      <w:r>
        <w:rPr>
          <w:rFonts w:hint="eastAsia" w:ascii="仿宋" w:hAnsi="仿宋" w:eastAsia="仿宋" w:cs="仿宋"/>
          <w:sz w:val="32"/>
          <w:szCs w:val="32"/>
          <w:lang w:eastAsia="zh-CN"/>
        </w:rPr>
        <w:t>厉行节约。</w:t>
      </w:r>
    </w:p>
    <w:p>
      <w:pPr>
        <w:pStyle w:val="14"/>
        <w:widowControl/>
        <w:numPr>
          <w:ilvl w:val="0"/>
          <w:numId w:val="2"/>
        </w:numPr>
        <w:spacing w:line="610" w:lineRule="exact"/>
        <w:ind w:firstLine="640"/>
        <w:rPr>
          <w:rFonts w:ascii="Times New Roman" w:hAnsi="Times New Roman" w:eastAsia="黑体"/>
          <w:sz w:val="32"/>
          <w:szCs w:val="32"/>
        </w:rPr>
      </w:pPr>
      <w:r>
        <w:rPr>
          <w:rFonts w:ascii="Times New Roman" w:hAnsi="Times New Roman" w:eastAsia="黑体"/>
          <w:sz w:val="32"/>
          <w:szCs w:val="32"/>
        </w:rPr>
        <w:t>基本支出情况</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b/>
          <w:bCs/>
          <w:sz w:val="32"/>
          <w:szCs w:val="32"/>
        </w:rPr>
        <w:t>收入情况</w:t>
      </w:r>
      <w:r>
        <w:rPr>
          <w:rFonts w:hint="eastAsia" w:ascii="仿宋" w:hAnsi="仿宋" w:eastAsia="仿宋" w:cs="仿宋"/>
          <w:sz w:val="32"/>
          <w:szCs w:val="32"/>
        </w:rPr>
        <w:t>：2022年预算总收入</w:t>
      </w:r>
      <w:r>
        <w:rPr>
          <w:rFonts w:hint="eastAsia" w:ascii="仿宋" w:hAnsi="仿宋" w:eastAsia="仿宋" w:cs="仿宋"/>
          <w:sz w:val="32"/>
          <w:szCs w:val="32"/>
          <w:lang w:val="en-US" w:eastAsia="zh-CN"/>
        </w:rPr>
        <w:t>131</w:t>
      </w:r>
      <w:r>
        <w:rPr>
          <w:rFonts w:hint="eastAsia" w:ascii="仿宋" w:hAnsi="仿宋" w:eastAsia="仿宋" w:cs="仿宋"/>
          <w:sz w:val="32"/>
          <w:szCs w:val="32"/>
        </w:rPr>
        <w:t>万元。其中：经费拨款</w:t>
      </w:r>
      <w:r>
        <w:rPr>
          <w:rFonts w:hint="eastAsia" w:ascii="仿宋" w:hAnsi="仿宋" w:eastAsia="仿宋" w:cs="仿宋"/>
          <w:sz w:val="32"/>
          <w:szCs w:val="32"/>
          <w:lang w:val="en-US" w:eastAsia="zh-CN"/>
        </w:rPr>
        <w:t>131</w:t>
      </w:r>
      <w:r>
        <w:rPr>
          <w:rFonts w:hint="eastAsia" w:ascii="仿宋" w:hAnsi="仿宋" w:eastAsia="仿宋" w:cs="仿宋"/>
          <w:sz w:val="32"/>
          <w:szCs w:val="32"/>
        </w:rPr>
        <w:t>万元。预算总支出</w:t>
      </w:r>
      <w:r>
        <w:rPr>
          <w:rFonts w:hint="eastAsia" w:ascii="仿宋" w:hAnsi="仿宋" w:eastAsia="仿宋" w:cs="仿宋"/>
          <w:sz w:val="32"/>
          <w:szCs w:val="32"/>
          <w:lang w:val="en-US" w:eastAsia="zh-CN"/>
        </w:rPr>
        <w:t>131</w:t>
      </w:r>
      <w:r>
        <w:rPr>
          <w:rFonts w:hint="eastAsia" w:ascii="仿宋" w:hAnsi="仿宋" w:eastAsia="仿宋" w:cs="仿宋"/>
          <w:sz w:val="32"/>
          <w:szCs w:val="32"/>
        </w:rPr>
        <w:t>万元。预算收支平衡。</w:t>
      </w:r>
    </w:p>
    <w:p>
      <w:pPr>
        <w:spacing w:line="560" w:lineRule="exact"/>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rPr>
        <w:t>2.</w:t>
      </w:r>
      <w:r>
        <w:rPr>
          <w:rFonts w:hint="eastAsia" w:ascii="仿宋" w:hAnsi="仿宋" w:eastAsia="仿宋" w:cs="仿宋"/>
          <w:b/>
          <w:bCs/>
          <w:sz w:val="32"/>
          <w:szCs w:val="32"/>
        </w:rPr>
        <w:t>支出情况</w:t>
      </w:r>
      <w:r>
        <w:rPr>
          <w:rFonts w:hint="eastAsia" w:ascii="仿宋" w:hAnsi="仿宋" w:eastAsia="仿宋" w:cs="仿宋"/>
          <w:sz w:val="32"/>
          <w:szCs w:val="32"/>
        </w:rPr>
        <w:t>：2022年预算总支出</w:t>
      </w:r>
      <w:r>
        <w:rPr>
          <w:rFonts w:hint="eastAsia" w:ascii="仿宋" w:hAnsi="仿宋" w:eastAsia="仿宋" w:cs="仿宋"/>
          <w:sz w:val="32"/>
          <w:szCs w:val="32"/>
          <w:lang w:val="en-US" w:eastAsia="zh-CN"/>
        </w:rPr>
        <w:t>131</w:t>
      </w:r>
      <w:r>
        <w:rPr>
          <w:rFonts w:hint="eastAsia" w:ascii="仿宋" w:hAnsi="仿宋" w:eastAsia="仿宋" w:cs="仿宋"/>
          <w:sz w:val="32"/>
          <w:szCs w:val="32"/>
        </w:rPr>
        <w:t>万元。其中：工资福利支出</w:t>
      </w:r>
      <w:r>
        <w:rPr>
          <w:rFonts w:hint="eastAsia" w:ascii="仿宋" w:hAnsi="仿宋" w:eastAsia="仿宋" w:cs="仿宋"/>
          <w:sz w:val="32"/>
          <w:szCs w:val="32"/>
          <w:lang w:val="en-US" w:eastAsia="zh-CN"/>
        </w:rPr>
        <w:t>99.25</w:t>
      </w:r>
      <w:r>
        <w:rPr>
          <w:rFonts w:hint="eastAsia" w:ascii="仿宋" w:hAnsi="仿宋" w:eastAsia="仿宋" w:cs="仿宋"/>
          <w:sz w:val="32"/>
          <w:szCs w:val="32"/>
        </w:rPr>
        <w:t>万元，一般商品和服务支出</w:t>
      </w:r>
      <w:r>
        <w:rPr>
          <w:rFonts w:hint="eastAsia" w:ascii="仿宋" w:hAnsi="仿宋" w:eastAsia="仿宋" w:cs="仿宋"/>
          <w:sz w:val="32"/>
          <w:szCs w:val="32"/>
          <w:lang w:val="en-US" w:eastAsia="zh-CN"/>
        </w:rPr>
        <w:t>19.05</w:t>
      </w:r>
      <w:r>
        <w:rPr>
          <w:rFonts w:hint="eastAsia" w:ascii="仿宋" w:hAnsi="仿宋" w:eastAsia="仿宋" w:cs="仿宋"/>
          <w:sz w:val="32"/>
          <w:szCs w:val="32"/>
        </w:rPr>
        <w:t>万元，对个人和家庭的补助</w:t>
      </w:r>
      <w:r>
        <w:rPr>
          <w:rFonts w:hint="eastAsia" w:ascii="仿宋" w:hAnsi="仿宋" w:eastAsia="仿宋" w:cs="仿宋"/>
          <w:sz w:val="32"/>
          <w:szCs w:val="32"/>
          <w:lang w:val="en-US" w:eastAsia="zh-CN"/>
        </w:rPr>
        <w:t>8.49</w:t>
      </w:r>
      <w:r>
        <w:rPr>
          <w:rFonts w:hint="eastAsia" w:ascii="仿宋" w:hAnsi="仿宋" w:eastAsia="仿宋" w:cs="仿宋"/>
          <w:sz w:val="32"/>
          <w:szCs w:val="32"/>
        </w:rPr>
        <w:t>万元</w:t>
      </w:r>
      <w:r>
        <w:rPr>
          <w:rFonts w:hint="eastAsia" w:ascii="仿宋" w:hAnsi="仿宋" w:eastAsia="仿宋" w:cs="仿宋"/>
          <w:sz w:val="32"/>
          <w:szCs w:val="32"/>
          <w:lang w:eastAsia="zh-CN"/>
        </w:rPr>
        <w:t>，资本性支出</w:t>
      </w:r>
      <w:r>
        <w:rPr>
          <w:rFonts w:hint="eastAsia" w:ascii="仿宋" w:hAnsi="仿宋" w:eastAsia="仿宋" w:cs="仿宋"/>
          <w:sz w:val="32"/>
          <w:szCs w:val="32"/>
          <w:lang w:val="en-US" w:eastAsia="zh-CN"/>
        </w:rPr>
        <w:t>4.21万元。</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b/>
          <w:bCs/>
          <w:sz w:val="32"/>
          <w:szCs w:val="32"/>
        </w:rPr>
        <w:t>“三公经费”支出情况分析</w:t>
      </w:r>
      <w:r>
        <w:rPr>
          <w:rFonts w:hint="eastAsia" w:ascii="仿宋" w:hAnsi="仿宋" w:eastAsia="仿宋" w:cs="仿宋"/>
          <w:sz w:val="32"/>
          <w:szCs w:val="32"/>
        </w:rPr>
        <w:t>：2022年华容县</w:t>
      </w:r>
      <w:r>
        <w:rPr>
          <w:rFonts w:hint="eastAsia" w:ascii="仿宋" w:hAnsi="仿宋" w:eastAsia="仿宋" w:cs="仿宋"/>
          <w:sz w:val="32"/>
          <w:szCs w:val="32"/>
          <w:lang w:eastAsia="zh-CN"/>
        </w:rPr>
        <w:t>万庾</w:t>
      </w:r>
      <w:r>
        <w:rPr>
          <w:rFonts w:hint="eastAsia" w:ascii="仿宋" w:hAnsi="仿宋" w:eastAsia="仿宋" w:cs="仿宋"/>
          <w:sz w:val="32"/>
          <w:szCs w:val="32"/>
        </w:rPr>
        <w:t>镇财政所“三公经费”实际开支</w:t>
      </w:r>
      <w:r>
        <w:rPr>
          <w:rFonts w:hint="eastAsia" w:ascii="仿宋" w:hAnsi="仿宋" w:eastAsia="仿宋" w:cs="仿宋"/>
          <w:sz w:val="32"/>
          <w:szCs w:val="32"/>
          <w:lang w:val="en-US" w:eastAsia="zh-CN"/>
        </w:rPr>
        <w:t>0.415</w:t>
      </w:r>
      <w:r>
        <w:rPr>
          <w:rFonts w:hint="eastAsia" w:ascii="仿宋" w:hAnsi="仿宋" w:eastAsia="仿宋" w:cs="仿宋"/>
          <w:sz w:val="32"/>
          <w:szCs w:val="32"/>
        </w:rPr>
        <w:t>万元。其中公务接待费</w:t>
      </w:r>
      <w:r>
        <w:rPr>
          <w:rFonts w:hint="eastAsia" w:ascii="仿宋" w:hAnsi="仿宋" w:eastAsia="仿宋" w:cs="仿宋"/>
          <w:sz w:val="32"/>
          <w:szCs w:val="32"/>
          <w:lang w:val="en-US" w:eastAsia="zh-CN"/>
        </w:rPr>
        <w:t>0.415</w:t>
      </w:r>
      <w:r>
        <w:rPr>
          <w:rFonts w:hint="eastAsia" w:ascii="仿宋" w:hAnsi="仿宋" w:eastAsia="仿宋" w:cs="仿宋"/>
          <w:sz w:val="32"/>
          <w:szCs w:val="32"/>
        </w:rPr>
        <w:t>万元。</w:t>
      </w:r>
    </w:p>
    <w:p>
      <w:pPr>
        <w:spacing w:line="560"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4.</w:t>
      </w:r>
      <w:r>
        <w:rPr>
          <w:rFonts w:hint="eastAsia" w:ascii="仿宋" w:hAnsi="仿宋" w:eastAsia="仿宋" w:cs="仿宋"/>
          <w:b/>
          <w:bCs/>
          <w:sz w:val="32"/>
          <w:szCs w:val="32"/>
        </w:rPr>
        <w:t>固定资产管理情况分析</w:t>
      </w:r>
      <w:r>
        <w:rPr>
          <w:rFonts w:hint="eastAsia" w:ascii="仿宋" w:hAnsi="仿宋" w:eastAsia="仿宋" w:cs="仿宋"/>
          <w:sz w:val="32"/>
          <w:szCs w:val="32"/>
        </w:rPr>
        <w:t>：按照例行节约，物尽其用的原则，华容县</w:t>
      </w:r>
      <w:r>
        <w:rPr>
          <w:rFonts w:hint="eastAsia" w:ascii="仿宋" w:hAnsi="仿宋" w:eastAsia="仿宋" w:cs="仿宋"/>
          <w:sz w:val="32"/>
          <w:szCs w:val="32"/>
          <w:lang w:eastAsia="zh-CN"/>
        </w:rPr>
        <w:t>万庾</w:t>
      </w:r>
      <w:r>
        <w:rPr>
          <w:rFonts w:hint="eastAsia" w:ascii="仿宋" w:hAnsi="仿宋" w:eastAsia="仿宋" w:cs="仿宋"/>
          <w:sz w:val="32"/>
          <w:szCs w:val="32"/>
        </w:rPr>
        <w:t>镇财政所资产管理采取统一建账，统一核算管理，对每件固定资产使用明确保管职责，闲置的资产，由办公室统一调整，合理流动，发挥其效益</w:t>
      </w:r>
      <w:r>
        <w:rPr>
          <w:rFonts w:hint="eastAsia" w:ascii="仿宋" w:hAnsi="仿宋" w:eastAsia="仿宋" w:cs="仿宋"/>
          <w:sz w:val="32"/>
          <w:szCs w:val="32"/>
          <w:lang w:eastAsia="zh-CN"/>
        </w:rPr>
        <w:t>。</w:t>
      </w:r>
    </w:p>
    <w:p>
      <w:pPr>
        <w:pStyle w:val="14"/>
        <w:widowControl/>
        <w:numPr>
          <w:ilvl w:val="0"/>
          <w:numId w:val="2"/>
        </w:numPr>
        <w:spacing w:line="610" w:lineRule="exact"/>
        <w:ind w:firstLine="640"/>
        <w:rPr>
          <w:rFonts w:ascii="Times New Roman" w:hAnsi="Times New Roman" w:eastAsia="黑体"/>
          <w:sz w:val="32"/>
          <w:szCs w:val="32"/>
        </w:rPr>
      </w:pPr>
      <w:r>
        <w:rPr>
          <w:rFonts w:ascii="Times New Roman" w:hAnsi="Times New Roman" w:eastAsia="黑体"/>
          <w:sz w:val="32"/>
          <w:szCs w:val="32"/>
        </w:rPr>
        <w:t>项目支出情况</w:t>
      </w:r>
    </w:p>
    <w:p>
      <w:pPr>
        <w:pStyle w:val="2"/>
        <w:ind w:firstLine="640" w:firstLineChars="200"/>
        <w:rPr>
          <w:rFonts w:ascii="仿宋" w:hAnsi="仿宋" w:eastAsia="仿宋" w:cs="仿宋"/>
          <w:sz w:val="32"/>
          <w:szCs w:val="32"/>
        </w:rPr>
      </w:pPr>
      <w:r>
        <w:rPr>
          <w:rFonts w:hint="eastAsia" w:ascii="仿宋" w:hAnsi="仿宋" w:eastAsia="仿宋" w:cs="仿宋"/>
          <w:sz w:val="32"/>
          <w:szCs w:val="32"/>
        </w:rPr>
        <w:t>华容县</w:t>
      </w:r>
      <w:r>
        <w:rPr>
          <w:rFonts w:hint="eastAsia" w:ascii="仿宋" w:hAnsi="仿宋" w:eastAsia="仿宋" w:cs="仿宋"/>
          <w:sz w:val="32"/>
          <w:szCs w:val="32"/>
          <w:lang w:eastAsia="zh-CN"/>
        </w:rPr>
        <w:t>万庾</w:t>
      </w:r>
      <w:r>
        <w:rPr>
          <w:rFonts w:hint="eastAsia" w:ascii="仿宋" w:hAnsi="仿宋" w:eastAsia="仿宋" w:cs="仿宋"/>
          <w:sz w:val="32"/>
          <w:szCs w:val="32"/>
        </w:rPr>
        <w:t>镇财政所无项目支出</w:t>
      </w:r>
    </w:p>
    <w:p>
      <w:pPr>
        <w:pStyle w:val="14"/>
        <w:widowControl/>
        <w:spacing w:line="610" w:lineRule="exact"/>
        <w:ind w:left="420" w:leftChars="200" w:firstLine="320" w:firstLineChars="100"/>
        <w:rPr>
          <w:rFonts w:ascii="Times New Roman" w:hAnsi="Times New Roman" w:eastAsia="黑体"/>
          <w:sz w:val="32"/>
          <w:szCs w:val="32"/>
        </w:rPr>
      </w:pPr>
      <w:r>
        <w:rPr>
          <w:rFonts w:hint="eastAsia" w:ascii="Times New Roman" w:hAnsi="Times New Roman" w:eastAsia="黑体"/>
          <w:sz w:val="32"/>
          <w:szCs w:val="32"/>
        </w:rPr>
        <w:t>四</w:t>
      </w:r>
      <w:r>
        <w:rPr>
          <w:rFonts w:ascii="Times New Roman" w:hAnsi="Times New Roman" w:eastAsia="黑体"/>
          <w:sz w:val="32"/>
          <w:szCs w:val="32"/>
        </w:rPr>
        <w:t>、部门整体支出绩效情况</w:t>
      </w:r>
    </w:p>
    <w:p>
      <w:pPr>
        <w:autoSpaceDE w:val="0"/>
        <w:autoSpaceDN w:val="0"/>
        <w:ind w:firstLine="567"/>
        <w:textAlignment w:val="baseline"/>
        <w:rPr>
          <w:rFonts w:hint="eastAsia" w:ascii="仿宋_GB2312" w:eastAsia="仿宋_GB2312"/>
          <w:sz w:val="28"/>
          <w:szCs w:val="28"/>
          <w:lang w:eastAsia="zh-CN"/>
        </w:rPr>
      </w:pPr>
      <w:r>
        <w:rPr>
          <w:rFonts w:hint="eastAsia" w:ascii="仿宋_GB2312" w:eastAsia="仿宋_GB2312"/>
          <w:sz w:val="28"/>
          <w:szCs w:val="28"/>
          <w:lang w:eastAsia="zh-CN"/>
        </w:rPr>
        <w:t>过去一年，在县财政局党委的正确领导及镇党委的直接领导下，我们树立了预算绩效管理意识、民生保障意识、风控内控意识、法治财政意识，坚持量入为出、收支平衡原则，强化资金管理，做好开源节流工作，与各部门合作加强乡村振兴、生态环保、助学助企、医卫教育、惠民惠农等民生保障，建设法治财政，全面规范我镇财政管理和建设工作。</w:t>
      </w:r>
    </w:p>
    <w:p>
      <w:pPr>
        <w:autoSpaceDE w:val="0"/>
        <w:autoSpaceDN w:val="0"/>
        <w:ind w:firstLine="567"/>
        <w:textAlignment w:val="baseline"/>
        <w:rPr>
          <w:rFonts w:hint="eastAsia" w:ascii="仿宋_GB2312" w:hAnsi="黑体" w:eastAsia="仿宋_GB2312"/>
          <w:color w:val="000000"/>
          <w:sz w:val="28"/>
          <w:szCs w:val="28"/>
          <w:lang w:eastAsia="zh-CN"/>
        </w:rPr>
      </w:pPr>
      <w:r>
        <w:rPr>
          <w:rFonts w:hint="eastAsia" w:ascii="仿宋_GB2312" w:hAnsi="黑体" w:eastAsia="仿宋_GB2312"/>
          <w:b/>
          <w:bCs/>
          <w:color w:val="000000"/>
          <w:sz w:val="28"/>
          <w:szCs w:val="28"/>
          <w:lang w:eastAsia="zh-CN"/>
        </w:rPr>
        <w:t>（一）强化财源建设工程</w:t>
      </w:r>
      <w:r>
        <w:rPr>
          <w:rFonts w:hint="eastAsia" w:ascii="仿宋_GB2312" w:hAnsi="黑体" w:eastAsia="仿宋_GB2312"/>
          <w:b/>
          <w:bCs/>
          <w:color w:val="000000"/>
          <w:sz w:val="28"/>
          <w:szCs w:val="28"/>
        </w:rPr>
        <w:t>。</w:t>
      </w:r>
      <w:r>
        <w:rPr>
          <w:rFonts w:hint="eastAsia" w:ascii="仿宋_GB2312" w:hAnsi="黑体" w:eastAsia="仿宋_GB2312"/>
          <w:color w:val="000000"/>
          <w:sz w:val="28"/>
          <w:szCs w:val="28"/>
          <w:lang w:eastAsia="zh-CN"/>
        </w:rPr>
        <w:t>财政所牵头纵深推进财源建设，对万庾镇</w:t>
      </w:r>
      <w:r>
        <w:rPr>
          <w:rFonts w:hint="eastAsia" w:ascii="仿宋_GB2312" w:hAnsi="黑体" w:eastAsia="仿宋_GB2312"/>
          <w:color w:val="000000"/>
          <w:sz w:val="28"/>
          <w:szCs w:val="28"/>
        </w:rPr>
        <w:t>(含</w:t>
      </w:r>
      <w:r>
        <w:rPr>
          <w:rFonts w:hint="eastAsia" w:ascii="仿宋_GB2312" w:hAnsi="黑体" w:eastAsia="仿宋_GB2312"/>
          <w:color w:val="000000"/>
          <w:sz w:val="28"/>
          <w:szCs w:val="28"/>
          <w:lang w:eastAsia="zh-CN"/>
        </w:rPr>
        <w:t>社区</w:t>
      </w:r>
      <w:r>
        <w:rPr>
          <w:rFonts w:hint="eastAsia" w:ascii="仿宋_GB2312" w:hAnsi="黑体" w:eastAsia="仿宋_GB2312"/>
          <w:color w:val="000000"/>
          <w:sz w:val="28"/>
          <w:szCs w:val="28"/>
        </w:rPr>
        <w:t>)</w:t>
      </w:r>
      <w:r>
        <w:rPr>
          <w:rFonts w:hint="eastAsia" w:ascii="仿宋_GB2312" w:hAnsi="黑体" w:eastAsia="仿宋_GB2312"/>
          <w:color w:val="000000"/>
          <w:sz w:val="28"/>
          <w:szCs w:val="28"/>
          <w:lang w:eastAsia="zh-CN"/>
        </w:rPr>
        <w:t>内</w:t>
      </w:r>
      <w:r>
        <w:rPr>
          <w:rFonts w:hint="eastAsia" w:ascii="仿宋_GB2312" w:hAnsi="黑体" w:eastAsia="仿宋_GB2312"/>
          <w:color w:val="000000"/>
          <w:sz w:val="28"/>
          <w:szCs w:val="28"/>
        </w:rPr>
        <w:t>工业、旅游、商业、住宅等非农业建设等行为的耕地占用税未缴、少缴情况进行核查，包括：各类加工厂、景区景点、房地产开发等非农业建设行为。对2018年以来农村居民新建住宅进行排查摸底，在确保减税降费等税收优惠政策落实的前提下，依法依规进行核查，包括：农村居民在规定用地标准以内占用耕地新建自用住宅面积；农村居民经批准搬迁，新建自用住宅占用耕地超过原宅基地面积的部分等。</w:t>
      </w:r>
      <w:r>
        <w:rPr>
          <w:rFonts w:hint="eastAsia" w:ascii="仿宋_GB2312" w:hAnsi="黑体" w:eastAsia="仿宋_GB2312"/>
          <w:b w:val="0"/>
          <w:bCs w:val="0"/>
          <w:color w:val="000000"/>
          <w:sz w:val="28"/>
          <w:szCs w:val="28"/>
        </w:rPr>
        <w:t>建立财政、税务、自然资源、农业农村、水利、生态环境、林业等部门参与的耕地占用税征管工作联动机制，进一步加强耕地占用税涉税信息交换，强化涉税信息复核和后续违法违规信用惩戒，促进税收应收尽收。</w:t>
      </w:r>
      <w:r>
        <w:rPr>
          <w:rFonts w:hint="eastAsia" w:ascii="仿宋_GB2312" w:hAnsi="黑体" w:eastAsia="仿宋_GB2312"/>
          <w:color w:val="000000"/>
          <w:sz w:val="28"/>
          <w:szCs w:val="28"/>
        </w:rPr>
        <w:t>由</w:t>
      </w:r>
      <w:r>
        <w:rPr>
          <w:rFonts w:hint="eastAsia" w:ascii="仿宋_GB2312" w:hAnsi="黑体" w:eastAsia="仿宋_GB2312"/>
          <w:color w:val="000000"/>
          <w:sz w:val="28"/>
          <w:szCs w:val="28"/>
          <w:lang w:eastAsia="zh-CN"/>
        </w:rPr>
        <w:t>财政所</w:t>
      </w:r>
      <w:r>
        <w:rPr>
          <w:rFonts w:hint="eastAsia" w:ascii="仿宋_GB2312" w:hAnsi="黑体" w:eastAsia="仿宋_GB2312"/>
          <w:color w:val="000000"/>
          <w:sz w:val="28"/>
          <w:szCs w:val="28"/>
        </w:rPr>
        <w:t>牵头、</w:t>
      </w:r>
      <w:r>
        <w:rPr>
          <w:rFonts w:hint="eastAsia" w:ascii="仿宋_GB2312" w:hAnsi="黑体" w:eastAsia="仿宋_GB2312"/>
          <w:color w:val="000000"/>
          <w:sz w:val="28"/>
          <w:szCs w:val="28"/>
          <w:lang w:eastAsia="zh-CN"/>
        </w:rPr>
        <w:t>相关部门</w:t>
      </w:r>
      <w:r>
        <w:rPr>
          <w:rFonts w:hint="eastAsia" w:ascii="仿宋_GB2312" w:hAnsi="黑体" w:eastAsia="仿宋_GB2312"/>
          <w:color w:val="000000"/>
          <w:sz w:val="28"/>
          <w:szCs w:val="28"/>
        </w:rPr>
        <w:t>参与，按照实事求是原则，通过查看资料、实地丈量、走访群众等方式，核实</w:t>
      </w:r>
      <w:r>
        <w:rPr>
          <w:rFonts w:hint="eastAsia" w:ascii="仿宋_GB2312" w:hAnsi="黑体" w:eastAsia="仿宋_GB2312"/>
          <w:color w:val="000000"/>
          <w:sz w:val="28"/>
          <w:szCs w:val="28"/>
          <w:lang w:eastAsia="zh-CN"/>
        </w:rPr>
        <w:t>万庾镇（含社区）内</w:t>
      </w:r>
      <w:r>
        <w:rPr>
          <w:rFonts w:hint="eastAsia" w:ascii="仿宋_GB2312" w:hAnsi="黑体" w:eastAsia="仿宋_GB2312"/>
          <w:color w:val="000000"/>
          <w:sz w:val="28"/>
          <w:szCs w:val="28"/>
        </w:rPr>
        <w:t>每一宗占用耕地的地址、名称、面积、性质、是否报批、土地复垦等情况。</w:t>
      </w:r>
      <w:r>
        <w:rPr>
          <w:rFonts w:hint="eastAsia" w:ascii="仿宋_GB2312" w:hAnsi="黑体" w:eastAsia="仿宋_GB2312"/>
          <w:b w:val="0"/>
          <w:bCs w:val="0"/>
          <w:color w:val="000000"/>
          <w:sz w:val="28"/>
          <w:szCs w:val="28"/>
        </w:rPr>
        <w:t>加强乡镇、财政、税务、县直职能部门之间的工作联动，强化对耕地占用税纳税义务人的政策宣传，</w:t>
      </w:r>
      <w:r>
        <w:rPr>
          <w:rFonts w:hint="eastAsia" w:ascii="仿宋_GB2312" w:hAnsi="黑体" w:eastAsia="仿宋_GB2312"/>
          <w:b w:val="0"/>
          <w:bCs w:val="0"/>
          <w:color w:val="000000"/>
          <w:sz w:val="28"/>
          <w:szCs w:val="28"/>
          <w:lang w:eastAsia="zh-CN"/>
        </w:rPr>
        <w:t>强化堵漏挖潜及机制保障，</w:t>
      </w:r>
      <w:r>
        <w:rPr>
          <w:rFonts w:hint="eastAsia" w:ascii="仿宋_GB2312" w:hAnsi="黑体" w:eastAsia="仿宋_GB2312"/>
          <w:b w:val="0"/>
          <w:bCs w:val="0"/>
          <w:color w:val="000000"/>
          <w:sz w:val="28"/>
          <w:szCs w:val="28"/>
        </w:rPr>
        <w:t>确保税款及时足额征缴到位。</w:t>
      </w:r>
      <w:r>
        <w:rPr>
          <w:rFonts w:hint="eastAsia" w:ascii="仿宋_GB2312" w:hAnsi="黑体" w:eastAsia="仿宋_GB2312"/>
          <w:b w:val="0"/>
          <w:bCs w:val="0"/>
          <w:color w:val="000000"/>
          <w:sz w:val="28"/>
          <w:szCs w:val="28"/>
          <w:lang w:eastAsia="zh-CN"/>
        </w:rPr>
        <w:t>同时</w:t>
      </w:r>
      <w:r>
        <w:rPr>
          <w:rFonts w:hint="eastAsia" w:ascii="仿宋_GB2312" w:hAnsi="黑体" w:eastAsia="仿宋_GB2312"/>
          <w:color w:val="000000"/>
          <w:sz w:val="28"/>
          <w:szCs w:val="28"/>
          <w:lang w:eastAsia="zh-CN"/>
        </w:rPr>
        <w:t>进一步规范“三资”管理，开展合同清理，提前终止了80亩旧茶山和350亩王家垱湖承包合同，实现了每年经营资源增收28万元。同时镇内工程项目优先村级集体经济承包，盘活集体资源资产。我镇施工队分别承包了道路扩宽硬化黑化、休闲步道、文化墙建设等项目，村集体经济获利27.5万元。</w:t>
      </w:r>
    </w:p>
    <w:p>
      <w:pPr>
        <w:autoSpaceDE w:val="0"/>
        <w:autoSpaceDN w:val="0"/>
        <w:ind w:firstLine="562" w:firstLineChars="200"/>
        <w:textAlignment w:val="baseline"/>
        <w:rPr>
          <w:rFonts w:hint="eastAsia" w:ascii="仿宋_GB2312" w:hAnsi="黑体" w:eastAsia="仿宋_GB2312"/>
          <w:color w:val="000000"/>
          <w:sz w:val="28"/>
          <w:szCs w:val="28"/>
          <w:lang w:eastAsia="zh-CN"/>
        </w:rPr>
      </w:pPr>
      <w:r>
        <w:rPr>
          <w:rFonts w:hint="eastAsia" w:ascii="仿宋_GB2312" w:hAnsi="黑体" w:eastAsia="仿宋_GB2312"/>
          <w:b/>
          <w:bCs/>
          <w:color w:val="000000"/>
          <w:sz w:val="28"/>
          <w:szCs w:val="28"/>
          <w:lang w:eastAsia="zh-CN"/>
        </w:rPr>
        <w:t>（二）优化部门支出绩效</w:t>
      </w:r>
      <w:r>
        <w:rPr>
          <w:rFonts w:hint="eastAsia" w:ascii="仿宋_GB2312" w:hAnsi="黑体" w:eastAsia="仿宋_GB2312"/>
          <w:b/>
          <w:bCs/>
          <w:color w:val="000000"/>
          <w:sz w:val="28"/>
          <w:szCs w:val="28"/>
        </w:rPr>
        <w:t>。</w:t>
      </w:r>
      <w:r>
        <w:rPr>
          <w:rFonts w:hint="eastAsia" w:ascii="仿宋_GB2312" w:hAnsi="黑体" w:eastAsia="仿宋_GB2312"/>
          <w:color w:val="000000"/>
          <w:sz w:val="28"/>
          <w:szCs w:val="28"/>
          <w:lang w:eastAsia="zh-CN"/>
        </w:rPr>
        <w:t>在县财政局和镇党委政府领导下，我所牵头制定万庾镇预算支出绩效评价管理办法和</w:t>
      </w:r>
      <w:r>
        <w:rPr>
          <w:rFonts w:hint="eastAsia" w:ascii="仿宋_GB2312" w:hAnsi="黑体" w:eastAsia="仿宋_GB2312" w:cs="Times New Roman"/>
          <w:color w:val="000000"/>
          <w:sz w:val="28"/>
          <w:szCs w:val="28"/>
          <w:lang w:eastAsia="zh-CN"/>
        </w:rPr>
        <w:t>方案，对</w:t>
      </w:r>
      <w:r>
        <w:rPr>
          <w:rFonts w:hint="eastAsia" w:ascii="仿宋_GB2312" w:hAnsi="黑体" w:eastAsia="仿宋_GB2312" w:cs="Times New Roman"/>
          <w:color w:val="000000"/>
          <w:sz w:val="28"/>
          <w:szCs w:val="28"/>
          <w:lang w:val="en-US" w:eastAsia="zh-CN"/>
        </w:rPr>
        <w:t>绩效评价对象的资金安排、使用进度、支出范围、政策依据、受益范围、实施区域、实施期限、公示规定、变更内容、变更依据及变更审批程序、预期产出、经济社会环境文化效益、受益人满意度、单位成本和总成本绩效目标等基本情况在绩效评价报告中做出详细规定，</w:t>
      </w:r>
      <w:r>
        <w:rPr>
          <w:rFonts w:hint="eastAsia" w:ascii="仿宋_GB2312" w:hAnsi="黑体" w:eastAsia="仿宋_GB2312"/>
          <w:color w:val="000000"/>
          <w:sz w:val="28"/>
          <w:szCs w:val="28"/>
          <w:lang w:eastAsia="zh-CN"/>
        </w:rPr>
        <w:t>以“高度的责任感、扎实的工作态度、谦虚谨慎的心态”，团结一心、扎实工作，完成了预算支出绩效评价任务。对于部门整体支出绩效进行优化，包括贯彻执行本年度财政、预算、财务、会计等相关方面的法律法规和政策；编制本镇</w:t>
      </w:r>
      <w:r>
        <w:rPr>
          <w:rFonts w:hint="eastAsia" w:ascii="仿宋_GB2312" w:hAnsi="黑体" w:eastAsia="仿宋_GB2312"/>
          <w:color w:val="000000"/>
          <w:sz w:val="28"/>
          <w:szCs w:val="28"/>
          <w:lang w:val="en-US" w:eastAsia="zh-CN"/>
        </w:rPr>
        <w:t>2021年度</w:t>
      </w:r>
      <w:r>
        <w:rPr>
          <w:rFonts w:hint="eastAsia" w:ascii="仿宋_GB2312" w:hAnsi="黑体" w:eastAsia="仿宋_GB2312"/>
          <w:color w:val="000000"/>
          <w:sz w:val="28"/>
          <w:szCs w:val="28"/>
          <w:lang w:eastAsia="zh-CN"/>
        </w:rPr>
        <w:t>财政预决算及2022年部门预算（人员经费）、管理和监督全镇各项财政收支，资金调度和拨款，完成了部门整体支出的预期产出、效益、受益对象满意度、总成本控制率、单位成本控制率等绩效目标。</w:t>
      </w:r>
    </w:p>
    <w:p>
      <w:pPr>
        <w:autoSpaceDE w:val="0"/>
        <w:autoSpaceDN w:val="0"/>
        <w:ind w:firstLine="562" w:firstLineChars="200"/>
        <w:textAlignment w:val="baseline"/>
        <w:rPr>
          <w:rFonts w:hint="default" w:ascii="仿宋_GB2312" w:hAnsi="黑体" w:eastAsia="仿宋_GB2312" w:cs="Times New Roman"/>
          <w:color w:val="000000"/>
          <w:sz w:val="28"/>
          <w:szCs w:val="28"/>
          <w:lang w:val="en-US" w:eastAsia="zh-CN"/>
        </w:rPr>
      </w:pPr>
      <w:r>
        <w:rPr>
          <w:rFonts w:hint="eastAsia" w:ascii="仿宋_GB2312" w:hAnsi="黑体" w:eastAsia="仿宋_GB2312"/>
          <w:b/>
          <w:bCs/>
          <w:color w:val="000000"/>
          <w:sz w:val="28"/>
          <w:szCs w:val="28"/>
          <w:lang w:eastAsia="zh-CN"/>
        </w:rPr>
        <w:t>（三）加强公共服务建设。</w:t>
      </w:r>
      <w:r>
        <w:rPr>
          <w:rFonts w:hint="eastAsia" w:ascii="仿宋_GB2312" w:hAnsi="黑体" w:eastAsia="仿宋_GB2312" w:cs="Times New Roman"/>
          <w:color w:val="000000"/>
          <w:sz w:val="28"/>
          <w:szCs w:val="28"/>
          <w:lang w:eastAsia="zh-CN"/>
        </w:rPr>
        <w:t>坚持“三保”支出的首要地位，坚持保基本、兜底线、惠民生。</w:t>
      </w:r>
      <w:r>
        <w:rPr>
          <w:rFonts w:hint="eastAsia" w:ascii="仿宋_GB2312" w:hAnsi="黑体" w:eastAsia="仿宋_GB2312" w:cs="Times New Roman"/>
          <w:b/>
          <w:bCs/>
          <w:color w:val="000000"/>
          <w:sz w:val="28"/>
          <w:szCs w:val="28"/>
          <w:lang w:eastAsia="zh-CN"/>
        </w:rPr>
        <w:t>一是“三农”扶持。</w:t>
      </w:r>
      <w:r>
        <w:rPr>
          <w:rFonts w:hint="eastAsia" w:ascii="仿宋_GB2312" w:hAnsi="黑体" w:eastAsia="仿宋_GB2312" w:cs="Times New Roman"/>
          <w:color w:val="000000"/>
          <w:sz w:val="28"/>
          <w:szCs w:val="28"/>
          <w:lang w:eastAsia="zh-CN"/>
        </w:rPr>
        <w:t>乡村振兴资金保证专款专账专用，各预算单位按不低于</w:t>
      </w:r>
      <w:r>
        <w:rPr>
          <w:rFonts w:hint="eastAsia" w:ascii="仿宋_GB2312" w:hAnsi="黑体" w:eastAsia="仿宋_GB2312" w:cs="Times New Roman"/>
          <w:color w:val="000000"/>
          <w:sz w:val="28"/>
          <w:szCs w:val="28"/>
          <w:lang w:val="en-US" w:eastAsia="zh-CN"/>
        </w:rPr>
        <w:t>10%的比例预留份额采购脱贫地区农副产品。在农民学生的教育帮扶上，落实雨露计划补助28人46500元，春季学期幼儿园、义务教育生活费补助378人。在农村危房改造上，第一批打款14户31.5万元，第二批预计打款15户32.5万元。全镇23笔201万财政衔接资金用于产业发展14笔136万。</w:t>
      </w:r>
      <w:r>
        <w:rPr>
          <w:rFonts w:hint="eastAsia" w:ascii="仿宋_GB2312" w:hAnsi="黑体" w:eastAsia="仿宋_GB2312" w:cs="Times New Roman"/>
          <w:b/>
          <w:bCs/>
          <w:color w:val="000000"/>
          <w:sz w:val="28"/>
          <w:szCs w:val="28"/>
          <w:lang w:val="en-US" w:eastAsia="zh-CN"/>
        </w:rPr>
        <w:t>二是“基建”保障。</w:t>
      </w:r>
      <w:r>
        <w:rPr>
          <w:rFonts w:hint="eastAsia" w:ascii="仿宋_GB2312" w:hAnsi="黑体" w:eastAsia="仿宋_GB2312" w:cs="Times New Roman"/>
          <w:color w:val="000000"/>
          <w:sz w:val="28"/>
          <w:szCs w:val="28"/>
          <w:lang w:val="zh-CN" w:eastAsia="zh-CN"/>
        </w:rPr>
        <w:t>投入</w:t>
      </w:r>
      <w:r>
        <w:rPr>
          <w:rFonts w:hint="eastAsia" w:ascii="仿宋_GB2312" w:hAnsi="黑体" w:eastAsia="仿宋_GB2312" w:cs="Times New Roman"/>
          <w:color w:val="000000"/>
          <w:sz w:val="28"/>
          <w:szCs w:val="28"/>
          <w:lang w:val="en-US" w:eastAsia="zh-CN"/>
        </w:rPr>
        <w:t>24万完成万庾大桥维修更新，</w:t>
      </w:r>
      <w:r>
        <w:rPr>
          <w:rFonts w:hint="eastAsia" w:ascii="仿宋_GB2312" w:hAnsi="黑体" w:eastAsia="仿宋_GB2312" w:cs="Times New Roman"/>
          <w:color w:val="000000"/>
          <w:sz w:val="28"/>
          <w:szCs w:val="28"/>
          <w:lang w:val="zh-CN" w:eastAsia="zh-CN"/>
        </w:rPr>
        <w:t>投入</w:t>
      </w:r>
      <w:r>
        <w:rPr>
          <w:rFonts w:hint="eastAsia" w:ascii="仿宋_GB2312" w:hAnsi="黑体" w:eastAsia="仿宋_GB2312" w:cs="Times New Roman"/>
          <w:color w:val="000000"/>
          <w:sz w:val="28"/>
          <w:szCs w:val="28"/>
          <w:lang w:val="en-US" w:eastAsia="zh-CN"/>
        </w:rPr>
        <w:t>30万元对C137等7条线路共18.91公里的公路进行挖补还建，投入75万元对C159通南线1.453公里进行扩宽提质改造工程，投入60万元对五田渡连心路1.5公里进行硬化改造工程，投入95万元对育才路和Y032线1.9公里进行挖补还建和“白改黑”。</w:t>
      </w:r>
      <w:r>
        <w:rPr>
          <w:rFonts w:hint="eastAsia" w:ascii="仿宋_GB2312" w:hAnsi="黑体" w:eastAsia="仿宋_GB2312" w:cs="Times New Roman"/>
          <w:b/>
          <w:bCs/>
          <w:color w:val="000000"/>
          <w:sz w:val="28"/>
          <w:szCs w:val="28"/>
          <w:lang w:val="en-US" w:eastAsia="zh-CN"/>
        </w:rPr>
        <w:t>三是“水利”建设。</w:t>
      </w:r>
      <w:r>
        <w:rPr>
          <w:rFonts w:hint="eastAsia" w:ascii="仿宋_GB2312" w:hAnsi="黑体" w:eastAsia="仿宋_GB2312" w:cs="Times New Roman"/>
          <w:color w:val="000000"/>
          <w:sz w:val="28"/>
          <w:szCs w:val="28"/>
          <w:lang w:val="en-US" w:eastAsia="zh-CN"/>
        </w:rPr>
        <w:t>在饮水方面，投入近55万元完成河东供水站管网并网工程，新掘抗旱井2口，解决了居民用水难题。投入一千多万元的北部补水二期已完成前期项目设计、招投标及移民征拆和清苗补偿等工作，凌涛闸、围山渠闸等已开工建设，内月围浆砌石挡墙已完成120米，波浪桩施工5000米；投入近20万元完成了县水利局下达的水库标准化创任务；投入30万元完成了16处小微水体整治及6处入湖渠道的治理。大量财政资金的投入为乡村振兴的产业振兴、生态振兴、文化振兴提供了基础保障，推进了普惠性、兜底性、基础性民生建设工程，推进了公共服务的提质增效。</w:t>
      </w:r>
    </w:p>
    <w:p>
      <w:pPr>
        <w:autoSpaceDE w:val="0"/>
        <w:autoSpaceDN w:val="0"/>
        <w:ind w:firstLine="567"/>
        <w:textAlignment w:val="baseline"/>
        <w:outlineLvl w:val="1"/>
        <w:rPr>
          <w:rFonts w:hint="default" w:ascii="黑体" w:hAnsi="黑体" w:eastAsia="黑体" w:cs="Times New Roman"/>
          <w:b/>
          <w:bCs/>
          <w:color w:val="000000"/>
          <w:sz w:val="28"/>
          <w:szCs w:val="28"/>
          <w:lang w:val="en-US"/>
        </w:rPr>
      </w:pPr>
      <w:r>
        <w:rPr>
          <w:rFonts w:hint="eastAsia" w:ascii="黑体" w:hAnsi="黑体" w:eastAsia="黑体" w:cs="Times New Roman"/>
          <w:b/>
          <w:bCs/>
          <w:color w:val="000000"/>
          <w:sz w:val="28"/>
          <w:szCs w:val="28"/>
          <w:lang w:eastAsia="zh-CN"/>
        </w:rPr>
        <w:t>二、</w:t>
      </w:r>
      <w:r>
        <w:rPr>
          <w:rFonts w:hint="eastAsia" w:ascii="黑体" w:hAnsi="黑体" w:eastAsia="黑体" w:cs="Times New Roman"/>
          <w:b/>
          <w:bCs/>
          <w:color w:val="000000"/>
          <w:sz w:val="28"/>
          <w:szCs w:val="28"/>
          <w:lang w:val="en-US" w:eastAsia="zh-CN"/>
        </w:rPr>
        <w:t>2023年财政工作规划</w:t>
      </w:r>
    </w:p>
    <w:p>
      <w:pPr>
        <w:numPr>
          <w:ilvl w:val="0"/>
          <w:numId w:val="3"/>
        </w:numPr>
        <w:autoSpaceDE w:val="0"/>
        <w:autoSpaceDN w:val="0"/>
        <w:ind w:firstLine="567"/>
        <w:textAlignment w:val="baseline"/>
        <w:rPr>
          <w:rFonts w:hint="eastAsia" w:ascii="仿宋_GB2312" w:hAnsi="黑体" w:eastAsia="仿宋_GB2312"/>
          <w:b/>
          <w:bCs/>
          <w:color w:val="000000"/>
          <w:sz w:val="28"/>
          <w:szCs w:val="28"/>
          <w:lang w:eastAsia="zh-CN"/>
        </w:rPr>
      </w:pPr>
      <w:r>
        <w:rPr>
          <w:rFonts w:hint="eastAsia" w:ascii="仿宋_GB2312" w:hAnsi="黑体" w:eastAsia="仿宋_GB2312" w:cs="Times New Roman"/>
          <w:b/>
          <w:bCs/>
          <w:color w:val="000000"/>
          <w:sz w:val="28"/>
          <w:szCs w:val="28"/>
          <w:lang w:eastAsia="zh-CN"/>
        </w:rPr>
        <w:t>发展方</w:t>
      </w:r>
      <w:r>
        <w:rPr>
          <w:rFonts w:hint="eastAsia" w:ascii="仿宋_GB2312" w:hAnsi="黑体" w:eastAsia="仿宋_GB2312"/>
          <w:b/>
          <w:bCs/>
          <w:color w:val="000000"/>
          <w:sz w:val="28"/>
          <w:szCs w:val="28"/>
          <w:lang w:eastAsia="zh-CN"/>
        </w:rPr>
        <w:t>向</w:t>
      </w:r>
    </w:p>
    <w:p>
      <w:pPr>
        <w:numPr>
          <w:ilvl w:val="0"/>
          <w:numId w:val="0"/>
        </w:numPr>
        <w:autoSpaceDE w:val="0"/>
        <w:autoSpaceDN w:val="0"/>
        <w:textAlignment w:val="baseline"/>
        <w:rPr>
          <w:rFonts w:hint="default" w:ascii="仿宋_GB2312" w:hAnsi="黑体" w:eastAsia="仿宋_GB2312"/>
          <w:b/>
          <w:bCs/>
          <w:color w:val="000000"/>
          <w:sz w:val="28"/>
          <w:szCs w:val="28"/>
          <w:lang w:val="en-US" w:eastAsia="zh-CN"/>
        </w:rPr>
      </w:pPr>
      <w:r>
        <w:rPr>
          <w:rFonts w:hint="eastAsia" w:ascii="仿宋_GB2312" w:hAnsi="黑体" w:eastAsia="仿宋_GB2312"/>
          <w:b/>
          <w:bCs/>
          <w:color w:val="000000"/>
          <w:sz w:val="28"/>
          <w:szCs w:val="28"/>
          <w:lang w:val="en-US" w:eastAsia="zh-CN"/>
        </w:rPr>
        <w:t xml:space="preserve">    </w:t>
      </w:r>
      <w:r>
        <w:rPr>
          <w:rFonts w:hint="eastAsia" w:ascii="仿宋_GB2312" w:hAnsi="黑体" w:eastAsia="仿宋_GB2312" w:cs="Times New Roman"/>
          <w:color w:val="000000"/>
          <w:sz w:val="28"/>
          <w:szCs w:val="28"/>
          <w:lang w:val="en-US" w:eastAsia="zh-CN"/>
        </w:rPr>
        <w:t>以习近平新时代中国特色社会主义思想为指导，全面</w:t>
      </w:r>
      <w:r>
        <w:rPr>
          <w:rFonts w:hint="eastAsia" w:ascii="仿宋_GB2312" w:eastAsia="仿宋_GB2312"/>
          <w:sz w:val="28"/>
          <w:szCs w:val="28"/>
          <w:lang w:eastAsia="zh-CN"/>
        </w:rPr>
        <w:t>贯彻落实党的十九届历次全会精神和深入学习党的二十大报告精神，坚持镇基层财政工作</w:t>
      </w:r>
      <w:r>
        <w:rPr>
          <w:rFonts w:hint="eastAsia" w:ascii="仿宋_GB2312" w:eastAsia="仿宋_GB2312"/>
          <w:sz w:val="28"/>
          <w:szCs w:val="28"/>
          <w:lang w:val="en-US" w:eastAsia="zh-CN"/>
        </w:rPr>
        <w:t>提质增效、开源节流、行稳致远的系统观念，坚持“三保”首要地位不动摇，坚持改革创新，坚持统筹协调，紧紧围绕局党委、镇党委的决策部署，</w:t>
      </w:r>
      <w:r>
        <w:rPr>
          <w:rFonts w:hint="eastAsia" w:ascii="仿宋_GB2312" w:hAnsi="黑体" w:eastAsia="仿宋_GB2312"/>
          <w:color w:val="000000"/>
          <w:sz w:val="28"/>
          <w:szCs w:val="28"/>
          <w:lang w:eastAsia="zh-CN"/>
        </w:rPr>
        <w:t>为民理财、依法理财、文明理财、廉政理财，在将万庾打造成“产业兴旺、宜居宜游、治理有效、人民富足”的湘北重镇的战略目标的达成中发挥重大财政保障作用。</w:t>
      </w:r>
    </w:p>
    <w:p>
      <w:pPr>
        <w:numPr>
          <w:ilvl w:val="0"/>
          <w:numId w:val="3"/>
        </w:numPr>
        <w:autoSpaceDE w:val="0"/>
        <w:autoSpaceDN w:val="0"/>
        <w:ind w:left="0" w:leftChars="0" w:firstLine="567" w:firstLineChars="0"/>
        <w:textAlignment w:val="baseline"/>
        <w:outlineLvl w:val="1"/>
        <w:rPr>
          <w:rFonts w:hint="eastAsia" w:ascii="仿宋_GB2312" w:hAnsi="黑体" w:eastAsia="仿宋_GB2312"/>
          <w:b/>
          <w:bCs/>
          <w:color w:val="000000"/>
          <w:sz w:val="28"/>
          <w:szCs w:val="28"/>
          <w:lang w:eastAsia="zh-CN"/>
        </w:rPr>
      </w:pPr>
      <w:r>
        <w:rPr>
          <w:rFonts w:hint="eastAsia" w:ascii="仿宋_GB2312" w:hAnsi="黑体" w:eastAsia="仿宋_GB2312"/>
          <w:b/>
          <w:bCs/>
          <w:color w:val="000000"/>
          <w:sz w:val="28"/>
          <w:szCs w:val="28"/>
          <w:lang w:eastAsia="zh-CN"/>
        </w:rPr>
        <w:t>相关任务和措施</w:t>
      </w:r>
    </w:p>
    <w:p>
      <w:pPr>
        <w:numPr>
          <w:ilvl w:val="0"/>
          <w:numId w:val="0"/>
        </w:numPr>
        <w:autoSpaceDE w:val="0"/>
        <w:autoSpaceDN w:val="0"/>
        <w:ind w:firstLine="562" w:firstLineChars="200"/>
        <w:textAlignment w:val="baseline"/>
        <w:outlineLvl w:val="1"/>
        <w:rPr>
          <w:rFonts w:hint="eastAsia" w:ascii="仿宋_GB2312" w:hAnsi="黑体" w:eastAsia="仿宋_GB2312" w:cs="Times New Roman"/>
          <w:color w:val="000000"/>
          <w:sz w:val="28"/>
          <w:szCs w:val="28"/>
          <w:lang w:val="en-US" w:eastAsia="zh-CN"/>
        </w:rPr>
      </w:pPr>
      <w:r>
        <w:rPr>
          <w:rFonts w:hint="eastAsia" w:ascii="仿宋_GB2312" w:hAnsi="黑体" w:eastAsia="仿宋_GB2312" w:cs="Times New Roman"/>
          <w:b/>
          <w:bCs/>
          <w:color w:val="000000"/>
          <w:sz w:val="28"/>
          <w:szCs w:val="28"/>
          <w:lang w:val="en-US" w:eastAsia="zh-CN"/>
        </w:rPr>
        <w:t>首要任务是尽职履责。</w:t>
      </w:r>
      <w:r>
        <w:rPr>
          <w:rFonts w:hint="eastAsia" w:ascii="仿宋_GB2312" w:hAnsi="黑体" w:eastAsia="仿宋_GB2312" w:cs="Times New Roman"/>
          <w:color w:val="000000"/>
          <w:sz w:val="28"/>
          <w:szCs w:val="28"/>
          <w:lang w:val="en-US" w:eastAsia="zh-CN"/>
        </w:rPr>
        <w:t>发挥财政职能，贯彻执行镇基层有关财政、预算、财务、会计等方面的法律法规和政策，做好编制本镇财政预决算、管理和监督全镇各项财政收支，资金调度和拨款工作，指导全镇的会计工作，加强对农村财务工作的指导和监督，加强对国家专项资金的监督、将惠民政策落到实处，完成上级财政和乡镇安排的其他工作。</w:t>
      </w:r>
    </w:p>
    <w:p>
      <w:pPr>
        <w:numPr>
          <w:ilvl w:val="0"/>
          <w:numId w:val="0"/>
        </w:numPr>
        <w:autoSpaceDE w:val="0"/>
        <w:autoSpaceDN w:val="0"/>
        <w:ind w:firstLine="562" w:firstLineChars="200"/>
        <w:textAlignment w:val="baseline"/>
        <w:outlineLvl w:val="1"/>
        <w:rPr>
          <w:rFonts w:hint="eastAsia" w:ascii="仿宋_GB2312" w:hAnsi="黑体" w:eastAsia="仿宋_GB2312" w:cs="Times New Roman"/>
          <w:color w:val="000000"/>
          <w:sz w:val="28"/>
          <w:szCs w:val="28"/>
          <w:lang w:val="en-US" w:eastAsia="zh-CN"/>
        </w:rPr>
      </w:pPr>
      <w:r>
        <w:rPr>
          <w:rFonts w:hint="eastAsia" w:ascii="仿宋_GB2312" w:hAnsi="黑体" w:eastAsia="仿宋_GB2312" w:cs="Times New Roman"/>
          <w:b/>
          <w:bCs/>
          <w:color w:val="000000"/>
          <w:sz w:val="28"/>
          <w:szCs w:val="28"/>
          <w:lang w:val="en-US" w:eastAsia="zh-CN"/>
        </w:rPr>
        <w:t>关键任务是财政改革。</w:t>
      </w:r>
      <w:r>
        <w:rPr>
          <w:rFonts w:hint="eastAsia" w:ascii="仿宋_GB2312" w:hAnsi="黑体" w:eastAsia="仿宋_GB2312" w:cs="Times New Roman"/>
          <w:color w:val="000000"/>
          <w:sz w:val="28"/>
          <w:szCs w:val="28"/>
          <w:lang w:val="en-US" w:eastAsia="zh-CN"/>
        </w:rPr>
        <w:t>一是继续深化预算绩效管理意识，坚持实施预算支出绩效管理办法，保证“花钱必有效，无效必问责”，保证预算绩效评价中财政评价的专业性和公正性。二是继续加强财源建设工程，抓好“资源、资产、资本”运作改革，坚持财源建设提质增效，落实积极的财政政策，助力乡村产业振兴、生态振兴、文化振兴。三是继续强化财政队伍建设，打造一支能攻坚克难、实干担当、公正廉洁的财政干部队伍，为基层财政全面实施预算一体化改革和预算绩效管理提供人才保障。</w:t>
      </w:r>
    </w:p>
    <w:p>
      <w:pPr>
        <w:numPr>
          <w:ilvl w:val="0"/>
          <w:numId w:val="0"/>
        </w:numPr>
        <w:autoSpaceDE w:val="0"/>
        <w:autoSpaceDN w:val="0"/>
        <w:ind w:firstLine="562" w:firstLineChars="200"/>
        <w:textAlignment w:val="baseline"/>
        <w:outlineLvl w:val="1"/>
        <w:rPr>
          <w:rFonts w:hint="default" w:ascii="仿宋_GB2312" w:hAnsi="黑体" w:eastAsia="仿宋_GB2312" w:cs="Times New Roman"/>
          <w:color w:val="000000"/>
          <w:sz w:val="28"/>
          <w:szCs w:val="28"/>
          <w:lang w:val="en-US" w:eastAsia="zh-CN"/>
        </w:rPr>
      </w:pPr>
      <w:r>
        <w:rPr>
          <w:rFonts w:hint="eastAsia" w:ascii="仿宋_GB2312" w:hAnsi="黑体" w:eastAsia="仿宋_GB2312" w:cs="Times New Roman"/>
          <w:b/>
          <w:bCs/>
          <w:color w:val="000000"/>
          <w:sz w:val="28"/>
          <w:szCs w:val="28"/>
          <w:lang w:val="en-US" w:eastAsia="zh-CN"/>
        </w:rPr>
        <w:t>基础任务是风控内控</w:t>
      </w:r>
      <w:r>
        <w:rPr>
          <w:rFonts w:hint="eastAsia" w:ascii="仿宋_GB2312" w:hAnsi="黑体" w:eastAsia="仿宋_GB2312" w:cs="Times New Roman"/>
          <w:color w:val="000000"/>
          <w:sz w:val="28"/>
          <w:szCs w:val="28"/>
          <w:lang w:val="en-US" w:eastAsia="zh-CN"/>
        </w:rPr>
        <w:t>。加强基层财政制度建设、法治建设、廉政建设，做好村场、站所财政信息公开公示，专项资金使用情况公开公示，做好专项资金的拨付管理和财政绩效评价工作，做到项目全生命周期管理。加强乡镇政府债务管理，查漏补缺，牢守风险底线，严控债务增量。做好风控内控，切实履行财政监督职能，保证基层财政稳健运行。</w:t>
      </w:r>
    </w:p>
    <w:p>
      <w:pPr>
        <w:autoSpaceDE w:val="0"/>
        <w:autoSpaceDN w:val="0"/>
        <w:ind w:firstLine="567"/>
        <w:textAlignment w:val="baseline"/>
        <w:outlineLvl w:val="1"/>
        <w:rPr>
          <w:rFonts w:hint="default" w:ascii="黑体" w:hAnsi="黑体" w:eastAsia="黑体" w:cs="Times New Roman"/>
          <w:b/>
          <w:bCs/>
          <w:color w:val="000000"/>
          <w:sz w:val="28"/>
          <w:szCs w:val="28"/>
          <w:lang w:val="en-US"/>
        </w:rPr>
      </w:pPr>
      <w:r>
        <w:rPr>
          <w:rFonts w:hint="eastAsia" w:ascii="黑体" w:hAnsi="黑体" w:eastAsia="黑体" w:cs="Times New Roman"/>
          <w:b/>
          <w:bCs/>
          <w:color w:val="000000"/>
          <w:sz w:val="28"/>
          <w:szCs w:val="28"/>
          <w:lang w:eastAsia="zh-CN"/>
        </w:rPr>
        <w:t>三、总结</w:t>
      </w:r>
    </w:p>
    <w:p>
      <w:pPr>
        <w:pStyle w:val="14"/>
        <w:tabs>
          <w:tab w:val="left" w:pos="851"/>
        </w:tabs>
        <w:spacing w:line="360" w:lineRule="auto"/>
        <w:rPr>
          <w:rFonts w:hint="eastAsia" w:ascii="仿宋_GB2312" w:hAnsi="黑体" w:eastAsia="仿宋_GB2312" w:cs="Times New Roman"/>
          <w:color w:val="000000"/>
          <w:kern w:val="2"/>
          <w:sz w:val="28"/>
          <w:szCs w:val="28"/>
          <w:lang w:val="en-US" w:eastAsia="zh-CN" w:bidi="ar-SA"/>
        </w:rPr>
      </w:pPr>
      <w:r>
        <w:rPr>
          <w:rFonts w:hint="eastAsia" w:ascii="仿宋_GB2312" w:hAnsi="黑体" w:eastAsia="仿宋_GB2312" w:cs="Times New Roman"/>
          <w:color w:val="000000"/>
          <w:kern w:val="2"/>
          <w:sz w:val="28"/>
          <w:szCs w:val="28"/>
          <w:lang w:val="en-US" w:eastAsia="zh-CN" w:bidi="ar-SA"/>
        </w:rPr>
        <w:t>辞旧迎新，既往开来，辞去蛰伏待机的2022年，迎来础润而雨的2023年，千磨万击，初心不改，基层财政部门虽小，却是乡镇经济运转的基础环节，我们始终坚持提升基层财政服务质量，提升财政管理技术水平，为打造华容“品牌财政”和万庾“特色小镇”发挥基石作用！</w:t>
      </w:r>
    </w:p>
    <w:p>
      <w:pPr>
        <w:pStyle w:val="14"/>
        <w:widowControl/>
        <w:spacing w:line="610" w:lineRule="exact"/>
        <w:ind w:left="420" w:leftChars="200" w:firstLine="320" w:firstLineChars="100"/>
        <w:rPr>
          <w:rFonts w:ascii="Times New Roman" w:hAnsi="Times New Roman" w:eastAsia="黑体"/>
          <w:sz w:val="32"/>
          <w:szCs w:val="32"/>
        </w:rPr>
      </w:pPr>
      <w:bookmarkStart w:id="0" w:name="_GoBack"/>
      <w:bookmarkEnd w:id="0"/>
      <w:r>
        <w:rPr>
          <w:rFonts w:hint="eastAsia" w:ascii="Times New Roman" w:hAnsi="Times New Roman" w:eastAsia="黑体"/>
          <w:sz w:val="32"/>
          <w:szCs w:val="32"/>
        </w:rPr>
        <w:t>五、</w:t>
      </w:r>
      <w:r>
        <w:rPr>
          <w:rFonts w:ascii="Times New Roman" w:hAnsi="Times New Roman" w:eastAsia="黑体"/>
          <w:sz w:val="32"/>
          <w:szCs w:val="32"/>
        </w:rPr>
        <w:t>存在的问题及原因分析</w:t>
      </w:r>
    </w:p>
    <w:p>
      <w:pPr>
        <w:pStyle w:val="7"/>
        <w:widowControl/>
        <w:shd w:val="clear" w:color="auto" w:fill="FFFFFF"/>
        <w:spacing w:beforeAutospacing="0" w:afterAutospacing="0" w:line="33" w:lineRule="atLeast"/>
        <w:ind w:firstLine="640" w:firstLineChars="200"/>
        <w:jc w:val="both"/>
        <w:rPr>
          <w:rFonts w:ascii="仿宋" w:hAnsi="仿宋" w:eastAsia="仿宋" w:cs="仿宋"/>
          <w:color w:val="000000"/>
          <w:kern w:val="2"/>
          <w:sz w:val="32"/>
          <w:szCs w:val="32"/>
          <w:shd w:val="clear" w:color="auto" w:fill="FFFFFF"/>
        </w:rPr>
      </w:pPr>
      <w:r>
        <w:rPr>
          <w:rFonts w:hint="eastAsia" w:ascii="仿宋" w:hAnsi="仿宋" w:eastAsia="仿宋" w:cs="仿宋"/>
          <w:color w:val="000000"/>
          <w:kern w:val="2"/>
          <w:sz w:val="32"/>
          <w:szCs w:val="32"/>
          <w:shd w:val="clear" w:color="auto" w:fill="FFFFFF"/>
        </w:rPr>
        <w:t>1.预算绩效指标体系存在进一步完善的空间，我单位现建立的各项预算绩效目标指标仍有不科学、不细致的地方，影响了预算绩效评价的结果。</w:t>
      </w:r>
    </w:p>
    <w:p>
      <w:pPr>
        <w:pStyle w:val="7"/>
        <w:widowControl/>
        <w:shd w:val="clear" w:color="auto" w:fill="FFFFFF"/>
        <w:spacing w:beforeAutospacing="0" w:afterAutospacing="0" w:line="33" w:lineRule="atLeast"/>
        <w:ind w:firstLine="420"/>
        <w:jc w:val="both"/>
        <w:rPr>
          <w:rFonts w:ascii="仿宋" w:hAnsi="仿宋" w:eastAsia="仿宋" w:cs="仿宋"/>
          <w:color w:val="000000"/>
          <w:kern w:val="2"/>
          <w:sz w:val="32"/>
          <w:szCs w:val="32"/>
          <w:shd w:val="clear" w:color="auto" w:fill="FFFFFF"/>
        </w:rPr>
      </w:pPr>
      <w:r>
        <w:rPr>
          <w:rFonts w:hint="eastAsia" w:ascii="仿宋" w:hAnsi="仿宋" w:eastAsia="仿宋" w:cs="仿宋"/>
          <w:color w:val="000000"/>
          <w:kern w:val="2"/>
          <w:sz w:val="32"/>
          <w:szCs w:val="32"/>
          <w:shd w:val="clear" w:color="auto" w:fill="FFFFFF"/>
        </w:rPr>
        <w:t>2.预算绩效管理经验需要进一步积累。因为预算绩效管理工作具有政策性强、专业性强、涉及面广、操作难度大等特点，经验不足，导致工作多走许多弯路，影响工作效果</w:t>
      </w:r>
    </w:p>
    <w:p>
      <w:pPr>
        <w:widowControl/>
        <w:spacing w:line="610" w:lineRule="exact"/>
        <w:ind w:firstLine="640" w:firstLineChars="200"/>
        <w:rPr>
          <w:rFonts w:eastAsia="黑体"/>
          <w:sz w:val="32"/>
          <w:szCs w:val="32"/>
        </w:rPr>
      </w:pPr>
      <w:r>
        <w:rPr>
          <w:rFonts w:hint="eastAsia" w:eastAsia="黑体"/>
          <w:sz w:val="32"/>
          <w:szCs w:val="32"/>
        </w:rPr>
        <w:t>六</w:t>
      </w:r>
      <w:r>
        <w:rPr>
          <w:rFonts w:eastAsia="黑体"/>
          <w:sz w:val="32"/>
          <w:szCs w:val="32"/>
        </w:rPr>
        <w:t>、下一步改进措施</w:t>
      </w:r>
    </w:p>
    <w:p>
      <w:pPr>
        <w:pStyle w:val="7"/>
        <w:widowControl/>
        <w:shd w:val="clear" w:color="auto" w:fill="FFFFFF"/>
        <w:spacing w:beforeAutospacing="0" w:afterAutospacing="0" w:line="33" w:lineRule="atLeast"/>
        <w:ind w:firstLine="420"/>
        <w:jc w:val="both"/>
        <w:rPr>
          <w:rFonts w:ascii="仿宋" w:hAnsi="仿宋" w:eastAsia="仿宋" w:cs="仿宋"/>
          <w:color w:val="000000"/>
          <w:kern w:val="2"/>
          <w:sz w:val="32"/>
          <w:szCs w:val="32"/>
          <w:shd w:val="clear" w:color="auto" w:fill="FFFFFF"/>
        </w:rPr>
      </w:pPr>
      <w:r>
        <w:rPr>
          <w:rFonts w:hint="eastAsia" w:ascii="仿宋" w:hAnsi="仿宋" w:eastAsia="仿宋" w:cs="仿宋"/>
          <w:color w:val="000000"/>
          <w:kern w:val="2"/>
          <w:sz w:val="32"/>
          <w:szCs w:val="32"/>
          <w:shd w:val="clear" w:color="auto" w:fill="FFFFFF"/>
        </w:rPr>
        <w:t>1、细化预算编制工作，认真做好预算的编制。进一步加强预算管理意识，严格按照预算编制的相关制度和要求进行预算编制；全面编制预算项目，优先保障固定性的、相对刚性的费用支出项目，尽量压缩变动性的、有控制空间的费用项目，进一步提高预算编制的科学性、严谨性和可控性。加强内部预算编制的审核和预算控制指标的下达。</w:t>
      </w:r>
    </w:p>
    <w:p>
      <w:pPr>
        <w:pStyle w:val="7"/>
        <w:widowControl/>
        <w:shd w:val="clear" w:color="auto" w:fill="FFFFFF"/>
        <w:spacing w:beforeAutospacing="0" w:afterAutospacing="0" w:line="33" w:lineRule="atLeast"/>
        <w:ind w:firstLine="420"/>
        <w:jc w:val="both"/>
        <w:rPr>
          <w:rFonts w:ascii="仿宋" w:hAnsi="仿宋" w:eastAsia="仿宋" w:cs="仿宋"/>
          <w:color w:val="000000"/>
          <w:kern w:val="2"/>
          <w:sz w:val="32"/>
          <w:szCs w:val="32"/>
          <w:shd w:val="clear" w:color="auto" w:fill="FFFFFF"/>
        </w:rPr>
      </w:pPr>
      <w:r>
        <w:rPr>
          <w:rFonts w:hint="eastAsia" w:ascii="仿宋" w:hAnsi="仿宋" w:eastAsia="仿宋" w:cs="仿宋"/>
          <w:color w:val="000000"/>
          <w:kern w:val="2"/>
          <w:sz w:val="32"/>
          <w:szCs w:val="32"/>
          <w:shd w:val="clear" w:color="auto" w:fill="FFFFFF"/>
        </w:rPr>
        <w:t>2、加强财务管理，严格财务审核。加强单位财务管理，健全单位财务管理制度体系，规范单位财务行为。在费用报账支付时，按照预算规定的费用项目和用途进行资金使用审核、列报支付、财务核算，杜绝超支现象的发生。</w:t>
      </w:r>
    </w:p>
    <w:p>
      <w:pPr>
        <w:pStyle w:val="7"/>
        <w:widowControl/>
        <w:shd w:val="clear" w:color="auto" w:fill="FFFFFF"/>
        <w:spacing w:beforeAutospacing="0" w:afterAutospacing="0" w:line="33" w:lineRule="atLeast"/>
        <w:ind w:firstLine="420"/>
        <w:jc w:val="both"/>
        <w:rPr>
          <w:rFonts w:ascii="仿宋" w:hAnsi="仿宋" w:eastAsia="仿宋" w:cs="仿宋"/>
          <w:color w:val="000000"/>
          <w:kern w:val="2"/>
          <w:sz w:val="32"/>
          <w:szCs w:val="32"/>
          <w:shd w:val="clear" w:color="auto" w:fill="FFFFFF"/>
        </w:rPr>
      </w:pPr>
      <w:r>
        <w:rPr>
          <w:rFonts w:hint="eastAsia" w:ascii="仿宋" w:hAnsi="仿宋" w:eastAsia="仿宋" w:cs="仿宋"/>
          <w:color w:val="000000"/>
          <w:kern w:val="2"/>
          <w:sz w:val="32"/>
          <w:szCs w:val="32"/>
          <w:shd w:val="clear" w:color="auto" w:fill="FFFFFF"/>
        </w:rPr>
        <w:t>3、完善资产管理，抓好“三公”经费控制。严格编制政府采购年初预算和计划，规范各类资产的购置审批制度、资产出租出借和收入管理制度、资产采购制度、使用管理制度、资产处置和报废审批制度、资产管理岗位职责制度等，加强单位内部的资产管理工作。严格控制“三公”经费的规模和比例，把关“三公”经费支出的审核、审批，杜绝挪用和挤占其他预算资金行为；进一步细化“三公”经费的管理，合理压缩“三公”经费支出。</w:t>
      </w:r>
    </w:p>
    <w:p>
      <w:pPr>
        <w:pStyle w:val="7"/>
        <w:widowControl/>
        <w:shd w:val="clear" w:color="auto" w:fill="FFFFFF"/>
        <w:spacing w:beforeAutospacing="0" w:afterAutospacing="0" w:line="33" w:lineRule="atLeast"/>
        <w:ind w:firstLine="420"/>
        <w:jc w:val="both"/>
        <w:rPr>
          <w:rFonts w:ascii="仿宋" w:hAnsi="仿宋" w:eastAsia="仿宋" w:cs="仿宋"/>
          <w:color w:val="000000"/>
          <w:kern w:val="2"/>
          <w:sz w:val="32"/>
          <w:szCs w:val="32"/>
          <w:shd w:val="clear" w:color="auto" w:fill="FFFFFF"/>
        </w:rPr>
      </w:pPr>
      <w:r>
        <w:rPr>
          <w:rFonts w:hint="eastAsia" w:ascii="仿宋" w:hAnsi="仿宋" w:eastAsia="仿宋" w:cs="仿宋"/>
          <w:color w:val="000000"/>
          <w:kern w:val="2"/>
          <w:sz w:val="32"/>
          <w:szCs w:val="32"/>
          <w:shd w:val="clear" w:color="auto" w:fill="FFFFFF"/>
        </w:rPr>
        <w:t>4、对相关人员加强培训，特别是针对《预算法》、《行政事业单位会计制度》等学习培训，规范部门预算收支核算，切实提高部门预算收支管理水平。 </w:t>
      </w:r>
    </w:p>
    <w:p>
      <w:pPr>
        <w:widowControl/>
        <w:spacing w:line="610" w:lineRule="exact"/>
        <w:ind w:firstLine="640" w:firstLineChars="200"/>
        <w:rPr>
          <w:rFonts w:eastAsia="FangSong_GB2312"/>
          <w:sz w:val="32"/>
          <w:szCs w:val="32"/>
        </w:rPr>
      </w:pPr>
      <w:r>
        <w:rPr>
          <w:rFonts w:hint="eastAsia" w:eastAsia="黑体"/>
          <w:sz w:val="32"/>
          <w:szCs w:val="32"/>
        </w:rPr>
        <w:t>七</w:t>
      </w:r>
      <w:r>
        <w:rPr>
          <w:rFonts w:eastAsia="黑体"/>
          <w:sz w:val="32"/>
          <w:szCs w:val="32"/>
        </w:rPr>
        <w:t>、其他需要说明的情况</w:t>
      </w:r>
    </w:p>
    <w:p>
      <w:pPr>
        <w:pStyle w:val="2"/>
      </w:pPr>
    </w:p>
    <w:p>
      <w:pPr>
        <w:rPr>
          <w:rFonts w:ascii="仿宋" w:hAnsi="仿宋" w:eastAsia="仿宋" w:cs="仿宋"/>
          <w:color w:val="000000"/>
          <w:sz w:val="32"/>
          <w:szCs w:val="32"/>
          <w:shd w:val="clear" w:color="auto" w:fill="FFFFFF"/>
        </w:rPr>
        <w:sectPr>
          <w:footerReference r:id="rId3" w:type="default"/>
          <w:pgSz w:w="11906" w:h="16838"/>
          <w:pgMar w:top="1984" w:right="1701" w:bottom="1984" w:left="1701" w:header="851" w:footer="992" w:gutter="0"/>
          <w:cols w:space="0" w:num="1"/>
          <w:docGrid w:type="lines" w:linePitch="312" w:charSpace="0"/>
        </w:sectPr>
      </w:pPr>
      <w:r>
        <w:rPr>
          <w:rFonts w:hint="eastAsia"/>
        </w:rPr>
        <w:t xml:space="preserve">    </w:t>
      </w:r>
      <w:r>
        <w:rPr>
          <w:rFonts w:hint="eastAsia" w:ascii="仿宋" w:hAnsi="仿宋" w:eastAsia="仿宋" w:cs="仿宋"/>
          <w:color w:val="000000"/>
          <w:sz w:val="32"/>
          <w:szCs w:val="32"/>
          <w:shd w:val="clear" w:color="auto" w:fill="FFFFFF"/>
        </w:rPr>
        <w:t xml:space="preserve">    无</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sz w:val="32"/>
          <w:szCs w:val="32"/>
          <w:lang w:val="en-US" w:eastAsia="zh-CN"/>
        </w:rPr>
      </w:pPr>
      <w:r>
        <w:rPr>
          <w:rFonts w:hint="eastAsia" w:ascii="黑体" w:hAnsi="黑体" w:eastAsia="黑体"/>
          <w:sz w:val="32"/>
          <w:szCs w:val="32"/>
        </w:rPr>
        <w:t>附件</w:t>
      </w:r>
      <w:r>
        <w:rPr>
          <w:rFonts w:hint="eastAsia" w:ascii="黑体" w:hAnsi="黑体" w:eastAsia="黑体"/>
          <w:sz w:val="32"/>
          <w:szCs w:val="32"/>
          <w:lang w:val="en-US" w:eastAsia="zh-CN"/>
        </w:rPr>
        <w:t>4</w:t>
      </w:r>
    </w:p>
    <w:p>
      <w:pPr>
        <w:keepNext w:val="0"/>
        <w:keepLines w:val="0"/>
        <w:pageBreakBefore w:val="0"/>
        <w:widowControl/>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项目支出绩效评价</w:t>
      </w:r>
      <w:r>
        <w:rPr>
          <w:rFonts w:hint="eastAsia" w:ascii="方正小标宋简体" w:hAnsi="方正小标宋简体" w:eastAsia="方正小标宋简体" w:cs="方正小标宋简体"/>
          <w:color w:val="000000"/>
          <w:sz w:val="44"/>
          <w:szCs w:val="44"/>
          <w:lang w:eastAsia="zh-CN"/>
        </w:rPr>
        <w:t>评分表</w:t>
      </w:r>
      <w:r>
        <w:rPr>
          <w:rFonts w:hint="eastAsia" w:ascii="方正小标宋简体" w:hAnsi="方正小标宋简体" w:eastAsia="方正小标宋简体" w:cs="方正小标宋简体"/>
          <w:color w:val="000000"/>
          <w:sz w:val="44"/>
          <w:szCs w:val="44"/>
        </w:rPr>
        <w:t>（</w:t>
      </w:r>
      <w:r>
        <w:rPr>
          <w:rFonts w:hint="eastAsia" w:ascii="方正小标宋简体" w:hAnsi="方正小标宋简体" w:eastAsia="方正小标宋简体" w:cs="方正小标宋简体"/>
          <w:color w:val="000000"/>
          <w:sz w:val="44"/>
          <w:szCs w:val="44"/>
          <w:lang w:eastAsia="zh-CN"/>
        </w:rPr>
        <w:t>共性</w:t>
      </w:r>
      <w:r>
        <w:rPr>
          <w:rFonts w:hint="eastAsia" w:ascii="方正小标宋简体" w:hAnsi="方正小标宋简体" w:eastAsia="方正小标宋简体" w:cs="方正小标宋简体"/>
          <w:color w:val="000000"/>
          <w:sz w:val="44"/>
          <w:szCs w:val="44"/>
        </w:rPr>
        <w:t>）</w:t>
      </w:r>
    </w:p>
    <w:tbl>
      <w:tblPr>
        <w:tblStyle w:val="8"/>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tblHeader/>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LrV"/>
            <w:vAlign w:val="center"/>
          </w:tcPr>
          <w:p>
            <w:pPr>
              <w:keepNext w:val="0"/>
              <w:keepLines w:val="0"/>
              <w:widowControl/>
              <w:suppressLineNumbers w:val="0"/>
              <w:spacing w:before="0" w:beforeAutospacing="0" w:after="0" w:afterAutospacing="0" w:line="240" w:lineRule="exact"/>
              <w:ind w:left="113" w:right="113"/>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目标</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①设有目标（1分）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②目标明确（1分）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③目标细化（1分）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24"/>
              </w:rPr>
            </w:pP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①符合法律法规（1分）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②符合经济社会发展规划（1分）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③部门年度工作计划（1分）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④针对某一实际问题和需求（1分）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24"/>
              </w:rPr>
            </w:pP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①符合申报条件（2分）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②项目申报、批复程序符合管理办法（1分）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24"/>
              </w:rPr>
            </w:pP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①有相应的资金管理办法（1分）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②办法健全、规范（1分）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③因素全面合理（1分）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24"/>
              </w:rPr>
            </w:pP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①符合分配办法（2分）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②分配公平合理（3分）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24"/>
              </w:rPr>
            </w:pP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right w:val="single" w:color="000000" w:sz="4" w:space="0"/>
            </w:tcBorders>
            <w:noWrap w:val="0"/>
            <w:textDirection w:val="tbLrV"/>
            <w:vAlign w:val="center"/>
          </w:tcPr>
          <w:p>
            <w:pPr>
              <w:keepNext w:val="0"/>
              <w:keepLines w:val="0"/>
              <w:widowControl/>
              <w:suppressLineNumbers w:val="0"/>
              <w:spacing w:before="0" w:beforeAutospacing="0" w:after="0" w:afterAutospacing="0" w:line="240" w:lineRule="exact"/>
              <w:ind w:left="113" w:right="113" w:firstLine="2520" w:firstLineChars="1400"/>
              <w:jc w:val="both"/>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lang w:eastAsia="zh-CN"/>
              </w:rPr>
              <w:t>管理</w:t>
            </w:r>
          </w:p>
        </w:tc>
        <w:tc>
          <w:tcPr>
            <w:tcW w:w="540" w:type="dxa"/>
            <w:vMerge w:val="restart"/>
            <w:tcBorders>
              <w:top w:val="nil"/>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25</w:t>
            </w:r>
          </w:p>
          <w:p>
            <w:pPr>
              <w:keepNext w:val="0"/>
              <w:keepLines w:val="0"/>
              <w:suppressLineNumbers w:val="0"/>
              <w:spacing w:before="0" w:beforeAutospacing="0" w:after="0" w:afterAutospacing="0"/>
              <w:ind w:left="0" w:right="0"/>
              <w:rPr>
                <w:rFonts w:hint="default"/>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24"/>
              </w:rPr>
            </w:pPr>
          </w:p>
        </w:tc>
      </w:tr>
      <w:tr>
        <w:tblPrEx>
          <w:tblCellMar>
            <w:top w:w="0" w:type="dxa"/>
            <w:left w:w="108" w:type="dxa"/>
            <w:bottom w:w="0" w:type="dxa"/>
            <w:right w:w="108" w:type="dxa"/>
          </w:tblCellMar>
        </w:tblPrEx>
        <w:trPr>
          <w:trHeight w:val="744" w:hRule="atLeast"/>
          <w:jc w:val="center"/>
        </w:trPr>
        <w:tc>
          <w:tcPr>
            <w:tcW w:w="702"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到位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①到位及时（2分）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spacing w:val="-10"/>
                <w:kern w:val="0"/>
                <w:sz w:val="18"/>
                <w:szCs w:val="18"/>
                <w:lang w:eastAsia="zh-CN"/>
              </w:rPr>
            </w:pPr>
            <w:r>
              <w:rPr>
                <w:rFonts w:hint="eastAsia" w:ascii="仿宋_GB2312" w:hAnsi="宋体" w:eastAsia="仿宋_GB2312" w:cs="宋体"/>
                <w:spacing w:val="-10"/>
                <w:kern w:val="0"/>
                <w:sz w:val="18"/>
                <w:szCs w:val="18"/>
              </w:rPr>
              <w:t>②不及时但未影响项目进度 （1分）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24"/>
              </w:rPr>
            </w:pPr>
          </w:p>
        </w:tc>
      </w:tr>
      <w:tr>
        <w:tblPrEx>
          <w:tblCellMar>
            <w:top w:w="0" w:type="dxa"/>
            <w:left w:w="108" w:type="dxa"/>
            <w:bottom w:w="0" w:type="dxa"/>
            <w:right w:w="108" w:type="dxa"/>
          </w:tblCellMar>
        </w:tblPrEx>
        <w:trPr>
          <w:trHeight w:val="1168" w:hRule="atLeast"/>
          <w:jc w:val="center"/>
        </w:trPr>
        <w:tc>
          <w:tcPr>
            <w:tcW w:w="702"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①虚列套取扣4-7分 </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②依据不合规扣2分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③截留、挤占、挪用扣3-6分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④超标准开支扣2-5分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24"/>
              </w:rPr>
            </w:pPr>
          </w:p>
        </w:tc>
      </w:tr>
      <w:tr>
        <w:tblPrEx>
          <w:tblCellMar>
            <w:top w:w="0" w:type="dxa"/>
            <w:left w:w="108" w:type="dxa"/>
            <w:bottom w:w="0" w:type="dxa"/>
            <w:right w:w="108" w:type="dxa"/>
          </w:tblCellMar>
        </w:tblPrEx>
        <w:trPr>
          <w:trHeight w:val="871" w:hRule="atLeast"/>
          <w:jc w:val="center"/>
        </w:trPr>
        <w:tc>
          <w:tcPr>
            <w:tcW w:w="702"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财务</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①财务制度健全（1分）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②严格执行制度（1分）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③会计核算规范（1分）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24"/>
              </w:rPr>
            </w:pPr>
          </w:p>
        </w:tc>
      </w:tr>
      <w:tr>
        <w:tblPrEx>
          <w:tblCellMar>
            <w:top w:w="0" w:type="dxa"/>
            <w:left w:w="108" w:type="dxa"/>
            <w:bottom w:w="0" w:type="dxa"/>
            <w:right w:w="108" w:type="dxa"/>
          </w:tblCellMar>
        </w:tblPrEx>
        <w:trPr>
          <w:trHeight w:val="532" w:hRule="atLeast"/>
          <w:jc w:val="center"/>
        </w:trPr>
        <w:tc>
          <w:tcPr>
            <w:tcW w:w="702" w:type="dxa"/>
            <w:vMerge w:val="continue"/>
            <w:tcBorders>
              <w:left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keepNext w:val="0"/>
              <w:keepLines w:val="0"/>
              <w:suppressLineNumbers w:val="0"/>
              <w:spacing w:before="0" w:beforeAutospacing="0" w:after="0" w:afterAutospacing="0"/>
              <w:ind w:left="0" w:right="0"/>
              <w:rPr>
                <w:rFonts w:hint="default"/>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组织</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24"/>
              </w:rPr>
            </w:pP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支撑</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24"/>
              </w:rPr>
            </w:pP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①按计划开工（1分）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②按计划开展（1分）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24"/>
              </w:rPr>
            </w:pPr>
          </w:p>
        </w:tc>
      </w:tr>
      <w:tr>
        <w:tblPrEx>
          <w:tblCellMar>
            <w:top w:w="0" w:type="dxa"/>
            <w:left w:w="108" w:type="dxa"/>
            <w:bottom w:w="0" w:type="dxa"/>
            <w:right w:w="108" w:type="dxa"/>
          </w:tblCellMar>
        </w:tblPrEx>
        <w:trPr>
          <w:trHeight w:val="745" w:hRule="atLeast"/>
          <w:jc w:val="center"/>
        </w:trPr>
        <w:tc>
          <w:tcPr>
            <w:tcW w:w="702" w:type="dxa"/>
            <w:vMerge w:val="continue"/>
            <w:tcBorders>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①管理制度健全（2分）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②制度执行严格（3分）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经济</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项目实施对经济发展所带来的直接或间接影响情况。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社会</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项目实施对社会发展所带来的直接或间接影响情况。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生态</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项目实施对生态环境所带来的直接或间接影响情况。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可持续</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项目后续运行及成效发挥的可持续影响情况。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cs="宋体"/>
                <w:kern w:val="0"/>
                <w:sz w:val="24"/>
              </w:rPr>
            </w:pP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cs="宋体"/>
                <w:b/>
                <w:bCs/>
                <w:kern w:val="0"/>
                <w:sz w:val="24"/>
              </w:rPr>
            </w:pPr>
          </w:p>
        </w:tc>
      </w:tr>
    </w:tbl>
    <w:p>
      <w:pPr>
        <w:adjustRightInd w:val="0"/>
        <w:snapToGrid w:val="0"/>
        <w:spacing w:before="156" w:beforeLines="50"/>
        <w:ind w:left="840" w:hanging="840" w:hangingChars="400"/>
        <w:contextualSpacing/>
        <w:rPr>
          <w:rFonts w:hint="eastAsia" w:ascii="仿宋_GB2312" w:eastAsia="仿宋_GB2312"/>
        </w:rPr>
      </w:pPr>
      <w:r>
        <w:rPr>
          <w:rFonts w:hint="eastAsia" w:ascii="仿宋_GB2312" w:eastAsia="仿宋_GB2312"/>
        </w:rPr>
        <w:t>备注：</w:t>
      </w:r>
      <w:r>
        <w:rPr>
          <w:rFonts w:hint="eastAsia" w:ascii="仿宋_GB2312" w:eastAsia="仿宋_GB2312"/>
          <w:lang w:val="en-US" w:eastAsia="zh-CN"/>
        </w:rPr>
        <w:t>1、</w:t>
      </w:r>
      <w:r>
        <w:rPr>
          <w:rFonts w:hint="eastAsia" w:ascii="仿宋_GB2312" w:eastAsia="仿宋_GB2312"/>
        </w:rPr>
        <w:t>部门（单位）根据项目实际，在《项目支出绩效评价指标</w:t>
      </w:r>
      <w:r>
        <w:rPr>
          <w:rFonts w:hint="eastAsia" w:ascii="仿宋_GB2312" w:eastAsia="仿宋_GB2312"/>
          <w:lang w:eastAsia="zh-CN"/>
        </w:rPr>
        <w:t>评分表</w:t>
      </w:r>
      <w:r>
        <w:rPr>
          <w:rFonts w:hint="eastAsia" w:ascii="仿宋_GB2312" w:eastAsia="仿宋_GB2312"/>
        </w:rPr>
        <w:t>（</w:t>
      </w:r>
      <w:r>
        <w:rPr>
          <w:rFonts w:hint="eastAsia" w:ascii="仿宋_GB2312" w:eastAsia="仿宋_GB2312"/>
          <w:lang w:eastAsia="zh-CN"/>
        </w:rPr>
        <w:t>共性</w:t>
      </w:r>
      <w:r>
        <w:rPr>
          <w:rFonts w:hint="eastAsia" w:ascii="仿宋_GB2312" w:eastAsia="仿宋_GB2312"/>
        </w:rPr>
        <w:t>）》上进一步完善、量化、细化个性指标，形成本项目的指标体系。</w:t>
      </w:r>
    </w:p>
    <w:p>
      <w:pPr>
        <w:adjustRightInd w:val="0"/>
        <w:snapToGrid w:val="0"/>
        <w:spacing w:before="156" w:beforeLines="50"/>
        <w:ind w:firstLine="630" w:firstLineChars="300"/>
        <w:contextualSpacing/>
        <w:rPr>
          <w:rFonts w:hint="eastAsia" w:eastAsia="仿宋_GB2312"/>
          <w:sz w:val="32"/>
          <w:lang w:eastAsia="zh-CN"/>
        </w:rPr>
      </w:pPr>
      <w:r>
        <w:rPr>
          <w:rFonts w:hint="eastAsia" w:ascii="仿宋_GB2312" w:eastAsia="仿宋_GB2312"/>
          <w:lang w:val="en-US" w:eastAsia="zh-CN"/>
        </w:rPr>
        <w:t>2、</w:t>
      </w:r>
      <w:r>
        <w:rPr>
          <w:rFonts w:hint="eastAsia" w:ascii="仿宋_GB2312" w:eastAsia="仿宋_GB2312"/>
          <w:lang w:eastAsia="zh-CN"/>
        </w:rPr>
        <w:t>一个一级项目一张表。</w:t>
      </w:r>
    </w:p>
    <w:p/>
    <w:p>
      <w:pPr>
        <w:pStyle w:val="6"/>
        <w:rPr>
          <w:rFonts w:hint="eastAsia"/>
          <w:lang w:val="en-US" w:eastAsia="zh-CN"/>
        </w:rPr>
        <w:sectPr>
          <w:footerReference r:id="rId4" w:type="default"/>
          <w:pgSz w:w="11906" w:h="16838"/>
          <w:pgMar w:top="1701" w:right="1417" w:bottom="1417" w:left="1417" w:header="851" w:footer="992" w:gutter="0"/>
          <w:pgBorders>
            <w:top w:val="none" w:sz="0" w:space="0"/>
            <w:left w:val="none" w:sz="0" w:space="0"/>
            <w:bottom w:val="none" w:sz="0" w:space="0"/>
            <w:right w:val="none" w:sz="0" w:space="0"/>
          </w:pgBorders>
          <w:cols w:space="0" w:num="1"/>
          <w:rtlGutter w:val="0"/>
          <w:docGrid w:type="lines" w:linePitch="312" w:charSpace="0"/>
        </w:sectPr>
      </w:pPr>
    </w:p>
    <w:p>
      <w:pPr>
        <w:spacing w:line="240" w:lineRule="auto"/>
        <w:ind w:firstLine="0" w:firstLineChars="0"/>
        <w:jc w:val="left"/>
        <w:outlineLvl w:val="0"/>
        <w:rPr>
          <w:rFonts w:hint="eastAsia" w:ascii="Times New Roman" w:hAnsi="Times New Roman" w:eastAsia="黑体" w:cs="Times New Roman"/>
          <w:sz w:val="32"/>
          <w:szCs w:val="32"/>
          <w:lang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5</w:t>
      </w:r>
    </w:p>
    <w:p>
      <w:pPr>
        <w:widowControl/>
        <w:spacing w:line="60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202</w:t>
      </w:r>
      <w:r>
        <w:rPr>
          <w:rFonts w:hint="eastAsia" w:ascii="方正小标宋简体" w:hAnsi="方正小标宋简体" w:eastAsia="方正小标宋简体" w:cs="方正小标宋简体"/>
          <w:color w:val="000000"/>
          <w:sz w:val="44"/>
          <w:szCs w:val="44"/>
          <w:lang w:val="en-US" w:eastAsia="zh-CN"/>
        </w:rPr>
        <w:t>2</w:t>
      </w:r>
      <w:r>
        <w:rPr>
          <w:rFonts w:hint="eastAsia" w:ascii="方正小标宋简体" w:hAnsi="方正小标宋简体" w:eastAsia="方正小标宋简体" w:cs="方正小标宋简体"/>
          <w:color w:val="000000"/>
          <w:sz w:val="44"/>
          <w:szCs w:val="44"/>
        </w:rPr>
        <w:t>年度项目支出绩效自评表</w:t>
      </w:r>
    </w:p>
    <w:tbl>
      <w:tblPr>
        <w:tblStyle w:val="8"/>
        <w:tblW w:w="9851" w:type="dxa"/>
        <w:jc w:val="center"/>
        <w:tblLayout w:type="autofit"/>
        <w:tblCellMar>
          <w:top w:w="0" w:type="dxa"/>
          <w:left w:w="108" w:type="dxa"/>
          <w:bottom w:w="0" w:type="dxa"/>
          <w:right w:w="108" w:type="dxa"/>
        </w:tblCellMar>
      </w:tblPr>
      <w:tblGrid>
        <w:gridCol w:w="1080"/>
        <w:gridCol w:w="1080"/>
        <w:gridCol w:w="1080"/>
        <w:gridCol w:w="1224"/>
        <w:gridCol w:w="1134"/>
        <w:gridCol w:w="1134"/>
        <w:gridCol w:w="828"/>
        <w:gridCol w:w="873"/>
        <w:gridCol w:w="1418"/>
      </w:tblGrid>
      <w:tr>
        <w:tblPrEx>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项目支</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出名称</w:t>
            </w:r>
          </w:p>
        </w:tc>
        <w:tc>
          <w:tcPr>
            <w:tcW w:w="8771" w:type="dxa"/>
            <w:gridSpan w:val="8"/>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主管部门</w:t>
            </w:r>
          </w:p>
        </w:tc>
        <w:tc>
          <w:tcPr>
            <w:tcW w:w="4518"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实施单位</w:t>
            </w:r>
          </w:p>
        </w:tc>
        <w:tc>
          <w:tcPr>
            <w:tcW w:w="3119" w:type="dxa"/>
            <w:gridSpan w:val="3"/>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eastAsia="zh-CN"/>
              </w:rPr>
            </w:pPr>
            <w:r>
              <w:rPr>
                <w:rFonts w:hint="default" w:ascii="Times New Roman" w:hAnsi="Times New Roman" w:eastAsia="仿宋_GB2312" w:cs="Times New Roman"/>
                <w:color w:val="000000"/>
                <w:sz w:val="20"/>
                <w:szCs w:val="20"/>
              </w:rPr>
              <w:t>项目资金</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（万元）</w:t>
            </w: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年初</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预算数</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全年</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预算数</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执行数</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分值</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执行率</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得分</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年度资金总额</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其中：当年财政拨款</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600" w:firstLineChars="30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上年结转资金</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600" w:firstLineChars="30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其他资金</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年度总体目标</w:t>
            </w:r>
          </w:p>
        </w:tc>
        <w:tc>
          <w:tcPr>
            <w:tcW w:w="4518" w:type="dxa"/>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预期目标</w:t>
            </w:r>
          </w:p>
        </w:tc>
        <w:tc>
          <w:tcPr>
            <w:tcW w:w="4253"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实际完成情况　</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4518" w:type="dxa"/>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4253"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标</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一级指标</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二级指标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三级指标</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指标值</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完成值</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分值</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得分</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both"/>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偏差原因分析及改进措施</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产出指标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(50分)</w:t>
            </w: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数量指标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质量指标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时效指标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成本指标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效益指标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（30分）</w:t>
            </w: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经济效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社会效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生态效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可持续</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影响指标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（10分）</w:t>
            </w: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服务对象满意度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6732" w:type="dxa"/>
            <w:gridSpan w:val="6"/>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总分</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bl>
    <w:p>
      <w:pPr>
        <w:rPr>
          <w:rFonts w:hint="eastAsia" w:ascii="新宋体" w:hAnsi="新宋体" w:eastAsia="新宋体" w:cs="新宋体"/>
          <w:sz w:val="21"/>
          <w:szCs w:val="21"/>
          <w:lang w:eastAsia="zh-CN"/>
        </w:rPr>
      </w:pPr>
      <w:r>
        <w:rPr>
          <w:rFonts w:hint="eastAsia" w:ascii="新宋体" w:hAnsi="新宋体" w:eastAsia="新宋体" w:cs="新宋体"/>
          <w:sz w:val="21"/>
          <w:szCs w:val="21"/>
        </w:rPr>
        <w:t>备注：一个一级项目支出一张表。</w:t>
      </w:r>
      <w:r>
        <w:rPr>
          <w:rFonts w:hint="eastAsia" w:ascii="新宋体" w:hAnsi="新宋体" w:eastAsia="新宋体" w:cs="新宋体"/>
          <w:sz w:val="21"/>
          <w:szCs w:val="21"/>
          <w:lang w:eastAsia="zh-CN"/>
        </w:rPr>
        <w:t>如，</w:t>
      </w:r>
      <w:r>
        <w:rPr>
          <w:rFonts w:hint="eastAsia" w:ascii="新宋体" w:hAnsi="新宋体" w:eastAsia="新宋体" w:cs="新宋体"/>
          <w:sz w:val="21"/>
          <w:szCs w:val="21"/>
        </w:rPr>
        <w:t>业务工作经费</w:t>
      </w:r>
      <w:r>
        <w:rPr>
          <w:rFonts w:hint="eastAsia" w:ascii="新宋体" w:hAnsi="新宋体" w:eastAsia="新宋体" w:cs="新宋体"/>
          <w:sz w:val="21"/>
          <w:szCs w:val="21"/>
          <w:lang w:eastAsia="zh-CN"/>
        </w:rPr>
        <w:t>，</w:t>
      </w:r>
      <w:r>
        <w:rPr>
          <w:rFonts w:hint="eastAsia" w:ascii="新宋体" w:hAnsi="新宋体" w:eastAsia="新宋体" w:cs="新宋体"/>
          <w:sz w:val="21"/>
          <w:szCs w:val="21"/>
        </w:rPr>
        <w:t>运行维护经费</w:t>
      </w:r>
      <w:r>
        <w:rPr>
          <w:rFonts w:hint="eastAsia" w:ascii="新宋体" w:hAnsi="新宋体" w:eastAsia="新宋体" w:cs="新宋体"/>
          <w:sz w:val="21"/>
          <w:szCs w:val="21"/>
          <w:lang w:eastAsia="zh-CN"/>
        </w:rPr>
        <w:t>，</w:t>
      </w:r>
      <w:r>
        <w:rPr>
          <w:rFonts w:hint="eastAsia" w:ascii="新宋体" w:hAnsi="新宋体" w:eastAsia="新宋体" w:cs="新宋体"/>
          <w:sz w:val="21"/>
          <w:szCs w:val="21"/>
          <w:lang w:val="en-US" w:eastAsia="zh-CN"/>
        </w:rPr>
        <w:t>XX项目</w:t>
      </w:r>
      <w:r>
        <w:rPr>
          <w:rFonts w:hint="eastAsia" w:ascii="新宋体" w:hAnsi="新宋体" w:eastAsia="新宋体" w:cs="新宋体"/>
          <w:sz w:val="21"/>
          <w:szCs w:val="21"/>
          <w:lang w:eastAsia="zh-CN"/>
        </w:rPr>
        <w:t>资金…各一张表。</w:t>
      </w:r>
    </w:p>
    <w:p>
      <w:pPr>
        <w:pStyle w:val="6"/>
        <w:rPr>
          <w:rFonts w:hint="eastAsia"/>
        </w:rPr>
      </w:pPr>
    </w:p>
    <w:p>
      <w:pPr>
        <w:rPr>
          <w:rFonts w:hint="eastAsia"/>
        </w:rPr>
      </w:pPr>
    </w:p>
    <w:p>
      <w:pPr>
        <w:jc w:val="left"/>
        <w:rPr>
          <w:rFonts w:hint="eastAsia" w:ascii="新宋体" w:hAnsi="新宋体" w:eastAsia="新宋体" w:cs="新宋体"/>
          <w:sz w:val="21"/>
          <w:szCs w:val="21"/>
        </w:rPr>
      </w:pPr>
      <w:r>
        <w:rPr>
          <w:rFonts w:hint="eastAsia" w:ascii="新宋体" w:hAnsi="新宋体" w:eastAsia="新宋体" w:cs="新宋体"/>
          <w:sz w:val="21"/>
          <w:szCs w:val="21"/>
        </w:rPr>
        <w:t xml:space="preserve">填表人：       </w:t>
      </w:r>
      <w:r>
        <w:rPr>
          <w:rFonts w:hint="eastAsia" w:ascii="新宋体" w:hAnsi="新宋体" w:eastAsia="新宋体" w:cs="新宋体"/>
          <w:sz w:val="21"/>
          <w:szCs w:val="21"/>
          <w:lang w:val="en-US" w:eastAsia="zh-CN"/>
        </w:rPr>
        <w:t xml:space="preserve"> </w:t>
      </w:r>
      <w:r>
        <w:rPr>
          <w:rFonts w:hint="eastAsia" w:ascii="新宋体" w:hAnsi="新宋体" w:eastAsia="新宋体" w:cs="新宋体"/>
          <w:sz w:val="21"/>
          <w:szCs w:val="21"/>
        </w:rPr>
        <w:t xml:space="preserve">填报日期：    </w:t>
      </w:r>
      <w:r>
        <w:rPr>
          <w:rFonts w:hint="eastAsia" w:ascii="新宋体" w:hAnsi="新宋体" w:eastAsia="新宋体" w:cs="新宋体"/>
          <w:sz w:val="21"/>
          <w:szCs w:val="21"/>
          <w:lang w:val="en-US" w:eastAsia="zh-CN"/>
        </w:rPr>
        <w:t xml:space="preserve">      </w:t>
      </w:r>
      <w:r>
        <w:rPr>
          <w:rFonts w:hint="eastAsia" w:ascii="新宋体" w:hAnsi="新宋体" w:eastAsia="新宋体" w:cs="新宋体"/>
          <w:sz w:val="21"/>
          <w:szCs w:val="21"/>
        </w:rPr>
        <w:t xml:space="preserve">联系电话：   </w:t>
      </w:r>
      <w:r>
        <w:rPr>
          <w:rFonts w:hint="eastAsia" w:ascii="新宋体" w:hAnsi="新宋体" w:eastAsia="新宋体" w:cs="新宋体"/>
          <w:sz w:val="21"/>
          <w:szCs w:val="21"/>
          <w:lang w:val="en-US" w:eastAsia="zh-CN"/>
        </w:rPr>
        <w:t xml:space="preserve">       </w:t>
      </w:r>
      <w:r>
        <w:rPr>
          <w:rFonts w:hint="eastAsia" w:ascii="新宋体" w:hAnsi="新宋体" w:eastAsia="新宋体" w:cs="新宋体"/>
          <w:sz w:val="21"/>
          <w:szCs w:val="21"/>
        </w:rPr>
        <w:t xml:space="preserve"> 单位负责人签字：</w:t>
      </w:r>
    </w:p>
    <w:p>
      <w:pPr>
        <w:spacing w:line="240" w:lineRule="auto"/>
        <w:ind w:firstLine="0" w:firstLineChars="0"/>
        <w:jc w:val="left"/>
        <w:outlineLvl w:val="0"/>
        <w:rPr>
          <w:rFonts w:hint="eastAsia" w:ascii="新宋体" w:hAnsi="新宋体" w:eastAsia="新宋体" w:cs="新宋体"/>
          <w:sz w:val="21"/>
          <w:szCs w:val="21"/>
          <w:lang w:val="en-US" w:eastAsia="zh-CN"/>
        </w:rPr>
        <w:sectPr>
          <w:pgSz w:w="11906" w:h="16838"/>
          <w:pgMar w:top="1701" w:right="1417" w:bottom="1417" w:left="1417" w:header="851" w:footer="992" w:gutter="0"/>
          <w:pgBorders>
            <w:top w:val="none" w:sz="0" w:space="0"/>
            <w:left w:val="none" w:sz="0" w:space="0"/>
            <w:bottom w:val="none" w:sz="0" w:space="0"/>
            <w:right w:val="none" w:sz="0" w:space="0"/>
          </w:pgBorders>
          <w:cols w:space="0" w:num="1"/>
          <w:rtlGutter w:val="0"/>
          <w:docGrid w:type="lines" w:linePitch="312" w:charSpace="0"/>
        </w:sectPr>
      </w:pPr>
    </w:p>
    <w:p>
      <w:pPr>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6</w:t>
      </w:r>
    </w:p>
    <w:p>
      <w:pPr>
        <w:jc w:val="center"/>
        <w:rPr>
          <w:rFonts w:hint="default" w:ascii="Times New Roman" w:hAnsi="Times New Roman" w:eastAsia="方正小标宋_GBK" w:cs="Times New Roman"/>
          <w:sz w:val="52"/>
          <w:szCs w:val="52"/>
        </w:rPr>
      </w:pP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年度××部门（单位）××</w:t>
      </w:r>
      <w:r>
        <w:rPr>
          <w:rFonts w:hint="eastAsia" w:ascii="方正小标宋简体" w:hAnsi="方正小标宋简体" w:eastAsia="方正小标宋简体" w:cs="方正小标宋简体"/>
          <w:sz w:val="44"/>
          <w:szCs w:val="44"/>
          <w:lang w:eastAsia="zh-CN"/>
        </w:rPr>
        <w:t>项目</w:t>
      </w:r>
      <w:r>
        <w:rPr>
          <w:rFonts w:hint="eastAsia" w:ascii="方正小标宋简体" w:hAnsi="方正小标宋简体" w:eastAsia="方正小标宋简体" w:cs="方正小标宋简体"/>
          <w:sz w:val="44"/>
          <w:szCs w:val="44"/>
        </w:rPr>
        <w:t>支出</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绩效自评报告</w:t>
      </w:r>
    </w:p>
    <w:p>
      <w:pPr>
        <w:jc w:val="center"/>
        <w:rPr>
          <w:rFonts w:hint="default" w:ascii="Times New Roman" w:hAnsi="Times New Roman" w:eastAsia="方正小标宋_GBK" w:cs="Times New Roman"/>
          <w:b/>
          <w:sz w:val="52"/>
          <w:szCs w:val="5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spacing w:line="600" w:lineRule="exact"/>
        <w:jc w:val="center"/>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部门（单位）名称：</w:t>
      </w:r>
      <w:r>
        <w:rPr>
          <w:rFonts w:hint="default" w:ascii="Times New Roman" w:hAnsi="Times New Roman" w:eastAsia="仿宋_GB2312" w:cs="Times New Roman"/>
          <w:sz w:val="32"/>
          <w:szCs w:val="32"/>
          <w:u w:val="single"/>
        </w:rPr>
        <w:t>（盖章）</w:t>
      </w:r>
    </w:p>
    <w:p>
      <w:pPr>
        <w:spacing w:line="60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年  月  日</w:t>
      </w:r>
    </w:p>
    <w:p>
      <w:pPr>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（此页为封面）</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sz w:val="44"/>
          <w:szCs w:val="44"/>
        </w:rPr>
      </w:pPr>
      <w:r>
        <w:rPr>
          <w:rFonts w:hint="default" w:ascii="Times New Roman" w:hAnsi="Times New Roman" w:eastAsia="仿宋_GB2312" w:cs="Times New Roman"/>
          <w:sz w:val="32"/>
          <w:szCs w:val="32"/>
        </w:rPr>
        <w:br w:type="page"/>
      </w: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年度××部门（单位）××</w:t>
      </w:r>
      <w:r>
        <w:rPr>
          <w:rFonts w:hint="eastAsia" w:ascii="方正小标宋简体" w:hAnsi="方正小标宋简体" w:eastAsia="方正小标宋简体" w:cs="方正小标宋简体"/>
          <w:sz w:val="44"/>
          <w:szCs w:val="44"/>
          <w:lang w:eastAsia="zh-CN"/>
        </w:rPr>
        <w:t>项目</w:t>
      </w:r>
      <w:r>
        <w:rPr>
          <w:rFonts w:hint="eastAsia" w:ascii="方正小标宋简体" w:hAnsi="方正小标宋简体" w:eastAsia="方正小标宋简体" w:cs="方正小标宋简体"/>
          <w:sz w:val="44"/>
          <w:szCs w:val="44"/>
        </w:rPr>
        <w:t>支出</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default" w:ascii="Times New Roman" w:hAnsi="Times New Roman" w:eastAsia="仿宋_GB2312" w:cs="Times New Roman"/>
          <w:sz w:val="32"/>
          <w:szCs w:val="32"/>
        </w:rPr>
      </w:pPr>
      <w:r>
        <w:rPr>
          <w:rFonts w:hint="eastAsia" w:ascii="方正小标宋简体" w:hAnsi="方正小标宋简体" w:eastAsia="方正小标宋简体" w:cs="方正小标宋简体"/>
          <w:sz w:val="44"/>
          <w:szCs w:val="44"/>
        </w:rPr>
        <w:t>绩效自评报告</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一、基本情况</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(一)项目概况。包括项目背景、主要内容及实施情况、资金投入和使用情况等。</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(二)项目绩效目标。包括总体目标和阶段性目标。</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二、绩效评价工作开展情况</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(一)绩效评价目的、对象和范围。</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(二)绩效评价原则、评价指标体系(附表说明)、评价方法、 评价标准等。</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(三)绩效评价工作过程。</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 xml:space="preserve">三、综合评价情况及评价结论 </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四、绩效评价指标分析</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(一)项目决策情况。</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(二)项目过程情况。</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(三)项目产出情况。</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(四)项目效益情况。</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五、主要经验及做法、存在的问题及原因分析</w:t>
      </w:r>
    </w:p>
    <w:p>
      <w:pPr>
        <w:keepNext w:val="0"/>
        <w:keepLines w:val="0"/>
        <w:pageBreakBefore w:val="0"/>
        <w:widowControl/>
        <w:kinsoku/>
        <w:wordWrap/>
        <w:overflowPunct/>
        <w:topLinePunct w:val="0"/>
        <w:autoSpaceDE/>
        <w:autoSpaceDN/>
        <w:bidi w:val="0"/>
        <w:adjustRightInd/>
        <w:snapToGrid/>
        <w:spacing w:line="610" w:lineRule="exact"/>
        <w:ind w:firstLine="600" w:firstLineChars="200"/>
        <w:jc w:val="both"/>
        <w:textAlignment w:val="auto"/>
        <w:rPr>
          <w:rFonts w:hint="eastAsia" w:ascii="仿宋_GB2312" w:eastAsia="仿宋_GB2312"/>
          <w:sz w:val="32"/>
          <w:szCs w:val="32"/>
          <w:lang w:val="en-US" w:eastAsia="zh-CN"/>
        </w:rPr>
      </w:pPr>
      <w:r>
        <w:rPr>
          <w:rFonts w:hint="eastAsia" w:ascii="黑体" w:hAnsi="黑体" w:eastAsia="黑体" w:cs="黑体"/>
          <w:sz w:val="30"/>
          <w:szCs w:val="30"/>
          <w:lang w:eastAsia="zh-CN"/>
        </w:rPr>
        <w:t>六</w:t>
      </w:r>
      <w:r>
        <w:rPr>
          <w:rFonts w:hint="eastAsia" w:ascii="黑体" w:hAnsi="黑体" w:eastAsia="黑体" w:cs="黑体"/>
          <w:sz w:val="30"/>
          <w:szCs w:val="30"/>
        </w:rPr>
        <w:t>、其他需要说明的问题</w:t>
      </w:r>
    </w:p>
    <w:sectPr>
      <w:pgSz w:w="11906" w:h="16838"/>
      <w:pgMar w:top="1984" w:right="1701" w:bottom="1984" w:left="1701"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decorative"/>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7D6A171B-1B26-45A4-ACFE-86AE208BE070}"/>
  </w:font>
  <w:font w:name="Arial">
    <w:panose1 w:val="020B0604020202020204"/>
    <w:charset w:val="01"/>
    <w:family w:val="swiss"/>
    <w:pitch w:val="default"/>
    <w:sig w:usb0="E0002AFF" w:usb1="C0007843" w:usb2="00000009" w:usb3="00000000" w:csb0="400001FF" w:csb1="FFFF0000"/>
    <w:embedRegular r:id="rId2" w:fontKey="{8793AA1A-E31C-4BB7-B051-41D2D3439393}"/>
  </w:font>
  <w:font w:name="黑体">
    <w:altName w:val="hakuyoxingshu7000"/>
    <w:panose1 w:val="02010609060101010101"/>
    <w:charset w:val="86"/>
    <w:family w:val="auto"/>
    <w:pitch w:val="default"/>
    <w:sig w:usb0="800002BF" w:usb1="38CF7CFA" w:usb2="00000016" w:usb3="00000000" w:csb0="00040001" w:csb1="00000000"/>
    <w:embedRegular r:id="rId3" w:fontKey="{C391CCB2-A7C1-41C1-B231-099E7508AA25}"/>
  </w:font>
  <w:font w:name="Courier New">
    <w:panose1 w:val="02070309020205020404"/>
    <w:charset w:val="01"/>
    <w:family w:val="modern"/>
    <w:pitch w:val="default"/>
    <w:sig w:usb0="E0002AFF" w:usb1="C0007843" w:usb2="00000009" w:usb3="00000000" w:csb0="400001FF" w:csb1="FFFF0000"/>
    <w:embedRegular r:id="rId4" w:fontKey="{12E13FAA-DCF9-49A7-B18C-401D7318D392}"/>
  </w:font>
  <w:font w:name="Symbol">
    <w:panose1 w:val="05050102010706020507"/>
    <w:charset w:val="02"/>
    <w:family w:val="roman"/>
    <w:pitch w:val="default"/>
    <w:sig w:usb0="00000000" w:usb1="00000000" w:usb2="00000000" w:usb3="00000000" w:csb0="80000000" w:csb1="00000000"/>
    <w:embedRegular r:id="rId5" w:fontKey="{4D6501F3-D12D-403E-B44E-F2DD95E97D30}"/>
  </w:font>
  <w:font w:name="Calibri">
    <w:panose1 w:val="020F0502020204030204"/>
    <w:charset w:val="00"/>
    <w:family w:val="swiss"/>
    <w:pitch w:val="default"/>
    <w:sig w:usb0="E00002FF" w:usb1="4000ACFF" w:usb2="00000001" w:usb3="00000000" w:csb0="2000019F" w:csb1="00000000"/>
    <w:embedRegular r:id="rId6" w:fontKey="{B011C330-E8BF-4147-813F-E68988E33326}"/>
  </w:font>
  <w:font w:name="方正小标宋简体">
    <w:altName w:val="Arial Unicode MS"/>
    <w:panose1 w:val="02010601030101010101"/>
    <w:charset w:val="86"/>
    <w:family w:val="auto"/>
    <w:pitch w:val="default"/>
    <w:sig w:usb0="00000000" w:usb1="00000000" w:usb2="00000000" w:usb3="00000000" w:csb0="00040000" w:csb1="00000000"/>
    <w:embedRegular r:id="rId7" w:fontKey="{17F02EA0-FDA5-406F-A717-1239DDAA76D7}"/>
  </w:font>
  <w:font w:name="新宋体">
    <w:panose1 w:val="02010609030101010101"/>
    <w:charset w:val="86"/>
    <w:family w:val="auto"/>
    <w:pitch w:val="default"/>
    <w:sig w:usb0="00000003" w:usb1="288F0000" w:usb2="00000006" w:usb3="00000000" w:csb0="00040001" w:csb1="00000000"/>
    <w:embedRegular r:id="rId8" w:fontKey="{B48B39D1-06B8-42D7-BCBC-083035F572F2}"/>
  </w:font>
  <w:font w:name="仿宋_GB2312">
    <w:panose1 w:val="02010609030101010101"/>
    <w:charset w:val="86"/>
    <w:family w:val="auto"/>
    <w:pitch w:val="default"/>
    <w:sig w:usb0="00000001" w:usb1="080E0000" w:usb2="00000000" w:usb3="00000000" w:csb0="00040000" w:csb1="00000000"/>
    <w:embedRegular r:id="rId9" w:fontKey="{8C6B728A-E2A4-493D-BAC7-3F11ED5DBF9E}"/>
  </w:font>
  <w:font w:name="方正小标宋_GBK">
    <w:panose1 w:val="03000509000000000000"/>
    <w:charset w:val="86"/>
    <w:family w:val="script"/>
    <w:pitch w:val="default"/>
    <w:sig w:usb0="00000001" w:usb1="080E0000" w:usb2="00000000" w:usb3="00000000" w:csb0="00040000" w:csb1="00000000"/>
    <w:embedRegular r:id="rId10" w:fontKey="{B72D9A14-712B-4C8E-85B2-1CCBB08E7330}"/>
  </w:font>
  <w:font w:name="楷体_GB2312">
    <w:panose1 w:val="02010609030101010101"/>
    <w:charset w:val="86"/>
    <w:family w:val="auto"/>
    <w:pitch w:val="default"/>
    <w:sig w:usb0="00000001" w:usb1="080E0000" w:usb2="00000000" w:usb3="00000000" w:csb0="00040000" w:csb1="00000000"/>
    <w:embedRegular r:id="rId11" w:fontKey="{B3EE0B45-1D7E-4974-9ED0-644107E82069}"/>
  </w:font>
  <w:font w:name="hakuyoxingshu7000">
    <w:panose1 w:val="02000600000000000000"/>
    <w:charset w:val="86"/>
    <w:family w:val="auto"/>
    <w:pitch w:val="default"/>
    <w:sig w:usb0="FFFFFFFF" w:usb1="E9FFFFFF" w:usb2="0000003F" w:usb3="00000000" w:csb0="603F00FF" w:csb1="FFFF0000"/>
  </w:font>
  <w:font w:name="Arial Unicode MS">
    <w:panose1 w:val="020B0604020202020204"/>
    <w:charset w:val="86"/>
    <w:family w:val="auto"/>
    <w:pitch w:val="default"/>
    <w:sig w:usb0="FFFFFFFF" w:usb1="E9FFFFFF" w:usb2="0000003F" w:usb3="00000000" w:csb0="603F01FF" w:csb1="FFFF0000"/>
  </w:font>
  <w:font w:name="FangSong_GB2312">
    <w:altName w:val="仿宋_GB2312"/>
    <w:panose1 w:val="02010609060101010101"/>
    <w:charset w:val="86"/>
    <w:family w:val="modern"/>
    <w:pitch w:val="default"/>
    <w:sig w:usb0="00000000" w:usb1="00000000" w:usb2="00000016" w:usb3="00000000" w:csb0="00040001" w:csb1="00000000"/>
    <w:embedRegular r:id="rId12" w:fontKey="{E2B20E28-443A-4FC7-B230-AD27DDC58910}"/>
  </w:font>
  <w:font w:name="仿宋">
    <w:panose1 w:val="02010609060101010101"/>
    <w:charset w:val="86"/>
    <w:family w:val="modern"/>
    <w:pitch w:val="default"/>
    <w:sig w:usb0="800002BF" w:usb1="38CF7CFA" w:usb2="00000016" w:usb3="00000000" w:csb0="00040001" w:csb1="00000000"/>
    <w:embedRegular r:id="rId13" w:fontKey="{70A294C7-CBBF-4B7D-98EA-C5DB1EDCF35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FangSong_GB2312" w:eastAsia="FangSong_GB2312"/>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仿宋_GB2312" w:eastAsia="仿宋_GB2312"/>
        <w:sz w:val="28"/>
        <w:szCs w:val="28"/>
      </w:rP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4"/>
                            <w:jc w:val="right"/>
                          </w:pPr>
                          <w:r>
                            <w:rPr>
                              <w:rFonts w:ascii="仿宋_GB2312" w:eastAsia="仿宋_GB2312"/>
                              <w:sz w:val="28"/>
                              <w:szCs w:val="28"/>
                            </w:rPr>
                            <w:t>-</w:t>
                          </w:r>
                          <w:r>
                            <w:rPr>
                              <w:rFonts w:ascii="仿宋_GB2312" w:eastAsia="仿宋_GB2312"/>
                              <w:sz w:val="28"/>
                              <w:szCs w:val="28"/>
                            </w:rPr>
                            <w:fldChar w:fldCharType="begin"/>
                          </w:r>
                          <w:r>
                            <w:rPr>
                              <w:rFonts w:ascii="仿宋_GB2312" w:eastAsia="仿宋_GB2312"/>
                              <w:sz w:val="28"/>
                              <w:szCs w:val="28"/>
                            </w:rPr>
                            <w:instrText xml:space="preserve"> PAGE   \* MERGEFORMAT </w:instrText>
                          </w:r>
                          <w:r>
                            <w:rPr>
                              <w:rFonts w:ascii="仿宋_GB2312" w:eastAsia="仿宋_GB2312"/>
                              <w:sz w:val="28"/>
                              <w:szCs w:val="28"/>
                            </w:rPr>
                            <w:fldChar w:fldCharType="separate"/>
                          </w:r>
                          <w:r>
                            <w:rPr>
                              <w:rFonts w:ascii="仿宋_GB2312" w:eastAsia="仿宋_GB2312"/>
                              <w:sz w:val="28"/>
                              <w:szCs w:val="28"/>
                              <w:lang w:val="zh-CN"/>
                            </w:rPr>
                            <w:t>1</w:t>
                          </w:r>
                          <w:r>
                            <w:rPr>
                              <w:rFonts w:ascii="仿宋_GB2312" w:eastAsia="仿宋_GB2312"/>
                              <w:sz w:val="28"/>
                              <w:szCs w:val="28"/>
                            </w:rPr>
                            <w:fldChar w:fldCharType="end"/>
                          </w:r>
                          <w:r>
                            <w:rPr>
                              <w:rFonts w:ascii="仿宋_GB2312" w:eastAsia="仿宋_GB2312"/>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pPr>
                      <w:pStyle w:val="4"/>
                      <w:jc w:val="right"/>
                    </w:pPr>
                    <w:r>
                      <w:rPr>
                        <w:rFonts w:ascii="仿宋_GB2312" w:eastAsia="仿宋_GB2312"/>
                        <w:sz w:val="28"/>
                        <w:szCs w:val="28"/>
                      </w:rPr>
                      <w:t>-</w:t>
                    </w:r>
                    <w:r>
                      <w:rPr>
                        <w:rFonts w:ascii="仿宋_GB2312" w:eastAsia="仿宋_GB2312"/>
                        <w:sz w:val="28"/>
                        <w:szCs w:val="28"/>
                      </w:rPr>
                      <w:fldChar w:fldCharType="begin"/>
                    </w:r>
                    <w:r>
                      <w:rPr>
                        <w:rFonts w:ascii="仿宋_GB2312" w:eastAsia="仿宋_GB2312"/>
                        <w:sz w:val="28"/>
                        <w:szCs w:val="28"/>
                      </w:rPr>
                      <w:instrText xml:space="preserve"> PAGE   \* MERGEFORMAT </w:instrText>
                    </w:r>
                    <w:r>
                      <w:rPr>
                        <w:rFonts w:ascii="仿宋_GB2312" w:eastAsia="仿宋_GB2312"/>
                        <w:sz w:val="28"/>
                        <w:szCs w:val="28"/>
                      </w:rPr>
                      <w:fldChar w:fldCharType="separate"/>
                    </w:r>
                    <w:r>
                      <w:rPr>
                        <w:rFonts w:ascii="仿宋_GB2312" w:eastAsia="仿宋_GB2312"/>
                        <w:sz w:val="28"/>
                        <w:szCs w:val="28"/>
                        <w:lang w:val="zh-CN"/>
                      </w:rPr>
                      <w:t>1</w:t>
                    </w:r>
                    <w:r>
                      <w:rPr>
                        <w:rFonts w:ascii="仿宋_GB2312" w:eastAsia="仿宋_GB2312"/>
                        <w:sz w:val="28"/>
                        <w:szCs w:val="28"/>
                      </w:rPr>
                      <w:fldChar w:fldCharType="end"/>
                    </w:r>
                    <w:r>
                      <w:rPr>
                        <w:rFonts w:ascii="仿宋_GB2312" w:eastAsia="仿宋_GB2312"/>
                        <w:sz w:val="28"/>
                        <w:szCs w:val="28"/>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4E2F8D"/>
    <w:multiLevelType w:val="singleLevel"/>
    <w:tmpl w:val="A04E2F8D"/>
    <w:lvl w:ilvl="0" w:tentative="0">
      <w:start w:val="1"/>
      <w:numFmt w:val="chineseCounting"/>
      <w:suff w:val="nothing"/>
      <w:lvlText w:val="%1、"/>
      <w:lvlJc w:val="left"/>
      <w:rPr>
        <w:rFonts w:hint="eastAsia"/>
      </w:rPr>
    </w:lvl>
  </w:abstractNum>
  <w:abstractNum w:abstractNumId="1">
    <w:nsid w:val="BF3BE3D8"/>
    <w:multiLevelType w:val="singleLevel"/>
    <w:tmpl w:val="BF3BE3D8"/>
    <w:lvl w:ilvl="0" w:tentative="0">
      <w:start w:val="1"/>
      <w:numFmt w:val="decimal"/>
      <w:suff w:val="nothing"/>
      <w:lvlText w:val="%1、"/>
      <w:lvlJc w:val="left"/>
    </w:lvl>
  </w:abstractNum>
  <w:abstractNum w:abstractNumId="2">
    <w:nsid w:val="4E9305EA"/>
    <w:multiLevelType w:val="singleLevel"/>
    <w:tmpl w:val="4E9305EA"/>
    <w:lvl w:ilvl="0" w:tentative="0">
      <w:start w:val="1"/>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10"/>
  <w:embedTrueType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I5NmI5ZTBhMWEyODIzOTU4MTg1ZjBkYjhmZWY0NjIifQ=="/>
  </w:docVars>
  <w:rsids>
    <w:rsidRoot w:val="0CCB7736"/>
    <w:rsid w:val="00047FEF"/>
    <w:rsid w:val="000A3906"/>
    <w:rsid w:val="001776F1"/>
    <w:rsid w:val="006F0A16"/>
    <w:rsid w:val="00773328"/>
    <w:rsid w:val="00821883"/>
    <w:rsid w:val="00917857"/>
    <w:rsid w:val="00A755C2"/>
    <w:rsid w:val="016A347B"/>
    <w:rsid w:val="02B50488"/>
    <w:rsid w:val="0338470A"/>
    <w:rsid w:val="034822A9"/>
    <w:rsid w:val="03D86621"/>
    <w:rsid w:val="04EE6171"/>
    <w:rsid w:val="05395EA9"/>
    <w:rsid w:val="0ABD557B"/>
    <w:rsid w:val="0BBB5A8D"/>
    <w:rsid w:val="0C104906"/>
    <w:rsid w:val="0CCB7736"/>
    <w:rsid w:val="0D9E0E8D"/>
    <w:rsid w:val="0EAB7397"/>
    <w:rsid w:val="0EF755B3"/>
    <w:rsid w:val="0F17035E"/>
    <w:rsid w:val="0F4E168D"/>
    <w:rsid w:val="11404466"/>
    <w:rsid w:val="11963ADD"/>
    <w:rsid w:val="11EB0F5C"/>
    <w:rsid w:val="11F20483"/>
    <w:rsid w:val="136F31F8"/>
    <w:rsid w:val="138750E0"/>
    <w:rsid w:val="15A620D3"/>
    <w:rsid w:val="16A3369E"/>
    <w:rsid w:val="178536BD"/>
    <w:rsid w:val="19516372"/>
    <w:rsid w:val="19575CC2"/>
    <w:rsid w:val="19A80228"/>
    <w:rsid w:val="1A101464"/>
    <w:rsid w:val="1AB74849"/>
    <w:rsid w:val="1AC52FF2"/>
    <w:rsid w:val="1AE6175D"/>
    <w:rsid w:val="1B742AA7"/>
    <w:rsid w:val="1CA34935"/>
    <w:rsid w:val="1D5A640E"/>
    <w:rsid w:val="1F7640EC"/>
    <w:rsid w:val="20D76C5F"/>
    <w:rsid w:val="21057490"/>
    <w:rsid w:val="214A230E"/>
    <w:rsid w:val="21B052C4"/>
    <w:rsid w:val="22FF5445"/>
    <w:rsid w:val="238D0E57"/>
    <w:rsid w:val="24256710"/>
    <w:rsid w:val="251E7983"/>
    <w:rsid w:val="260D5D83"/>
    <w:rsid w:val="284A2254"/>
    <w:rsid w:val="292F1467"/>
    <w:rsid w:val="29786927"/>
    <w:rsid w:val="297B51B4"/>
    <w:rsid w:val="29E40467"/>
    <w:rsid w:val="29F527E2"/>
    <w:rsid w:val="2BF35971"/>
    <w:rsid w:val="2C487650"/>
    <w:rsid w:val="2E4F43C0"/>
    <w:rsid w:val="2EC7368E"/>
    <w:rsid w:val="30FB4B41"/>
    <w:rsid w:val="31621165"/>
    <w:rsid w:val="323C5548"/>
    <w:rsid w:val="37450F88"/>
    <w:rsid w:val="37D6106F"/>
    <w:rsid w:val="38F862EB"/>
    <w:rsid w:val="39343807"/>
    <w:rsid w:val="39887BBC"/>
    <w:rsid w:val="3A53023B"/>
    <w:rsid w:val="3AF42D2D"/>
    <w:rsid w:val="3B3A041F"/>
    <w:rsid w:val="3BAE6BF9"/>
    <w:rsid w:val="3CCA47F2"/>
    <w:rsid w:val="3CDE0708"/>
    <w:rsid w:val="3D5877DF"/>
    <w:rsid w:val="3DC55CAA"/>
    <w:rsid w:val="3DD556CA"/>
    <w:rsid w:val="3F2D7485"/>
    <w:rsid w:val="3F450429"/>
    <w:rsid w:val="40073668"/>
    <w:rsid w:val="40226C80"/>
    <w:rsid w:val="40C451A5"/>
    <w:rsid w:val="4156470B"/>
    <w:rsid w:val="41943ACE"/>
    <w:rsid w:val="425D4066"/>
    <w:rsid w:val="43173FD4"/>
    <w:rsid w:val="44143822"/>
    <w:rsid w:val="44654A12"/>
    <w:rsid w:val="457C5F26"/>
    <w:rsid w:val="49CF255F"/>
    <w:rsid w:val="4B2C5DCD"/>
    <w:rsid w:val="4B7D1173"/>
    <w:rsid w:val="4C150E22"/>
    <w:rsid w:val="4C6A38FC"/>
    <w:rsid w:val="4CE74BC3"/>
    <w:rsid w:val="4CF5000E"/>
    <w:rsid w:val="4DB17672"/>
    <w:rsid w:val="50AC44C4"/>
    <w:rsid w:val="50EA6DB9"/>
    <w:rsid w:val="51CA7471"/>
    <w:rsid w:val="521C2FA3"/>
    <w:rsid w:val="522529B2"/>
    <w:rsid w:val="53023D4F"/>
    <w:rsid w:val="53910AF4"/>
    <w:rsid w:val="555952B3"/>
    <w:rsid w:val="556B5A36"/>
    <w:rsid w:val="55AF40BB"/>
    <w:rsid w:val="56F72F7C"/>
    <w:rsid w:val="586243BF"/>
    <w:rsid w:val="58FD3402"/>
    <w:rsid w:val="5AA97C48"/>
    <w:rsid w:val="5AAF7799"/>
    <w:rsid w:val="5B5C1753"/>
    <w:rsid w:val="5E134100"/>
    <w:rsid w:val="5F7A1C50"/>
    <w:rsid w:val="601C4AB5"/>
    <w:rsid w:val="60BE691E"/>
    <w:rsid w:val="61444403"/>
    <w:rsid w:val="62265BDF"/>
    <w:rsid w:val="62E1699A"/>
    <w:rsid w:val="64147F0D"/>
    <w:rsid w:val="64D66362"/>
    <w:rsid w:val="65860217"/>
    <w:rsid w:val="667E0AA1"/>
    <w:rsid w:val="68FB17C3"/>
    <w:rsid w:val="695F12F9"/>
    <w:rsid w:val="69636C3A"/>
    <w:rsid w:val="69CF7B2C"/>
    <w:rsid w:val="6A0B0004"/>
    <w:rsid w:val="6BA1010E"/>
    <w:rsid w:val="6CE47E41"/>
    <w:rsid w:val="6CED5810"/>
    <w:rsid w:val="6CF92413"/>
    <w:rsid w:val="6DFE5E04"/>
    <w:rsid w:val="6E87203D"/>
    <w:rsid w:val="6F9278BB"/>
    <w:rsid w:val="71572F19"/>
    <w:rsid w:val="719B7427"/>
    <w:rsid w:val="724A6793"/>
    <w:rsid w:val="741F26FA"/>
    <w:rsid w:val="74470DF8"/>
    <w:rsid w:val="75FD1676"/>
    <w:rsid w:val="799536BA"/>
    <w:rsid w:val="7B170752"/>
    <w:rsid w:val="7B8F681B"/>
    <w:rsid w:val="7DD96C0E"/>
    <w:rsid w:val="7E474F7B"/>
    <w:rsid w:val="7E8F7AC1"/>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locked/>
    <w:uiPriority w:val="0"/>
    <w:pPr>
      <w:keepNext/>
      <w:keepLines/>
      <w:outlineLvl w:val="0"/>
    </w:pPr>
    <w:rPr>
      <w:rFonts w:eastAsia="黑体"/>
      <w:bCs/>
      <w:kern w:val="44"/>
      <w:szCs w:val="44"/>
    </w:rPr>
  </w:style>
  <w:style w:type="character" w:default="1" w:styleId="10">
    <w:name w:val="Default Paragraph Font"/>
    <w:semiHidden/>
    <w:qFormat/>
    <w:uiPriority w:val="99"/>
  </w:style>
  <w:style w:type="table" w:default="1" w:styleId="8">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eastAsia="Times New Roman" w:cs="Times New Roman"/>
      <w:sz w:val="20"/>
      <w:szCs w:val="20"/>
    </w:rPr>
    <w:tblPr>
      <w:tblCellMar>
        <w:top w:w="0" w:type="dxa"/>
        <w:left w:w="108" w:type="dxa"/>
        <w:bottom w:w="0" w:type="dxa"/>
        <w:right w:w="108" w:type="dxa"/>
      </w:tblCellMar>
    </w:tblPr>
  </w:style>
  <w:style w:type="paragraph" w:styleId="2">
    <w:name w:val="toc 1"/>
    <w:basedOn w:val="1"/>
    <w:next w:val="1"/>
    <w:qFormat/>
    <w:uiPriority w:val="0"/>
  </w:style>
  <w:style w:type="paragraph" w:styleId="4">
    <w:name w:val="footer"/>
    <w:basedOn w:val="1"/>
    <w:link w:val="12"/>
    <w:qFormat/>
    <w:uiPriority w:val="99"/>
    <w:pPr>
      <w:tabs>
        <w:tab w:val="center" w:pos="4153"/>
        <w:tab w:val="right" w:pos="8306"/>
      </w:tabs>
      <w:snapToGrid w:val="0"/>
      <w:jc w:val="left"/>
    </w:pPr>
    <w:rPr>
      <w:sz w:val="18"/>
      <w:szCs w:val="18"/>
    </w:rPr>
  </w:style>
  <w:style w:type="paragraph" w:styleId="5">
    <w:name w:val="header"/>
    <w:basedOn w:val="1"/>
    <w:link w:val="13"/>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footnote text"/>
    <w:basedOn w:val="1"/>
    <w:next w:val="1"/>
    <w:qFormat/>
    <w:uiPriority w:val="0"/>
    <w:pPr>
      <w:snapToGrid w:val="0"/>
      <w:jc w:val="left"/>
    </w:pPr>
    <w:rPr>
      <w:sz w:val="18"/>
      <w:szCs w:val="18"/>
    </w:rPr>
  </w:style>
  <w:style w:type="paragraph" w:styleId="7">
    <w:name w:val="Normal (Web)"/>
    <w:basedOn w:val="1"/>
    <w:semiHidden/>
    <w:unhideWhenUsed/>
    <w:qFormat/>
    <w:uiPriority w:val="99"/>
    <w:pPr>
      <w:spacing w:beforeAutospacing="1" w:afterAutospacing="1"/>
      <w:jc w:val="left"/>
    </w:pPr>
    <w:rPr>
      <w:kern w:val="0"/>
      <w:sz w:val="24"/>
    </w:rPr>
  </w:style>
  <w:style w:type="table" w:styleId="9">
    <w:name w:val="Table Grid"/>
    <w:basedOn w:val="8"/>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page number"/>
    <w:basedOn w:val="10"/>
    <w:qFormat/>
    <w:uiPriority w:val="99"/>
    <w:rPr>
      <w:rFonts w:cs="Times New Roman"/>
    </w:rPr>
  </w:style>
  <w:style w:type="character" w:customStyle="1" w:styleId="12">
    <w:name w:val="Footer Char"/>
    <w:basedOn w:val="10"/>
    <w:link w:val="4"/>
    <w:semiHidden/>
    <w:qFormat/>
    <w:uiPriority w:val="99"/>
    <w:rPr>
      <w:sz w:val="18"/>
      <w:szCs w:val="18"/>
    </w:rPr>
  </w:style>
  <w:style w:type="character" w:customStyle="1" w:styleId="13">
    <w:name w:val="Header Char"/>
    <w:basedOn w:val="10"/>
    <w:link w:val="5"/>
    <w:semiHidden/>
    <w:qFormat/>
    <w:uiPriority w:val="99"/>
    <w:rPr>
      <w:sz w:val="18"/>
      <w:szCs w:val="18"/>
    </w:rPr>
  </w:style>
  <w:style w:type="paragraph" w:styleId="14">
    <w:name w:val="List Paragraph"/>
    <w:basedOn w:val="1"/>
    <w:qFormat/>
    <w:uiPriority w:val="99"/>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18</Pages>
  <Words>6996</Words>
  <Characters>7424</Characters>
  <Lines>0</Lines>
  <Paragraphs>0</Paragraphs>
  <TotalTime>1</TotalTime>
  <ScaleCrop>false</ScaleCrop>
  <LinksUpToDate>false</LinksUpToDate>
  <CharactersWithSpaces>7782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2020-06-04T01:07:00Z</dcterms:created>
  <dc:creator>Administrator</dc:creator>
  <cp:lastModifiedBy>雨小路</cp:lastModifiedBy>
  <cp:lastPrinted>2023-06-29T01:04:00Z</cp:lastPrinted>
  <dcterms:modified xsi:type="dcterms:W3CDTF">2023-07-17T09:27:41Z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KSOSaveFontToCloudKey">
    <vt:lpwstr>386772509_embed</vt:lpwstr>
  </property>
  <property fmtid="{D5CDD505-2E9C-101B-9397-08002B2CF9AE}" pid="4" name="ICV">
    <vt:lpwstr>BCEA63DAF624456AADE85B6B06C14A45_13</vt:lpwstr>
  </property>
</Properties>
</file>