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8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7"/>
        <w:gridCol w:w="1955"/>
        <w:gridCol w:w="2436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889.38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791.5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1278.13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4.44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7.6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6.56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4.44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7.6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6.56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1885.14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1097.33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.行政事务管理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13.65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2.社会保障和就业支出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174.67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3.卫生健康支出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4.节能环保支出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5.城乡社区支出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6.农林水支出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636.01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7.交通运输支出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8.商业服务业等支出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9.自然资源海洋气象支出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10.粮油物资储备支出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104.44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11.其他支出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量入为出，严控非生产性开支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苏慧容</w:t>
      </w:r>
      <w:r>
        <w:rPr>
          <w:rFonts w:hint="default" w:ascii="Times New Roman" w:hAnsi="Times New Roman" w:eastAsia="仿宋_GB2312" w:cs="Times New Roman"/>
          <w:sz w:val="22"/>
        </w:rPr>
        <w:t xml:space="preserve">  填报日期：</w:t>
      </w:r>
      <w:r>
        <w:rPr>
          <w:rFonts w:hint="eastAsia" w:eastAsia="仿宋_GB2312" w:cs="Times New Roman"/>
          <w:sz w:val="22"/>
          <w:lang w:val="en-US" w:eastAsia="zh-CN"/>
        </w:rPr>
        <w:t>2023.7.17</w:t>
      </w:r>
      <w:r>
        <w:rPr>
          <w:rFonts w:hint="default" w:ascii="Times New Roman" w:hAnsi="Times New Roman" w:eastAsia="仿宋_GB2312" w:cs="Times New Roman"/>
          <w:sz w:val="22"/>
        </w:rPr>
        <w:t xml:space="preserve">  联系电话：</w:t>
      </w:r>
      <w:r>
        <w:rPr>
          <w:rFonts w:hint="eastAsia" w:eastAsia="仿宋_GB2312" w:cs="Times New Roman"/>
          <w:sz w:val="22"/>
          <w:lang w:val="en-US" w:eastAsia="zh-CN"/>
        </w:rPr>
        <w:t xml:space="preserve">13973043636  </w:t>
      </w:r>
      <w:r>
        <w:rPr>
          <w:rFonts w:hint="default" w:ascii="Times New Roman" w:hAnsi="Times New Roman" w:eastAsia="仿宋_GB2312" w:cs="Times New Roman"/>
          <w:sz w:val="22"/>
        </w:rPr>
        <w:t>单位负责人签字：</w:t>
      </w: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8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820"/>
        <w:gridCol w:w="874"/>
        <w:gridCol w:w="1127"/>
        <w:gridCol w:w="1039"/>
        <w:gridCol w:w="1257"/>
        <w:gridCol w:w="587"/>
        <w:gridCol w:w="1012"/>
        <w:gridCol w:w="15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52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8"/>
                <w:szCs w:val="28"/>
                <w:lang w:eastAsia="zh-CN"/>
              </w:rPr>
              <w:t>华容县治河渡镇人民政府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47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1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547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1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791.5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2375.46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2375.46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54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8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2375.46</w:t>
            </w:r>
          </w:p>
        </w:tc>
        <w:tc>
          <w:tcPr>
            <w:tcW w:w="237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2375.46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54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8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2345.46</w:t>
            </w:r>
          </w:p>
        </w:tc>
        <w:tc>
          <w:tcPr>
            <w:tcW w:w="237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1278.13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4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8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37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1097.33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54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8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7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90.24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4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8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37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47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08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7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2" w:hRule="atLeast"/>
          <w:jc w:val="center"/>
        </w:trPr>
        <w:tc>
          <w:tcPr>
            <w:tcW w:w="54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08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1. 围绕项目建设，突出发展农业经济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2. 全力推动社会各项事业，促进经济社会协调发展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3. 巩固农村环境整治工作成果，建设美丽、宜居新镇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4. 全力推进乡村振兴工作的开展</w:t>
            </w:r>
          </w:p>
        </w:tc>
        <w:tc>
          <w:tcPr>
            <w:tcW w:w="237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保证了4.3万亩的粮食生产“红线”；做好春耕生产工作早稻面积完成2400亩，早稻集中育秧完成70亩；着力遏制耕地“非农化”、“非粮化”乡镇整改面积481.78亩；打造粮食生产“百千万”工程，百亩高产示范板块、千亩双季稻高产示范片；打造“农旅休闲特色小镇，打造稻田画、滑草、玉米迷宫、抓泥鳅等特色亲子旅游项目；发挥镇村及民间河长“巡查、督办、销号”的职能，每周巡河三次；继续“厕所革命”；壮大村集体经济；村级化债10%；防疫接种疫苗工作，加强针14157；安全生产保障做到了每月总结、调度；芥菜产业提质做到了土窖回填、巡查；整治道路交通完成紫南、黄蓬、严家河等村公路修复8公里、Y338处波形护栏建设5512米；房屋安全整治建立“一栋一档”档案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4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(50分)</w:t>
            </w:r>
          </w:p>
        </w:tc>
        <w:tc>
          <w:tcPr>
            <w:tcW w:w="47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 w:bidi="ar-SA"/>
              </w:rPr>
              <w:t>粮食生产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 w:bidi="ar-SA"/>
              </w:rPr>
              <w:t>1大类，4个小项</w:t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5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 w:bidi="ar-SA"/>
              </w:rPr>
              <w:t>农旅休闲小镇1个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 w:bidi="ar-SA"/>
              </w:rPr>
              <w:t>1大类，3个小项</w:t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 w:bidi="ar-SA"/>
              </w:rPr>
              <w:t>河长制巡查督办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 w:bidi="ar-SA"/>
              </w:rPr>
              <w:t>1大类，3个小项</w:t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 w:bidi="ar-SA"/>
              </w:rPr>
              <w:t>农村改厕工程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 w:bidi="ar-SA"/>
              </w:rPr>
              <w:t>1大类，2个小项</w:t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 w:bidi="ar-SA"/>
              </w:rPr>
              <w:t>疫情防控工作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 w:bidi="ar-SA"/>
              </w:rPr>
              <w:t>1大类，1个小项</w:t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 w:bidi="ar-SA"/>
              </w:rPr>
              <w:t>安全生产工作（食品安全及房屋安全）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 w:bidi="ar-SA"/>
              </w:rPr>
              <w:t>2大类，4个小项</w:t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 w:bidi="ar-SA"/>
              </w:rPr>
              <w:t>整治交通顽疾、公路修复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 w:bidi="ar-SA"/>
              </w:rPr>
              <w:t>1大工程，2个小项</w:t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5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  <w:t>工程完成情况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8大工程，19个小项</w:t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5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  <w:t>质量达标情况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8大工程，19个小项</w:t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仿宋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仿宋" w:cs="新宋体"/>
                <w:color w:val="000000"/>
                <w:sz w:val="18"/>
                <w:szCs w:val="18"/>
                <w:lang w:val="en-US" w:eastAsia="zh-CN"/>
              </w:rPr>
              <w:t>全年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所有项目</w:t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执行预算绩效成本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不超过预算成本</w:t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54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标</w:t>
            </w: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指标值</w:t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得分</w:t>
            </w:r>
          </w:p>
        </w:tc>
        <w:tc>
          <w:tcPr>
            <w:tcW w:w="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4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40</w:t>
            </w: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4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益指标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粮食生产保障促进农民种植收益提高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农民年收入较上年有增长</w:t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4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农旅小镇带动周边经济发展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提升经济收入</w:t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4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益指标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居民安居乐业，社会和谐稳定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解决群众身边大小事，助农兴农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4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益指标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环境卫生得到改善，安全生产保障生活质量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建设新农村，让居民生活越来越美好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54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可持续影响指标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让社会更稳定，经济收入增长稳定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让全镇社会更和谐，经济发展良性提长</w:t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  <w:jc w:val="center"/>
        </w:trPr>
        <w:tc>
          <w:tcPr>
            <w:tcW w:w="54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（10分）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服务对象满意度指标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default" w:ascii="新宋体" w:hAnsi="新宋体" w:eastAsia="仿宋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仿宋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  <w:t>提高群众满意度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新宋体" w:cs="Arial"/>
                <w:color w:val="000000"/>
                <w:kern w:val="2"/>
                <w:sz w:val="18"/>
                <w:szCs w:val="18"/>
                <w:lang w:val="en-US" w:eastAsia="zh-CN" w:bidi="ar-SA"/>
              </w:rPr>
              <w:t>≥</w:t>
            </w:r>
            <w:r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  <w:t>95</w:t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  <w:t>95%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  <w:t>9.5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2"/>
                <w:sz w:val="18"/>
                <w:szCs w:val="18"/>
                <w:lang w:val="en-US" w:eastAsia="zh-CN" w:bidi="ar-SA"/>
              </w:rPr>
              <w:t>9.5</w:t>
            </w:r>
          </w:p>
        </w:tc>
        <w:tc>
          <w:tcPr>
            <w:tcW w:w="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30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总分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99.5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18"/>
          <w:szCs w:val="18"/>
        </w:rPr>
        <w:t>说明：</w:t>
      </w:r>
      <w:r>
        <w:rPr>
          <w:rFonts w:hint="eastAsia" w:eastAsia="仿宋_GB2312" w:cs="Times New Roman"/>
          <w:sz w:val="18"/>
          <w:szCs w:val="18"/>
          <w:lang w:eastAsia="zh-CN"/>
        </w:rPr>
        <w:t>以上数据参照</w:t>
      </w:r>
      <w:r>
        <w:rPr>
          <w:rFonts w:hint="eastAsia" w:eastAsia="仿宋_GB2312" w:cs="Times New Roman"/>
          <w:sz w:val="18"/>
          <w:szCs w:val="18"/>
          <w:lang w:val="en-US" w:eastAsia="zh-CN"/>
        </w:rPr>
        <w:t>2022年部门决算报表中的“收入支出决算总表”(财决01表)。</w:t>
      </w:r>
    </w:p>
    <w:p>
      <w:pPr>
        <w:pStyle w:val="7"/>
        <w:rPr>
          <w:rFonts w:hint="default"/>
          <w:sz w:val="18"/>
          <w:szCs w:val="18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default" w:ascii="Times New Roman" w:hAnsi="Times New Roman" w:eastAsia="仿宋_GB2312" w:cs="Times New Roman"/>
          <w:sz w:val="21"/>
          <w:szCs w:val="21"/>
        </w:rPr>
        <w:t>填表人</w:t>
      </w:r>
      <w:r>
        <w:rPr>
          <w:rFonts w:hint="eastAsia" w:eastAsia="仿宋_GB2312" w:cs="Times New Roman"/>
          <w:sz w:val="21"/>
          <w:szCs w:val="21"/>
          <w:lang w:eastAsia="zh-CN"/>
        </w:rPr>
        <w:t>：苏慧容</w:t>
      </w:r>
      <w:r>
        <w:rPr>
          <w:rFonts w:hint="default" w:ascii="Times New Roman" w:hAnsi="Times New Roman" w:eastAsia="仿宋_GB2312" w:cs="Times New Roman"/>
          <w:sz w:val="21"/>
          <w:szCs w:val="21"/>
        </w:rPr>
        <w:t xml:space="preserve"> </w:t>
      </w:r>
      <w:r>
        <w:rPr>
          <w:rFonts w:hint="eastAsia" w:eastAsia="仿宋_GB2312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21"/>
          <w:szCs w:val="21"/>
        </w:rPr>
        <w:t>填报日期：</w:t>
      </w:r>
      <w:r>
        <w:rPr>
          <w:rFonts w:hint="eastAsia" w:eastAsia="仿宋_GB2312" w:cs="Times New Roman"/>
          <w:sz w:val="21"/>
          <w:szCs w:val="21"/>
          <w:lang w:val="en-US" w:eastAsia="zh-CN"/>
        </w:rPr>
        <w:t>2023.7.17</w:t>
      </w:r>
      <w:r>
        <w:rPr>
          <w:rFonts w:hint="default" w:ascii="Times New Roman" w:hAnsi="Times New Roman" w:eastAsia="仿宋_GB2312" w:cs="Times New Roman"/>
          <w:sz w:val="21"/>
          <w:szCs w:val="21"/>
        </w:rPr>
        <w:t xml:space="preserve"> </w:t>
      </w:r>
      <w:r>
        <w:rPr>
          <w:rFonts w:hint="eastAsia" w:eastAsia="仿宋_GB2312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21"/>
          <w:szCs w:val="21"/>
        </w:rPr>
        <w:t>联系电话：</w:t>
      </w:r>
      <w:r>
        <w:rPr>
          <w:rFonts w:hint="eastAsia" w:eastAsia="仿宋_GB2312" w:cs="Times New Roman"/>
          <w:sz w:val="21"/>
          <w:szCs w:val="21"/>
          <w:lang w:val="en-US" w:eastAsia="zh-CN"/>
        </w:rPr>
        <w:t>13973043636</w:t>
      </w:r>
      <w:r>
        <w:rPr>
          <w:rFonts w:hint="eastAsia" w:ascii="Times New Roman" w:hAnsi="Times New Roman" w:eastAsia="仿宋_GB2312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eastAsia="仿宋_GB2312" w:cs="Times New Roman"/>
          <w:sz w:val="21"/>
          <w:szCs w:val="21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1"/>
          <w:szCs w:val="21"/>
        </w:rPr>
        <w:t>单位负责人签字：</w:t>
      </w: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华容县治河渡镇人民政府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07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华容县治河渡镇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numPr>
          <w:ilvl w:val="0"/>
          <w:numId w:val="2"/>
        </w:numPr>
        <w:snapToGrid w:val="0"/>
        <w:spacing w:line="520" w:lineRule="exact"/>
        <w:rPr>
          <w:rFonts w:hint="eastAsia" w:asciiTheme="minorEastAsia" w:hAnsiTheme="minorEastAsia" w:eastAsiaTheme="minorEastAsia" w:cstheme="minorEastAsia"/>
          <w:color w:val="FF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FF0000"/>
          <w:sz w:val="32"/>
          <w:szCs w:val="32"/>
        </w:rPr>
        <w:t>主要职能。</w:t>
      </w:r>
    </w:p>
    <w:p>
      <w:pPr>
        <w:snapToGrid w:val="0"/>
        <w:spacing w:line="520" w:lineRule="exact"/>
        <w:ind w:left="319" w:leftChars="152" w:firstLine="320" w:firstLineChars="100"/>
        <w:rPr>
          <w:rFonts w:hint="eastAsia" w:asciiTheme="minorEastAsia" w:hAnsiTheme="minorEastAsia" w:eastAsiaTheme="minorEastAsia" w:cstheme="minorEastAsia"/>
          <w:snapToGrid/>
          <w:color w:val="000000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color w:val="000000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  <w:t>　全民贯彻落实党和国家在农村的各项方针政策和法律法规，加强基层组织建设，完善党对农村工作的领导，紧紧围绕促进经济发展、增加农民收入，强化公共服务、着力改善民生，加强社会管理、维护农村稳定，推进基层民主、促进农村和谐四个方面履职，下设治河渡镇人民政府、财政所、农业综合服务中心、社会事业综合服务中心、水利服务站、退役军人服务站、综合行政技法大队、各村场，各司其职各履其责。</w:t>
      </w:r>
    </w:p>
    <w:p>
      <w:pPr>
        <w:snapToGrid w:val="0"/>
        <w:spacing w:line="52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FF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FF0000"/>
          <w:sz w:val="32"/>
          <w:szCs w:val="32"/>
        </w:rPr>
        <w:t>2．机构情况</w:t>
      </w:r>
    </w:p>
    <w:p>
      <w:pPr>
        <w:snapToGrid w:val="0"/>
        <w:spacing w:line="520" w:lineRule="exact"/>
        <w:ind w:left="319" w:leftChars="152" w:firstLine="320" w:firstLineChars="100"/>
        <w:rPr>
          <w:rFonts w:hint="eastAsia" w:asciiTheme="minorEastAsia" w:hAnsiTheme="minorEastAsia" w:eastAsiaTheme="minorEastAsia" w:cstheme="minorEastAsia"/>
          <w:snapToGrid/>
          <w:color w:val="000000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color w:val="000000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  <w:t>　华容县治河渡镇人民政府单位内设机构包括：镇政府机关、镇财政所、镇农业综合服务中心、镇社会事业综合服务中心、镇退役军人服务站、镇综合行政执法大队、镇水利服务站。</w:t>
      </w:r>
    </w:p>
    <w:p>
      <w:pPr>
        <w:ind w:firstLine="800" w:firstLineChars="250"/>
        <w:rPr>
          <w:rFonts w:hint="eastAsia" w:asciiTheme="minorEastAsia" w:hAnsiTheme="minorEastAsia" w:eastAsiaTheme="minorEastAsia" w:cstheme="minorEastAsia"/>
          <w:color w:val="FF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FF0000"/>
          <w:sz w:val="32"/>
          <w:szCs w:val="32"/>
        </w:rPr>
        <w:t>3．人员情况。</w:t>
      </w:r>
    </w:p>
    <w:p>
      <w:pPr>
        <w:spacing w:line="64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至2022年12月31日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eastAsia="zh-CN"/>
        </w:rPr>
        <w:t>机关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干部共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74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人，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eastAsia="zh-CN"/>
        </w:rPr>
        <w:t>不含财政所。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其中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eastAsia="zh-CN"/>
        </w:rPr>
        <w:t>行政编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31人，事业编43人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。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eastAsia="zh-CN"/>
        </w:rPr>
        <w:t>比上年度相比，人数减少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2人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eastAsia="zh-CN"/>
        </w:rPr>
        <w:t>。主要是调出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3个行政编，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eastAsia="zh-CN"/>
        </w:rPr>
        <w:t>调进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事业编1人。另增加9名临聘人员，主要是因为人员减少而业务量增加。</w:t>
      </w: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二、基本支出情况</w:t>
      </w:r>
    </w:p>
    <w:p>
      <w:pPr>
        <w:spacing w:line="560" w:lineRule="exact"/>
        <w:ind w:firstLine="560" w:firstLineChars="200"/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本年实现年度收入1278.13万元，其中公共财政预算拨款434.62万元，本年度实际支出1278.13万元，主要是基本支出1278.13万元，其中人员经费支出1041.45万元（工资福利支出921.67万元，对个人和家庭的补助119.78万元），公用经费支出236.68万元（商品和服务支出236.68万元）。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三、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：</w:t>
      </w:r>
    </w:p>
    <w:p>
      <w:pPr>
        <w:spacing w:line="560" w:lineRule="exact"/>
        <w:ind w:firstLine="560" w:firstLineChars="200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本年实现年度收入1097.33万元，其中公共财政预算拨款1097.33万元，本年度实际支出1097.33万元，主要是人员经费支出461.99万元（对个人和家庭的补助461.99万元），公用经费支出635.34万元（商品和服务支出258.69万元，资本性支出376.65万元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numPr>
          <w:ilvl w:val="0"/>
          <w:numId w:val="0"/>
        </w:numPr>
        <w:snapToGrid w:val="0"/>
        <w:spacing w:line="520" w:lineRule="exact"/>
        <w:rPr>
          <w:rFonts w:hint="eastAsia" w:asciiTheme="minorEastAsia" w:hAnsiTheme="minorEastAsia" w:eastAsiaTheme="minorEastAsia" w:cstheme="minorEastAsia"/>
          <w:w w:val="100"/>
          <w:sz w:val="28"/>
          <w:szCs w:val="28"/>
          <w:lang w:val="en-US" w:eastAsia="zh-CN"/>
        </w:rPr>
      </w:pPr>
      <w:r>
        <w:rPr>
          <w:rStyle w:val="15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Style w:val="15"/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早稻面积较去年超额完成2400亩，达到1.12万亩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；打造了S222绕城路、潘华路、华线路等3条粮食生产高产示范带；调整农作物结构，稳定油菜2.3万亩，扩种蔬菜1万亩，保证绿肥2000亩；新建高标准芥菜腌制池280个，超县定任务80多个，完成芥菜种植面积3100亩；打造了“治河源”农产品牌，逐步推出多款生态农产品，以月亮湖鲈鱼和潘家大辣椒为引领，还有治河大米、农家土鸡蛋等，销售量都不断加大，成功打造了“一镇一牌”。</w:t>
      </w:r>
      <w:r>
        <w:rPr>
          <w:rStyle w:val="15"/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治河渡镇储备补充耕地指标补录项目共有任务图斑143个，总面积1074.35亩，已全部完成验收。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坚持人居环境整治“网格化”管理、“林、路、渠”一体化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管护模式，对村（社区）实行以奖代投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70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多万元，群众环保意识普遍提升，全镇人居环境面貌进一步改观。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全面推进小微水体治理，重点打造了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七横渠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样板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；开展集中执法行动7次，共收缴渔网、地笼等违法渔具200多件，拆除沿堤钢架棚260平方、违章砖混结构建筑20多平方；在垸内主要沟渠水域放置“生态浮岛”，华容河潘家渡堤段安装拦网，设置物理隔离禁牧区，促进了河渠管护力度向纵深推进；切实发挥镇村及民间河长“巡查、督办、销号”的职能，巡河率达到100%。防止返贫监测与帮扶工作，</w:t>
      </w: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  <w:lang w:val="en-US" w:eastAsia="zh-CN"/>
        </w:rPr>
        <w:t>开展各类排查5次，</w:t>
      </w:r>
      <w:r>
        <w:rPr>
          <w:rFonts w:hint="eastAsia" w:asciiTheme="minorEastAsia" w:hAnsiTheme="minorEastAsia" w:eastAsiaTheme="minorEastAsia" w:cstheme="minorEastAsia"/>
          <w:color w:val="000000"/>
          <w:kern w:val="2"/>
          <w:sz w:val="28"/>
          <w:szCs w:val="28"/>
          <w:lang w:val="en-US" w:eastAsia="zh-CN" w:bidi="ar-SA"/>
        </w:rPr>
        <w:t>新增监测户4户11人，11月份拟新增2户6人。新增公益岗位共31个，其中大垱湖光伏扶贫公益岗位19个，村级光伏扶贫公益岗位12个，其他公益岗位5人。</w:t>
      </w:r>
      <w:r>
        <w:rPr>
          <w:rStyle w:val="15"/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汛期组织镇防指成员巡堤查险5次，隐患全面整治到位；组织开展了防汛抢险实战演练和防汛动员暨培训大会；开展了三次大堤清基除杂行动。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全镇党员干部深入田间地头，包片包组包户，指导调水补水蓄水节水工作；全镇6处抗旱机埠夜以继日抽水，确保水源充足；启动预先储存的垸内堵坝蓄水，对湘中干渠以西的新华大港进行堵坝蓄水，有效抬高新华大港水位1.5米。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对镇域内6223栋房屋进行全面排查，并建立风险隐患“一栋一档”档案，竖立40多个安全警示标识标牌，完成21栋B级重点房屋安全鉴定并出具报告，拆除2栋D级危房，封闭使用3栋C级危房。多次代表华容县进行迎检验收。依法追缴不良贷款11笔262123.85元，当前排名全县第5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打造占地200余亩、集主题营地、农耕体验、亲子劳动、户外烧烤等多项目于一体的白莲湖农旅休闲公园，在运营理念上，实行镇政府牵头、村集体为主体、引入社会投资的“1+1+1”模式，交由专业管理公司进行运营，今年7月份以来已吸引游客达10万余人次，充分带动当地餐饮、消费和特色农产品推广，村集体通过土地租金、管理费、广告费可实现年收入20万元以上。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在全镇所有入河沟渠口放置低成本“生态浮岛”种植空心菜，有效控制和减少水体中的氮、磷等富营养物质，达到净化水质的效果。</w:t>
      </w:r>
      <w:r>
        <w:rPr>
          <w:rFonts w:hint="eastAsia" w:asciiTheme="minorEastAsia" w:hAnsiTheme="minorEastAsia" w:eastAsiaTheme="minorEastAsia" w:cstheme="minorEastAsia"/>
          <w:w w:val="100"/>
          <w:sz w:val="28"/>
          <w:szCs w:val="28"/>
          <w:lang w:val="en-US" w:eastAsia="zh-CN"/>
        </w:rPr>
        <w:t>完成了2处4座活人墓、</w:t>
      </w:r>
      <w:r>
        <w:rPr>
          <w:rFonts w:hint="eastAsia" w:asciiTheme="minorEastAsia" w:hAnsiTheme="minorEastAsia" w:eastAsiaTheme="minorEastAsia" w:cstheme="minorEastAsia"/>
          <w:color w:val="auto"/>
          <w:w w:val="100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w w:val="100"/>
          <w:sz w:val="28"/>
          <w:szCs w:val="28"/>
          <w:lang w:val="en-US" w:eastAsia="zh-CN"/>
        </w:rPr>
        <w:t>座硬化墓、10块超高碑的拆除工作，违建墓地专项整治取得了显著成效，开展户厕改（新）建工作，现已完成240个新建厕所任务。</w:t>
      </w: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spacing w:line="640" w:lineRule="exact"/>
        <w:ind w:firstLine="56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对理论的学习有待进一步深化，统领作用发挥需要进一步提升，凝聚共识的方式方法有待进一步丰富，责任担当需要进一步加强，机关干部的能力作风仍需要进一步提升等。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snapToGrid w:val="0"/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bidi="ar-SA"/>
        </w:rPr>
        <w:t>严格贯彻落实《中华人民共和国预算法》，加强预算绩效管理，进一步建立和完善内部控制制度；努力加强业务技能学习，不断提高业务水平和服务能力，严格执行财政纪律和财务管理制度，扎实做好本职工作。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其他需要说明的情况</w:t>
      </w:r>
    </w:p>
    <w:p>
      <w:pPr>
        <w:pStyle w:val="2"/>
        <w:numPr>
          <w:ilvl w:val="0"/>
          <w:numId w:val="0"/>
        </w:numPr>
        <w:ind w:leftChars="200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A45DDDE-609D-43E5-AD80-2782B7B2153A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0E637957-170B-4E5C-9F95-B04BDC293B8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ED23ECA-4218-451A-9700-4E74FE6A2D4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C4D1AB37-5DBB-4D14-9686-EE9797B6D0E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2BFD0CAB-C4D2-4BB1-A95E-6C357C37F17F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CE00040B-ED41-4845-BFE7-D30583541D58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7" w:fontKey="{D72FCF1F-E399-46F2-BD1C-5DD8AF042E1B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8" w:fontKey="{25A4A272-97A0-4382-8109-5BA267EC4B2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3F28205F-F633-42A8-96B9-2FB08B85BFC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0" w:fontKey="{8E5937F9-9AC4-462D-9F03-A8959287AF3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1" w:fontKey="{80A5F37F-C4F2-45C6-8ABE-98AB11C3D5E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2" w:fontKey="{25238865-9FC7-45D7-BC85-292069F4928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609633"/>
    <w:multiLevelType w:val="multilevel"/>
    <w:tmpl w:val="87609633"/>
    <w:lvl w:ilvl="0" w:tentative="0">
      <w:start w:val="1"/>
      <w:numFmt w:val="decimal"/>
      <w:lvlText w:val="%1．"/>
      <w:legacy w:legacy="1" w:legacySpace="0" w:legacyIndent="480"/>
      <w:lvlJc w:val="left"/>
      <w:pPr>
        <w:ind w:left="1120" w:hanging="480"/>
      </w:pPr>
    </w:lvl>
    <w:lvl w:ilvl="1" w:tentative="0">
      <w:start w:val="1"/>
      <w:numFmt w:val="lowerLetter"/>
      <w:lvlText w:val="%2)"/>
      <w:legacy w:legacy="1" w:legacySpace="0" w:legacyIndent="420"/>
      <w:lvlJc w:val="left"/>
      <w:pPr>
        <w:ind w:left="1480" w:hanging="420"/>
      </w:pPr>
    </w:lvl>
    <w:lvl w:ilvl="2" w:tentative="0">
      <w:start w:val="1"/>
      <w:numFmt w:val="lowerRoman"/>
      <w:lvlText w:val="%3."/>
      <w:legacy w:legacy="1" w:legacySpace="0" w:legacyIndent="420"/>
      <w:lvlJc w:val="right"/>
      <w:pPr>
        <w:ind w:left="1900" w:hanging="420"/>
      </w:pPr>
    </w:lvl>
    <w:lvl w:ilvl="3" w:tentative="0">
      <w:start w:val="1"/>
      <w:numFmt w:val="decimal"/>
      <w:lvlText w:val="%4."/>
      <w:legacy w:legacy="1" w:legacySpace="0" w:legacyIndent="420"/>
      <w:lvlJc w:val="left"/>
      <w:pPr>
        <w:ind w:left="2320" w:hanging="420"/>
      </w:pPr>
    </w:lvl>
    <w:lvl w:ilvl="4" w:tentative="0">
      <w:start w:val="1"/>
      <w:numFmt w:val="lowerLetter"/>
      <w:lvlText w:val="%5)"/>
      <w:legacy w:legacy="1" w:legacySpace="0" w:legacyIndent="420"/>
      <w:lvlJc w:val="left"/>
      <w:pPr>
        <w:ind w:left="2740" w:hanging="420"/>
      </w:pPr>
    </w:lvl>
    <w:lvl w:ilvl="5" w:tentative="0">
      <w:start w:val="1"/>
      <w:numFmt w:val="lowerRoman"/>
      <w:lvlText w:val="%6."/>
      <w:legacy w:legacy="1" w:legacySpace="0" w:legacyIndent="420"/>
      <w:lvlJc w:val="right"/>
      <w:pPr>
        <w:ind w:left="3160" w:hanging="420"/>
      </w:pPr>
    </w:lvl>
    <w:lvl w:ilvl="6" w:tentative="0">
      <w:start w:val="1"/>
      <w:numFmt w:val="decimal"/>
      <w:lvlText w:val="%7."/>
      <w:legacy w:legacy="1" w:legacySpace="0" w:legacyIndent="420"/>
      <w:lvlJc w:val="left"/>
      <w:pPr>
        <w:ind w:left="3580" w:hanging="420"/>
      </w:pPr>
    </w:lvl>
    <w:lvl w:ilvl="7" w:tentative="0">
      <w:start w:val="1"/>
      <w:numFmt w:val="lowerLetter"/>
      <w:lvlText w:val="%8)"/>
      <w:legacy w:legacy="1" w:legacySpace="0" w:legacyIndent="420"/>
      <w:lvlJc w:val="left"/>
      <w:pPr>
        <w:ind w:left="4000" w:hanging="420"/>
      </w:pPr>
    </w:lvl>
    <w:lvl w:ilvl="8" w:tentative="0">
      <w:start w:val="1"/>
      <w:numFmt w:val="lowerRoman"/>
      <w:lvlText w:val="%9."/>
      <w:legacy w:legacy="1" w:legacySpace="0" w:legacyIndent="420"/>
      <w:lvlJc w:val="right"/>
      <w:pPr>
        <w:ind w:left="4420" w:hanging="420"/>
      </w:pPr>
    </w:lvl>
  </w:abstractNum>
  <w:abstractNum w:abstractNumId="1">
    <w:nsid w:val="C4505626"/>
    <w:multiLevelType w:val="singleLevel"/>
    <w:tmpl w:val="C4505626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29B64DD"/>
    <w:multiLevelType w:val="singleLevel"/>
    <w:tmpl w:val="529B64D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3MzFlZTc3NmUzNzNiMDRhYWI1YjU1NzA5NGI3MjE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B50488"/>
    <w:rsid w:val="0338470A"/>
    <w:rsid w:val="034822A9"/>
    <w:rsid w:val="035B6AED"/>
    <w:rsid w:val="03D86621"/>
    <w:rsid w:val="047E5AE1"/>
    <w:rsid w:val="04EE6171"/>
    <w:rsid w:val="05395EA9"/>
    <w:rsid w:val="0851014C"/>
    <w:rsid w:val="086E60F8"/>
    <w:rsid w:val="09E40C13"/>
    <w:rsid w:val="0AB91F99"/>
    <w:rsid w:val="0ABD557B"/>
    <w:rsid w:val="0B6B79A1"/>
    <w:rsid w:val="0BBB5A8D"/>
    <w:rsid w:val="0C104906"/>
    <w:rsid w:val="0CCB7736"/>
    <w:rsid w:val="0D9E0E8D"/>
    <w:rsid w:val="0EAB7397"/>
    <w:rsid w:val="0EF755B3"/>
    <w:rsid w:val="0F17035E"/>
    <w:rsid w:val="0F4E168D"/>
    <w:rsid w:val="110F3375"/>
    <w:rsid w:val="11404466"/>
    <w:rsid w:val="11963ADD"/>
    <w:rsid w:val="11EB0F5C"/>
    <w:rsid w:val="11F20483"/>
    <w:rsid w:val="136F31F8"/>
    <w:rsid w:val="138750E0"/>
    <w:rsid w:val="15A620D3"/>
    <w:rsid w:val="169A339C"/>
    <w:rsid w:val="16A3369E"/>
    <w:rsid w:val="178536BD"/>
    <w:rsid w:val="19516372"/>
    <w:rsid w:val="19575CC2"/>
    <w:rsid w:val="19A80228"/>
    <w:rsid w:val="1A101464"/>
    <w:rsid w:val="1AB74849"/>
    <w:rsid w:val="1AC52FF2"/>
    <w:rsid w:val="1AE6175D"/>
    <w:rsid w:val="1AE70A2A"/>
    <w:rsid w:val="1B742AA7"/>
    <w:rsid w:val="1CA34935"/>
    <w:rsid w:val="1D5A640E"/>
    <w:rsid w:val="1F7640EC"/>
    <w:rsid w:val="20291D96"/>
    <w:rsid w:val="20D76C5F"/>
    <w:rsid w:val="21057490"/>
    <w:rsid w:val="214A230E"/>
    <w:rsid w:val="21B052C4"/>
    <w:rsid w:val="22E62B2B"/>
    <w:rsid w:val="22FF5445"/>
    <w:rsid w:val="233339B0"/>
    <w:rsid w:val="23340F15"/>
    <w:rsid w:val="238D0E57"/>
    <w:rsid w:val="24080BF4"/>
    <w:rsid w:val="24256710"/>
    <w:rsid w:val="251E7983"/>
    <w:rsid w:val="260D5D83"/>
    <w:rsid w:val="284A2254"/>
    <w:rsid w:val="289B7C93"/>
    <w:rsid w:val="292F1467"/>
    <w:rsid w:val="294C459C"/>
    <w:rsid w:val="29786927"/>
    <w:rsid w:val="297B51B4"/>
    <w:rsid w:val="29E40467"/>
    <w:rsid w:val="29F527E2"/>
    <w:rsid w:val="2B2E0D8F"/>
    <w:rsid w:val="2BF35971"/>
    <w:rsid w:val="2BF97C49"/>
    <w:rsid w:val="2C487650"/>
    <w:rsid w:val="2E4F43C0"/>
    <w:rsid w:val="2E656706"/>
    <w:rsid w:val="2EC7368E"/>
    <w:rsid w:val="306B4B51"/>
    <w:rsid w:val="306D66F0"/>
    <w:rsid w:val="308F4741"/>
    <w:rsid w:val="30FB4B41"/>
    <w:rsid w:val="31621165"/>
    <w:rsid w:val="317F5A70"/>
    <w:rsid w:val="323C5548"/>
    <w:rsid w:val="327D0FCE"/>
    <w:rsid w:val="33D106B6"/>
    <w:rsid w:val="33E018C3"/>
    <w:rsid w:val="34432573"/>
    <w:rsid w:val="34915AF5"/>
    <w:rsid w:val="3491731A"/>
    <w:rsid w:val="37450F88"/>
    <w:rsid w:val="37D6106F"/>
    <w:rsid w:val="38867E97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81629C"/>
    <w:rsid w:val="3DC55CAA"/>
    <w:rsid w:val="3DD556CA"/>
    <w:rsid w:val="3F450429"/>
    <w:rsid w:val="3FEC730A"/>
    <w:rsid w:val="40226C80"/>
    <w:rsid w:val="40743A92"/>
    <w:rsid w:val="40C451A5"/>
    <w:rsid w:val="4156470B"/>
    <w:rsid w:val="41943ACE"/>
    <w:rsid w:val="425D4066"/>
    <w:rsid w:val="42AB1799"/>
    <w:rsid w:val="43173FD4"/>
    <w:rsid w:val="43C1106D"/>
    <w:rsid w:val="44143822"/>
    <w:rsid w:val="44654A12"/>
    <w:rsid w:val="457C5F26"/>
    <w:rsid w:val="45CA6F24"/>
    <w:rsid w:val="46821F86"/>
    <w:rsid w:val="476251FA"/>
    <w:rsid w:val="47960F72"/>
    <w:rsid w:val="49CF255F"/>
    <w:rsid w:val="4A8B4964"/>
    <w:rsid w:val="4B2C5DCD"/>
    <w:rsid w:val="4B555E4B"/>
    <w:rsid w:val="4B7D1173"/>
    <w:rsid w:val="4C150E22"/>
    <w:rsid w:val="4C6A38FC"/>
    <w:rsid w:val="4CE74BC3"/>
    <w:rsid w:val="4CF5000E"/>
    <w:rsid w:val="4DB17672"/>
    <w:rsid w:val="4E77783A"/>
    <w:rsid w:val="4ED615A3"/>
    <w:rsid w:val="4FD76925"/>
    <w:rsid w:val="50AC44C4"/>
    <w:rsid w:val="50D87515"/>
    <w:rsid w:val="50EA6DB9"/>
    <w:rsid w:val="51CA7471"/>
    <w:rsid w:val="521C2FA3"/>
    <w:rsid w:val="522529B2"/>
    <w:rsid w:val="53910AF4"/>
    <w:rsid w:val="5399243E"/>
    <w:rsid w:val="555952B3"/>
    <w:rsid w:val="556B5A36"/>
    <w:rsid w:val="55AF40BB"/>
    <w:rsid w:val="56F72F7C"/>
    <w:rsid w:val="5719035C"/>
    <w:rsid w:val="586243BF"/>
    <w:rsid w:val="58FD3402"/>
    <w:rsid w:val="5A60310D"/>
    <w:rsid w:val="5AAF7799"/>
    <w:rsid w:val="5B5C1753"/>
    <w:rsid w:val="5E134100"/>
    <w:rsid w:val="5E8F0C32"/>
    <w:rsid w:val="5F7A1C50"/>
    <w:rsid w:val="601C4AB5"/>
    <w:rsid w:val="60BE691E"/>
    <w:rsid w:val="61444403"/>
    <w:rsid w:val="62265BDF"/>
    <w:rsid w:val="625F5C0E"/>
    <w:rsid w:val="62E1699A"/>
    <w:rsid w:val="64147F0D"/>
    <w:rsid w:val="64D66362"/>
    <w:rsid w:val="65860217"/>
    <w:rsid w:val="667E0AA1"/>
    <w:rsid w:val="667E4BE9"/>
    <w:rsid w:val="68BD7CF9"/>
    <w:rsid w:val="68FB17C3"/>
    <w:rsid w:val="695F12F9"/>
    <w:rsid w:val="69636C3A"/>
    <w:rsid w:val="69CF7B2C"/>
    <w:rsid w:val="6A0B0004"/>
    <w:rsid w:val="6AEA5370"/>
    <w:rsid w:val="6BA1010E"/>
    <w:rsid w:val="6CE47E41"/>
    <w:rsid w:val="6CED5810"/>
    <w:rsid w:val="6CF92413"/>
    <w:rsid w:val="6DFE5E04"/>
    <w:rsid w:val="6E7C26D1"/>
    <w:rsid w:val="6E87203D"/>
    <w:rsid w:val="6F9278BB"/>
    <w:rsid w:val="6FD8237E"/>
    <w:rsid w:val="71572F19"/>
    <w:rsid w:val="719B7427"/>
    <w:rsid w:val="724A6793"/>
    <w:rsid w:val="726619EB"/>
    <w:rsid w:val="72A1039B"/>
    <w:rsid w:val="72D072FC"/>
    <w:rsid w:val="73327356"/>
    <w:rsid w:val="735E6D71"/>
    <w:rsid w:val="741F26FA"/>
    <w:rsid w:val="742B3A78"/>
    <w:rsid w:val="74470DF8"/>
    <w:rsid w:val="75FD1676"/>
    <w:rsid w:val="76F50BD2"/>
    <w:rsid w:val="799536BA"/>
    <w:rsid w:val="7A6F6524"/>
    <w:rsid w:val="7B170752"/>
    <w:rsid w:val="7B8F681B"/>
    <w:rsid w:val="7C124EF2"/>
    <w:rsid w:val="7C797DF2"/>
    <w:rsid w:val="7D0F5DFC"/>
    <w:rsid w:val="7D965482"/>
    <w:rsid w:val="7DD96C0E"/>
    <w:rsid w:val="7DF60068"/>
    <w:rsid w:val="7E474F7B"/>
    <w:rsid w:val="7E8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paragraph" w:styleId="3">
    <w:name w:val="toc 5"/>
    <w:basedOn w:val="1"/>
    <w:next w:val="1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800" w:leftChars="800" w:right="0" w:firstLine="0"/>
      <w:jc w:val="both"/>
      <w:textAlignment w:val="auto"/>
      <w:outlineLvl w:val="9"/>
    </w:pPr>
    <w:rPr>
      <w:rFonts w:ascii="Times New Roman" w:hAnsi="Times New Roman" w:eastAsia="宋体" w:cs="Times New Roman"/>
      <w:snapToGrid/>
      <w:color w:val="auto"/>
      <w:spacing w:val="0"/>
      <w:w w:val="100"/>
      <w:kern w:val="2"/>
      <w:position w:val="0"/>
      <w:sz w:val="24"/>
      <w:szCs w:val="24"/>
      <w:u w:val="none" w:color="auto"/>
      <w:vertAlign w:val="baseline"/>
      <w:lang w:val="en-US" w:eastAsia="zh-CN" w:bidi="ar-SA"/>
    </w:rPr>
  </w:style>
  <w:style w:type="paragraph" w:styleId="5">
    <w:name w:val="footer"/>
    <w:basedOn w:val="1"/>
    <w:next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customStyle="1" w:styleId="12">
    <w:name w:val="Footer Char"/>
    <w:basedOn w:val="10"/>
    <w:link w:val="5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10"/>
    <w:link w:val="6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15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13</Pages>
  <Words>4354</Words>
  <Characters>4599</Characters>
  <Lines>0</Lines>
  <Paragraphs>0</Paragraphs>
  <TotalTime>25</TotalTime>
  <ScaleCrop>false</ScaleCrop>
  <LinksUpToDate>false</LinksUpToDate>
  <CharactersWithSpaces>4995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Administrator</cp:lastModifiedBy>
  <cp:lastPrinted>2023-06-29T01:04:00Z</cp:lastPrinted>
  <dcterms:modified xsi:type="dcterms:W3CDTF">2023-07-18T07:28:34Z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KSOSaveFontToCloudKey">
    <vt:lpwstr>386772509_embed</vt:lpwstr>
  </property>
  <property fmtid="{D5CDD505-2E9C-101B-9397-08002B2CF9AE}" pid="4" name="ICV">
    <vt:lpwstr>BCEA63DAF624456AADE85B6B06C14A45_13</vt:lpwstr>
  </property>
</Properties>
</file>