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10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2"/>
        <w:gridCol w:w="1836"/>
        <w:gridCol w:w="2288"/>
        <w:gridCol w:w="15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76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993.65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874.00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991.97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8.06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7.50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8.06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7.50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2462.58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2108.55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65.2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国防支出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328.23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节能环保支出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108.00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城乡社区支出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1420.44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商业服务业等支出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自然资源海洋气象等支出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粮油物资储备支出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107.36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灾害防治及应急管理支出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彩票公益金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农村建设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减少不必要的开支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0"/>
          <w:szCs w:val="20"/>
        </w:rPr>
        <w:t>填表人：</w:t>
      </w:r>
      <w:r>
        <w:rPr>
          <w:rFonts w:hint="eastAsia" w:eastAsia="仿宋_GB2312" w:cs="Times New Roman"/>
          <w:sz w:val="20"/>
          <w:szCs w:val="20"/>
          <w:lang w:val="en-US" w:eastAsia="zh-CN"/>
        </w:rPr>
        <w:t>余佳慧</w:t>
      </w:r>
      <w:r>
        <w:rPr>
          <w:rFonts w:hint="default" w:ascii="Times New Roman" w:hAnsi="Times New Roman" w:eastAsia="仿宋_GB2312" w:cs="Times New Roman"/>
          <w:sz w:val="20"/>
          <w:szCs w:val="20"/>
        </w:rPr>
        <w:t xml:space="preserve"> 填报日期：</w:t>
      </w:r>
      <w:r>
        <w:rPr>
          <w:rFonts w:hint="eastAsia" w:eastAsia="仿宋_GB2312" w:cs="Times New Roman"/>
          <w:sz w:val="20"/>
          <w:szCs w:val="20"/>
          <w:lang w:val="en-US" w:eastAsia="zh-CN"/>
        </w:rPr>
        <w:t xml:space="preserve">2023年7月13日 </w:t>
      </w:r>
      <w:r>
        <w:rPr>
          <w:rFonts w:hint="default" w:ascii="Times New Roman" w:hAnsi="Times New Roman" w:eastAsia="仿宋_GB2312" w:cs="Times New Roman"/>
          <w:sz w:val="20"/>
          <w:szCs w:val="20"/>
        </w:rPr>
        <w:t>联系电话：</w:t>
      </w:r>
      <w:r>
        <w:rPr>
          <w:rFonts w:hint="eastAsia" w:eastAsia="仿宋_GB2312" w:cs="Times New Roman"/>
          <w:sz w:val="20"/>
          <w:szCs w:val="20"/>
          <w:lang w:val="en-US" w:eastAsia="zh-CN"/>
        </w:rPr>
        <w:t>18873067108</w:t>
      </w:r>
      <w:r>
        <w:rPr>
          <w:rFonts w:hint="default" w:ascii="Times New Roman" w:hAnsi="Times New Roman" w:eastAsia="仿宋_GB2312" w:cs="Times New Roman"/>
          <w:sz w:val="20"/>
          <w:szCs w:val="20"/>
        </w:rPr>
        <w:t xml:space="preserve"> 单位负责人签字：</w:t>
      </w:r>
      <w:r>
        <w:rPr>
          <w:rFonts w:hint="eastAsia" w:eastAsia="仿宋_GB2312" w:cs="Times New Roman"/>
          <w:sz w:val="20"/>
          <w:szCs w:val="20"/>
          <w:lang w:val="en-US" w:eastAsia="zh-CN"/>
        </w:rPr>
        <w:t>胡剑</w:t>
      </w:r>
      <w:r>
        <w:rPr>
          <w:rFonts w:hint="default" w:ascii="Times New Roman" w:hAnsi="Times New Roman" w:eastAsia="仿宋_GB2312" w:cs="Times New Roman"/>
          <w:sz w:val="20"/>
          <w:szCs w:val="20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10"/>
        <w:tblW w:w="499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968"/>
        <w:gridCol w:w="928"/>
        <w:gridCol w:w="1745"/>
        <w:gridCol w:w="982"/>
        <w:gridCol w:w="982"/>
        <w:gridCol w:w="654"/>
        <w:gridCol w:w="1009"/>
        <w:gridCol w:w="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619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sz w:val="32"/>
                <w:szCs w:val="32"/>
                <w:u w:val="none"/>
                <w:lang w:eastAsia="zh-CN"/>
              </w:rPr>
              <w:t>华容县三封寺镇人民政府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380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108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108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874.00</w:t>
            </w:r>
          </w:p>
        </w:tc>
        <w:tc>
          <w:tcPr>
            <w:tcW w:w="5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3100.52</w:t>
            </w:r>
          </w:p>
        </w:tc>
        <w:tc>
          <w:tcPr>
            <w:tcW w:w="5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3100.52</w:t>
            </w:r>
          </w:p>
        </w:tc>
        <w:tc>
          <w:tcPr>
            <w:tcW w:w="3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100.00%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65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196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65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2875.06</w:t>
            </w:r>
          </w:p>
        </w:tc>
        <w:tc>
          <w:tcPr>
            <w:tcW w:w="196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991.97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65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225.46</w:t>
            </w:r>
          </w:p>
        </w:tc>
        <w:tc>
          <w:tcPr>
            <w:tcW w:w="196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2108.55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65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196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65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196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65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196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65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仿宋_GB2312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一是强产业,主动融入全县“一廊两中心”“两优四特”发展战略，做强两大主导产业。二是优治理,</w:t>
            </w:r>
            <w:r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抓好协会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  <w:t>自治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;</w:t>
            </w:r>
            <w:r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②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美化人居环境;</w:t>
            </w:r>
            <w:r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③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建立长效机制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三是补短板，</w:t>
            </w:r>
            <w:r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抓基础设施建设,</w:t>
            </w:r>
            <w:r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②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抓村级集体经济。</w:t>
            </w:r>
            <w:r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③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抓民生实事</w:t>
            </w:r>
            <w:r>
              <w:rPr>
                <w:rFonts w:hint="eastAsia" w:ascii="仿宋_GB2312" w:hAnsi="宋体" w:eastAsia="仿宋_GB2312" w:cs="仿宋_GB2312"/>
                <w:b/>
                <w:bCs w:val="0"/>
                <w:color w:val="auto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。</w:t>
            </w:r>
          </w:p>
        </w:tc>
        <w:tc>
          <w:tcPr>
            <w:tcW w:w="196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按要求已完成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8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早稻集中育秧示范主体58家，集中育秧面积510亩，10.2公里示范线路面积达1.1万亩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&gt;=58家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58家　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投入8.7万元，完成交通顽瘴痼疾整治17处等一批重难点问题治理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&gt;=8.7万元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8.7万元　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5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打造了高标准芥菜良繁基地100亩，完成芥菜移栽8000亩。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&gt;=100亩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100亩　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5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3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办公设备利用率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&gt;=90%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　5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5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3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考核指标对标对表率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&gt;=90%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　5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3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完成工作及时率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&gt;=98%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　5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12月30日前预算执行支出率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&gt;=95%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10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财政补助收入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　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5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上级补助收入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　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5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8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指标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指标值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完成值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分值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得分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2022年，实现农业和第三产业总产值73980万元，较2021年增长8%。农民人均纯收入19474元，年增长7%，城乡居民存款储蓄达7.22亿元，年增长9%。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人均纯收入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19000元　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　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5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社会和谐稳定</w:t>
            </w:r>
          </w:p>
        </w:tc>
        <w:tc>
          <w:tcPr>
            <w:tcW w:w="5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=信访维稳，促进和谐稳定%</w:t>
            </w:r>
          </w:p>
        </w:tc>
        <w:tc>
          <w:tcPr>
            <w:tcW w:w="5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5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大力推进华容河、华洪运河沿线小微水体整治，对3.8公里水渠进行全方位清淤、除杂，并同步进行岸线绿化美化</w:t>
            </w:r>
          </w:p>
        </w:tc>
        <w:tc>
          <w:tcPr>
            <w:tcW w:w="5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=人居环境得到改善%　</w:t>
            </w:r>
          </w:p>
        </w:tc>
        <w:tc>
          <w:tcPr>
            <w:tcW w:w="5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　</w:t>
            </w:r>
          </w:p>
        </w:tc>
        <w:tc>
          <w:tcPr>
            <w:tcW w:w="3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5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全镇经济发展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=促进全镇经济发展%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全镇经济发展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8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5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532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&gt;=95%</w:t>
            </w:r>
          </w:p>
        </w:tc>
        <w:tc>
          <w:tcPr>
            <w:tcW w:w="5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  <w:tc>
          <w:tcPr>
            <w:tcW w:w="5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90%　</w:t>
            </w:r>
          </w:p>
        </w:tc>
        <w:tc>
          <w:tcPr>
            <w:tcW w:w="3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8　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59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8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0"/>
          <w:szCs w:val="20"/>
        </w:rPr>
        <w:t>填表人：</w:t>
      </w:r>
      <w:r>
        <w:rPr>
          <w:rFonts w:hint="eastAsia" w:eastAsia="仿宋_GB2312" w:cs="Times New Roman"/>
          <w:sz w:val="20"/>
          <w:szCs w:val="20"/>
          <w:lang w:val="en-US" w:eastAsia="zh-CN"/>
        </w:rPr>
        <w:t>余佳慧</w:t>
      </w:r>
      <w:r>
        <w:rPr>
          <w:rFonts w:hint="default" w:ascii="Times New Roman" w:hAnsi="Times New Roman" w:eastAsia="仿宋_GB2312" w:cs="Times New Roman"/>
          <w:sz w:val="20"/>
          <w:szCs w:val="20"/>
        </w:rPr>
        <w:t xml:space="preserve"> 填报日期：</w:t>
      </w:r>
      <w:r>
        <w:rPr>
          <w:rFonts w:hint="eastAsia" w:eastAsia="仿宋_GB2312" w:cs="Times New Roman"/>
          <w:sz w:val="20"/>
          <w:szCs w:val="20"/>
          <w:lang w:val="en-US" w:eastAsia="zh-CN"/>
        </w:rPr>
        <w:t xml:space="preserve">2023年7月13日 </w:t>
      </w:r>
      <w:r>
        <w:rPr>
          <w:rFonts w:hint="default" w:ascii="Times New Roman" w:hAnsi="Times New Roman" w:eastAsia="仿宋_GB2312" w:cs="Times New Roman"/>
          <w:sz w:val="20"/>
          <w:szCs w:val="20"/>
        </w:rPr>
        <w:t>联系电话：</w:t>
      </w:r>
      <w:r>
        <w:rPr>
          <w:rFonts w:hint="eastAsia" w:eastAsia="仿宋_GB2312" w:cs="Times New Roman"/>
          <w:sz w:val="20"/>
          <w:szCs w:val="20"/>
          <w:lang w:val="en-US" w:eastAsia="zh-CN"/>
        </w:rPr>
        <w:t>18873067108</w:t>
      </w:r>
      <w:r>
        <w:rPr>
          <w:rFonts w:hint="default" w:ascii="Times New Roman" w:hAnsi="Times New Roman" w:eastAsia="仿宋_GB2312" w:cs="Times New Roman"/>
          <w:sz w:val="20"/>
          <w:szCs w:val="20"/>
        </w:rPr>
        <w:t xml:space="preserve"> 单位负责人签字：</w:t>
      </w:r>
      <w:r>
        <w:rPr>
          <w:rFonts w:hint="eastAsia" w:eastAsia="仿宋_GB2312" w:cs="Times New Roman"/>
          <w:sz w:val="20"/>
          <w:szCs w:val="20"/>
          <w:lang w:val="en-US" w:eastAsia="zh-CN"/>
        </w:rPr>
        <w:t>胡剑</w:t>
      </w:r>
      <w:r>
        <w:rPr>
          <w:rFonts w:hint="default" w:ascii="Times New Roman" w:hAnsi="Times New Roman" w:eastAsia="仿宋_GB2312" w:cs="Times New Roman"/>
          <w:sz w:val="20"/>
          <w:szCs w:val="20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华容县三封寺镇人民政府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华容县三封寺镇人民政府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根据《华容县财政局关于开展202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年度部门整体支出绩效自评工作的通知》（华财函〔202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63</w:t>
      </w:r>
      <w:r>
        <w:rPr>
          <w:rFonts w:hint="eastAsia" w:ascii="仿宋" w:hAnsi="仿宋" w:eastAsia="仿宋" w:cs="仿宋"/>
          <w:sz w:val="32"/>
          <w:szCs w:val="32"/>
        </w:rPr>
        <w:t>号）的相关规定和要求，现对我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部门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年度整体支出开展绩效自评，现将情况汇报如下：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spacing w:line="560" w:lineRule="exact"/>
        <w:ind w:firstLine="42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（一）部门基本情况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华容县三封寺镇人民政府</w:t>
      </w:r>
      <w:r>
        <w:rPr>
          <w:rFonts w:hint="eastAsia" w:ascii="仿宋" w:hAnsi="仿宋" w:eastAsia="仿宋" w:cs="仿宋"/>
          <w:sz w:val="32"/>
          <w:szCs w:val="32"/>
        </w:rPr>
        <w:t>共有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镇政府机关、镇财政所、镇农业综合服务中心、镇社会事业综合服务中心、镇退役军人服务站、镇综合行政执法大队、镇水利服务站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个独立核算工作机构。现有人员编制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76</w:t>
      </w:r>
      <w:r>
        <w:rPr>
          <w:rFonts w:hint="eastAsia" w:ascii="仿宋" w:hAnsi="仿宋" w:eastAsia="仿宋" w:cs="仿宋"/>
          <w:sz w:val="32"/>
          <w:szCs w:val="32"/>
        </w:rPr>
        <w:t>名（其中：行政编制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32</w:t>
      </w:r>
      <w:r>
        <w:rPr>
          <w:rFonts w:hint="eastAsia" w:ascii="仿宋" w:hAnsi="仿宋" w:eastAsia="仿宋" w:cs="仿宋"/>
          <w:sz w:val="32"/>
          <w:szCs w:val="32"/>
        </w:rPr>
        <w:t>名，事业全额编制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44</w:t>
      </w:r>
      <w:r>
        <w:rPr>
          <w:rFonts w:hint="eastAsia" w:ascii="仿宋" w:hAnsi="仿宋" w:eastAsia="仿宋" w:cs="仿宋"/>
          <w:sz w:val="32"/>
          <w:szCs w:val="32"/>
        </w:rPr>
        <w:t>名），实有在职干部、职工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76</w:t>
      </w:r>
      <w:r>
        <w:rPr>
          <w:rFonts w:hint="eastAsia" w:ascii="仿宋" w:hAnsi="仿宋" w:eastAsia="仿宋" w:cs="仿宋"/>
          <w:sz w:val="32"/>
          <w:szCs w:val="32"/>
        </w:rPr>
        <w:t>人。</w:t>
      </w:r>
    </w:p>
    <w:p>
      <w:pPr>
        <w:numPr>
          <w:ilvl w:val="0"/>
          <w:numId w:val="0"/>
        </w:numPr>
        <w:spacing w:line="560" w:lineRule="exact"/>
        <w:ind w:left="210" w:leftChars="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（二）</w:t>
      </w:r>
      <w:r>
        <w:rPr>
          <w:rFonts w:hint="eastAsia" w:ascii="仿宋" w:hAnsi="仿宋" w:eastAsia="仿宋" w:cs="仿宋"/>
          <w:bCs/>
          <w:sz w:val="32"/>
          <w:szCs w:val="32"/>
        </w:rPr>
        <w:t>部门整体支出规模、使用方向和主要内容、涉及范围等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，县财政下达我单位预算总收入3100.52万元，其中：一般公共预算财政拨款收入2875.06万元，政府性基金收入225.46万元；预算总支出3100.52万元；年末无结余，预算收支平衡。预算拨款总额比2021年减少355.70万元，减少的主要原因政府减少了项目的投入，其中工资福利支出817.76万元，一般商品和服务支出159.21万元，对个人和家庭的补助15.00万元，项目支出2108.55万元。资金主要用于：职工的工资福利、五险一金；铁水联运项目一、二、三期的征拆迁坟补偿；华容河、华洪运河沿线小微水体整治，对3.8公里水渠进行全方位清淤、除杂，并同步进行岸线绿化美化；复兴芥菜文化广场；新架设自来水主管网2.4公里；对马涧港上游九洲养鸡场进行环保改造；交通顽瘴痼疾整治17处等一批重难点问题治理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spacing w:line="54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我单位基本支出共991.97万元，主要用于职工的工资福利支出、五险一金支出及商品服务支出；其中人员经费832.76万元，日常公用经费159.21万元。2021年基本支出中人员经费833.32万元，本年比上年减少0.56万元，减幅0.07%；日常公用经费160.33万元，本年上年度减少1.12万元，减幅0.70%。主要原因是厉行节约，减少公用经费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1.专项资金安排落实、总投入等情况分析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年项目支出为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val="en-US" w:eastAsia="zh-CN"/>
        </w:rPr>
        <w:t>2108.55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万元，占总支出的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val="en-US" w:eastAsia="zh-CN"/>
        </w:rPr>
        <w:t>68.01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%，主要是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eastAsia="zh-CN"/>
        </w:rPr>
        <w:t>项目建设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支付的办公费、印刷费、差旅费、会议费、培训费、劳务费、对企事业单位的补贴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eastAsia="zh-CN"/>
        </w:rPr>
        <w:t>、基础设施建设、拆迁补偿、大型修缮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等商品和服务支出。其中商品和服务支出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val="en-US" w:eastAsia="zh-CN"/>
        </w:rPr>
        <w:t>75.12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万元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val="en-US" w:eastAsia="zh-CN"/>
        </w:rPr>
        <w:t>,对个人和家庭的补助590.80万元，资本性支出1442.63万元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2.专项资金实际使用情况分析</w:t>
      </w:r>
    </w:p>
    <w:p>
      <w:pPr>
        <w:spacing w:line="560" w:lineRule="exact"/>
        <w:ind w:firstLine="588" w:firstLineChars="184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32"/>
          <w:szCs w:val="32"/>
        </w:rPr>
        <w:t>年专项总收入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2108.55</w:t>
      </w:r>
      <w:r>
        <w:rPr>
          <w:rFonts w:hint="eastAsia" w:ascii="仿宋" w:hAnsi="仿宋" w:eastAsia="仿宋" w:cs="仿宋"/>
          <w:bCs/>
          <w:sz w:val="32"/>
          <w:szCs w:val="32"/>
        </w:rPr>
        <w:t>万元，专项总支出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2108.55</w:t>
      </w:r>
      <w:r>
        <w:rPr>
          <w:rFonts w:hint="eastAsia" w:ascii="仿宋" w:hAnsi="仿宋" w:eastAsia="仿宋" w:cs="仿宋"/>
          <w:bCs/>
          <w:sz w:val="32"/>
          <w:szCs w:val="32"/>
        </w:rPr>
        <w:t>万元，收支平衡，无资金结余。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3.专项资金管理情况分析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为加强项目资金管理，规范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项目资金管理行为，提高项目管理水平及项目资金使用效益，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本部门制定了财务管理制度、项目资金管理制度、专项资金管理办法等，对项目管理职责、申报与组织实施、项目资金的管理、监督检查与验收等进行了规定，成立了工作领导小组、明确工作职责、确定责任单位、制定工作方案、项目实施细则、考核办法等。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项目资金严格按指定用途专款专用，实行专项报告制度，并接受财政部门或上级部门的检查、验收。202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年本部门项目支出，基本能够严格按照相关制度规定等进行。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仿宋_GB2312" w:hAnsi="宋体" w:eastAsia="仿宋_GB2312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2022年，实现农业和第三产业总产值73980万元，较2021年增长8%。农民人均纯收入19474元，年增长7%，城乡居民存款储蓄达7.22亿元，年增长9%。向三封的父老乡亲交出了一份合格的、来之不易的好答卷。主要抓了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3" w:firstLineChars="200"/>
        <w:jc w:val="both"/>
        <w:textAlignment w:val="auto"/>
        <w:outlineLvl w:val="1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一、多管齐下防返贫，乡村振兴根基不断夯实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。多次组织党员干部对全镇1139户监测户、脱贫户等“11类对象”开展排查“回头看”，安排185个党员干部对204户脱贫户、监测户进行结对帮扶，并制定针对性帮扶措施。实现每户走访恳谈4次以上，监测对象走访恳谈每月1次，全镇未新增监测户。目前，我镇已全面完成对39户收入低于1万元且不升反降的对象和96户收入低于1万元的对象开展逐一入户收入精准核算，并做到一户一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3" w:firstLineChars="200"/>
        <w:jc w:val="both"/>
        <w:textAlignment w:val="auto"/>
        <w:outlineLvl w:val="1"/>
        <w:rPr>
          <w:rFonts w:hint="default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二、全力以赴拼经济，高质量发展迈出坚实步伐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。农业经济稳中有进。五大粮食生产示范带均做到了“三无六统一”，早稻集中育秧示范主体58家，集中育秧面积510亩，10.2公里示范线路面积达1.1万亩，基本实现了村有示范线路，组有示范板块。全面贯彻落实县委县政府“芥菜产业质量整顿提升年”部署，从摸清底数、发动扶持、快速建池等方面着手，打造了高标准芥菜良繁基地100亩，完成芥菜移栽8000亩。在四个建设点新建芥菜原料标准化腌制池216口，均已投入使用。全国人大常委会副委员长、原湖南省委书记张庆伟，省委常委、副省长张迎春，省委常委、统战部长隋忠诚，市委书记曹普华等领导多次来我镇调研指导芥菜产业发展情况，全市流动现场会成功在我镇召开，并为2023中国·华容芥菜文化节提供了高标准现场点，得到各级领导高度肯定。集体经济蓬勃发展。在华一村、莲花堰村有机稻、油茶产业基础上，辅安村三封宴已在线上平台开展广告宣传，去年年底共销售20余桌菜品；辅安村、松木桥村已完成合计61.8亩的皱皮柑基地建设。泰和村以土地入股芥菜腌制池建设，每年预计可分红13万元以上。辅安村集体自主建设24口芥菜腌制池，每年预计可获得20万元以上收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3" w:firstLineChars="200"/>
        <w:jc w:val="both"/>
        <w:textAlignment w:val="auto"/>
        <w:outlineLvl w:val="1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三、坚持不懈优生态，绿色发展底色更加靓丽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。启动了人居环境整治攻坚行动，9个村（社区）均在主干道打造了1公里花卉路。垃圾分检中心高效运行得到了省市县领导高度认可，是全县唯一一个正常运转的乡镇垃圾分检中心。大力推进华容河、华洪运河沿线小微水体整治，对3.8公里水渠进行全方位清淤、除杂，并同步进行岸线绿化美化。投入项目资金60万元修建复兴芥菜文化广场，投入40多万元新架设主管网2.4公里，优化了供水线路，从根本上解决了部分居民用水困难问题。投入20万元对马涧港上游九洲养鸡场进行环保改造，下游增添水质净化设备，完成了马涧港黑臭水体治理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3" w:firstLineChars="200"/>
        <w:jc w:val="both"/>
        <w:textAlignment w:val="auto"/>
        <w:outlineLvl w:val="1"/>
        <w:rPr>
          <w:rFonts w:hint="default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四、坚定不移推项目，发展动力活力不断增强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。已完成铁水联运项目一、二、三期全部征拆迁坟工作；墨山古镇项目一期工程全面启动；华一水库旅游整体开发项目正在有序推进；汇川产业园项目已开工建设；国能火电厂项目征地工作已完成；柞树采石场正在有序推进，已征拆房屋6栋；110千伏高压线路和500千伏高压线路均已完成全部征地任务，220千伏高压线路已基本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3" w:firstLineChars="200"/>
        <w:jc w:val="both"/>
        <w:textAlignment w:val="auto"/>
        <w:outlineLvl w:val="1"/>
        <w:rPr>
          <w:rFonts w:hint="default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五、用情用力惠民生，群众生活品质明显改善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。抓住民生兜底、安全防范等重点领域和养老服务、救助管理、殡葬改革等重点业务，对全镇低保、特困在保对象每年进行两次以上经济复核“体检”，确保公平公正、应保尽保、应退尽退，实现所有对象精准救助。</w:t>
      </w:r>
      <w:r>
        <w:rPr>
          <w:rFonts w:hint="default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全面落实教育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、</w:t>
      </w:r>
      <w:r>
        <w:rPr>
          <w:rFonts w:hint="default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医疗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、</w:t>
      </w:r>
      <w:r>
        <w:rPr>
          <w:rFonts w:hint="default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就业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、</w:t>
      </w:r>
      <w:r>
        <w:rPr>
          <w:rFonts w:hint="default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产业扶贫等巩固脱贫措施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和</w:t>
      </w:r>
      <w:r>
        <w:rPr>
          <w:rFonts w:hint="default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各类社会保障政策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。</w:t>
      </w:r>
      <w:r>
        <w:rPr>
          <w:rFonts w:hint="default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完成农村道路通畅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、河流沟渠疏浚、垃圾分类减量全覆盖等一系列民生项目。</w:t>
      </w:r>
      <w:r>
        <w:rPr>
          <w:rFonts w:hint="default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举办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了</w:t>
      </w:r>
      <w:r>
        <w:rPr>
          <w:rFonts w:hint="default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4个留守儿童艺术培训班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default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志愿服务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、</w:t>
      </w:r>
      <w:r>
        <w:rPr>
          <w:rFonts w:hint="default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社会关爱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、“</w:t>
      </w:r>
      <w:r>
        <w:rPr>
          <w:rFonts w:hint="default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治陋树新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”</w:t>
      </w:r>
      <w:r>
        <w:rPr>
          <w:rFonts w:hint="default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等活动不断深化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3" w:firstLineChars="200"/>
        <w:jc w:val="both"/>
        <w:textAlignment w:val="auto"/>
        <w:outlineLvl w:val="1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六、慎终如始防风险，平安三封建设成效显著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。一是新冠疫情防控精准高效。因时因势优化调整防控策略，全面加强流调溯源、核酸检测、医疗救治、应急处置等能力建设，加快构建全人群免疫屏障，全镇没有发生规模性、持续性疫情，用最小代价取得了最大防疫效果。二是应急处置纵深推进。投入8.7万元，完成交通顽瘴痼疾整治17处等一批重难点问题治理；常态化对各类建筑安全、消防安全、餐饮场所等重点环节、重点区域开展安全生产大检查，全年排查整治各类问题隐患209条。打赢了百年一遇的抗旱攻坚战，通过综合协调实施多级提灌，广辟抗旱水源。在华容河围堰架设10台柴油机，经过七级提灌水已至华一水库东西干线，满足了复兴、新铺、莲花堰、松木桥等村灌溉用水需求。在马涧港沿线增设3处拦水坝，通过多级提灌将华洪运河的水提灌至与东山交界的干旱死角，确保了大旱无大灾，粮食生产未受影响，是全县绝收面积最少的乡镇。三是安全形势平稳向好。通过“三调联动”矛盾调解机制，开展涉法涉诉信访积案大化解专项行动，累计化解矛盾纠纷358起，全力保障党的二十大等重点时间节点安全平稳。深化扫黑除恶斗争，定期开展治安巡逻，全年共打击各类违法犯罪107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right="0" w:rightChars="0" w:firstLine="643" w:firstLineChars="200"/>
        <w:jc w:val="both"/>
        <w:textAlignment w:val="auto"/>
        <w:outlineLvl w:val="1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七、提质增效练本领，党风廉政建设扎实推进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。政治“本色”不断增强。深入学习贯彻党的二十大精神，广泛开展“四亮创建”主题活动，实现全镇学习宣讲全覆盖。全面落实“第一议题”制度，组织镇党委理论学习中心组学习会12次。法治“成色”持续提纯。严格执行重大事项向县委报告制度，定期向县人大报告工作、向县政协通报政情，全面落实重大行政决策事项合法性审查。高质量提交人大代表建议13件、政协委员提案4件。廉洁“底色”坚决擦亮。制定完善了《三封寺镇机关管理制度》《三封寺镇“三重一大”事项集体决策制度》《三封寺镇党风廉政建设主体责任工作规划》等一系列规范管理制度。全年累计提醒谈话处理16人，诫勉谈话处理6人，党纪政务处分10人，其中党内严重警告处分2人、开除党籍3人，营造了风清气正的良好政治生态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 w:firstLine="320" w:firstLineChars="1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五、</w:t>
      </w:r>
      <w:r>
        <w:rPr>
          <w:rFonts w:hint="default" w:ascii="Times New Roman" w:hAnsi="Times New Roman" w:eastAsia="黑体" w:cs="Times New Roman"/>
          <w:sz w:val="32"/>
          <w:szCs w:val="32"/>
        </w:rPr>
        <w:t>存在的问题及原因分析</w:t>
      </w:r>
    </w:p>
    <w:p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3" w:lineRule="atLeast"/>
        <w:ind w:firstLine="640" w:firstLineChars="20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1.预算绩效指标体系存在进一步完善的空间，我单位现建立的各项预算绩效目标指标仍有不科学、不细致的地方，影响了预算绩效评价的结果。</w:t>
      </w:r>
    </w:p>
    <w:p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3" w:lineRule="atLeast"/>
        <w:ind w:firstLine="640" w:firstLineChars="20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2.预算绩效管理经验需要进一步积累。因为预算绩效管理工作具有政策性强、专业性强、涉及面广、操作难度大等特点，经验不足，导致工作多走许多弯路，影响工作效果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、下一步改进措施</w:t>
      </w:r>
    </w:p>
    <w:p>
      <w:pPr>
        <w:pStyle w:val="2"/>
        <w:ind w:left="0" w:leftChars="0" w:firstLine="640" w:firstLineChars="200"/>
        <w:rPr>
          <w:rFonts w:hint="default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我单位应立足实际，坚持推行精细化管理，强化预算绩效目标管理、细化绩效目标，并将绩效目标细化分解为具体工作计划，同时，计划应明确规定在一定时间内完成的目标、任务和和应达到的要求，任务和要求应具体明确任务数量、质量。建立健全财政各项资金管理制度，严格执行财务管理制度，做到了财务处理及时，会计核算规范，严格按照计划进度支付。各项目资金严格实行专款专用，保证更规范严要求使用资金。在下年度的预算编制工作中，我们会时刻跟踪项目的进度，更好地完成预算资金，做好绩效评价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bookmarkStart w:id="0" w:name="_GoBack"/>
      <w:bookmarkEnd w:id="0"/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74C06F5-9B21-4C5C-AE24-47858DCCF4F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BA87192D-C9D9-4174-8FB7-761FBA4994E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26CC15F-3C3E-41F5-AA43-11CB71D49C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FA0A0A16-097E-4BEA-A5DB-A3E503D947F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D66E7FA2-0472-42F6-9E85-A44C451EF7E5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DAACE3C3-CCF9-45E9-8407-7A12F3F459C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52E04B6E-FF3E-4FC5-A1AC-A77690B7D5D0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8" w:fontKey="{AAD8BB6B-5778-48A5-A6E2-B2AF6CB7E994}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  <w:embedRegular r:id="rId9" w:fontKey="{BA58B156-A7EB-40DB-B6CD-FEE436AA4596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F82B719F-91C2-4DB6-95A9-C0E3F8FF916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1" w:fontKey="{839CB80B-779A-4B03-90B7-0DCB466BEED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2" w:fontKey="{1E9F9A25-F013-42AD-85FA-EFFE9CE1D7C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4E2F8D"/>
    <w:multiLevelType w:val="singleLevel"/>
    <w:tmpl w:val="A04E2F8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lZWRlN2MwMDUyOTViMmNiNTVjNGIwZmNmOWVjNjM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09000E"/>
    <w:rsid w:val="02B50488"/>
    <w:rsid w:val="0338470A"/>
    <w:rsid w:val="034822A9"/>
    <w:rsid w:val="03D86621"/>
    <w:rsid w:val="04EE6171"/>
    <w:rsid w:val="05395EA9"/>
    <w:rsid w:val="08E21C43"/>
    <w:rsid w:val="0ABD557B"/>
    <w:rsid w:val="0BBB5A8D"/>
    <w:rsid w:val="0BBF4610"/>
    <w:rsid w:val="0BC159E2"/>
    <w:rsid w:val="0C104906"/>
    <w:rsid w:val="0CCB7736"/>
    <w:rsid w:val="0D9E0E8D"/>
    <w:rsid w:val="0DC90897"/>
    <w:rsid w:val="0EAB7397"/>
    <w:rsid w:val="0EF755B3"/>
    <w:rsid w:val="0F17035E"/>
    <w:rsid w:val="0F4E168D"/>
    <w:rsid w:val="11404466"/>
    <w:rsid w:val="11963ADD"/>
    <w:rsid w:val="11EB0F5C"/>
    <w:rsid w:val="11F20483"/>
    <w:rsid w:val="136F31F8"/>
    <w:rsid w:val="138750E0"/>
    <w:rsid w:val="1579204C"/>
    <w:rsid w:val="15A620D3"/>
    <w:rsid w:val="16A3369E"/>
    <w:rsid w:val="178536BD"/>
    <w:rsid w:val="18BC5F4D"/>
    <w:rsid w:val="1933444D"/>
    <w:rsid w:val="19516372"/>
    <w:rsid w:val="19575CC2"/>
    <w:rsid w:val="19A80228"/>
    <w:rsid w:val="1A101464"/>
    <w:rsid w:val="1AA26CD8"/>
    <w:rsid w:val="1AB74849"/>
    <w:rsid w:val="1AC52FF2"/>
    <w:rsid w:val="1AE6175D"/>
    <w:rsid w:val="1B742AA7"/>
    <w:rsid w:val="1CA34935"/>
    <w:rsid w:val="1D017DC5"/>
    <w:rsid w:val="1D5A640E"/>
    <w:rsid w:val="1F7640EC"/>
    <w:rsid w:val="20455B10"/>
    <w:rsid w:val="20D76C5F"/>
    <w:rsid w:val="21057490"/>
    <w:rsid w:val="214A230E"/>
    <w:rsid w:val="21B052C4"/>
    <w:rsid w:val="22FF5445"/>
    <w:rsid w:val="23065733"/>
    <w:rsid w:val="238D0E57"/>
    <w:rsid w:val="24256710"/>
    <w:rsid w:val="251E7983"/>
    <w:rsid w:val="25885A22"/>
    <w:rsid w:val="260D5D83"/>
    <w:rsid w:val="28294D79"/>
    <w:rsid w:val="284A2254"/>
    <w:rsid w:val="292F1467"/>
    <w:rsid w:val="29786927"/>
    <w:rsid w:val="297B51B4"/>
    <w:rsid w:val="29E40467"/>
    <w:rsid w:val="29F527E2"/>
    <w:rsid w:val="2A1D7222"/>
    <w:rsid w:val="2B747CAD"/>
    <w:rsid w:val="2BF35971"/>
    <w:rsid w:val="2C487650"/>
    <w:rsid w:val="2E4F43C0"/>
    <w:rsid w:val="2E5276CD"/>
    <w:rsid w:val="2EC7368E"/>
    <w:rsid w:val="30FB4B41"/>
    <w:rsid w:val="31621165"/>
    <w:rsid w:val="319A041A"/>
    <w:rsid w:val="323C5548"/>
    <w:rsid w:val="329F4483"/>
    <w:rsid w:val="34310128"/>
    <w:rsid w:val="354457B6"/>
    <w:rsid w:val="35661CB4"/>
    <w:rsid w:val="37450F88"/>
    <w:rsid w:val="37D6106F"/>
    <w:rsid w:val="38F862EB"/>
    <w:rsid w:val="39343807"/>
    <w:rsid w:val="39887BBC"/>
    <w:rsid w:val="3A53023B"/>
    <w:rsid w:val="3A726921"/>
    <w:rsid w:val="3A9E3272"/>
    <w:rsid w:val="3AF42D2D"/>
    <w:rsid w:val="3B3A041F"/>
    <w:rsid w:val="3BAE6BF9"/>
    <w:rsid w:val="3CCA47F2"/>
    <w:rsid w:val="3CDE0708"/>
    <w:rsid w:val="3D0228C2"/>
    <w:rsid w:val="3D5877DF"/>
    <w:rsid w:val="3DC55CAA"/>
    <w:rsid w:val="3DD556CA"/>
    <w:rsid w:val="3F42710F"/>
    <w:rsid w:val="3F450429"/>
    <w:rsid w:val="3F5D6B3B"/>
    <w:rsid w:val="40226C80"/>
    <w:rsid w:val="40C451A5"/>
    <w:rsid w:val="41390199"/>
    <w:rsid w:val="4156470B"/>
    <w:rsid w:val="41943ACE"/>
    <w:rsid w:val="425D4066"/>
    <w:rsid w:val="43173FD4"/>
    <w:rsid w:val="44143822"/>
    <w:rsid w:val="44654A12"/>
    <w:rsid w:val="457C5F26"/>
    <w:rsid w:val="49CF255F"/>
    <w:rsid w:val="4B2C5DCD"/>
    <w:rsid w:val="4B7D1173"/>
    <w:rsid w:val="4C150E22"/>
    <w:rsid w:val="4C6A38FC"/>
    <w:rsid w:val="4CE74BC3"/>
    <w:rsid w:val="4CF5000E"/>
    <w:rsid w:val="4DB17672"/>
    <w:rsid w:val="4DB77B3B"/>
    <w:rsid w:val="50AC44C4"/>
    <w:rsid w:val="50EA6DB9"/>
    <w:rsid w:val="51CA7471"/>
    <w:rsid w:val="521C2FA3"/>
    <w:rsid w:val="522529B2"/>
    <w:rsid w:val="53910AF4"/>
    <w:rsid w:val="555952B3"/>
    <w:rsid w:val="556B5A36"/>
    <w:rsid w:val="55AF40BB"/>
    <w:rsid w:val="56CF6D22"/>
    <w:rsid w:val="56F72F7C"/>
    <w:rsid w:val="586243BF"/>
    <w:rsid w:val="58FD3402"/>
    <w:rsid w:val="591B74BF"/>
    <w:rsid w:val="59677FB0"/>
    <w:rsid w:val="597D6A47"/>
    <w:rsid w:val="5AAF7799"/>
    <w:rsid w:val="5B5C1753"/>
    <w:rsid w:val="5E134100"/>
    <w:rsid w:val="5F620CFC"/>
    <w:rsid w:val="5F7A1C50"/>
    <w:rsid w:val="601C4AB5"/>
    <w:rsid w:val="60BE691E"/>
    <w:rsid w:val="61444403"/>
    <w:rsid w:val="62265BDF"/>
    <w:rsid w:val="625865CD"/>
    <w:rsid w:val="62E1699A"/>
    <w:rsid w:val="64147F0D"/>
    <w:rsid w:val="64231BA7"/>
    <w:rsid w:val="64D66362"/>
    <w:rsid w:val="65070998"/>
    <w:rsid w:val="65860217"/>
    <w:rsid w:val="65B37C6A"/>
    <w:rsid w:val="667E0AA1"/>
    <w:rsid w:val="68FB17C3"/>
    <w:rsid w:val="693F09CB"/>
    <w:rsid w:val="695F12F9"/>
    <w:rsid w:val="69636C3A"/>
    <w:rsid w:val="69CF7B2C"/>
    <w:rsid w:val="69D5464B"/>
    <w:rsid w:val="6A0B0004"/>
    <w:rsid w:val="6BA1010E"/>
    <w:rsid w:val="6C5C1FCE"/>
    <w:rsid w:val="6CE47E41"/>
    <w:rsid w:val="6CED5810"/>
    <w:rsid w:val="6CF92413"/>
    <w:rsid w:val="6DFE5E04"/>
    <w:rsid w:val="6E87203D"/>
    <w:rsid w:val="6F9278BB"/>
    <w:rsid w:val="71025267"/>
    <w:rsid w:val="71572F19"/>
    <w:rsid w:val="719B7427"/>
    <w:rsid w:val="724A6793"/>
    <w:rsid w:val="741F26FA"/>
    <w:rsid w:val="74470DF8"/>
    <w:rsid w:val="75067E2D"/>
    <w:rsid w:val="75424C40"/>
    <w:rsid w:val="75FD1676"/>
    <w:rsid w:val="789C10FF"/>
    <w:rsid w:val="799536BA"/>
    <w:rsid w:val="7B170752"/>
    <w:rsid w:val="7B8F681B"/>
    <w:rsid w:val="7D7953C1"/>
    <w:rsid w:val="7DD96C0E"/>
    <w:rsid w:val="7E474F7B"/>
    <w:rsid w:val="7E522459"/>
    <w:rsid w:val="7E8F7AC1"/>
    <w:rsid w:val="7F880432"/>
    <w:rsid w:val="7F93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2">
    <w:name w:val="Default Paragraph Font"/>
    <w:semiHidden/>
    <w:qFormat/>
    <w:uiPriority w:val="99"/>
  </w:style>
  <w:style w:type="table" w:default="1" w:styleId="10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="100" w:beforeAutospacing="1" w:after="0"/>
      <w:ind w:left="0"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5">
    <w:name w:val="Body Text Indent 2"/>
    <w:basedOn w:val="1"/>
    <w:qFormat/>
    <w:uiPriority w:val="0"/>
    <w:pPr>
      <w:spacing w:after="120" w:afterAutospacing="0" w:line="480" w:lineRule="auto"/>
      <w:ind w:left="420" w:leftChars="200"/>
    </w:p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99"/>
    <w:rPr>
      <w:rFonts w:cs="Times New Roman"/>
    </w:rPr>
  </w:style>
  <w:style w:type="character" w:customStyle="1" w:styleId="14">
    <w:name w:val="Footer Char"/>
    <w:basedOn w:val="12"/>
    <w:link w:val="6"/>
    <w:semiHidden/>
    <w:qFormat/>
    <w:uiPriority w:val="99"/>
    <w:rPr>
      <w:sz w:val="18"/>
      <w:szCs w:val="18"/>
    </w:rPr>
  </w:style>
  <w:style w:type="character" w:customStyle="1" w:styleId="15">
    <w:name w:val="Header Char"/>
    <w:basedOn w:val="12"/>
    <w:link w:val="7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17">
    <w:name w:val="NormalCharacter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15</Pages>
  <Words>5074</Words>
  <Characters>5656</Characters>
  <Lines>0</Lines>
  <Paragraphs>0</Paragraphs>
  <TotalTime>2</TotalTime>
  <ScaleCrop>false</ScaleCrop>
  <LinksUpToDate>false</LinksUpToDate>
  <CharactersWithSpaces>5756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Administrator</cp:lastModifiedBy>
  <cp:lastPrinted>2023-06-29T01:04:00Z</cp:lastPrinted>
  <dcterms:modified xsi:type="dcterms:W3CDTF">2023-07-13T00:29:39Z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7B19B36AFC92459FB9706B84FF61172C_13</vt:lpwstr>
  </property>
</Properties>
</file>