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8"/>
        <w:tblW w:w="4997" w:type="pct"/>
        <w:jc w:val="center"/>
        <w:tblLayout w:type="autofit"/>
        <w:tblCellMar>
          <w:top w:w="0" w:type="dxa"/>
          <w:left w:w="108" w:type="dxa"/>
          <w:bottom w:w="0" w:type="dxa"/>
          <w:right w:w="108" w:type="dxa"/>
        </w:tblCellMar>
      </w:tblPr>
      <w:tblGrid>
        <w:gridCol w:w="3021"/>
        <w:gridCol w:w="1836"/>
        <w:gridCol w:w="2287"/>
        <w:gridCol w:w="1571"/>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214.33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205.34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221.06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255.9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247.21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167.03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198.74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167.02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198.74</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54.04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55.9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48.46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1290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1285.22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（一个专项一行）</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1131.07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1290</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1285.22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赵丽珍</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2023年7月8日</w:t>
      </w:r>
      <w:r>
        <w:rPr>
          <w:rFonts w:hint="default" w:ascii="Times New Roman" w:hAnsi="Times New Roman" w:eastAsia="仿宋_GB2312" w:cs="Times New Roman"/>
          <w:sz w:val="22"/>
        </w:rPr>
        <w:t xml:space="preserve">          联系电话： </w:t>
      </w:r>
      <w:r>
        <w:rPr>
          <w:rFonts w:hint="eastAsia" w:eastAsia="仿宋_GB2312" w:cs="Times New Roman"/>
          <w:sz w:val="22"/>
          <w:lang w:val="en-US" w:eastAsia="zh-CN"/>
        </w:rPr>
        <w:t>13874067028</w:t>
      </w:r>
      <w:r>
        <w:rPr>
          <w:rFonts w:hint="default" w:ascii="Times New Roman" w:hAnsi="Times New Roman" w:eastAsia="仿宋_GB2312" w:cs="Times New Roman"/>
          <w:sz w:val="22"/>
        </w:rPr>
        <w:t xml:space="preserve">           单位负责人签字：</w:t>
      </w:r>
      <w:r>
        <w:rPr>
          <w:rFonts w:hint="eastAsia" w:eastAsia="仿宋_GB2312" w:cs="Times New Roman"/>
          <w:sz w:val="22"/>
          <w:lang w:eastAsia="zh-CN"/>
        </w:rPr>
        <w:t>陈兴</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8"/>
        <w:tblW w:w="4996" w:type="pct"/>
        <w:jc w:val="center"/>
        <w:tblLayout w:type="autofit"/>
        <w:tblCellMar>
          <w:top w:w="0" w:type="dxa"/>
          <w:left w:w="108" w:type="dxa"/>
          <w:bottom w:w="0" w:type="dxa"/>
          <w:right w:w="108" w:type="dxa"/>
        </w:tblCellMar>
      </w:tblPr>
      <w:tblGrid>
        <w:gridCol w:w="1004"/>
        <w:gridCol w:w="800"/>
        <w:gridCol w:w="791"/>
        <w:gridCol w:w="1176"/>
        <w:gridCol w:w="1016"/>
        <w:gridCol w:w="996"/>
        <w:gridCol w:w="531"/>
        <w:gridCol w:w="932"/>
        <w:gridCol w:w="1467"/>
      </w:tblGrid>
      <w:tr>
        <w:tblPrEx>
          <w:tblCellMar>
            <w:top w:w="0" w:type="dxa"/>
            <w:left w:w="108" w:type="dxa"/>
            <w:bottom w:w="0" w:type="dxa"/>
            <w:right w:w="108" w:type="dxa"/>
          </w:tblCellMar>
        </w:tblPrEx>
        <w:trPr>
          <w:trHeight w:val="1003" w:hRule="atLeast"/>
          <w:jc w:val="center"/>
        </w:trPr>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华容县机关事务管理中心</w:t>
            </w:r>
          </w:p>
        </w:tc>
      </w:tr>
      <w:tr>
        <w:tblPrEx>
          <w:tblCellMar>
            <w:top w:w="0" w:type="dxa"/>
            <w:left w:w="108" w:type="dxa"/>
            <w:bottom w:w="0" w:type="dxa"/>
            <w:right w:w="108" w:type="dxa"/>
          </w:tblCellMar>
        </w:tblPrEx>
        <w:trPr>
          <w:trHeight w:val="863" w:hRule="atLeast"/>
          <w:jc w:val="center"/>
        </w:trPr>
        <w:tc>
          <w:tcPr>
            <w:tcW w:w="58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23"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8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23"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633"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1500</w:t>
            </w:r>
          </w:p>
        </w:tc>
        <w:tc>
          <w:tcPr>
            <w:tcW w:w="58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1490.55</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i w:val="0"/>
                <w:iCs w:val="0"/>
                <w:sz w:val="21"/>
                <w:szCs w:val="21"/>
                <w:lang w:val="en-US" w:eastAsia="zh-CN"/>
              </w:rPr>
              <w:t>1490.55</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9.8</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7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1490.55</w:t>
            </w:r>
          </w:p>
        </w:tc>
        <w:tc>
          <w:tcPr>
            <w:tcW w:w="227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205.33</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27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1285.22</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7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73"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4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73"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8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4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2273"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98%</w:t>
            </w:r>
          </w:p>
        </w:tc>
      </w:tr>
      <w:tr>
        <w:tblPrEx>
          <w:tblCellMar>
            <w:top w:w="0" w:type="dxa"/>
            <w:left w:w="108" w:type="dxa"/>
            <w:bottom w:w="0" w:type="dxa"/>
            <w:right w:w="108" w:type="dxa"/>
          </w:tblCellMar>
        </w:tblPrEx>
        <w:trPr>
          <w:trHeight w:val="850" w:hRule="atLeast"/>
          <w:jc w:val="center"/>
        </w:trPr>
        <w:tc>
          <w:tcPr>
            <w:tcW w:w="58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仿宋" w:hAnsi="仿宋" w:eastAsia="仿宋" w:cs="仿宋"/>
                <w:color w:val="000000"/>
                <w:kern w:val="0"/>
                <w:sz w:val="24"/>
              </w:rPr>
              <w:t xml:space="preserve">完成省、市接待任务情况。  </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仿宋" w:hAnsi="仿宋" w:eastAsia="仿宋" w:cs="仿宋"/>
                <w:color w:val="000000"/>
                <w:kern w:val="0"/>
                <w:sz w:val="24"/>
              </w:rPr>
              <w:t>全年完成出车情况</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四大家机关正常运转提供服务保障的基础性的工作</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 w:hAnsi="仿宋" w:eastAsia="仿宋" w:cs="仿宋"/>
                <w:sz w:val="24"/>
                <w:lang w:val="en-US" w:eastAsia="zh-CN"/>
              </w:rPr>
              <w:t>1</w:t>
            </w:r>
            <w:r>
              <w:rPr>
                <w:rFonts w:hint="eastAsia" w:ascii="仿宋" w:hAnsi="仿宋" w:eastAsia="仿宋" w:cs="仿宋"/>
                <w:sz w:val="24"/>
              </w:rPr>
              <w:t>全县机要通信、应急、调研接待、行政执法严格管理。</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 w:hAnsi="仿宋" w:eastAsia="仿宋" w:cs="仿宋"/>
                <w:sz w:val="24"/>
              </w:rPr>
              <w:t>简化礼仪的基础上，转变服务方式，重点突出“细节化、个性化、本土化”服务。</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出车应急管理信息报送是否及时准确，突发事件处置是否到位</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对上级的重要批示及时办结回复及妥善处理。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降低办公用房维修支出和办公设备、公车配置支出。</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100%</w:t>
            </w:r>
            <w:r>
              <w:rPr>
                <w:rFonts w:hint="eastAsia" w:ascii="新宋体" w:hAnsi="新宋体" w:eastAsia="新宋体" w:cs="新宋体"/>
                <w:color w:val="000000"/>
                <w:sz w:val="21"/>
                <w:szCs w:val="21"/>
              </w:rPr>
              <w:t>　</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 w:hAnsi="仿宋" w:eastAsia="仿宋" w:cs="仿宋"/>
                <w:color w:val="000000"/>
                <w:kern w:val="0"/>
                <w:sz w:val="24"/>
              </w:rPr>
              <w:t xml:space="preserve">承担中央、省市重大接待活动或中心工作， </w:t>
            </w:r>
            <w:r>
              <w:rPr>
                <w:rFonts w:hint="eastAsia" w:ascii="仿宋" w:hAnsi="仿宋" w:eastAsia="仿宋" w:cs="仿宋"/>
                <w:color w:val="000000"/>
                <w:kern w:val="0"/>
                <w:sz w:val="24"/>
              </w:rPr>
              <w:br w:type="textWrapping"/>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办公用房维修支出降低百分比20-30%；</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8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5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指标：积极宣传了华容特色农产品的宣传。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指标2：节能工作格局节约用电、用水、降低油材料消耗等，逐步实行环保型社会，争取在在202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年基础上实现能耗 降低10%</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33"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协助做好县委县政府外联协调工作，促进县域经济发展。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科学决策、执行有效的运行机制和节能减排长效机制强化管理体系</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lang w:val="en-US" w:eastAsia="zh-CN"/>
              </w:rPr>
              <w:t>10</w:t>
            </w:r>
            <w:r>
              <w:rPr>
                <w:rFonts w:hint="eastAsia" w:ascii="新宋体" w:hAnsi="新宋体" w:eastAsia="新宋体" w:cs="新宋体"/>
                <w:color w:val="000000"/>
                <w:sz w:val="21"/>
                <w:szCs w:val="21"/>
              </w:rPr>
              <w:t>　</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33"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 w:hAnsi="仿宋" w:eastAsia="仿宋" w:cs="仿宋"/>
                <w:color w:val="000000"/>
                <w:kern w:val="0"/>
                <w:sz w:val="24"/>
              </w:rPr>
            </w:pPr>
            <w:r>
              <w:rPr>
                <w:rFonts w:hint="eastAsia" w:ascii="仿宋" w:hAnsi="仿宋" w:eastAsia="仿宋" w:cs="仿宋"/>
                <w:color w:val="000000"/>
                <w:kern w:val="0"/>
                <w:sz w:val="24"/>
              </w:rPr>
              <w:t>协助县委县政府做好培育生态文化、学习文化、法治文化和责任文化，为公众创造良好的生存环境。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default" w:ascii="仿宋_GB2312" w:hAnsi="仿宋_GB2312" w:eastAsia="仿宋_GB2312" w:cs="仿宋_GB2312"/>
                <w:color w:val="000000"/>
                <w:sz w:val="24"/>
              </w:rPr>
            </w:pPr>
            <w:r>
              <w:rPr>
                <w:rFonts w:hint="eastAsia" w:ascii="仿宋_GB2312" w:hAnsi="仿宋_GB2312" w:eastAsia="仿宋_GB2312" w:cs="仿宋_GB2312"/>
                <w:color w:val="000000"/>
                <w:sz w:val="24"/>
              </w:rPr>
              <w:t>争取在在202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 xml:space="preserve">年基础上实现能耗 降低10% </w:t>
            </w:r>
          </w:p>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sz w:val="24"/>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eastAsia="仿宋_GB2312"/>
                <w:kern w:val="0"/>
                <w:sz w:val="24"/>
                <w:lang w:eastAsia="zh-CN"/>
              </w:rPr>
              <w:t>全县节能减排意识增强</w:t>
            </w:r>
          </w:p>
        </w:tc>
        <w:tc>
          <w:tcPr>
            <w:tcW w:w="58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58"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58"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633"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协助做好县委县政府外联协调工作，</w:t>
            </w:r>
            <w:r>
              <w:rPr>
                <w:rFonts w:hint="eastAsia" w:ascii="仿宋" w:hAnsi="仿宋" w:eastAsia="仿宋" w:cs="仿宋"/>
                <w:color w:val="000000"/>
                <w:kern w:val="0"/>
                <w:sz w:val="24"/>
                <w:lang w:eastAsia="zh-CN"/>
              </w:rPr>
              <w:t>促</w:t>
            </w:r>
            <w:r>
              <w:rPr>
                <w:rFonts w:hint="eastAsia" w:ascii="仿宋" w:hAnsi="仿宋" w:eastAsia="仿宋" w:cs="仿宋"/>
                <w:color w:val="000000"/>
                <w:kern w:val="0"/>
                <w:sz w:val="24"/>
              </w:rPr>
              <w:t>进了县域经济</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加强能源管理，降低消耗、制止浪费，社会公众满意率达96%</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eastAsia"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left"/>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9.8</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eastAsia="zh-CN"/>
              </w:rPr>
              <w:t>资金到位不及时；强化工作监督和管理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58"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82"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58"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8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301"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0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84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7"/>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赵丽珍</w:t>
      </w:r>
      <w:r>
        <w:rPr>
          <w:rFonts w:hint="default" w:ascii="Times New Roman" w:hAnsi="Times New Roman" w:eastAsia="仿宋_GB2312" w:cs="Times New Roman"/>
          <w:sz w:val="22"/>
          <w:szCs w:val="22"/>
        </w:rPr>
        <w:t xml:space="preserve">    填报日期： </w:t>
      </w:r>
      <w:r>
        <w:rPr>
          <w:rFonts w:hint="eastAsia" w:eastAsia="仿宋_GB2312" w:cs="Times New Roman"/>
          <w:sz w:val="22"/>
          <w:szCs w:val="22"/>
          <w:lang w:val="en-US" w:eastAsia="zh-CN"/>
        </w:rPr>
        <w:t>2023年7月8日</w:t>
      </w:r>
      <w:r>
        <w:rPr>
          <w:rFonts w:hint="default" w:ascii="Times New Roman" w:hAnsi="Times New Roman" w:eastAsia="仿宋_GB2312" w:cs="Times New Roman"/>
          <w:sz w:val="22"/>
          <w:szCs w:val="22"/>
        </w:rPr>
        <w:t xml:space="preserve">        联系电话：</w:t>
      </w:r>
      <w:r>
        <w:rPr>
          <w:rFonts w:hint="eastAsia" w:eastAsia="仿宋_GB2312" w:cs="Times New Roman"/>
          <w:sz w:val="22"/>
          <w:szCs w:val="22"/>
          <w:lang w:val="en-US" w:eastAsia="zh-CN"/>
        </w:rPr>
        <w:t>13874067028</w:t>
      </w:r>
      <w:r>
        <w:rPr>
          <w:rFonts w:hint="default"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eastAsia" w:eastAsia="仿宋_GB2312" w:cs="Times New Roman"/>
          <w:sz w:val="22"/>
          <w:szCs w:val="22"/>
          <w:lang w:eastAsia="zh-CN"/>
        </w:rPr>
        <w:t>陈兴</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华容县机关事务管理中心</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lang w:eastAsia="zh-CN"/>
        </w:rPr>
        <w:t>华容县机关事务管理中心</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8</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华容县机关事务管理中心</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机关事务管理中心</w:t>
      </w:r>
      <w:r>
        <w:rPr>
          <w:rFonts w:hint="default" w:ascii="Times New Roman" w:hAnsi="Times New Roman" w:eastAsia="黑体" w:cs="Times New Roman"/>
          <w:sz w:val="32"/>
          <w:szCs w:val="32"/>
        </w:rPr>
        <w:t>基本情况</w:t>
      </w:r>
    </w:p>
    <w:p>
      <w:pPr>
        <w:pStyle w:val="2"/>
        <w:numPr>
          <w:ilvl w:val="0"/>
          <w:numId w:val="0"/>
        </w:numPr>
        <w:ind w:leftChars="400"/>
        <w:rPr>
          <w:rFonts w:hint="default"/>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val="en-US" w:eastAsia="zh-CN"/>
        </w:rPr>
        <w:t>)华容县机关事务服务中心</w:t>
      </w:r>
      <w:r>
        <w:rPr>
          <w:rFonts w:hint="eastAsia" w:ascii="仿宋_GB2312" w:hAnsi="仿宋_GB2312" w:eastAsia="仿宋_GB2312" w:cs="仿宋_GB2312"/>
          <w:bCs/>
          <w:sz w:val="28"/>
          <w:szCs w:val="28"/>
        </w:rPr>
        <w:t>基本情况</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rPr>
        <w:t>负责全县公务接待工作；四大家重要接待活动；主要领导交办的接待任务；按照县公务用车（保留车辆）规定使用范围提供车辆服务；协助做好公务用车监督检查工作。负责机关办公大楼管理、维护和机关大院物业服务工作；确定全县机关事业单位后勤服务项目和标准，指导全县机关事业单位后勤服务工作。负责全县公共机构节约能源资源管理工作，会同有关部门拟订全县公共机构节能规划和相关管理制度并组织实施，组织开展能耗统计、监测和评价考核、节能技术改造工作</w:t>
      </w:r>
      <w:r>
        <w:rPr>
          <w:rFonts w:hint="eastAsia" w:ascii="仿宋_GB2312" w:hAnsi="仿宋_GB2312" w:eastAsia="仿宋_GB2312" w:cs="仿宋_GB2312"/>
          <w:bCs/>
          <w:sz w:val="28"/>
          <w:szCs w:val="28"/>
          <w:lang w:eastAsia="zh-CN"/>
        </w:rPr>
        <w:t>，</w:t>
      </w:r>
      <w:r>
        <w:rPr>
          <w:rFonts w:hint="eastAsia" w:ascii="仿宋" w:hAnsi="仿宋" w:eastAsia="仿宋" w:cs="仿宋"/>
          <w:sz w:val="28"/>
          <w:szCs w:val="28"/>
          <w:lang w:eastAsia="zh-CN"/>
        </w:rPr>
        <w:t>。</w:t>
      </w:r>
    </w:p>
    <w:p>
      <w:pPr>
        <w:pStyle w:val="14"/>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r>
        <w:rPr>
          <w:rFonts w:hint="eastAsia" w:ascii="Times New Roman" w:hAnsi="Times New Roman" w:eastAsia="黑体" w:cs="Times New Roman"/>
          <w:kern w:val="2"/>
          <w:sz w:val="32"/>
          <w:szCs w:val="32"/>
          <w:lang w:val="en-US" w:eastAsia="zh-CN" w:bidi="ar-SA"/>
        </w:rPr>
        <w:t>：</w:t>
      </w:r>
      <w:r>
        <w:rPr>
          <w:rFonts w:hint="eastAsia" w:ascii="仿宋_GB2312" w:hAnsi="仿宋_GB2312" w:eastAsia="仿宋_GB2312" w:cs="仿宋_GB2312"/>
          <w:bCs/>
          <w:sz w:val="28"/>
          <w:szCs w:val="28"/>
        </w:rPr>
        <w:t>本年度本单位用于</w:t>
      </w:r>
      <w:r>
        <w:rPr>
          <w:rFonts w:hint="eastAsia" w:ascii="仿宋_GB2312" w:hAnsi="仿宋_GB2312" w:eastAsia="仿宋_GB2312" w:cs="仿宋_GB2312"/>
          <w:bCs/>
          <w:sz w:val="28"/>
          <w:szCs w:val="28"/>
          <w:lang w:eastAsia="zh-CN"/>
        </w:rPr>
        <w:t>工资福利支出、商品和服务支出、对个人和家庭补助等支出</w:t>
      </w:r>
      <w:r>
        <w:rPr>
          <w:rFonts w:hint="eastAsia" w:ascii="仿宋_GB2312" w:hAnsi="仿宋_GB2312" w:eastAsia="仿宋_GB2312" w:cs="仿宋_GB2312"/>
          <w:bCs/>
          <w:sz w:val="28"/>
          <w:szCs w:val="28"/>
        </w:rPr>
        <w:t>。</w:t>
      </w:r>
    </w:p>
    <w:p>
      <w:pPr>
        <w:spacing w:line="560" w:lineRule="exact"/>
        <w:ind w:firstLine="640" w:firstLineChars="200"/>
        <w:rPr>
          <w:rFonts w:ascii="仿宋_GB2312" w:hAnsi="仿宋_GB2312" w:eastAsia="仿宋_GB2312" w:cs="仿宋_GB2312"/>
          <w:bCs/>
          <w:sz w:val="28"/>
          <w:szCs w:val="28"/>
        </w:rPr>
      </w:pPr>
      <w:r>
        <w:rPr>
          <w:rFonts w:hint="default" w:ascii="Times New Roman" w:hAnsi="Times New Roman" w:eastAsia="黑体" w:cs="Times New Roman"/>
          <w:kern w:val="2"/>
          <w:sz w:val="32"/>
          <w:szCs w:val="32"/>
          <w:lang w:val="en-US" w:eastAsia="zh-CN" w:bidi="ar-SA"/>
        </w:rPr>
        <w:t>三、项目支出情况</w:t>
      </w:r>
      <w:r>
        <w:rPr>
          <w:rFonts w:hint="eastAsia" w:ascii="Times New Roman" w:hAnsi="Times New Roman" w:eastAsia="黑体" w:cs="Times New Roman"/>
          <w:kern w:val="2"/>
          <w:sz w:val="32"/>
          <w:szCs w:val="32"/>
          <w:lang w:val="en-US" w:eastAsia="zh-CN" w:bidi="ar-SA"/>
        </w:rPr>
        <w:t>：</w:t>
      </w:r>
      <w:r>
        <w:rPr>
          <w:rFonts w:hint="eastAsia" w:ascii="仿宋_GB2312" w:hAnsi="仿宋_GB2312" w:eastAsia="仿宋_GB2312" w:cs="仿宋_GB2312"/>
          <w:bCs/>
          <w:sz w:val="28"/>
          <w:szCs w:val="28"/>
        </w:rPr>
        <w:t>本年度单位专项支出用于了</w:t>
      </w:r>
      <w:r>
        <w:rPr>
          <w:rFonts w:hint="eastAsia" w:ascii="仿宋_GB2312" w:hAnsi="仿宋_GB2312" w:eastAsia="仿宋_GB2312" w:cs="仿宋_GB2312"/>
          <w:bCs/>
          <w:sz w:val="28"/>
          <w:szCs w:val="28"/>
          <w:lang w:eastAsia="zh-CN"/>
        </w:rPr>
        <w:t>公务</w:t>
      </w:r>
      <w:r>
        <w:rPr>
          <w:rFonts w:hint="eastAsia" w:ascii="仿宋_GB2312" w:hAnsi="仿宋_GB2312" w:eastAsia="仿宋_GB2312" w:cs="仿宋_GB2312"/>
          <w:bCs/>
          <w:sz w:val="28"/>
          <w:szCs w:val="28"/>
        </w:rPr>
        <w:t>接待费、公务用车运行维护费</w:t>
      </w:r>
      <w:r>
        <w:rPr>
          <w:rFonts w:hint="eastAsia" w:ascii="仿宋_GB2312" w:hAnsi="仿宋_GB2312" w:eastAsia="仿宋_GB2312" w:cs="仿宋_GB2312"/>
          <w:bCs/>
          <w:sz w:val="28"/>
          <w:szCs w:val="28"/>
          <w:lang w:eastAsia="zh-CN"/>
        </w:rPr>
        <w:t>，“四大家”机关办公大楼维护管理费及</w:t>
      </w:r>
      <w:r>
        <w:rPr>
          <w:rFonts w:hint="eastAsia" w:ascii="仿宋" w:hAnsi="仿宋" w:eastAsia="仿宋" w:cs="仿宋"/>
          <w:sz w:val="28"/>
          <w:szCs w:val="28"/>
        </w:rPr>
        <w:t>周转住房</w:t>
      </w:r>
      <w:r>
        <w:rPr>
          <w:rFonts w:hint="eastAsia" w:ascii="仿宋" w:hAnsi="仿宋" w:eastAsia="仿宋" w:cs="仿宋"/>
          <w:sz w:val="28"/>
          <w:szCs w:val="28"/>
          <w:lang w:eastAsia="zh-CN"/>
        </w:rPr>
        <w:t>管理食堂管理等费用</w:t>
      </w:r>
      <w:r>
        <w:rPr>
          <w:rFonts w:hint="eastAsia" w:ascii="仿宋_GB2312" w:hAnsi="仿宋_GB2312" w:eastAsia="仿宋_GB2312" w:cs="仿宋_GB2312"/>
          <w:bCs/>
          <w:sz w:val="28"/>
          <w:szCs w:val="28"/>
        </w:rPr>
        <w:t>。专项资金专款专用、单位无挤占、挪用等现象。</w:t>
      </w:r>
    </w:p>
    <w:p>
      <w:pPr>
        <w:pStyle w:val="14"/>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p>
    <w:p>
      <w:pPr>
        <w:widowControl/>
        <w:jc w:val="left"/>
        <w:textAlignment w:val="center"/>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widowControl/>
        <w:jc w:val="left"/>
        <w:textAlignment w:val="center"/>
        <w:rPr>
          <w:rFonts w:ascii="仿宋" w:hAnsi="仿宋" w:eastAsia="仿宋" w:cs="仿宋"/>
          <w:color w:val="000000"/>
          <w:kern w:val="0"/>
          <w:sz w:val="28"/>
          <w:szCs w:val="28"/>
        </w:rPr>
      </w:pPr>
      <w:r>
        <w:rPr>
          <w:rFonts w:hint="eastAsia" w:eastAsia="黑体" w:cs="Times New Roman"/>
          <w:sz w:val="32"/>
          <w:szCs w:val="32"/>
          <w:lang w:val="en-US" w:eastAsia="zh-CN"/>
        </w:rPr>
        <w:t>　　1</w:t>
      </w:r>
      <w:r>
        <w:rPr>
          <w:rFonts w:hint="eastAsia" w:ascii="仿宋" w:hAnsi="仿宋" w:eastAsia="仿宋" w:cs="仿宋"/>
          <w:color w:val="000000"/>
          <w:kern w:val="0"/>
          <w:sz w:val="28"/>
          <w:szCs w:val="28"/>
        </w:rPr>
        <w:t>协助做好县委县政府外联协调工作，速进了县域经济。</w:t>
      </w:r>
    </w:p>
    <w:p>
      <w:pPr>
        <w:spacing w:line="560" w:lineRule="exact"/>
        <w:ind w:firstLine="560" w:firstLineChars="200"/>
        <w:rPr>
          <w:rFonts w:ascii="黑体" w:hAnsi="黑体" w:eastAsia="黑体" w:cs="黑体"/>
          <w:bCs/>
          <w:sz w:val="28"/>
          <w:szCs w:val="28"/>
        </w:rPr>
      </w:pPr>
      <w:r>
        <w:rPr>
          <w:rFonts w:hint="eastAsia" w:ascii="仿宋" w:hAnsi="仿宋" w:eastAsia="仿宋" w:cs="仿宋"/>
          <w:color w:val="000000"/>
          <w:kern w:val="0"/>
          <w:sz w:val="28"/>
          <w:szCs w:val="28"/>
        </w:rPr>
        <w:t>2加强能源管理，降低消耗、制止浪费，社会公众满意率达96%</w:t>
      </w:r>
    </w:p>
    <w:p>
      <w:pPr>
        <w:keepNext w:val="0"/>
        <w:keepLines w:val="0"/>
        <w:pageBreakBefore w:val="0"/>
        <w:widowControl/>
        <w:kinsoku/>
        <w:wordWrap/>
        <w:overflowPunct/>
        <w:topLinePunct w:val="0"/>
        <w:autoSpaceDE/>
        <w:autoSpaceDN/>
        <w:bidi w:val="0"/>
        <w:adjustRightInd/>
        <w:snapToGrid/>
        <w:spacing w:line="610" w:lineRule="exact"/>
        <w:ind w:firstLine="560" w:firstLineChars="200"/>
        <w:jc w:val="both"/>
        <w:textAlignment w:val="auto"/>
        <w:rPr>
          <w:rFonts w:hint="default" w:ascii="Times New Roman" w:hAnsi="Times New Roman" w:eastAsia="黑体" w:cs="Times New Roman"/>
          <w:sz w:val="28"/>
          <w:szCs w:val="28"/>
        </w:rPr>
      </w:pPr>
    </w:p>
    <w:p>
      <w:pPr>
        <w:keepNext w:val="0"/>
        <w:keepLines w:val="0"/>
        <w:pageBreakBefore w:val="0"/>
        <w:widowControl/>
        <w:kinsoku/>
        <w:wordWrap/>
        <w:overflowPunct/>
        <w:topLinePunct w:val="0"/>
        <w:autoSpaceDE/>
        <w:autoSpaceDN/>
        <w:bidi w:val="0"/>
        <w:adjustRightInd/>
        <w:snapToGrid/>
        <w:spacing w:line="610" w:lineRule="exact"/>
        <w:ind w:firstLine="560" w:firstLineChars="200"/>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总结归纳本部门（单位）“四本预算”支出的绩效目标完成情况，实现产出和取得效益的情况。围绕部门（单位）职责、行业发展规划，以预算资金管理为主线，总结部门（单位）资产管理和开展业务情况，从运行成本、管理效率、履职效能、社会效应、可持续发展能力和服务对象满意度等方面，衡量部门（单位）整体及核心业务实施效果。</w:t>
      </w:r>
    </w:p>
    <w:p>
      <w:pPr>
        <w:pStyle w:val="14"/>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spacing w:line="560" w:lineRule="exact"/>
        <w:ind w:firstLine="56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28"/>
          <w:szCs w:val="28"/>
        </w:rPr>
        <w:t>从</w:t>
      </w:r>
      <w:r>
        <w:rPr>
          <w:rFonts w:hint="eastAsia" w:ascii="仿宋" w:hAnsi="仿宋" w:eastAsia="仿宋" w:cs="仿宋"/>
          <w:bCs/>
          <w:sz w:val="28"/>
          <w:szCs w:val="28"/>
        </w:rPr>
        <w:t>我单位未能按节点及时监控绩效监控缺乏责任约束。</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pStyle w:val="2"/>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eastAsia="zh-CN"/>
        </w:rPr>
        <w:t>　　根据部门单位工作性质和特点，在一定范围内制定相应的考核规　则和评价标准，形成考核实施细则，对所有工作及岗位进行考核和评价，进行自我纠正和改进。</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widowControl/>
        <w:tabs>
          <w:tab w:val="left" w:pos="1315"/>
        </w:tabs>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eastAsia="仿宋_GB2312" w:cs="Times New Roman"/>
          <w:sz w:val="32"/>
          <w:szCs w:val="32"/>
          <w:lang w:eastAsia="zh-CN"/>
        </w:rPr>
        <w:tab/>
      </w:r>
      <w:r>
        <w:rPr>
          <w:rFonts w:hint="eastAsia" w:eastAsia="仿宋_GB2312" w:cs="Times New Roman"/>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footerReference r:id="rId3" w:type="default"/>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3.8</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3.8</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3.7</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6.8</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7.6</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7"/>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u w:val="single"/>
          <w:lang w:eastAsia="zh-CN"/>
        </w:rPr>
      </w:pPr>
      <w:r>
        <w:rPr>
          <w:rFonts w:hint="eastAsia" w:ascii="黑体" w:hAnsi="黑体" w:eastAsia="黑体" w:cs="黑体"/>
          <w:sz w:val="32"/>
          <w:szCs w:val="32"/>
          <w:u w:val="single"/>
        </w:rPr>
        <w:t>附件</w:t>
      </w:r>
      <w:r>
        <w:rPr>
          <w:rFonts w:hint="eastAsia" w:ascii="黑体" w:hAnsi="黑体" w:eastAsia="黑体" w:cs="黑体"/>
          <w:sz w:val="32"/>
          <w:szCs w:val="32"/>
          <w:u w:val="single"/>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trHeight w:val="495" w:hRule="atLeast"/>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公车平台专项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544.5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544.5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9.8</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9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544.5</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505</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kern w:val="2"/>
                <w:sz w:val="18"/>
                <w:szCs w:val="18"/>
                <w:lang w:val="en-US" w:eastAsia="zh-CN" w:bidi="ar-SA"/>
              </w:rPr>
              <w:t>公务车辆50台，使用50台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sz w:val="18"/>
                <w:szCs w:val="18"/>
                <w:lang w:eastAsia="zh-CN"/>
              </w:rPr>
              <w:t>公务车保质安全，未发生交通事故</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eastAsia="仿宋_GB2312"/>
                <w:sz w:val="18"/>
                <w:szCs w:val="18"/>
                <w:lang w:eastAsia="zh-CN"/>
              </w:rPr>
              <w:t>公务用车项目资金如期使用，达到了预期绩效自</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_GB2312" w:hAnsi="仿宋_GB2312" w:eastAsia="仿宋_GB2312" w:cs="仿宋_GB2312"/>
                <w:color w:val="000000"/>
                <w:sz w:val="18"/>
                <w:szCs w:val="18"/>
                <w:lang w:eastAsia="zh-CN"/>
              </w:rPr>
              <w:t>公务用车项目运行成本控制安预期完成</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公务用车项目</w:t>
            </w:r>
            <w:r>
              <w:rPr>
                <w:rFonts w:hint="eastAsia" w:ascii="仿宋" w:hAnsi="仿宋" w:eastAsia="仿宋" w:cs="仿宋"/>
                <w:color w:val="000000"/>
                <w:sz w:val="18"/>
                <w:szCs w:val="18"/>
              </w:rPr>
              <w:t>降低油</w:t>
            </w:r>
            <w:r>
              <w:rPr>
                <w:rFonts w:hint="eastAsia" w:ascii="仿宋" w:hAnsi="仿宋" w:eastAsia="仿宋" w:cs="仿宋"/>
                <w:color w:val="000000"/>
                <w:sz w:val="18"/>
                <w:szCs w:val="18"/>
                <w:lang w:eastAsia="zh-CN"/>
              </w:rPr>
              <w:t>耗</w:t>
            </w:r>
            <w:r>
              <w:rPr>
                <w:rFonts w:hint="eastAsia" w:ascii="仿宋" w:hAnsi="仿宋" w:eastAsia="仿宋" w:cs="仿宋"/>
                <w:color w:val="000000"/>
                <w:sz w:val="18"/>
                <w:szCs w:val="18"/>
              </w:rPr>
              <w:t>等，逐步实行环保型社</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_GB2312" w:hAnsi="仿宋_GB2312" w:eastAsia="仿宋_GB2312" w:cs="仿宋_GB2312"/>
                <w:color w:val="000000"/>
                <w:sz w:val="18"/>
                <w:szCs w:val="18"/>
                <w:lang w:eastAsia="zh-CN"/>
              </w:rPr>
              <w:t>公务用车项目是</w:t>
            </w:r>
            <w:r>
              <w:rPr>
                <w:rFonts w:hint="eastAsia" w:ascii="仿宋_GB2312" w:hAnsi="仿宋_GB2312" w:eastAsia="仿宋_GB2312" w:cs="仿宋_GB2312"/>
                <w:color w:val="000000"/>
                <w:sz w:val="18"/>
                <w:szCs w:val="18"/>
              </w:rPr>
              <w:t>科学决策、有效的运行机制能减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color w:val="000000"/>
                <w:sz w:val="18"/>
                <w:szCs w:val="18"/>
                <w:lang w:eastAsia="zh-CN"/>
              </w:rPr>
              <w:t>公务用车项目减少车辆出行和环保节能</w:t>
            </w:r>
          </w:p>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sz w:val="18"/>
                <w:szCs w:val="18"/>
              </w:rPr>
            </w:pPr>
          </w:p>
          <w:p>
            <w:pPr>
              <w:keepNext w:val="0"/>
              <w:keepLines w:val="0"/>
              <w:suppressLineNumbers w:val="0"/>
              <w:spacing w:before="0" w:beforeAutospacing="0" w:after="0" w:afterAutospacing="0" w:line="360" w:lineRule="exact"/>
              <w:ind w:left="0" w:right="0"/>
              <w:jc w:val="center"/>
              <w:rPr>
                <w:rFonts w:hint="eastAsia" w:ascii="Times New Roman" w:hAnsi="Times New Roman" w:eastAsia="仿宋_GB2312" w:cs="Times New Roman"/>
                <w:kern w:val="2"/>
                <w:sz w:val="18"/>
                <w:szCs w:val="18"/>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公车节能节约、安全环保</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sz w:val="18"/>
                <w:szCs w:val="18"/>
              </w:rPr>
            </w:pPr>
            <w:r>
              <w:rPr>
                <w:rFonts w:hint="eastAsia" w:ascii="仿宋" w:hAnsi="仿宋" w:eastAsia="仿宋" w:cs="仿宋"/>
                <w:color w:val="000000"/>
                <w:kern w:val="0"/>
                <w:sz w:val="18"/>
                <w:szCs w:val="18"/>
              </w:rPr>
              <w:t>社会公众满意率达9</w:t>
            </w:r>
            <w:r>
              <w:rPr>
                <w:rFonts w:hint="eastAsia" w:ascii="仿宋" w:hAnsi="仿宋" w:eastAsia="仿宋" w:cs="仿宋"/>
                <w:color w:val="000000"/>
                <w:kern w:val="0"/>
                <w:sz w:val="18"/>
                <w:szCs w:val="18"/>
                <w:lang w:val="en-US" w:eastAsia="zh-CN"/>
              </w:rPr>
              <w:t>8</w:t>
            </w:r>
            <w:r>
              <w:rPr>
                <w:rFonts w:hint="eastAsia" w:ascii="仿宋" w:hAnsi="仿宋" w:eastAsia="仿宋" w:cs="仿宋"/>
                <w:color w:val="000000"/>
                <w:kern w:val="0"/>
                <w:sz w:val="18"/>
                <w:szCs w:val="18"/>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９８</w:t>
            </w:r>
            <w:r>
              <w:rPr>
                <w:rFonts w:hint="eastAsia" w:eastAsia="仿宋_GB2312" w:cs="Times New Roman"/>
                <w:color w:val="000000"/>
                <w:sz w:val="20"/>
                <w:szCs w:val="20"/>
                <w:lang w:val="en-US" w:eastAsia="zh-CN"/>
              </w:rPr>
              <w:t>%</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资金到位不及时；强化项目管理和监督办法</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7"/>
        <w:rPr>
          <w:rFonts w:hint="eastAsia"/>
        </w:rPr>
      </w:pPr>
    </w:p>
    <w:p>
      <w:pPr>
        <w:rPr>
          <w:rFonts w:hint="eastAsia"/>
        </w:rPr>
      </w:pPr>
    </w:p>
    <w:p>
      <w:pPr>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赵丽珍</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2023年7月8日</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联系电话：</w:t>
      </w:r>
      <w:r>
        <w:rPr>
          <w:rFonts w:hint="eastAsia" w:ascii="新宋体" w:hAnsi="新宋体" w:eastAsia="新宋体" w:cs="新宋体"/>
          <w:sz w:val="21"/>
          <w:szCs w:val="21"/>
          <w:lang w:val="en-US" w:eastAsia="zh-CN"/>
        </w:rPr>
        <w:t>13874067028</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r>
        <w:rPr>
          <w:rFonts w:hint="eastAsia" w:ascii="新宋体" w:hAnsi="新宋体" w:eastAsia="新宋体" w:cs="新宋体"/>
          <w:sz w:val="21"/>
          <w:szCs w:val="21"/>
          <w:lang w:eastAsia="zh-CN"/>
        </w:rPr>
        <w:t>陈兴</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华容县机关事务管理中心公车平台项目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华容县机关事务管理中心</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8</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华容县机关事务管理支出公车平台项目</w:t>
      </w:r>
      <w:r>
        <w:rPr>
          <w:rFonts w:hint="eastAsia" w:ascii="方正小标宋简体" w:hAnsi="方正小标宋简体" w:eastAsia="方正小标宋简体" w:cs="方正小标宋简体"/>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ascii="仿宋" w:hAnsi="仿宋" w:eastAsia="仿宋" w:cs="仿宋"/>
          <w:b w:val="0"/>
          <w:bCs w:val="0"/>
          <w:sz w:val="30"/>
          <w:szCs w:val="30"/>
          <w:lang w:val="en-US" w:eastAsia="zh-CN"/>
        </w:rPr>
      </w:pPr>
      <w:r>
        <w:rPr>
          <w:rFonts w:hint="eastAsia" w:eastAsia="仿宋_GB2312"/>
          <w:sz w:val="30"/>
          <w:szCs w:val="30"/>
        </w:rPr>
        <w:t>(一)项目概况。</w:t>
      </w:r>
      <w:r>
        <w:rPr>
          <w:rFonts w:hint="eastAsia" w:eastAsia="仿宋_GB2312"/>
          <w:sz w:val="30"/>
          <w:szCs w:val="30"/>
          <w:lang w:eastAsia="zh-CN"/>
        </w:rPr>
        <w:t>属经常性项目，保障全县公务活动用车使用、调配、维修维护以及司勤人员的管理。平台</w:t>
      </w:r>
      <w:r>
        <w:rPr>
          <w:rFonts w:hint="eastAsia" w:ascii="仿宋" w:hAnsi="仿宋" w:eastAsia="仿宋" w:cs="仿宋"/>
          <w:sz w:val="30"/>
          <w:szCs w:val="30"/>
          <w:lang w:eastAsia="zh-CN"/>
        </w:rPr>
        <w:t>共有公务用车</w:t>
      </w:r>
      <w:r>
        <w:rPr>
          <w:rFonts w:hint="eastAsia" w:ascii="仿宋" w:hAnsi="仿宋" w:eastAsia="仿宋" w:cs="仿宋"/>
          <w:sz w:val="30"/>
          <w:szCs w:val="30"/>
          <w:lang w:val="en-US" w:eastAsia="zh-CN"/>
        </w:rPr>
        <w:t>50辆，司勤人员49人，平台全年累计出车近6000次，累计行车里程近60万公里，每月回访服务对象反馈均无差评，实现了“调车零失误、安全零事故”的工作目标。</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rPr>
        <w:t>包括项目背景、主要内容及实施情况、资金投入和使用情况等</w:t>
      </w:r>
      <w:r>
        <w:rPr>
          <w:rFonts w:hint="eastAsia" w:eastAsia="仿宋_GB2312"/>
          <w:sz w:val="30"/>
          <w:szCs w:val="30"/>
          <w:lang w:eastAsia="zh-CN"/>
        </w:rPr>
        <w:t>：全年共投入资金</w:t>
      </w:r>
      <w:r>
        <w:rPr>
          <w:rFonts w:hint="eastAsia" w:eastAsia="仿宋_GB2312"/>
          <w:sz w:val="30"/>
          <w:szCs w:val="30"/>
          <w:lang w:val="en-US" w:eastAsia="zh-CN"/>
        </w:rPr>
        <w:t>500多万元，支付车辆维修保养、耗油、保险，司勤人员工资及差旅等。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00" w:firstLineChars="200"/>
        <w:jc w:val="both"/>
        <w:textAlignment w:val="auto"/>
        <w:rPr>
          <w:rFonts w:hint="eastAsia" w:eastAsia="仿宋_GB2312"/>
          <w:sz w:val="30"/>
          <w:szCs w:val="30"/>
        </w:rPr>
      </w:pPr>
      <w:r>
        <w:rPr>
          <w:rFonts w:hint="eastAsia" w:eastAsia="仿宋_GB2312"/>
          <w:sz w:val="30"/>
          <w:szCs w:val="30"/>
          <w:lang w:eastAsia="zh-CN"/>
        </w:rPr>
        <w:t>（</w:t>
      </w:r>
      <w:r>
        <w:rPr>
          <w:rFonts w:hint="eastAsia" w:eastAsia="仿宋_GB2312"/>
          <w:sz w:val="30"/>
          <w:szCs w:val="30"/>
        </w:rPr>
        <w:t>二)项目绩效目标。</w:t>
      </w:r>
      <w:r>
        <w:rPr>
          <w:rFonts w:hint="eastAsia" w:ascii="仿宋_GB2312" w:hAnsi="仿宋_GB2312" w:eastAsia="仿宋_GB2312" w:cs="仿宋_GB2312"/>
          <w:sz w:val="30"/>
          <w:szCs w:val="30"/>
          <w:lang w:val="en-US" w:eastAsia="zh-CN"/>
        </w:rPr>
        <w:t>稳步推进</w:t>
      </w:r>
      <w:r>
        <w:rPr>
          <w:rFonts w:hint="eastAsia" w:ascii="仿宋_GB2312" w:hAnsi="宋体" w:eastAsia="仿宋_GB2312" w:cs="宋体"/>
          <w:b w:val="0"/>
          <w:bCs w:val="0"/>
          <w:sz w:val="30"/>
          <w:szCs w:val="30"/>
          <w:lang w:val="en-US" w:eastAsia="zh-CN"/>
        </w:rPr>
        <w:t>“全省一张网”公务用车信息化管理系统建设，升级改造4G车载终端系统；提高出行率和节约率，保障公务车两的良好车况及安全。</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lang w:eastAsia="zh-CN"/>
        </w:rPr>
      </w:pPr>
      <w:r>
        <w:rPr>
          <w:rFonts w:hint="eastAsia" w:eastAsia="仿宋_GB2312"/>
          <w:sz w:val="30"/>
          <w:szCs w:val="30"/>
          <w:lang w:eastAsia="zh-CN"/>
        </w:rPr>
        <w:t>全县公务车的使用、调配、司勤人员管理以及车辆维修、维护，司勤人员的管理。</w:t>
      </w:r>
    </w:p>
    <w:p>
      <w:pPr>
        <w:keepNext w:val="0"/>
        <w:keepLines w:val="0"/>
        <w:pageBreakBefore w:val="0"/>
        <w:numPr>
          <w:ilvl w:val="0"/>
          <w:numId w:val="3"/>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绩效评价原则、评价指标体系(附表说明)、评价方法、 评价标准等</w:t>
      </w:r>
    </w:p>
    <w:p>
      <w:pPr>
        <w:keepNext w:val="0"/>
        <w:keepLines w:val="0"/>
        <w:pageBreakBefore w:val="0"/>
        <w:numPr>
          <w:ilvl w:val="0"/>
          <w:numId w:val="0"/>
        </w:numPr>
        <w:kinsoku/>
        <w:wordWrap/>
        <w:overflowPunct/>
        <w:topLinePunct w:val="0"/>
        <w:autoSpaceDE/>
        <w:autoSpaceDN/>
        <w:bidi w:val="0"/>
        <w:adjustRightInd/>
        <w:snapToGrid/>
        <w:spacing w:line="610" w:lineRule="exact"/>
        <w:textAlignment w:val="auto"/>
        <w:rPr>
          <w:rFonts w:hint="eastAsia" w:eastAsia="仿宋_GB2312"/>
          <w:sz w:val="30"/>
          <w:szCs w:val="30"/>
          <w:lang w:eastAsia="zh-CN"/>
        </w:rPr>
      </w:pPr>
      <w:r>
        <w:rPr>
          <w:rFonts w:hint="eastAsia" w:eastAsia="仿宋_GB2312"/>
          <w:sz w:val="30"/>
          <w:szCs w:val="30"/>
          <w:lang w:eastAsia="zh-CN"/>
        </w:rPr>
        <w:t>　　项目进行时集体研究讨论，专人负责，及时跟踪项目实施和进展情况，保障公务车辆高效运行。</w:t>
      </w:r>
    </w:p>
    <w:p>
      <w:pPr>
        <w:keepNext w:val="0"/>
        <w:keepLines w:val="0"/>
        <w:pageBreakBefore w:val="0"/>
        <w:numPr>
          <w:ilvl w:val="0"/>
          <w:numId w:val="3"/>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绩效评价工作过程</w:t>
      </w:r>
    </w:p>
    <w:p>
      <w:pPr>
        <w:keepNext w:val="0"/>
        <w:keepLines w:val="0"/>
        <w:pageBreakBefore w:val="0"/>
        <w:numPr>
          <w:ilvl w:val="0"/>
          <w:numId w:val="0"/>
        </w:numPr>
        <w:kinsoku/>
        <w:wordWrap/>
        <w:overflowPunct/>
        <w:topLinePunct w:val="0"/>
        <w:autoSpaceDE/>
        <w:autoSpaceDN/>
        <w:bidi w:val="0"/>
        <w:adjustRightInd/>
        <w:snapToGrid/>
        <w:spacing w:line="610" w:lineRule="exact"/>
        <w:ind w:leftChars="200"/>
        <w:textAlignment w:val="auto"/>
        <w:rPr>
          <w:rFonts w:hint="eastAsia" w:eastAsia="仿宋_GB2312"/>
          <w:sz w:val="30"/>
          <w:szCs w:val="30"/>
          <w:lang w:eastAsia="zh-CN"/>
        </w:rPr>
      </w:pPr>
      <w:r>
        <w:rPr>
          <w:rFonts w:hint="eastAsia" w:eastAsia="仿宋_GB2312"/>
          <w:sz w:val="30"/>
          <w:szCs w:val="30"/>
          <w:lang w:eastAsia="zh-CN"/>
        </w:rPr>
        <w:t>　　项目经费严格按照财经纪律和项目实施情况进行支付；车辆和人员严格按照公务用车管理制度和劳务派遣用人制度执行。</w:t>
      </w:r>
    </w:p>
    <w:p>
      <w:pPr>
        <w:keepNext w:val="0"/>
        <w:keepLines w:val="0"/>
        <w:pageBreakBefore w:val="0"/>
        <w:numPr>
          <w:ilvl w:val="0"/>
          <w:numId w:val="1"/>
        </w:numPr>
        <w:kinsoku/>
        <w:wordWrap/>
        <w:overflowPunct/>
        <w:topLinePunct w:val="0"/>
        <w:autoSpaceDE/>
        <w:autoSpaceDN/>
        <w:bidi w:val="0"/>
        <w:adjustRightInd/>
        <w:snapToGrid/>
        <w:spacing w:line="61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综合评价情况及评价结论 </w:t>
      </w:r>
    </w:p>
    <w:p>
      <w:pPr>
        <w:pStyle w:val="2"/>
        <w:numPr>
          <w:ilvl w:val="0"/>
          <w:numId w:val="0"/>
        </w:numPr>
        <w:ind w:leftChars="200"/>
        <w:rPr>
          <w:rFonts w:hint="eastAsia" w:ascii="仿宋" w:hAnsi="仿宋" w:eastAsia="仿宋" w:cs="仿宋"/>
          <w:sz w:val="28"/>
          <w:szCs w:val="28"/>
          <w:lang w:eastAsia="zh-CN"/>
        </w:rPr>
      </w:pPr>
      <w:r>
        <w:rPr>
          <w:rFonts w:hint="eastAsia" w:ascii="仿宋" w:hAnsi="仿宋" w:eastAsia="仿宋" w:cs="仿宋"/>
          <w:sz w:val="28"/>
          <w:szCs w:val="28"/>
          <w:lang w:eastAsia="zh-CN"/>
        </w:rPr>
        <w:t>　　公务车运行项目工作的开展，为工作人员因公出行任力提供一个良好、高效的工作条件，让工作人员更高效的开展各项工作，更好的服务于人民群众。</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pStyle w:val="2"/>
        <w:rPr>
          <w:rFonts w:hint="eastAsia" w:eastAsia="仿宋_GB2312"/>
          <w:lang w:eastAsia="zh-CN"/>
        </w:rPr>
      </w:pPr>
      <w:r>
        <w:rPr>
          <w:rFonts w:hint="eastAsia" w:eastAsia="仿宋_GB2312"/>
          <w:sz w:val="30"/>
          <w:szCs w:val="30"/>
          <w:lang w:eastAsia="zh-CN"/>
        </w:rPr>
        <w:t>项目资金与项目内容高度吻合</w:t>
      </w: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项目过程情况。</w:t>
      </w:r>
    </w:p>
    <w:p>
      <w:pPr>
        <w:pStyle w:val="2"/>
        <w:numPr>
          <w:ilvl w:val="0"/>
          <w:numId w:val="0"/>
        </w:numPr>
        <w:ind w:leftChars="400"/>
        <w:rPr>
          <w:rFonts w:hint="eastAsia" w:ascii="仿宋" w:hAnsi="仿宋" w:eastAsia="仿宋" w:cs="仿宋"/>
          <w:sz w:val="28"/>
          <w:szCs w:val="28"/>
          <w:lang w:eastAsia="zh-CN"/>
        </w:rPr>
      </w:pPr>
      <w:r>
        <w:rPr>
          <w:rFonts w:hint="eastAsia" w:ascii="仿宋" w:hAnsi="仿宋" w:eastAsia="仿宋" w:cs="仿宋"/>
          <w:sz w:val="28"/>
          <w:szCs w:val="28"/>
          <w:lang w:eastAsia="zh-CN"/>
        </w:rPr>
        <w:t>项目计划安排和实际工作情况开支，做到了专款专用。</w:t>
      </w:r>
    </w:p>
    <w:p>
      <w:pPr>
        <w:keepNext w:val="0"/>
        <w:keepLines w:val="0"/>
        <w:pageBreakBefore w:val="0"/>
        <w:numPr>
          <w:ilvl w:val="0"/>
          <w:numId w:val="4"/>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项目产出情况。</w:t>
      </w:r>
    </w:p>
    <w:p>
      <w:pPr>
        <w:pStyle w:val="2"/>
        <w:numPr>
          <w:ilvl w:val="0"/>
          <w:numId w:val="0"/>
        </w:numPr>
        <w:ind w:leftChars="200"/>
        <w:rPr>
          <w:rFonts w:hint="eastAsia" w:ascii="仿宋" w:hAnsi="仿宋" w:eastAsia="仿宋" w:cs="仿宋"/>
          <w:sz w:val="28"/>
          <w:szCs w:val="28"/>
          <w:lang w:eastAsia="zh-CN"/>
        </w:rPr>
      </w:pPr>
      <w:r>
        <w:rPr>
          <w:rFonts w:hint="eastAsia"/>
          <w:lang w:eastAsia="zh-CN"/>
        </w:rPr>
        <w:t>　　</w:t>
      </w:r>
      <w:r>
        <w:rPr>
          <w:rFonts w:hint="eastAsia" w:ascii="仿宋" w:hAnsi="仿宋" w:eastAsia="仿宋" w:cs="仿宋"/>
          <w:sz w:val="28"/>
          <w:szCs w:val="28"/>
          <w:lang w:eastAsia="zh-CN"/>
        </w:rPr>
        <w:t>本着节约经费，严格按照规定进行支付</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(四)项目效益情况。</w:t>
      </w:r>
    </w:p>
    <w:p>
      <w:pPr>
        <w:pStyle w:val="2"/>
        <w:rPr>
          <w:rFonts w:hint="eastAsia" w:ascii="仿宋" w:hAnsi="仿宋" w:eastAsia="仿宋" w:cs="仿宋"/>
          <w:sz w:val="28"/>
          <w:szCs w:val="28"/>
          <w:lang w:eastAsia="zh-CN"/>
        </w:rPr>
      </w:pPr>
      <w:r>
        <w:rPr>
          <w:rFonts w:hint="eastAsia" w:ascii="仿宋" w:hAnsi="仿宋" w:eastAsia="仿宋" w:cs="仿宋"/>
          <w:sz w:val="28"/>
          <w:szCs w:val="28"/>
          <w:lang w:val="en-US" w:eastAsia="zh-CN"/>
        </w:rPr>
        <w:t>2022年</w:t>
      </w:r>
      <w:r>
        <w:rPr>
          <w:rFonts w:hint="eastAsia" w:ascii="仿宋" w:hAnsi="仿宋" w:eastAsia="仿宋" w:cs="仿宋"/>
          <w:sz w:val="28"/>
          <w:szCs w:val="28"/>
          <w:lang w:eastAsia="zh-CN"/>
        </w:rPr>
        <w:t>项目经费达到使用功能的目的</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2"/>
        <w:rPr>
          <w:rFonts w:hint="eastAsia" w:ascii="仿宋" w:hAnsi="仿宋" w:eastAsia="仿宋" w:cs="仿宋"/>
          <w:b w:val="0"/>
          <w:bCs w:val="0"/>
          <w:lang w:eastAsia="zh-CN"/>
        </w:rPr>
      </w:pPr>
      <w:r>
        <w:rPr>
          <w:rFonts w:hint="eastAsia" w:ascii="仿宋" w:hAnsi="仿宋" w:eastAsia="仿宋" w:cs="仿宋"/>
          <w:b w:val="0"/>
          <w:bCs w:val="0"/>
          <w:sz w:val="30"/>
          <w:szCs w:val="30"/>
          <w:lang w:eastAsia="zh-CN"/>
        </w:rPr>
        <w:t>公务用车专项经费，主要用于公车的维修、保养、耗油、保险、司勤工资、差旅等，经费严格按照相关制度和项目实施实情况支付，项目进展和跟踪情况有专人负责。但因资金不能及时到位，影响车辆日常运行支出、另不能按月发放工资，影响司勤人员的生活水平和情绪，为行车带来不安全因素。</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F78E80C-2ABA-4EC8-A0CA-6877CEEB4352}"/>
  </w:font>
  <w:font w:name="Arial">
    <w:panose1 w:val="020B0604020202020204"/>
    <w:charset w:val="01"/>
    <w:family w:val="swiss"/>
    <w:pitch w:val="default"/>
    <w:sig w:usb0="E0002AFF" w:usb1="C0007843" w:usb2="00000009" w:usb3="00000000" w:csb0="400001FF" w:csb1="FFFF0000"/>
    <w:embedRegular r:id="rId2" w:fontKey="{BCBCB758-788C-431C-B77F-99F905D80BB3}"/>
  </w:font>
  <w:font w:name="黑体">
    <w:panose1 w:val="02010609060101010101"/>
    <w:charset w:val="86"/>
    <w:family w:val="auto"/>
    <w:pitch w:val="default"/>
    <w:sig w:usb0="800002BF" w:usb1="38CF7CFA" w:usb2="00000016" w:usb3="00000000" w:csb0="00040001" w:csb1="00000000"/>
    <w:embedRegular r:id="rId3" w:fontKey="{521E8691-E0D0-4D5C-BA72-6CFFA6C5A8CC}"/>
  </w:font>
  <w:font w:name="Courier New">
    <w:panose1 w:val="02070309020205020404"/>
    <w:charset w:val="01"/>
    <w:family w:val="modern"/>
    <w:pitch w:val="default"/>
    <w:sig w:usb0="E0002AFF" w:usb1="C0007843" w:usb2="00000009" w:usb3="00000000" w:csb0="400001FF" w:csb1="FFFF0000"/>
    <w:embedRegular r:id="rId4" w:fontKey="{E80C5AF0-98F5-4E2C-A0A9-17C8956B3F70}"/>
  </w:font>
  <w:font w:name="Symbol">
    <w:panose1 w:val="05050102010706020507"/>
    <w:charset w:val="02"/>
    <w:family w:val="roman"/>
    <w:pitch w:val="default"/>
    <w:sig w:usb0="00000000" w:usb1="00000000" w:usb2="00000000" w:usb3="00000000" w:csb0="80000000" w:csb1="00000000"/>
    <w:embedRegular r:id="rId5" w:fontKey="{D2555C3F-08AC-440C-94EC-334414570448}"/>
  </w:font>
  <w:font w:name="Calibri">
    <w:panose1 w:val="020F0502020204030204"/>
    <w:charset w:val="00"/>
    <w:family w:val="swiss"/>
    <w:pitch w:val="default"/>
    <w:sig w:usb0="E10002FF" w:usb1="4000ACFF" w:usb2="00000009" w:usb3="00000000" w:csb0="2000019F" w:csb1="00000000"/>
    <w:embedRegular r:id="rId6" w:fontKey="{13BD4356-D3ED-4C92-8B2A-498F658F125B}"/>
  </w:font>
  <w:font w:name="仿宋_GB2312">
    <w:panose1 w:val="02010609030101010101"/>
    <w:charset w:val="86"/>
    <w:family w:val="auto"/>
    <w:pitch w:val="default"/>
    <w:sig w:usb0="00000001" w:usb1="080E0000" w:usb2="00000000" w:usb3="00000000" w:csb0="00040000" w:csb1="00000000"/>
    <w:embedRegular r:id="rId7" w:fontKey="{5D65D563-0D6F-4236-ABFC-A44A1CF3E487}"/>
  </w:font>
  <w:font w:name="方正小标宋简体">
    <w:altName w:val="仿宋_GB2312"/>
    <w:panose1 w:val="02010601030101010101"/>
    <w:charset w:val="86"/>
    <w:family w:val="auto"/>
    <w:pitch w:val="default"/>
    <w:sig w:usb0="00000000" w:usb1="00000000" w:usb2="00000000" w:usb3="00000000" w:csb0="00040000" w:csb1="00000000"/>
    <w:embedRegular r:id="rId8" w:fontKey="{0F3D832D-AE74-497A-AA4E-36BA2E51D0C8}"/>
  </w:font>
  <w:font w:name="新宋体">
    <w:panose1 w:val="02010609030101010101"/>
    <w:charset w:val="86"/>
    <w:family w:val="auto"/>
    <w:pitch w:val="default"/>
    <w:sig w:usb0="00000003" w:usb1="288F0000" w:usb2="00000006" w:usb3="00000000" w:csb0="00040001" w:csb1="00000000"/>
    <w:embedRegular r:id="rId9" w:fontKey="{8837781D-CE18-42F6-88D6-5C4A804DD840}"/>
  </w:font>
  <w:font w:name="仿宋">
    <w:panose1 w:val="02010609060101010101"/>
    <w:charset w:val="86"/>
    <w:family w:val="auto"/>
    <w:pitch w:val="default"/>
    <w:sig w:usb0="800002BF" w:usb1="38CF7CFA" w:usb2="00000016" w:usb3="00000000" w:csb0="00040001" w:csb1="00000000"/>
    <w:embedRegular r:id="rId10" w:fontKey="{352D32A0-CB38-4D95-9974-7038D983419F}"/>
  </w:font>
  <w:font w:name="方正小标宋_GBK">
    <w:panose1 w:val="03000509000000000000"/>
    <w:charset w:val="86"/>
    <w:family w:val="script"/>
    <w:pitch w:val="default"/>
    <w:sig w:usb0="00000001" w:usb1="080E0000" w:usb2="00000000" w:usb3="00000000" w:csb0="00040000" w:csb1="00000000"/>
    <w:embedRegular r:id="rId11" w:fontKey="{D33CB9FB-D9F0-4102-AA74-B484A5FD164F}"/>
  </w:font>
  <w:font w:name="楷体_GB2312">
    <w:panose1 w:val="02010609030101010101"/>
    <w:charset w:val="86"/>
    <w:family w:val="auto"/>
    <w:pitch w:val="default"/>
    <w:sig w:usb0="00000001" w:usb1="080E0000" w:usb2="00000000" w:usb3="00000000" w:csb0="00040000" w:csb1="00000000"/>
    <w:embedRegular r:id="rId12" w:fontKey="{76B91EFE-46D4-4121-AD6B-B7A8BE68B1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C485B7"/>
    <w:multiLevelType w:val="singleLevel"/>
    <w:tmpl w:val="A7C485B7"/>
    <w:lvl w:ilvl="0" w:tentative="0">
      <w:start w:val="1"/>
      <w:numFmt w:val="chineseCounting"/>
      <w:suff w:val="nothing"/>
      <w:lvlText w:val="%1、"/>
      <w:lvlJc w:val="left"/>
      <w:rPr>
        <w:rFonts w:hint="eastAsia"/>
      </w:rPr>
    </w:lvl>
  </w:abstractNum>
  <w:abstractNum w:abstractNumId="1">
    <w:nsid w:val="C7AF1FC5"/>
    <w:multiLevelType w:val="singleLevel"/>
    <w:tmpl w:val="C7AF1FC5"/>
    <w:lvl w:ilvl="0" w:tentative="0">
      <w:start w:val="2"/>
      <w:numFmt w:val="chineseCounting"/>
      <w:lvlText w:val="(%1)"/>
      <w:lvlJc w:val="left"/>
      <w:pPr>
        <w:tabs>
          <w:tab w:val="left" w:pos="312"/>
        </w:tabs>
      </w:pPr>
      <w:rPr>
        <w:rFonts w:hint="eastAsia"/>
      </w:rPr>
    </w:lvl>
  </w:abstractNum>
  <w:abstractNum w:abstractNumId="2">
    <w:nsid w:val="CB13AF0F"/>
    <w:multiLevelType w:val="singleLevel"/>
    <w:tmpl w:val="CB13AF0F"/>
    <w:lvl w:ilvl="0" w:tentative="0">
      <w:start w:val="6"/>
      <w:numFmt w:val="chineseCounting"/>
      <w:suff w:val="nothing"/>
      <w:lvlText w:val="%1、"/>
      <w:lvlJc w:val="left"/>
      <w:rPr>
        <w:rFonts w:hint="eastAsia"/>
      </w:rPr>
    </w:lvl>
  </w:abstractNum>
  <w:abstractNum w:abstractNumId="3">
    <w:nsid w:val="1CB6C5AE"/>
    <w:multiLevelType w:val="singleLevel"/>
    <w:tmpl w:val="1CB6C5AE"/>
    <w:lvl w:ilvl="0" w:tentative="0">
      <w:start w:val="2"/>
      <w:numFmt w:val="chineseCounting"/>
      <w:lvlText w:val="(%1)"/>
      <w:lvlJc w:val="left"/>
      <w:pPr>
        <w:tabs>
          <w:tab w:val="left" w:pos="312"/>
        </w:tabs>
      </w:pPr>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0CCB7736"/>
    <w:rsid w:val="00047FEF"/>
    <w:rsid w:val="000A3906"/>
    <w:rsid w:val="001776F1"/>
    <w:rsid w:val="00311F99"/>
    <w:rsid w:val="006F0A16"/>
    <w:rsid w:val="00773328"/>
    <w:rsid w:val="00821883"/>
    <w:rsid w:val="00917857"/>
    <w:rsid w:val="00A755C2"/>
    <w:rsid w:val="016A347B"/>
    <w:rsid w:val="01792402"/>
    <w:rsid w:val="017F5203"/>
    <w:rsid w:val="02B37CE0"/>
    <w:rsid w:val="02B50488"/>
    <w:rsid w:val="0338470A"/>
    <w:rsid w:val="034822A9"/>
    <w:rsid w:val="03D86621"/>
    <w:rsid w:val="04EE6171"/>
    <w:rsid w:val="05395EA9"/>
    <w:rsid w:val="08F31FA8"/>
    <w:rsid w:val="0ABD557B"/>
    <w:rsid w:val="0BBB5A8D"/>
    <w:rsid w:val="0C104906"/>
    <w:rsid w:val="0CCB7736"/>
    <w:rsid w:val="0D9E0E8D"/>
    <w:rsid w:val="0EAB7397"/>
    <w:rsid w:val="0ED14B39"/>
    <w:rsid w:val="0EF755B3"/>
    <w:rsid w:val="0F17035E"/>
    <w:rsid w:val="0F4E168D"/>
    <w:rsid w:val="11404466"/>
    <w:rsid w:val="11963ADD"/>
    <w:rsid w:val="11971F7D"/>
    <w:rsid w:val="11EB0F5C"/>
    <w:rsid w:val="11F20483"/>
    <w:rsid w:val="136F31F8"/>
    <w:rsid w:val="138750E0"/>
    <w:rsid w:val="15A620D3"/>
    <w:rsid w:val="16A3369E"/>
    <w:rsid w:val="178536BD"/>
    <w:rsid w:val="18925A14"/>
    <w:rsid w:val="19516372"/>
    <w:rsid w:val="19575CC2"/>
    <w:rsid w:val="19A80228"/>
    <w:rsid w:val="1A101464"/>
    <w:rsid w:val="1AB74849"/>
    <w:rsid w:val="1AC52FF2"/>
    <w:rsid w:val="1AE6175D"/>
    <w:rsid w:val="1B742AA7"/>
    <w:rsid w:val="1CA34935"/>
    <w:rsid w:val="1D5A640E"/>
    <w:rsid w:val="1E8E440A"/>
    <w:rsid w:val="1F7640EC"/>
    <w:rsid w:val="20D76C5F"/>
    <w:rsid w:val="21057490"/>
    <w:rsid w:val="214A230E"/>
    <w:rsid w:val="21B052C4"/>
    <w:rsid w:val="22FF5445"/>
    <w:rsid w:val="238D0E57"/>
    <w:rsid w:val="24256710"/>
    <w:rsid w:val="24DD14BD"/>
    <w:rsid w:val="251E7983"/>
    <w:rsid w:val="260D5D83"/>
    <w:rsid w:val="266F0018"/>
    <w:rsid w:val="2734580E"/>
    <w:rsid w:val="284A2254"/>
    <w:rsid w:val="292F1467"/>
    <w:rsid w:val="29786927"/>
    <w:rsid w:val="297B51B4"/>
    <w:rsid w:val="29E40467"/>
    <w:rsid w:val="29F527E2"/>
    <w:rsid w:val="2B8E7BE2"/>
    <w:rsid w:val="2BF35971"/>
    <w:rsid w:val="2C487650"/>
    <w:rsid w:val="2E4F43C0"/>
    <w:rsid w:val="2EC7368E"/>
    <w:rsid w:val="2F612309"/>
    <w:rsid w:val="30FB4B41"/>
    <w:rsid w:val="31621165"/>
    <w:rsid w:val="323C5548"/>
    <w:rsid w:val="32A25C3D"/>
    <w:rsid w:val="37450F88"/>
    <w:rsid w:val="37D6106F"/>
    <w:rsid w:val="38F862EB"/>
    <w:rsid w:val="39343807"/>
    <w:rsid w:val="39887BBC"/>
    <w:rsid w:val="3A53023B"/>
    <w:rsid w:val="3AF42D2D"/>
    <w:rsid w:val="3B3A041F"/>
    <w:rsid w:val="3BAE6BF9"/>
    <w:rsid w:val="3CCA47F2"/>
    <w:rsid w:val="3CDE0708"/>
    <w:rsid w:val="3D5877DF"/>
    <w:rsid w:val="3DC55CAA"/>
    <w:rsid w:val="3DD556CA"/>
    <w:rsid w:val="3F450429"/>
    <w:rsid w:val="40226C80"/>
    <w:rsid w:val="40C451A5"/>
    <w:rsid w:val="4156470B"/>
    <w:rsid w:val="41943ACE"/>
    <w:rsid w:val="425D4066"/>
    <w:rsid w:val="43173FD4"/>
    <w:rsid w:val="44143822"/>
    <w:rsid w:val="44654A12"/>
    <w:rsid w:val="457C5F26"/>
    <w:rsid w:val="49CF255F"/>
    <w:rsid w:val="49E24FF6"/>
    <w:rsid w:val="4A43670F"/>
    <w:rsid w:val="4B2C5DCD"/>
    <w:rsid w:val="4B7D1173"/>
    <w:rsid w:val="4C150E22"/>
    <w:rsid w:val="4C6A38FC"/>
    <w:rsid w:val="4CE74BC3"/>
    <w:rsid w:val="4CF5000E"/>
    <w:rsid w:val="4DB17672"/>
    <w:rsid w:val="4DFA55D7"/>
    <w:rsid w:val="50AC44C4"/>
    <w:rsid w:val="50EA6DB9"/>
    <w:rsid w:val="51CA7471"/>
    <w:rsid w:val="521C2FA3"/>
    <w:rsid w:val="522529B2"/>
    <w:rsid w:val="53910AF4"/>
    <w:rsid w:val="53EC7009"/>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1C7236"/>
    <w:rsid w:val="667E0AA1"/>
    <w:rsid w:val="68FB17C3"/>
    <w:rsid w:val="694F4B10"/>
    <w:rsid w:val="695F12F9"/>
    <w:rsid w:val="69636C3A"/>
    <w:rsid w:val="69CF7B2C"/>
    <w:rsid w:val="6A0B0004"/>
    <w:rsid w:val="6AEA0806"/>
    <w:rsid w:val="6BA1010E"/>
    <w:rsid w:val="6C6E077A"/>
    <w:rsid w:val="6CE47E41"/>
    <w:rsid w:val="6CED5810"/>
    <w:rsid w:val="6CF92413"/>
    <w:rsid w:val="6DFE5E04"/>
    <w:rsid w:val="6E87203D"/>
    <w:rsid w:val="6F9278BB"/>
    <w:rsid w:val="71572F19"/>
    <w:rsid w:val="719B7427"/>
    <w:rsid w:val="724A6793"/>
    <w:rsid w:val="741F26FA"/>
    <w:rsid w:val="74470DF8"/>
    <w:rsid w:val="75FD1676"/>
    <w:rsid w:val="76065B94"/>
    <w:rsid w:val="764566BC"/>
    <w:rsid w:val="76E1524A"/>
    <w:rsid w:val="796156A0"/>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0"/>
    <w:pPr>
      <w:keepNext/>
      <w:keepLines/>
      <w:outlineLvl w:val="0"/>
    </w:pPr>
    <w:rPr>
      <w:rFonts w:eastAsia="黑体"/>
      <w:bCs/>
      <w:kern w:val="44"/>
      <w:szCs w:val="44"/>
    </w:rPr>
  </w:style>
  <w:style w:type="character" w:default="1" w:styleId="10">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next w:val="1"/>
    <w:qFormat/>
    <w:uiPriority w:val="0"/>
    <w:pPr>
      <w:snapToGrid w:val="0"/>
      <w:jc w:val="left"/>
    </w:pPr>
    <w:rPr>
      <w:sz w:val="18"/>
      <w:szCs w:val="18"/>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Footer Char"/>
    <w:basedOn w:val="10"/>
    <w:link w:val="5"/>
    <w:semiHidden/>
    <w:qFormat/>
    <w:uiPriority w:val="99"/>
    <w:rPr>
      <w:sz w:val="18"/>
      <w:szCs w:val="18"/>
    </w:rPr>
  </w:style>
  <w:style w:type="character" w:customStyle="1" w:styleId="13">
    <w:name w:val="Header Char"/>
    <w:basedOn w:val="10"/>
    <w:link w:val="6"/>
    <w:semiHidden/>
    <w:qFormat/>
    <w:uiPriority w:val="99"/>
    <w:rPr>
      <w:sz w:val="18"/>
      <w:szCs w:val="18"/>
    </w:rPr>
  </w:style>
  <w:style w:type="paragraph" w:styleId="14">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5560</Words>
  <Characters>6135</Characters>
  <Lines>0</Lines>
  <Paragraphs>0</Paragraphs>
  <TotalTime>146</TotalTime>
  <ScaleCrop>false</ScaleCrop>
  <LinksUpToDate>false</LinksUpToDate>
  <CharactersWithSpaces>6523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戴</cp:lastModifiedBy>
  <cp:lastPrinted>2023-07-03T04:40:00Z</cp:lastPrinted>
  <dcterms:modified xsi:type="dcterms:W3CDTF">2023-07-18T00:53:59Z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