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600" w:lineRule="exact"/>
        <w:rPr>
          <w:rFonts w:ascii="黑体" w:hAnsi="黑体" w:eastAsia="黑体" w:cs="黑体"/>
          <w:sz w:val="32"/>
          <w:szCs w:val="32"/>
        </w:rPr>
      </w:pPr>
      <w:r>
        <w:rPr>
          <w:rFonts w:hint="eastAsia" w:ascii="黑体" w:hAnsi="黑体" w:eastAsia="黑体" w:cs="黑体"/>
          <w:sz w:val="32"/>
          <w:szCs w:val="32"/>
        </w:rPr>
        <w:t>附件1</w:t>
      </w:r>
    </w:p>
    <w:p>
      <w:pPr>
        <w:spacing w:before="156" w:beforeLines="50" w:after="312" w:afterLines="10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2022年度部门整体支出绩效评价基础数据表</w:t>
      </w:r>
    </w:p>
    <w:tbl>
      <w:tblPr>
        <w:tblStyle w:val="6"/>
        <w:tblW w:w="4998" w:type="pct"/>
        <w:jc w:val="center"/>
        <w:tblLayout w:type="autofit"/>
        <w:tblCellMar>
          <w:top w:w="0" w:type="dxa"/>
          <w:left w:w="108" w:type="dxa"/>
          <w:bottom w:w="0" w:type="dxa"/>
          <w:right w:w="108" w:type="dxa"/>
        </w:tblCellMar>
      </w:tblPr>
      <w:tblGrid>
        <w:gridCol w:w="3220"/>
        <w:gridCol w:w="1955"/>
        <w:gridCol w:w="2436"/>
        <w:gridCol w:w="1673"/>
      </w:tblGrid>
      <w:tr>
        <w:tblPrEx>
          <w:tblCellMar>
            <w:top w:w="0" w:type="dxa"/>
            <w:left w:w="108" w:type="dxa"/>
            <w:bottom w:w="0" w:type="dxa"/>
            <w:right w:w="108" w:type="dxa"/>
          </w:tblCellMar>
        </w:tblPrEx>
        <w:trPr>
          <w:trHeight w:val="539" w:hRule="atLeast"/>
          <w:jc w:val="center"/>
        </w:trPr>
        <w:tc>
          <w:tcPr>
            <w:tcW w:w="173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财政供养人员情况（人）</w:t>
            </w:r>
          </w:p>
        </w:tc>
        <w:tc>
          <w:tcPr>
            <w:tcW w:w="1053"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编制数</w:t>
            </w:r>
          </w:p>
        </w:tc>
        <w:tc>
          <w:tcPr>
            <w:tcW w:w="1312"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2022年实际在职人数</w:t>
            </w:r>
          </w:p>
        </w:tc>
        <w:tc>
          <w:tcPr>
            <w:tcW w:w="901"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控制率</w:t>
            </w:r>
          </w:p>
        </w:tc>
      </w:tr>
      <w:tr>
        <w:tblPrEx>
          <w:tblCellMar>
            <w:top w:w="0" w:type="dxa"/>
            <w:left w:w="108" w:type="dxa"/>
            <w:bottom w:w="0" w:type="dxa"/>
            <w:right w:w="108" w:type="dxa"/>
          </w:tblCellMar>
        </w:tblPrEx>
        <w:trPr>
          <w:trHeight w:val="539" w:hRule="atLeast"/>
          <w:jc w:val="center"/>
        </w:trPr>
        <w:tc>
          <w:tcPr>
            <w:tcW w:w="1734"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szCs w:val="21"/>
              </w:rPr>
            </w:pPr>
          </w:p>
        </w:tc>
        <w:tc>
          <w:tcPr>
            <w:tcW w:w="1053"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hint="eastAsia" w:ascii="新宋体" w:hAnsi="新宋体" w:eastAsia="新宋体" w:cs="新宋体"/>
                <w:szCs w:val="21"/>
                <w:lang w:eastAsia="zh-CN"/>
              </w:rPr>
            </w:pPr>
            <w:r>
              <w:rPr>
                <w:rFonts w:hint="eastAsia" w:ascii="新宋体" w:hAnsi="新宋体" w:eastAsia="新宋体" w:cs="新宋体"/>
                <w:szCs w:val="21"/>
              </w:rPr>
              <w:t>4</w:t>
            </w:r>
            <w:r>
              <w:rPr>
                <w:rFonts w:hint="eastAsia" w:ascii="新宋体" w:hAnsi="新宋体" w:eastAsia="新宋体" w:cs="新宋体"/>
                <w:szCs w:val="21"/>
                <w:lang w:val="en-US" w:eastAsia="zh-CN"/>
              </w:rPr>
              <w:t>3</w:t>
            </w:r>
          </w:p>
        </w:tc>
        <w:tc>
          <w:tcPr>
            <w:tcW w:w="1312"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41</w:t>
            </w:r>
          </w:p>
        </w:tc>
        <w:tc>
          <w:tcPr>
            <w:tcW w:w="901" w:type="pct"/>
            <w:tcBorders>
              <w:top w:val="single" w:color="auto" w:sz="4" w:space="0"/>
              <w:left w:val="nil"/>
              <w:bottom w:val="single" w:color="auto" w:sz="4" w:space="0"/>
              <w:right w:val="single" w:color="auto"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lang w:val="en-US" w:eastAsia="zh-CN"/>
              </w:rPr>
              <w:t>95</w:t>
            </w:r>
            <w:r>
              <w:rPr>
                <w:rFonts w:hint="eastAsia" w:ascii="新宋体" w:hAnsi="新宋体" w:eastAsia="新宋体" w:cs="新宋体"/>
                <w:szCs w:val="21"/>
              </w:rPr>
              <w:t>%</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经费控制情况（万元）</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2021年决算数</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2022年预算数</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b/>
                <w:bCs/>
                <w:szCs w:val="21"/>
              </w:rPr>
            </w:pPr>
            <w:r>
              <w:rPr>
                <w:rFonts w:hint="eastAsia" w:ascii="新宋体" w:hAnsi="新宋体" w:eastAsia="新宋体" w:cs="新宋体"/>
                <w:b/>
                <w:bCs/>
                <w:szCs w:val="21"/>
              </w:rPr>
              <w:t>2022年决算数</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一、基本支出：</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535.76</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573.02</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573.02</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其中：三公经费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2.69</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2.57</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1.公务用车购置和维护经费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其中：公车购置</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公车运行维护</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2.出国经费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0</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3.公务接待</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2.69</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2.57</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二、项目支出：</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496</w:t>
            </w:r>
          </w:p>
        </w:tc>
        <w:tc>
          <w:tcPr>
            <w:tcW w:w="1312"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140.62</w:t>
            </w:r>
          </w:p>
        </w:tc>
        <w:tc>
          <w:tcPr>
            <w:tcW w:w="901"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140.62</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rPr>
                <w:rFonts w:ascii="宋体" w:hAnsi="宋体" w:cs="宋体"/>
                <w:sz w:val="22"/>
                <w:szCs w:val="22"/>
              </w:rPr>
            </w:pPr>
            <w:r>
              <w:rPr>
                <w:rFonts w:hint="eastAsia" w:ascii="宋体" w:hAnsi="宋体" w:cs="宋体"/>
                <w:sz w:val="22"/>
                <w:szCs w:val="22"/>
              </w:rPr>
              <w:t>1.</w:t>
            </w:r>
            <w:r>
              <w:rPr>
                <w:rFonts w:hint="eastAsia"/>
              </w:rPr>
              <w:t xml:space="preserve"> </w:t>
            </w:r>
            <w:r>
              <w:rPr>
                <w:rFonts w:hint="eastAsia" w:ascii="宋体" w:hAnsi="宋体" w:cs="宋体"/>
                <w:sz w:val="22"/>
                <w:szCs w:val="22"/>
              </w:rPr>
              <w:t>业务工作经费</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r>
              <w:rPr>
                <w:rFonts w:hint="eastAsia" w:ascii="新宋体" w:hAnsi="新宋体" w:eastAsia="新宋体" w:cs="新宋体"/>
                <w:szCs w:val="21"/>
              </w:rPr>
              <w:t>496</w:t>
            </w:r>
          </w:p>
        </w:tc>
        <w:tc>
          <w:tcPr>
            <w:tcW w:w="1312"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rPr>
            </w:pPr>
            <w:r>
              <w:rPr>
                <w:rFonts w:hint="eastAsia" w:ascii="宋体" w:hAnsi="宋体" w:cs="宋体"/>
                <w:sz w:val="22"/>
                <w:szCs w:val="22"/>
              </w:rPr>
              <w:t>60.62</w:t>
            </w:r>
          </w:p>
        </w:tc>
        <w:tc>
          <w:tcPr>
            <w:tcW w:w="901"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rPr>
            </w:pPr>
            <w:r>
              <w:rPr>
                <w:rFonts w:hint="eastAsia" w:ascii="宋体" w:hAnsi="宋体" w:cs="宋体"/>
                <w:sz w:val="22"/>
                <w:szCs w:val="22"/>
              </w:rPr>
              <w:t>60.62</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rPr>
                <w:rFonts w:ascii="宋体" w:hAnsi="宋体" w:cs="宋体"/>
                <w:sz w:val="22"/>
                <w:szCs w:val="22"/>
              </w:rPr>
            </w:pPr>
            <w:r>
              <w:rPr>
                <w:rFonts w:hint="eastAsia" w:ascii="宋体" w:hAnsi="宋体" w:cs="宋体"/>
                <w:sz w:val="22"/>
                <w:szCs w:val="22"/>
              </w:rPr>
              <w:t>2. 提升能力建设支出</w:t>
            </w: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rPr>
            </w:pPr>
          </w:p>
        </w:tc>
        <w:tc>
          <w:tcPr>
            <w:tcW w:w="1312"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rPr>
            </w:pPr>
            <w:r>
              <w:rPr>
                <w:rFonts w:hint="eastAsia" w:ascii="宋体" w:hAnsi="宋体" w:cs="宋体"/>
                <w:sz w:val="22"/>
                <w:szCs w:val="22"/>
              </w:rPr>
              <w:t>80</w:t>
            </w:r>
          </w:p>
        </w:tc>
        <w:tc>
          <w:tcPr>
            <w:tcW w:w="901"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rPr>
            </w:pPr>
            <w:r>
              <w:rPr>
                <w:rFonts w:hint="eastAsia" w:ascii="宋体" w:hAnsi="宋体" w:cs="宋体"/>
                <w:sz w:val="22"/>
                <w:szCs w:val="22"/>
              </w:rPr>
              <w:t>80</w:t>
            </w: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rPr>
                <w:rFonts w:ascii="宋体" w:hAnsi="宋体" w:cs="宋体"/>
                <w:sz w:val="22"/>
                <w:szCs w:val="22"/>
                <w:highlight w:val="yellow"/>
              </w:rPr>
            </w:pP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highlight w:val="yellow"/>
              </w:rPr>
            </w:pPr>
          </w:p>
        </w:tc>
        <w:tc>
          <w:tcPr>
            <w:tcW w:w="1312"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c>
          <w:tcPr>
            <w:tcW w:w="901"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rPr>
                <w:rFonts w:ascii="宋体" w:hAnsi="宋体" w:cs="宋体"/>
                <w:sz w:val="22"/>
                <w:szCs w:val="22"/>
                <w:highlight w:val="yellow"/>
              </w:rPr>
            </w:pP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highlight w:val="yellow"/>
              </w:rPr>
            </w:pPr>
          </w:p>
        </w:tc>
        <w:tc>
          <w:tcPr>
            <w:tcW w:w="1312"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c>
          <w:tcPr>
            <w:tcW w:w="901"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rPr>
                <w:rFonts w:ascii="宋体" w:hAnsi="宋体" w:cs="宋体"/>
                <w:sz w:val="22"/>
                <w:szCs w:val="22"/>
                <w:highlight w:val="yellow"/>
              </w:rPr>
            </w:pPr>
          </w:p>
        </w:tc>
        <w:tc>
          <w:tcPr>
            <w:tcW w:w="1053" w:type="pct"/>
            <w:tcBorders>
              <w:top w:val="single" w:color="auto" w:sz="4" w:space="0"/>
              <w:left w:val="nil"/>
              <w:bottom w:val="single" w:color="auto" w:sz="4" w:space="0"/>
              <w:right w:val="single" w:color="000000" w:sz="4" w:space="0"/>
            </w:tcBorders>
            <w:vAlign w:val="center"/>
          </w:tcPr>
          <w:p>
            <w:pPr>
              <w:widowControl/>
              <w:spacing w:line="360" w:lineRule="exact"/>
              <w:jc w:val="center"/>
              <w:rPr>
                <w:rFonts w:ascii="新宋体" w:hAnsi="新宋体" w:eastAsia="新宋体" w:cs="新宋体"/>
                <w:szCs w:val="21"/>
                <w:highlight w:val="yellow"/>
              </w:rPr>
            </w:pPr>
          </w:p>
        </w:tc>
        <w:tc>
          <w:tcPr>
            <w:tcW w:w="1312"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c>
          <w:tcPr>
            <w:tcW w:w="901" w:type="pct"/>
            <w:tcBorders>
              <w:top w:val="single" w:color="auto" w:sz="4" w:space="0"/>
              <w:left w:val="nil"/>
              <w:bottom w:val="single" w:color="auto" w:sz="4" w:space="0"/>
              <w:right w:val="single" w:color="000000" w:sz="4" w:space="0"/>
            </w:tcBorders>
            <w:vAlign w:val="center"/>
          </w:tcPr>
          <w:p>
            <w:pPr>
              <w:jc w:val="center"/>
              <w:rPr>
                <w:rFonts w:ascii="宋体" w:hAnsi="宋体" w:cs="宋体"/>
                <w:sz w:val="22"/>
                <w:szCs w:val="22"/>
                <w:highlight w:val="yellow"/>
              </w:rPr>
            </w:pPr>
          </w:p>
        </w:tc>
      </w:tr>
      <w:tr>
        <w:tblPrEx>
          <w:tblCellMar>
            <w:top w:w="0" w:type="dxa"/>
            <w:left w:w="108" w:type="dxa"/>
            <w:bottom w:w="0" w:type="dxa"/>
            <w:right w:w="108" w:type="dxa"/>
          </w:tblCellMar>
        </w:tblPrEx>
        <w:trPr>
          <w:trHeight w:val="539" w:hRule="atLeast"/>
          <w:jc w:val="center"/>
        </w:trPr>
        <w:tc>
          <w:tcPr>
            <w:tcW w:w="1734" w:type="pct"/>
            <w:tcBorders>
              <w:top w:val="nil"/>
              <w:left w:val="single" w:color="auto" w:sz="4" w:space="0"/>
              <w:bottom w:val="single" w:color="auto" w:sz="4" w:space="0"/>
              <w:right w:val="single" w:color="auto" w:sz="4" w:space="0"/>
            </w:tcBorders>
            <w:vAlign w:val="center"/>
          </w:tcPr>
          <w:p>
            <w:pPr>
              <w:widowControl/>
              <w:spacing w:line="360" w:lineRule="exact"/>
              <w:rPr>
                <w:rFonts w:ascii="新宋体" w:hAnsi="新宋体" w:eastAsia="新宋体" w:cs="新宋体"/>
                <w:szCs w:val="21"/>
              </w:rPr>
            </w:pPr>
            <w:r>
              <w:rPr>
                <w:rFonts w:hint="eastAsia" w:ascii="新宋体" w:hAnsi="新宋体" w:eastAsia="新宋体" w:cs="新宋体"/>
                <w:szCs w:val="21"/>
              </w:rPr>
              <w:t>厉行节约保障措施</w:t>
            </w:r>
          </w:p>
        </w:tc>
        <w:tc>
          <w:tcPr>
            <w:tcW w:w="3266" w:type="pct"/>
            <w:gridSpan w:val="3"/>
            <w:tcBorders>
              <w:top w:val="single" w:color="auto" w:sz="4" w:space="0"/>
              <w:left w:val="nil"/>
              <w:bottom w:val="single" w:color="auto" w:sz="4" w:space="0"/>
              <w:right w:val="single" w:color="000000" w:sz="4" w:space="0"/>
            </w:tcBorders>
            <w:vAlign w:val="center"/>
          </w:tcPr>
          <w:p>
            <w:pPr>
              <w:widowControl/>
              <w:spacing w:line="360" w:lineRule="exact"/>
              <w:jc w:val="left"/>
              <w:rPr>
                <w:rFonts w:ascii="新宋体" w:hAnsi="新宋体" w:eastAsia="新宋体" w:cs="新宋体"/>
                <w:szCs w:val="21"/>
              </w:rPr>
            </w:pPr>
            <w:r>
              <w:rPr>
                <w:rFonts w:hint="eastAsia" w:ascii="新宋体" w:hAnsi="新宋体" w:eastAsia="新宋体" w:cs="新宋体"/>
                <w:szCs w:val="21"/>
              </w:rPr>
              <w:t>1、狠抓各项制度和措施的贯彻落实；</w:t>
            </w:r>
          </w:p>
          <w:p>
            <w:pPr>
              <w:widowControl/>
              <w:spacing w:line="360" w:lineRule="exact"/>
              <w:jc w:val="left"/>
              <w:rPr>
                <w:rFonts w:ascii="新宋体" w:hAnsi="新宋体" w:eastAsia="新宋体" w:cs="新宋体"/>
                <w:szCs w:val="21"/>
              </w:rPr>
            </w:pPr>
            <w:r>
              <w:rPr>
                <w:rFonts w:hint="eastAsia" w:ascii="新宋体" w:hAnsi="新宋体" w:eastAsia="新宋体" w:cs="新宋体"/>
                <w:szCs w:val="21"/>
              </w:rPr>
              <w:t>2、把厉行节约工作纳入工作人员年度考核的内容</w:t>
            </w:r>
          </w:p>
        </w:tc>
      </w:tr>
    </w:tbl>
    <w:p>
      <w:pPr>
        <w:widowControl/>
        <w:spacing w:line="400" w:lineRule="exact"/>
        <w:jc w:val="left"/>
        <w:rPr>
          <w:rFonts w:ascii="新宋体" w:hAnsi="新宋体" w:eastAsia="新宋体" w:cs="新宋体"/>
          <w:szCs w:val="21"/>
        </w:rPr>
      </w:pPr>
      <w:r>
        <w:rPr>
          <w:rFonts w:hint="eastAsia" w:ascii="新宋体" w:hAnsi="新宋体" w:eastAsia="新宋体" w:cs="新宋体"/>
          <w:szCs w:val="21"/>
        </w:rPr>
        <w:t>说明：以上数据均来源于部门决算报表，其中“基本支出”数据参照基本支出决算明细表（财决05-1表）；“三公经费”数据参照机构运行信息表（财决附03表）；“项目支出”数据参照项目支出决算明细表（财决05-2表）。</w:t>
      </w:r>
    </w:p>
    <w:p>
      <w:pPr>
        <w:widowControl/>
        <w:spacing w:line="400" w:lineRule="exact"/>
        <w:jc w:val="left"/>
        <w:rPr>
          <w:rFonts w:eastAsia="仿宋_GB2312"/>
          <w:sz w:val="22"/>
        </w:rPr>
      </w:pPr>
    </w:p>
    <w:p>
      <w:pPr>
        <w:widowControl/>
        <w:spacing w:line="400" w:lineRule="exact"/>
        <w:jc w:val="left"/>
        <w:rPr>
          <w:rFonts w:eastAsia="黑体"/>
          <w:sz w:val="32"/>
          <w:szCs w:val="32"/>
        </w:rPr>
      </w:pPr>
      <w:r>
        <w:rPr>
          <w:rFonts w:eastAsia="仿宋_GB2312"/>
          <w:sz w:val="22"/>
        </w:rPr>
        <w:t>填表人：</w:t>
      </w:r>
      <w:r>
        <w:rPr>
          <w:rFonts w:hint="eastAsia" w:eastAsia="仿宋_GB2312"/>
          <w:sz w:val="22"/>
        </w:rPr>
        <w:t xml:space="preserve">吴蓉 </w:t>
      </w:r>
      <w:r>
        <w:rPr>
          <w:rFonts w:eastAsia="仿宋_GB2312"/>
          <w:sz w:val="22"/>
        </w:rPr>
        <w:t>填报日期：</w:t>
      </w:r>
      <w:r>
        <w:rPr>
          <w:rFonts w:hint="eastAsia" w:eastAsia="仿宋_GB2312"/>
          <w:sz w:val="22"/>
        </w:rPr>
        <w:t>2023年7月4日</w:t>
      </w:r>
      <w:r>
        <w:rPr>
          <w:rFonts w:eastAsia="仿宋_GB2312"/>
          <w:sz w:val="22"/>
        </w:rPr>
        <w:t xml:space="preserve"> 联系电话：13762795777   单位负责人签字：</w:t>
      </w:r>
      <w:r>
        <w:rPr>
          <w:rFonts w:eastAsia="仿宋_GB2312"/>
          <w:sz w:val="22"/>
        </w:rPr>
        <w:br w:type="page"/>
      </w:r>
      <w:r>
        <w:rPr>
          <w:rFonts w:ascii="黑体" w:hAnsi="黑体" w:eastAsia="黑体" w:cs="黑体"/>
          <w:sz w:val="32"/>
          <w:szCs w:val="32"/>
        </w:rPr>
        <w:t>附件</w:t>
      </w:r>
      <w:r>
        <w:rPr>
          <w:rFonts w:hint="eastAsia" w:ascii="黑体" w:hAnsi="黑体" w:eastAsia="黑体" w:cs="黑体"/>
          <w:sz w:val="32"/>
          <w:szCs w:val="32"/>
        </w:rPr>
        <w:t>2</w:t>
      </w:r>
    </w:p>
    <w:p>
      <w:pPr>
        <w:spacing w:before="156" w:beforeLines="50" w:after="312" w:afterLines="100"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2022年度部门整体支出绩效自评表</w:t>
      </w:r>
    </w:p>
    <w:tbl>
      <w:tblPr>
        <w:tblStyle w:val="6"/>
        <w:tblW w:w="4999" w:type="pct"/>
        <w:jc w:val="center"/>
        <w:tblLayout w:type="autofit"/>
        <w:tblCellMar>
          <w:top w:w="0" w:type="dxa"/>
          <w:left w:w="108" w:type="dxa"/>
          <w:bottom w:w="0" w:type="dxa"/>
          <w:right w:w="108" w:type="dxa"/>
        </w:tblCellMar>
      </w:tblPr>
      <w:tblGrid>
        <w:gridCol w:w="1099"/>
        <w:gridCol w:w="880"/>
        <w:gridCol w:w="869"/>
        <w:gridCol w:w="1057"/>
        <w:gridCol w:w="1103"/>
        <w:gridCol w:w="1070"/>
        <w:gridCol w:w="589"/>
        <w:gridCol w:w="1023"/>
        <w:gridCol w:w="1596"/>
      </w:tblGrid>
      <w:tr>
        <w:tblPrEx>
          <w:tblCellMar>
            <w:top w:w="0" w:type="dxa"/>
            <w:left w:w="108" w:type="dxa"/>
            <w:bottom w:w="0" w:type="dxa"/>
            <w:right w:w="108" w:type="dxa"/>
          </w:tblCellMar>
        </w:tblPrEx>
        <w:trPr>
          <w:trHeight w:val="1003" w:hRule="atLeast"/>
          <w:jc w:val="center"/>
        </w:trPr>
        <w:tc>
          <w:tcPr>
            <w:tcW w:w="592"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县级预算部门名称</w:t>
            </w:r>
          </w:p>
        </w:tc>
        <w:tc>
          <w:tcPr>
            <w:tcW w:w="4408" w:type="pct"/>
            <w:gridSpan w:val="8"/>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华容县医疗保障局</w:t>
            </w:r>
          </w:p>
        </w:tc>
      </w:tr>
      <w:tr>
        <w:tblPrEx>
          <w:tblCellMar>
            <w:top w:w="0" w:type="dxa"/>
            <w:left w:w="108" w:type="dxa"/>
            <w:bottom w:w="0" w:type="dxa"/>
            <w:right w:w="108" w:type="dxa"/>
          </w:tblCellMar>
        </w:tblPrEx>
        <w:trPr>
          <w:trHeight w:val="863" w:hRule="atLeast"/>
          <w:jc w:val="center"/>
        </w:trPr>
        <w:tc>
          <w:tcPr>
            <w:tcW w:w="592" w:type="pct"/>
            <w:vMerge w:val="restart"/>
            <w:tcBorders>
              <w:top w:val="nil"/>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预算</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申请</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（万元）</w:t>
            </w:r>
          </w:p>
        </w:tc>
        <w:tc>
          <w:tcPr>
            <w:tcW w:w="942"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p>
        </w:tc>
        <w:tc>
          <w:tcPr>
            <w:tcW w:w="56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年初</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594"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预算数</w:t>
            </w:r>
          </w:p>
        </w:tc>
        <w:tc>
          <w:tcPr>
            <w:tcW w:w="576"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全年</w:t>
            </w:r>
          </w:p>
          <w:p>
            <w:pPr>
              <w:spacing w:line="0" w:lineRule="atLeast"/>
              <w:jc w:val="center"/>
              <w:rPr>
                <w:rFonts w:ascii="新宋体" w:hAnsi="新宋体" w:eastAsia="新宋体" w:cs="新宋体"/>
                <w:szCs w:val="21"/>
              </w:rPr>
            </w:pPr>
            <w:r>
              <w:rPr>
                <w:rFonts w:hint="eastAsia" w:ascii="新宋体" w:hAnsi="新宋体" w:eastAsia="新宋体" w:cs="新宋体"/>
                <w:szCs w:val="21"/>
              </w:rPr>
              <w:t>执行数</w:t>
            </w:r>
          </w:p>
        </w:tc>
        <w:tc>
          <w:tcPr>
            <w:tcW w:w="317"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分值</w:t>
            </w:r>
          </w:p>
        </w:tc>
        <w:tc>
          <w:tcPr>
            <w:tcW w:w="551"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执行率</w:t>
            </w:r>
          </w:p>
        </w:tc>
        <w:tc>
          <w:tcPr>
            <w:tcW w:w="85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得分</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942" w:type="pct"/>
            <w:gridSpan w:val="2"/>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color w:val="000000"/>
                <w:szCs w:val="21"/>
              </w:rPr>
              <w:t>年度资金总额</w:t>
            </w:r>
          </w:p>
        </w:tc>
        <w:tc>
          <w:tcPr>
            <w:tcW w:w="56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526</w:t>
            </w:r>
          </w:p>
        </w:tc>
        <w:tc>
          <w:tcPr>
            <w:tcW w:w="594"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713.64</w:t>
            </w:r>
          </w:p>
        </w:tc>
        <w:tc>
          <w:tcPr>
            <w:tcW w:w="576"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713.64</w:t>
            </w:r>
          </w:p>
        </w:tc>
        <w:tc>
          <w:tcPr>
            <w:tcW w:w="317"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c>
          <w:tcPr>
            <w:tcW w:w="551"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135.5%</w:t>
            </w:r>
          </w:p>
        </w:tc>
        <w:tc>
          <w:tcPr>
            <w:tcW w:w="859" w:type="pct"/>
            <w:tcBorders>
              <w:top w:val="nil"/>
              <w:left w:val="nil"/>
              <w:bottom w:val="single" w:color="auto" w:sz="4" w:space="0"/>
              <w:right w:val="single" w:color="auto" w:sz="4" w:space="0"/>
            </w:tcBorders>
            <w:vAlign w:val="center"/>
          </w:tcPr>
          <w:p>
            <w:pPr>
              <w:spacing w:line="0" w:lineRule="atLeast"/>
              <w:jc w:val="center"/>
              <w:rPr>
                <w:rFonts w:ascii="新宋体" w:hAnsi="新宋体" w:eastAsia="新宋体" w:cs="新宋体"/>
                <w:szCs w:val="21"/>
              </w:rPr>
            </w:pPr>
            <w:r>
              <w:rPr>
                <w:rFonts w:hint="eastAsia" w:ascii="新宋体" w:hAnsi="新宋体" w:eastAsia="新宋体" w:cs="新宋体"/>
                <w:szCs w:val="21"/>
              </w:rPr>
              <w:t>10</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按收入性质分：</w:t>
            </w:r>
          </w:p>
        </w:tc>
        <w:tc>
          <w:tcPr>
            <w:tcW w:w="2303"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按支出性质分：</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  一般公共预算：713.64</w:t>
            </w:r>
          </w:p>
        </w:tc>
        <w:tc>
          <w:tcPr>
            <w:tcW w:w="2303"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其中：基本支出：573.02</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nil"/>
              <w:left w:val="nil"/>
              <w:bottom w:val="single" w:color="auto" w:sz="4" w:space="0"/>
              <w:right w:val="single" w:color="auto" w:sz="4" w:space="0"/>
            </w:tcBorders>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政府性基金拨款：0</w:t>
            </w:r>
          </w:p>
        </w:tc>
        <w:tc>
          <w:tcPr>
            <w:tcW w:w="2303" w:type="pct"/>
            <w:gridSpan w:val="4"/>
            <w:tcBorders>
              <w:top w:val="nil"/>
              <w:left w:val="nil"/>
              <w:bottom w:val="single" w:color="auto" w:sz="4" w:space="0"/>
              <w:right w:val="single" w:color="auto" w:sz="4" w:space="0"/>
            </w:tcBorders>
            <w:vAlign w:val="center"/>
          </w:tcPr>
          <w:p>
            <w:pPr>
              <w:widowControl/>
              <w:spacing w:line="0" w:lineRule="atLeast"/>
              <w:ind w:firstLine="630" w:firstLineChars="300"/>
              <w:jc w:val="left"/>
              <w:rPr>
                <w:rFonts w:ascii="新宋体" w:hAnsi="新宋体" w:eastAsia="新宋体" w:cs="新宋体"/>
                <w:color w:val="000000"/>
                <w:szCs w:val="21"/>
              </w:rPr>
            </w:pPr>
            <w:r>
              <w:rPr>
                <w:rFonts w:hint="eastAsia" w:ascii="新宋体" w:hAnsi="新宋体" w:eastAsia="新宋体" w:cs="新宋体"/>
                <w:color w:val="000000"/>
                <w:szCs w:val="21"/>
              </w:rPr>
              <w:t>项目支出：140.62</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纳入专户管理的非税收入拨款：0</w:t>
            </w:r>
          </w:p>
        </w:tc>
        <w:tc>
          <w:tcPr>
            <w:tcW w:w="2303"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bottom w:val="single" w:color="000000"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nil"/>
              <w:left w:val="nil"/>
              <w:bottom w:val="single" w:color="auto" w:sz="4" w:space="0"/>
              <w:right w:val="single" w:color="auto" w:sz="4" w:space="0"/>
            </w:tcBorders>
            <w:vAlign w:val="center"/>
          </w:tcPr>
          <w:p>
            <w:pPr>
              <w:widowControl/>
              <w:spacing w:line="0" w:lineRule="atLeast"/>
              <w:ind w:firstLine="1260" w:firstLineChars="600"/>
              <w:jc w:val="left"/>
              <w:rPr>
                <w:rFonts w:ascii="新宋体" w:hAnsi="新宋体" w:eastAsia="新宋体" w:cs="新宋体"/>
                <w:color w:val="000000"/>
                <w:szCs w:val="21"/>
              </w:rPr>
            </w:pPr>
            <w:r>
              <w:rPr>
                <w:rFonts w:hint="eastAsia" w:ascii="新宋体" w:hAnsi="新宋体" w:eastAsia="新宋体" w:cs="新宋体"/>
                <w:color w:val="000000"/>
                <w:szCs w:val="21"/>
              </w:rPr>
              <w:t>其他资金：0</w:t>
            </w:r>
          </w:p>
        </w:tc>
        <w:tc>
          <w:tcPr>
            <w:tcW w:w="2303" w:type="pct"/>
            <w:gridSpan w:val="4"/>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r>
      <w:tr>
        <w:tblPrEx>
          <w:tblCellMar>
            <w:top w:w="0" w:type="dxa"/>
            <w:left w:w="108" w:type="dxa"/>
            <w:bottom w:w="0" w:type="dxa"/>
            <w:right w:w="108" w:type="dxa"/>
          </w:tblCellMar>
        </w:tblPrEx>
        <w:trPr>
          <w:trHeight w:val="462" w:hRule="atLeast"/>
          <w:jc w:val="center"/>
        </w:trPr>
        <w:tc>
          <w:tcPr>
            <w:tcW w:w="592" w:type="pct"/>
            <w:vMerge w:val="restart"/>
            <w:tcBorders>
              <w:top w:val="nil"/>
              <w:left w:val="single" w:color="auto" w:sz="4" w:space="0"/>
              <w:bottom w:val="single" w:color="000000"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总体目标</w:t>
            </w:r>
          </w:p>
        </w:tc>
        <w:tc>
          <w:tcPr>
            <w:tcW w:w="2105" w:type="pct"/>
            <w:gridSpan w:val="4"/>
            <w:tcBorders>
              <w:top w:val="single" w:color="auto" w:sz="4" w:space="0"/>
              <w:left w:val="nil"/>
              <w:bottom w:val="single" w:color="auto" w:sz="4" w:space="0"/>
              <w:right w:val="single" w:color="000000"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预期目标</w:t>
            </w:r>
          </w:p>
        </w:tc>
        <w:tc>
          <w:tcPr>
            <w:tcW w:w="2303" w:type="pct"/>
            <w:gridSpan w:val="4"/>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实际完成情况　</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2105" w:type="pct"/>
            <w:gridSpan w:val="4"/>
            <w:tcBorders>
              <w:top w:val="single" w:color="auto" w:sz="4" w:space="0"/>
              <w:left w:val="nil"/>
              <w:bottom w:val="single" w:color="auto" w:sz="4" w:space="0"/>
              <w:right w:val="single" w:color="000000"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1、单位正常运行，2、常住人口参保率100%，3、保障医保待遇</w:t>
            </w:r>
          </w:p>
        </w:tc>
        <w:tc>
          <w:tcPr>
            <w:tcW w:w="2303" w:type="pct"/>
            <w:gridSpan w:val="4"/>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已完成</w:t>
            </w: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47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46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产出</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(50分)</w:t>
            </w:r>
          </w:p>
        </w:tc>
        <w:tc>
          <w:tcPr>
            <w:tcW w:w="4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数量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参保人数</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≧**人</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ascii="新宋体" w:hAnsi="新宋体" w:eastAsia="新宋体" w:cs="新宋体"/>
                <w:color w:val="000000"/>
                <w:sz w:val="15"/>
                <w:szCs w:val="15"/>
              </w:rPr>
              <w:t>64</w:t>
            </w:r>
            <w:r>
              <w:rPr>
                <w:rFonts w:hint="eastAsia" w:ascii="新宋体" w:hAnsi="新宋体" w:eastAsia="新宋体" w:cs="新宋体"/>
                <w:color w:val="000000"/>
                <w:sz w:val="15"/>
                <w:szCs w:val="15"/>
              </w:rPr>
              <w:t>.57万人</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缴费达标率</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100%</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100%</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质量</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医保经办服务下沉</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17项至镇</w:t>
            </w:r>
          </w:p>
          <w:p>
            <w:pPr>
              <w:pStyle w:val="2"/>
              <w:jc w:val="center"/>
              <w:rPr>
                <w:sz w:val="15"/>
                <w:szCs w:val="15"/>
              </w:rPr>
            </w:pPr>
            <w:r>
              <w:rPr>
                <w:rFonts w:hint="eastAsia"/>
                <w:sz w:val="15"/>
                <w:szCs w:val="15"/>
              </w:rPr>
              <w:t>5项到村</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已完成</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时效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报销补助</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当月</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当月</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成本</w:t>
            </w:r>
          </w:p>
          <w:p>
            <w:pPr>
              <w:widowControl/>
              <w:spacing w:line="0" w:lineRule="atLeast"/>
              <w:jc w:val="center"/>
              <w:rPr>
                <w:rFonts w:ascii="新宋体" w:hAnsi="新宋体" w:eastAsia="新宋体" w:cs="新宋体"/>
                <w:color w:val="000000"/>
                <w:szCs w:val="21"/>
                <w:highlight w:val="yellow"/>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医保控费</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实施总额控费协议管理</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已完成</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r>
              <w:rPr>
                <w:rFonts w:hint="eastAsia" w:ascii="新宋体" w:hAnsi="新宋体" w:eastAsia="新宋体" w:cs="新宋体"/>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left"/>
              <w:rPr>
                <w:rFonts w:ascii="新宋体" w:hAnsi="新宋体" w:eastAsia="新宋体" w:cs="新宋体"/>
                <w:color w:val="000000"/>
                <w:szCs w:val="21"/>
                <w:highlight w:val="yellow"/>
              </w:rPr>
            </w:pP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highlight w:val="yellow"/>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highlight w:val="yellow"/>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 w:val="15"/>
                <w:szCs w:val="15"/>
              </w:rPr>
            </w:pP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绩</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w:t>
            </w:r>
          </w:p>
          <w:p>
            <w:pPr>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标</w:t>
            </w:r>
          </w:p>
        </w:tc>
        <w:tc>
          <w:tcPr>
            <w:tcW w:w="47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一级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468"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二级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三级</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年度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指标值</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实际</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完成值</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分值</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得分</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效益</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（30分）</w:t>
            </w:r>
          </w:p>
        </w:tc>
        <w:tc>
          <w:tcPr>
            <w:tcW w:w="468" w:type="pct"/>
            <w:vMerge w:val="restar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经济效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15"/>
                <w:szCs w:val="15"/>
              </w:rPr>
            </w:pPr>
            <w:r>
              <w:rPr>
                <w:rFonts w:hint="eastAsia" w:asciiTheme="minorEastAsia" w:hAnsiTheme="minorEastAsia" w:eastAsiaTheme="minorEastAsia"/>
                <w:color w:val="000000"/>
                <w:sz w:val="15"/>
                <w:szCs w:val="15"/>
              </w:rPr>
              <w:t>集中采购</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15"/>
                <w:szCs w:val="15"/>
              </w:rPr>
            </w:pPr>
            <w:r>
              <w:rPr>
                <w:rFonts w:hint="eastAsia" w:asciiTheme="minorEastAsia" w:hAnsiTheme="minorEastAsia" w:eastAsiaTheme="minorEastAsia"/>
                <w:color w:val="000000"/>
                <w:sz w:val="15"/>
                <w:szCs w:val="15"/>
              </w:rPr>
              <w:t>国家标准</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16"/>
                <w:szCs w:val="20"/>
              </w:rPr>
            </w:pPr>
            <w:r>
              <w:rPr>
                <w:rFonts w:hint="eastAsia" w:asciiTheme="minorEastAsia" w:hAnsiTheme="minorEastAsia" w:eastAsiaTheme="minorEastAsia"/>
                <w:color w:val="000000"/>
                <w:sz w:val="16"/>
                <w:szCs w:val="20"/>
              </w:rPr>
              <w:t>落实</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10</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10</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569" w:type="pct"/>
            <w:tcBorders>
              <w:top w:val="single" w:color="auto" w:sz="4" w:space="0"/>
              <w:left w:val="single" w:color="auto" w:sz="4" w:space="0"/>
              <w:bottom w:val="single" w:color="auto" w:sz="4" w:space="0"/>
              <w:right w:val="single" w:color="auto" w:sz="4" w:space="0"/>
            </w:tcBorders>
          </w:tcPr>
          <w:p>
            <w:pPr>
              <w:jc w:val="center"/>
              <w:rPr>
                <w:sz w:val="15"/>
                <w:szCs w:val="15"/>
              </w:rPr>
            </w:pP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top w:val="single" w:color="auto" w:sz="4" w:space="0"/>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top w:val="single" w:color="auto" w:sz="4" w:space="0"/>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69"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w:t>
            </w:r>
          </w:p>
        </w:tc>
        <w:tc>
          <w:tcPr>
            <w:tcW w:w="594" w:type="pct"/>
            <w:tcBorders>
              <w:top w:val="single" w:color="auto" w:sz="4" w:space="0"/>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single" w:color="auto" w:sz="4" w:space="0"/>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single" w:color="auto" w:sz="4" w:space="0"/>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社会效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医疗保障度</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100%</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100%</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10</w:t>
            </w: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生态效</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益指标</w:t>
            </w: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left w:val="nil"/>
              <w:right w:val="single" w:color="auto" w:sz="4" w:space="0"/>
            </w:tcBorders>
            <w:vAlign w:val="center"/>
          </w:tcPr>
          <w:p>
            <w:pPr>
              <w:spacing w:line="0" w:lineRule="atLeast"/>
              <w:jc w:val="left"/>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68"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68" w:type="pct"/>
            <w:vMerge w:val="restart"/>
            <w:tcBorders>
              <w:top w:val="single" w:color="auto" w:sz="4" w:space="0"/>
              <w:left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可持续影响指标</w:t>
            </w:r>
          </w:p>
        </w:tc>
        <w:tc>
          <w:tcPr>
            <w:tcW w:w="56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人才培养</w:t>
            </w:r>
          </w:p>
        </w:tc>
        <w:tc>
          <w:tcPr>
            <w:tcW w:w="594"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合格率100%</w:t>
            </w:r>
          </w:p>
        </w:tc>
        <w:tc>
          <w:tcPr>
            <w:tcW w:w="576"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人才培养</w:t>
            </w:r>
          </w:p>
        </w:tc>
        <w:tc>
          <w:tcPr>
            <w:tcW w:w="317"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5</w:t>
            </w:r>
          </w:p>
        </w:tc>
        <w:tc>
          <w:tcPr>
            <w:tcW w:w="551"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5</w:t>
            </w:r>
          </w:p>
        </w:tc>
        <w:tc>
          <w:tcPr>
            <w:tcW w:w="859" w:type="pct"/>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center"/>
              <w:rPr>
                <w:rFonts w:ascii="新宋体" w:hAnsi="新宋体" w:eastAsia="新宋体" w:cs="新宋体"/>
                <w:color w:val="000000"/>
                <w:szCs w:val="21"/>
              </w:rPr>
            </w:pPr>
          </w:p>
        </w:tc>
        <w:tc>
          <w:tcPr>
            <w:tcW w:w="468" w:type="pct"/>
            <w:vMerge w:val="continue"/>
            <w:tcBorders>
              <w:left w:val="single" w:color="auto" w:sz="4" w:space="0"/>
              <w:right w:val="single" w:color="auto" w:sz="4" w:space="0"/>
            </w:tcBorders>
            <w:vAlign w:val="center"/>
          </w:tcPr>
          <w:p>
            <w:pPr>
              <w:spacing w:line="0" w:lineRule="atLeast"/>
              <w:jc w:val="left"/>
              <w:rPr>
                <w:rFonts w:ascii="新宋体" w:hAnsi="新宋体" w:eastAsia="新宋体" w:cs="新宋体"/>
                <w:color w:val="000000"/>
                <w:szCs w:val="21"/>
              </w:rPr>
            </w:pPr>
          </w:p>
        </w:tc>
        <w:tc>
          <w:tcPr>
            <w:tcW w:w="569"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信息管理</w:t>
            </w:r>
          </w:p>
        </w:tc>
        <w:tc>
          <w:tcPr>
            <w:tcW w:w="594" w:type="pct"/>
            <w:tcBorders>
              <w:top w:val="single" w:color="auto" w:sz="4" w:space="0"/>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互联网+</w:t>
            </w:r>
          </w:p>
        </w:tc>
        <w:tc>
          <w:tcPr>
            <w:tcW w:w="576" w:type="pct"/>
            <w:tcBorders>
              <w:top w:val="single" w:color="auto" w:sz="4" w:space="0"/>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b/>
                <w:color w:val="000000"/>
                <w:sz w:val="15"/>
                <w:szCs w:val="15"/>
              </w:rPr>
            </w:pPr>
            <w:r>
              <w:rPr>
                <w:rFonts w:hint="eastAsia" w:cs="新宋体" w:asciiTheme="minorEastAsia" w:hAnsiTheme="minorEastAsia" w:eastAsiaTheme="minorEastAsia"/>
                <w:color w:val="000000"/>
                <w:sz w:val="15"/>
                <w:szCs w:val="15"/>
              </w:rPr>
              <w:t>　互联网+</w:t>
            </w:r>
          </w:p>
        </w:tc>
        <w:tc>
          <w:tcPr>
            <w:tcW w:w="317"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5</w:t>
            </w:r>
          </w:p>
        </w:tc>
        <w:tc>
          <w:tcPr>
            <w:tcW w:w="551"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5</w:t>
            </w:r>
          </w:p>
        </w:tc>
        <w:tc>
          <w:tcPr>
            <w:tcW w:w="859" w:type="pct"/>
            <w:tcBorders>
              <w:top w:val="single" w:color="auto" w:sz="4" w:space="0"/>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68" w:type="pct"/>
            <w:vMerge w:val="continue"/>
            <w:tcBorders>
              <w:left w:val="single" w:color="auto" w:sz="4" w:space="0"/>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满意度</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指标</w:t>
            </w:r>
          </w:p>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（10分）</w:t>
            </w:r>
          </w:p>
        </w:tc>
        <w:tc>
          <w:tcPr>
            <w:tcW w:w="468" w:type="pct"/>
            <w:vMerge w:val="restart"/>
            <w:tcBorders>
              <w:top w:val="nil"/>
              <w:left w:val="nil"/>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服务对象满意度指标</w:t>
            </w: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群众满意度</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100%</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100%</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5</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5</w:t>
            </w: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vAlign w:val="center"/>
          </w:tcPr>
          <w:p>
            <w:pPr>
              <w:spacing w:line="0" w:lineRule="atLeast"/>
              <w:jc w:val="center"/>
              <w:rPr>
                <w:rFonts w:ascii="新宋体" w:hAnsi="新宋体" w:eastAsia="新宋体" w:cs="新宋体"/>
                <w:color w:val="000000"/>
                <w:szCs w:val="21"/>
              </w:rPr>
            </w:pPr>
          </w:p>
        </w:tc>
        <w:tc>
          <w:tcPr>
            <w:tcW w:w="474" w:type="pct"/>
            <w:vMerge w:val="continue"/>
            <w:tcBorders>
              <w:left w:val="nil"/>
              <w:right w:val="single" w:color="auto" w:sz="4" w:space="0"/>
            </w:tcBorders>
            <w:vAlign w:val="center"/>
          </w:tcPr>
          <w:p>
            <w:pPr>
              <w:spacing w:line="0" w:lineRule="atLeast"/>
              <w:jc w:val="left"/>
              <w:rPr>
                <w:rFonts w:ascii="新宋体" w:hAnsi="新宋体" w:eastAsia="新宋体" w:cs="新宋体"/>
                <w:color w:val="000000"/>
                <w:szCs w:val="21"/>
              </w:rPr>
            </w:pPr>
          </w:p>
        </w:tc>
        <w:tc>
          <w:tcPr>
            <w:tcW w:w="468" w:type="pct"/>
            <w:vMerge w:val="continue"/>
            <w:tcBorders>
              <w:left w:val="nil"/>
              <w:right w:val="single" w:color="auto" w:sz="4" w:space="0"/>
            </w:tcBorders>
            <w:vAlign w:val="center"/>
          </w:tcPr>
          <w:p>
            <w:pPr>
              <w:spacing w:line="0" w:lineRule="atLeast"/>
              <w:jc w:val="left"/>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政策知晓率</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100%</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98%</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5</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4</w:t>
            </w: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800" w:hRule="atLeast"/>
          <w:jc w:val="center"/>
        </w:trPr>
        <w:tc>
          <w:tcPr>
            <w:tcW w:w="592" w:type="pct"/>
            <w:vMerge w:val="continue"/>
            <w:tcBorders>
              <w:left w:val="single" w:color="auto" w:sz="4" w:space="0"/>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p>
        </w:tc>
        <w:tc>
          <w:tcPr>
            <w:tcW w:w="474"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c>
          <w:tcPr>
            <w:tcW w:w="468" w:type="pct"/>
            <w:vMerge w:val="continue"/>
            <w:tcBorders>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p>
        </w:tc>
        <w:tc>
          <w:tcPr>
            <w:tcW w:w="56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w:t>
            </w:r>
          </w:p>
        </w:tc>
        <w:tc>
          <w:tcPr>
            <w:tcW w:w="594"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76"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317" w:type="pct"/>
            <w:tcBorders>
              <w:top w:val="nil"/>
              <w:left w:val="nil"/>
              <w:bottom w:val="single" w:color="auto" w:sz="4" w:space="0"/>
              <w:right w:val="single" w:color="auto" w:sz="4" w:space="0"/>
            </w:tcBorders>
            <w:vAlign w:val="center"/>
          </w:tcPr>
          <w:p>
            <w:pPr>
              <w:widowControl/>
              <w:spacing w:line="0" w:lineRule="atLeast"/>
              <w:jc w:val="left"/>
              <w:rPr>
                <w:rFonts w:cs="新宋体" w:asciiTheme="minorEastAsia" w:hAnsiTheme="minorEastAsia" w:eastAsiaTheme="minorEastAsia"/>
                <w:color w:val="000000"/>
                <w:sz w:val="15"/>
                <w:szCs w:val="15"/>
              </w:rPr>
            </w:pPr>
            <w:r>
              <w:rPr>
                <w:rFonts w:hint="eastAsia" w:cs="新宋体" w:asciiTheme="minorEastAsia" w:hAnsiTheme="minorEastAsia" w:eastAsiaTheme="minorEastAsia"/>
                <w:color w:val="000000"/>
                <w:sz w:val="15"/>
                <w:szCs w:val="15"/>
              </w:rPr>
              <w:t>　</w:t>
            </w:r>
          </w:p>
        </w:tc>
        <w:tc>
          <w:tcPr>
            <w:tcW w:w="551"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c>
          <w:tcPr>
            <w:tcW w:w="859" w:type="pct"/>
            <w:tcBorders>
              <w:top w:val="nil"/>
              <w:left w:val="nil"/>
              <w:bottom w:val="single" w:color="auto" w:sz="4" w:space="0"/>
              <w:right w:val="single" w:color="auto" w:sz="4" w:space="0"/>
            </w:tcBorders>
            <w:vAlign w:val="center"/>
          </w:tcPr>
          <w:p>
            <w:pPr>
              <w:widowControl/>
              <w:spacing w:line="0" w:lineRule="atLeast"/>
              <w:jc w:val="center"/>
              <w:rPr>
                <w:rFonts w:cs="新宋体" w:asciiTheme="minorEastAsia" w:hAnsiTheme="minorEastAsia" w:eastAsiaTheme="minorEastAsia"/>
                <w:color w:val="000000"/>
                <w:sz w:val="15"/>
                <w:szCs w:val="15"/>
              </w:rPr>
            </w:pPr>
          </w:p>
        </w:tc>
      </w:tr>
      <w:tr>
        <w:tblPrEx>
          <w:tblCellMar>
            <w:top w:w="0" w:type="dxa"/>
            <w:left w:w="108" w:type="dxa"/>
            <w:bottom w:w="0" w:type="dxa"/>
            <w:right w:w="108" w:type="dxa"/>
          </w:tblCellMar>
        </w:tblPrEx>
        <w:trPr>
          <w:trHeight w:val="489" w:hRule="atLeast"/>
          <w:jc w:val="center"/>
        </w:trPr>
        <w:tc>
          <w:tcPr>
            <w:tcW w:w="3273" w:type="pct"/>
            <w:gridSpan w:val="6"/>
            <w:tcBorders>
              <w:top w:val="single" w:color="auto" w:sz="4" w:space="0"/>
              <w:left w:val="single" w:color="auto" w:sz="4" w:space="0"/>
              <w:bottom w:val="single" w:color="auto" w:sz="4" w:space="0"/>
              <w:right w:val="single" w:color="000000"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总分</w:t>
            </w:r>
          </w:p>
        </w:tc>
        <w:tc>
          <w:tcPr>
            <w:tcW w:w="317" w:type="pct"/>
            <w:tcBorders>
              <w:top w:val="nil"/>
              <w:left w:val="nil"/>
              <w:bottom w:val="single" w:color="auto" w:sz="4" w:space="0"/>
              <w:right w:val="single" w:color="auto" w:sz="4" w:space="0"/>
            </w:tcBorders>
            <w:vAlign w:val="center"/>
          </w:tcPr>
          <w:p>
            <w:pPr>
              <w:widowControl/>
              <w:spacing w:line="0" w:lineRule="atLeast"/>
              <w:jc w:val="center"/>
              <w:rPr>
                <w:rFonts w:ascii="新宋体" w:hAnsi="新宋体" w:eastAsia="新宋体" w:cs="新宋体"/>
                <w:color w:val="000000"/>
                <w:szCs w:val="21"/>
              </w:rPr>
            </w:pPr>
            <w:r>
              <w:rPr>
                <w:rFonts w:hint="eastAsia" w:ascii="新宋体" w:hAnsi="新宋体" w:eastAsia="新宋体" w:cs="新宋体"/>
                <w:color w:val="000000"/>
                <w:szCs w:val="21"/>
              </w:rPr>
              <w:t>100</w:t>
            </w:r>
          </w:p>
        </w:tc>
        <w:tc>
          <w:tcPr>
            <w:tcW w:w="551"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99</w:t>
            </w:r>
          </w:p>
        </w:tc>
        <w:tc>
          <w:tcPr>
            <w:tcW w:w="859" w:type="pct"/>
            <w:tcBorders>
              <w:top w:val="nil"/>
              <w:left w:val="nil"/>
              <w:bottom w:val="single" w:color="auto" w:sz="4" w:space="0"/>
              <w:right w:val="single" w:color="auto" w:sz="4" w:space="0"/>
            </w:tcBorders>
            <w:vAlign w:val="center"/>
          </w:tcPr>
          <w:p>
            <w:pPr>
              <w:widowControl/>
              <w:spacing w:line="0" w:lineRule="atLeast"/>
              <w:jc w:val="left"/>
              <w:rPr>
                <w:rFonts w:ascii="新宋体" w:hAnsi="新宋体" w:eastAsia="新宋体" w:cs="新宋体"/>
                <w:color w:val="000000"/>
                <w:szCs w:val="21"/>
              </w:rPr>
            </w:pPr>
            <w:r>
              <w:rPr>
                <w:rFonts w:hint="eastAsia" w:ascii="新宋体" w:hAnsi="新宋体" w:eastAsia="新宋体" w:cs="新宋体"/>
                <w:color w:val="000000"/>
                <w:szCs w:val="21"/>
              </w:rPr>
              <w:t>　</w:t>
            </w:r>
          </w:p>
        </w:tc>
      </w:tr>
    </w:tbl>
    <w:p>
      <w:pPr>
        <w:rPr>
          <w:rFonts w:eastAsia="仿宋_GB2312"/>
          <w:sz w:val="22"/>
        </w:rPr>
      </w:pPr>
      <w:r>
        <w:rPr>
          <w:rFonts w:eastAsia="仿宋_GB2312"/>
          <w:sz w:val="22"/>
        </w:rPr>
        <w:t>说明：</w:t>
      </w:r>
      <w:r>
        <w:rPr>
          <w:rFonts w:hint="eastAsia" w:eastAsia="仿宋_GB2312"/>
          <w:sz w:val="22"/>
        </w:rPr>
        <w:t>以上数据参照2022年部门决算报表中的“收入支出决算总表”(财决01表)。</w:t>
      </w:r>
    </w:p>
    <w:p>
      <w:pPr>
        <w:pStyle w:val="2"/>
      </w:pPr>
    </w:p>
    <w:p>
      <w:pPr>
        <w:rPr>
          <w:rFonts w:ascii="黑体" w:hAnsi="黑体" w:eastAsia="黑体" w:cs="黑体"/>
          <w:sz w:val="32"/>
          <w:szCs w:val="32"/>
        </w:rPr>
      </w:pPr>
      <w:r>
        <w:rPr>
          <w:rFonts w:eastAsia="仿宋_GB2312"/>
          <w:sz w:val="22"/>
        </w:rPr>
        <w:t>填表人：</w:t>
      </w:r>
      <w:r>
        <w:rPr>
          <w:rFonts w:hint="eastAsia" w:eastAsia="仿宋_GB2312"/>
          <w:sz w:val="22"/>
        </w:rPr>
        <w:t xml:space="preserve">吴蓉 </w:t>
      </w:r>
      <w:r>
        <w:rPr>
          <w:rFonts w:eastAsia="仿宋_GB2312"/>
          <w:sz w:val="22"/>
        </w:rPr>
        <w:t>填报日期：</w:t>
      </w:r>
      <w:r>
        <w:rPr>
          <w:rFonts w:hint="eastAsia" w:eastAsia="仿宋_GB2312"/>
          <w:sz w:val="22"/>
        </w:rPr>
        <w:t>2023年7月4日</w:t>
      </w:r>
      <w:r>
        <w:rPr>
          <w:rFonts w:eastAsia="仿宋_GB2312"/>
          <w:sz w:val="22"/>
        </w:rPr>
        <w:t xml:space="preserve"> 联系电话：13762795777   单位负责人签字：</w:t>
      </w:r>
      <w:r>
        <w:rPr>
          <w:rFonts w:eastAsia="仿宋_GB2312"/>
          <w:sz w:val="22"/>
        </w:rPr>
        <w:br w:type="page"/>
      </w:r>
      <w:r>
        <w:rPr>
          <w:rFonts w:hint="eastAsia" w:ascii="黑体" w:hAnsi="黑体" w:eastAsia="黑体" w:cs="黑体"/>
          <w:sz w:val="32"/>
          <w:szCs w:val="32"/>
        </w:rPr>
        <w:t>附件3</w:t>
      </w:r>
    </w:p>
    <w:p>
      <w:pPr>
        <w:jc w:val="center"/>
        <w:rPr>
          <w:rFonts w:eastAsia="方正小标宋_GBK"/>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2022年度华容县医疗保障局整体支出</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u w:val="single"/>
        </w:rPr>
        <w:t>华容县医疗保障局</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4</w:t>
      </w:r>
      <w:r>
        <w:rPr>
          <w:rFonts w:eastAsia="楷体_GB2312"/>
          <w:sz w:val="32"/>
          <w:szCs w:val="32"/>
        </w:rPr>
        <w:t>日</w:t>
      </w:r>
    </w:p>
    <w:p>
      <w:pPr>
        <w:jc w:val="center"/>
        <w:rPr>
          <w:rFonts w:eastAsia="仿宋_GB2312"/>
          <w:sz w:val="32"/>
          <w:szCs w:val="32"/>
        </w:rPr>
        <w:sectPr>
          <w:footerReference r:id="rId3" w:type="default"/>
          <w:pgSz w:w="11906" w:h="16838"/>
          <w:pgMar w:top="1701" w:right="1417" w:bottom="1417" w:left="1417" w:header="851" w:footer="992" w:gutter="0"/>
          <w:cols w:space="0" w:num="1"/>
          <w:docGrid w:type="lines" w:linePitch="312" w:charSpace="0"/>
        </w:sectPr>
      </w:pPr>
      <w:r>
        <w:rPr>
          <w:rFonts w:eastAsia="仿宋_GB2312"/>
          <w:sz w:val="32"/>
          <w:szCs w:val="32"/>
        </w:rPr>
        <w:t>（此页为封面）</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2022年度华容县医疗保障局整体支出</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spacing w:line="610" w:lineRule="exact"/>
        <w:ind w:firstLine="640" w:firstLineChars="200"/>
        <w:rPr>
          <w:rFonts w:eastAsia="仿宋_GB2312"/>
          <w:sz w:val="32"/>
          <w:szCs w:val="32"/>
        </w:rPr>
      </w:pPr>
    </w:p>
    <w:p>
      <w:pPr>
        <w:spacing w:line="610" w:lineRule="exact"/>
        <w:rPr>
          <w:rFonts w:eastAsia="黑体"/>
          <w:sz w:val="32"/>
          <w:szCs w:val="32"/>
        </w:rPr>
      </w:pPr>
      <w:r>
        <w:rPr>
          <w:rFonts w:eastAsia="黑体"/>
          <w:sz w:val="32"/>
          <w:szCs w:val="32"/>
        </w:rPr>
        <w:t>一、部门（单位）基本情况</w:t>
      </w:r>
    </w:p>
    <w:p>
      <w:pPr>
        <w:pStyle w:val="2"/>
        <w:spacing w:line="360" w:lineRule="auto"/>
        <w:rPr>
          <w:rFonts w:hint="eastAsia" w:ascii="仿宋_GB2312" w:hAnsi="宋体" w:eastAsia="仿宋_GB2312"/>
          <w:sz w:val="28"/>
          <w:szCs w:val="22"/>
        </w:rPr>
      </w:pPr>
      <w:r>
        <w:rPr>
          <w:rFonts w:hint="eastAsia" w:ascii="仿宋_GB2312" w:hAnsi="宋体" w:eastAsia="仿宋_GB2312"/>
          <w:sz w:val="28"/>
          <w:szCs w:val="22"/>
        </w:rPr>
        <w:t>1、机构情况:</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医保局为县政府组成部门，独立正科级单位，医疗保障事务中心为独立副科级单位。</w:t>
      </w:r>
    </w:p>
    <w:p>
      <w:pPr>
        <w:pStyle w:val="2"/>
        <w:numPr>
          <w:ilvl w:val="0"/>
          <w:numId w:val="1"/>
        </w:numPr>
        <w:spacing w:line="360" w:lineRule="auto"/>
        <w:rPr>
          <w:rFonts w:hint="eastAsia" w:ascii="仿宋_GB2312" w:hAnsi="宋体" w:eastAsia="仿宋_GB2312"/>
          <w:sz w:val="28"/>
          <w:szCs w:val="22"/>
        </w:rPr>
      </w:pPr>
      <w:r>
        <w:rPr>
          <w:rFonts w:hint="eastAsia" w:ascii="仿宋_GB2312" w:hAnsi="宋体" w:eastAsia="仿宋_GB2312"/>
          <w:sz w:val="28"/>
          <w:szCs w:val="22"/>
        </w:rPr>
        <w:t>人员情况:</w:t>
      </w:r>
    </w:p>
    <w:p>
      <w:pPr>
        <w:pStyle w:val="2"/>
        <w:numPr>
          <w:ilvl w:val="0"/>
          <w:numId w:val="0"/>
        </w:numPr>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目前县医疗保障局编制总数为4</w:t>
      </w:r>
      <w:r>
        <w:rPr>
          <w:rFonts w:hint="eastAsia" w:ascii="仿宋_GB2312" w:hAnsi="宋体" w:eastAsia="仿宋_GB2312"/>
          <w:sz w:val="28"/>
          <w:szCs w:val="22"/>
          <w:lang w:val="en-US" w:eastAsia="zh-CN"/>
        </w:rPr>
        <w:t>3</w:t>
      </w:r>
      <w:r>
        <w:rPr>
          <w:rFonts w:hint="eastAsia" w:ascii="仿宋_GB2312" w:hAnsi="宋体" w:eastAsia="仿宋_GB2312"/>
          <w:sz w:val="28"/>
          <w:szCs w:val="22"/>
        </w:rPr>
        <w:t>名</w:t>
      </w:r>
      <w:r>
        <w:rPr>
          <w:rFonts w:hint="eastAsia" w:ascii="仿宋_GB2312" w:hAnsi="宋体" w:eastAsia="仿宋_GB2312"/>
          <w:sz w:val="28"/>
          <w:szCs w:val="22"/>
          <w:lang w:eastAsia="zh-CN"/>
        </w:rPr>
        <w:t>，</w:t>
      </w:r>
      <w:r>
        <w:rPr>
          <w:rFonts w:hint="eastAsia" w:ascii="仿宋_GB2312" w:hAnsi="宋体" w:eastAsia="仿宋_GB2312"/>
          <w:sz w:val="28"/>
          <w:szCs w:val="22"/>
          <w:lang w:val="en-US" w:eastAsia="zh-CN"/>
        </w:rPr>
        <w:t>实际在职人数41人</w:t>
      </w:r>
      <w:r>
        <w:rPr>
          <w:rFonts w:hint="eastAsia" w:ascii="仿宋_GB2312" w:hAnsi="宋体" w:eastAsia="仿宋_GB2312"/>
          <w:sz w:val="28"/>
          <w:szCs w:val="22"/>
        </w:rPr>
        <w:t>。</w:t>
      </w:r>
    </w:p>
    <w:p>
      <w:pPr>
        <w:pStyle w:val="2"/>
        <w:spacing w:line="360" w:lineRule="auto"/>
        <w:rPr>
          <w:rFonts w:ascii="仿宋_GB2312" w:hAnsi="宋体" w:eastAsia="仿宋_GB2312"/>
          <w:sz w:val="28"/>
          <w:szCs w:val="22"/>
        </w:rPr>
      </w:pPr>
      <w:r>
        <w:rPr>
          <w:rFonts w:hint="eastAsia" w:ascii="仿宋_GB2312" w:hAnsi="宋体" w:eastAsia="仿宋_GB2312"/>
          <w:sz w:val="28"/>
          <w:szCs w:val="22"/>
        </w:rPr>
        <w:t>3.主要职能:</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(一）贯彻执行国家、省、岳阳市关于医疗保险、生育保险、医疗救助等医疗保障制度的法律法规、政策、规划和标准，拟订我县相关政策、规划和标准。</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（二）组织制定并实施医疗保障基金监督管理办法，建立健全医疗保障基金安全防控机制，推进医疗保障基金支付方式改革。</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（三）组织制定并实施医疗保障筹资和待遇政策，实行统筹城乡医疗保障待遇标准，建立健全与筹资水平相适应的待遇调整机制。组织拟订并实施长期护理保险制度改革方案。</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（四）组织制定城乡统一的药品、医用耗材、医疗服务项目、医疗服务设施等医保目录和支付标准，建立动态调整机制，承担医保目录准入相关工作。</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五）组织制定药品、医用耗材价格和医疗服务项目、医疗服务设施收费等政策并组织实施和监督检查，建立医保支付医药服务价格，合理确定和动态调整机制，推动建立市场主导的社会医药服务价格形成机制，建立价格信息监测和信息发布制度。</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（六）组织落实药品、医用耗材的招标采购政策并监督实施，组织落实药品、医用耗材招标采购平台建设。</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（七）制定定点医药机构协议和支付管理办法并组织实施，建立健全医疗保障信用评价体系和信息披露制度，监督管理纳入医保范围内的医疗服务行为和医疗费用，依法查处医疗保障领域违法违规行为。</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（八）负责医疗保障经办管理、公共服务体系和信息化建设。建立健全异地就医管理和费用结算制度。建立健全医疗保障关系转移接续制度。开展医疗保障领域合作交流。</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（九）贯彻落实上级医疗保险、生育保险、医疗救助等政策规定，负责全市医疗保障经办业务。</w:t>
      </w:r>
    </w:p>
    <w:p>
      <w:pPr>
        <w:pStyle w:val="2"/>
        <w:spacing w:line="360" w:lineRule="auto"/>
        <w:ind w:firstLine="560" w:firstLineChars="200"/>
        <w:rPr>
          <w:rFonts w:ascii="仿宋_GB2312" w:hAnsi="宋体" w:eastAsia="仿宋_GB2312"/>
          <w:sz w:val="28"/>
          <w:szCs w:val="22"/>
        </w:rPr>
      </w:pPr>
      <w:r>
        <w:rPr>
          <w:rFonts w:hint="eastAsia" w:ascii="仿宋_GB2312" w:hAnsi="宋体" w:eastAsia="仿宋_GB2312"/>
          <w:sz w:val="28"/>
          <w:szCs w:val="22"/>
        </w:rPr>
        <w:t>（十）完成县委、县政府交办的其他任务。</w:t>
      </w:r>
    </w:p>
    <w:p>
      <w:pPr>
        <w:pStyle w:val="12"/>
        <w:widowControl/>
        <w:spacing w:line="610" w:lineRule="exact"/>
        <w:ind w:left="0" w:leftChars="0" w:firstLine="0" w:firstLineChars="0"/>
        <w:rPr>
          <w:rFonts w:ascii="Times New Roman" w:hAnsi="Times New Roman" w:eastAsia="黑体"/>
          <w:sz w:val="32"/>
          <w:szCs w:val="32"/>
        </w:rPr>
      </w:pPr>
      <w:r>
        <w:rPr>
          <w:rFonts w:ascii="Times New Roman" w:hAnsi="Times New Roman" w:eastAsia="黑体"/>
          <w:sz w:val="32"/>
          <w:szCs w:val="32"/>
        </w:rPr>
        <w:t>二、基本支出情况</w:t>
      </w:r>
    </w:p>
    <w:p>
      <w:pPr>
        <w:pStyle w:val="12"/>
        <w:widowControl/>
        <w:spacing w:line="610" w:lineRule="exact"/>
        <w:ind w:firstLine="480"/>
        <w:rPr>
          <w:rFonts w:ascii="仿宋_GB2312" w:hAnsi="宋体" w:eastAsia="仿宋_GB2312"/>
          <w:sz w:val="28"/>
          <w:szCs w:val="28"/>
        </w:rPr>
      </w:pPr>
      <w:r>
        <w:rPr>
          <w:rFonts w:hint="eastAsia" w:ascii="仿宋_GB2312" w:hAnsi="宋体" w:eastAsia="仿宋_GB2312"/>
          <w:sz w:val="28"/>
          <w:szCs w:val="28"/>
        </w:rPr>
        <w:t xml:space="preserve">基本支出是指为保障单位机构正常运转，完成日常工作任务二发生的各项支出，包括用于基本工资、津补贴等人员经费以及办公费、印刷费、水电费等日常公用经费。 </w:t>
      </w:r>
    </w:p>
    <w:p>
      <w:pPr>
        <w:pStyle w:val="12"/>
        <w:widowControl/>
        <w:spacing w:line="610" w:lineRule="exact"/>
        <w:ind w:firstLine="480"/>
        <w:rPr>
          <w:rFonts w:ascii="仿宋_GB2312" w:hAnsi="宋体" w:eastAsia="仿宋_GB2312"/>
          <w:sz w:val="28"/>
          <w:szCs w:val="28"/>
        </w:rPr>
      </w:pPr>
      <w:r>
        <w:rPr>
          <w:rFonts w:hint="eastAsia" w:ascii="仿宋_GB2312" w:hAnsi="宋体" w:eastAsia="仿宋_GB2312"/>
          <w:sz w:val="28"/>
          <w:szCs w:val="28"/>
        </w:rPr>
        <w:t>基本支出总额5</w:t>
      </w:r>
      <w:r>
        <w:rPr>
          <w:rFonts w:hint="eastAsia" w:ascii="仿宋_GB2312" w:hAnsi="宋体" w:eastAsia="仿宋_GB2312"/>
          <w:sz w:val="28"/>
          <w:szCs w:val="28"/>
          <w:lang w:val="en-US" w:eastAsia="zh-CN"/>
        </w:rPr>
        <w:t>,</w:t>
      </w:r>
      <w:r>
        <w:rPr>
          <w:rFonts w:hint="eastAsia" w:ascii="仿宋_GB2312" w:hAnsi="宋体" w:eastAsia="仿宋_GB2312"/>
          <w:sz w:val="28"/>
          <w:szCs w:val="28"/>
        </w:rPr>
        <w:t>730</w:t>
      </w:r>
      <w:r>
        <w:rPr>
          <w:rFonts w:hint="eastAsia" w:ascii="仿宋_GB2312" w:hAnsi="宋体" w:eastAsia="仿宋_GB2312"/>
          <w:sz w:val="28"/>
          <w:szCs w:val="28"/>
          <w:lang w:val="en-US" w:eastAsia="zh-CN"/>
        </w:rPr>
        <w:t>,</w:t>
      </w:r>
      <w:r>
        <w:rPr>
          <w:rFonts w:hint="eastAsia" w:ascii="仿宋_GB2312" w:hAnsi="宋体" w:eastAsia="仿宋_GB2312"/>
          <w:sz w:val="28"/>
          <w:szCs w:val="28"/>
        </w:rPr>
        <w:t>218.79元，其中：人员经费</w:t>
      </w:r>
      <w:r>
        <w:rPr>
          <w:rFonts w:hint="eastAsia" w:ascii="仿宋_GB2312" w:hAnsi="宋体" w:eastAsia="仿宋_GB2312"/>
          <w:sz w:val="28"/>
          <w:szCs w:val="28"/>
        </w:rPr>
        <w:tab/>
      </w:r>
      <w:r>
        <w:rPr>
          <w:rFonts w:hint="eastAsia" w:ascii="仿宋_GB2312" w:hAnsi="宋体" w:eastAsia="仿宋_GB2312"/>
          <w:sz w:val="28"/>
          <w:szCs w:val="28"/>
        </w:rPr>
        <w:t>4,623,280.05元，公用经费1,106,938.74元。</w:t>
      </w:r>
    </w:p>
    <w:p>
      <w:pPr>
        <w:pStyle w:val="12"/>
        <w:widowControl/>
        <w:spacing w:line="610" w:lineRule="exact"/>
        <w:ind w:left="0" w:leftChars="0" w:firstLine="0" w:firstLineChars="0"/>
        <w:rPr>
          <w:rFonts w:ascii="Times New Roman" w:hAnsi="Times New Roman" w:eastAsia="黑体"/>
          <w:sz w:val="32"/>
          <w:szCs w:val="32"/>
        </w:rPr>
      </w:pPr>
      <w:r>
        <w:rPr>
          <w:rFonts w:ascii="Times New Roman" w:hAnsi="Times New Roman" w:eastAsia="黑体"/>
          <w:sz w:val="32"/>
          <w:szCs w:val="32"/>
        </w:rPr>
        <w:t>三、项目支出情况</w:t>
      </w:r>
    </w:p>
    <w:p>
      <w:pPr>
        <w:pStyle w:val="12"/>
        <w:widowControl/>
        <w:spacing w:line="610" w:lineRule="exact"/>
        <w:ind w:firstLine="480"/>
        <w:rPr>
          <w:rFonts w:ascii="仿宋_GB2312" w:hAnsi="宋体" w:eastAsia="仿宋_GB2312"/>
          <w:sz w:val="28"/>
          <w:szCs w:val="28"/>
        </w:rPr>
      </w:pPr>
      <w:r>
        <w:rPr>
          <w:rFonts w:hint="eastAsia" w:ascii="仿宋_GB2312" w:hAnsi="宋体" w:eastAsia="仿宋_GB2312"/>
          <w:sz w:val="28"/>
          <w:szCs w:val="28"/>
        </w:rPr>
        <w:t>项目支出是指单位为完成特定行政工作任务或事业发展目标而发生的支出，包括有关业务工作专项和运行维护专项</w:t>
      </w:r>
    </w:p>
    <w:p>
      <w:pPr>
        <w:pStyle w:val="12"/>
        <w:widowControl/>
        <w:spacing w:line="610" w:lineRule="exact"/>
        <w:ind w:firstLine="480"/>
        <w:rPr>
          <w:rFonts w:ascii="仿宋_GB2312" w:hAnsi="宋体" w:eastAsia="仿宋_GB2312"/>
          <w:sz w:val="28"/>
          <w:szCs w:val="28"/>
        </w:rPr>
      </w:pPr>
      <w:r>
        <w:rPr>
          <w:rFonts w:hint="eastAsia" w:ascii="仿宋_GB2312" w:hAnsi="宋体" w:eastAsia="仿宋_GB2312"/>
          <w:sz w:val="28"/>
          <w:szCs w:val="28"/>
        </w:rPr>
        <w:t>项目支出总额1,406,166.56元，其中：基本建设类项目300,000.00元</w:t>
      </w:r>
    </w:p>
    <w:p>
      <w:pPr>
        <w:pStyle w:val="12"/>
        <w:widowControl/>
        <w:spacing w:line="610" w:lineRule="exact"/>
        <w:ind w:left="0" w:leftChars="0" w:firstLine="0" w:firstLineChars="0"/>
        <w:rPr>
          <w:rFonts w:eastAsia="黑体"/>
          <w:sz w:val="32"/>
          <w:szCs w:val="32"/>
        </w:rPr>
      </w:pPr>
      <w:r>
        <w:rPr>
          <w:rFonts w:hint="eastAsia" w:eastAsia="黑体"/>
          <w:sz w:val="32"/>
          <w:szCs w:val="32"/>
        </w:rPr>
        <w:t>四</w:t>
      </w:r>
      <w:r>
        <w:rPr>
          <w:rFonts w:eastAsia="黑体"/>
          <w:sz w:val="32"/>
          <w:szCs w:val="32"/>
        </w:rPr>
        <w:t>、部门整体支出绩效情况</w:t>
      </w:r>
    </w:p>
    <w:p>
      <w:pPr>
        <w:pStyle w:val="12"/>
        <w:widowControl/>
        <w:spacing w:line="610" w:lineRule="exact"/>
        <w:ind w:firstLine="480"/>
        <w:rPr>
          <w:rFonts w:ascii="仿宋_GB2312" w:eastAsia="仿宋_GB2312" w:hAnsiTheme="minorEastAsia"/>
          <w:sz w:val="28"/>
          <w:szCs w:val="28"/>
        </w:rPr>
      </w:pPr>
      <w:r>
        <w:rPr>
          <w:rFonts w:hint="eastAsia" w:ascii="仿宋_GB2312" w:eastAsia="仿宋_GB2312" w:hAnsiTheme="minorEastAsia"/>
          <w:sz w:val="28"/>
          <w:szCs w:val="28"/>
        </w:rPr>
        <w:t>2022年一般公共预算财政拨款收入713.64万元，总支出713.64万元，收支平衡。支出按功能分类：一般公共服务支出60.62万元，卫生健康支出653.02万，支出按支出性质分类：基本支出573.02万元，项目支出140.62万元，支出按经济分类：工资福利支出458.57万元，商品和服务支出202.25万元，对个人和家庭的补助22.56万元，资本性支出（基本建设）30万元，资本性支出0.26万元。</w:t>
      </w:r>
    </w:p>
    <w:p>
      <w:pPr>
        <w:pStyle w:val="12"/>
        <w:widowControl/>
        <w:spacing w:line="610" w:lineRule="exact"/>
        <w:ind w:firstLine="480"/>
        <w:rPr>
          <w:rFonts w:ascii="仿宋_GB2312" w:eastAsia="仿宋_GB2312" w:hAnsiTheme="minorEastAsia"/>
          <w:sz w:val="28"/>
          <w:szCs w:val="28"/>
        </w:rPr>
      </w:pPr>
      <w:r>
        <w:rPr>
          <w:rFonts w:hint="eastAsia" w:ascii="仿宋_GB2312" w:eastAsia="仿宋_GB2312" w:hAnsiTheme="minorEastAsia"/>
          <w:sz w:val="28"/>
          <w:szCs w:val="28"/>
        </w:rPr>
        <w:t>2022年全县各医疗险种工作进展顺利，职工医疗保险、居民医疗保险、生育保险享受待遇人员增多，待遇水平逐年提高。对于医疗待遇核定、医院稽查方面严格按国家有关政策法规执行，对违规操作严格杜绝，保证医保基金零流失。缓解和消除农民因病致贫、因病返贫。最低生活保障人员医疗救助工作大大提高了求助力度，切实解决了贫困群众就医大难题，让人民群众真正体会到党和国家以人为本、体恤民情、公平正义的重大决策与改善广大人民生活水平、提高人民生活质量的伟大决心！</w:t>
      </w:r>
    </w:p>
    <w:p>
      <w:pPr>
        <w:pStyle w:val="12"/>
        <w:widowControl/>
        <w:spacing w:line="610" w:lineRule="exact"/>
        <w:ind w:left="0" w:leftChars="0" w:firstLine="0" w:firstLineChars="0"/>
        <w:rPr>
          <w:rFonts w:ascii="Times New Roman" w:hAnsi="Times New Roman" w:eastAsia="黑体"/>
          <w:sz w:val="32"/>
          <w:szCs w:val="32"/>
        </w:rPr>
      </w:pPr>
      <w:r>
        <w:rPr>
          <w:rFonts w:hint="eastAsia" w:ascii="Times New Roman" w:hAnsi="Times New Roman" w:eastAsia="黑体"/>
          <w:sz w:val="32"/>
          <w:szCs w:val="32"/>
        </w:rPr>
        <w:t>五</w:t>
      </w:r>
      <w:r>
        <w:rPr>
          <w:rFonts w:ascii="Times New Roman" w:hAnsi="Times New Roman" w:eastAsia="黑体"/>
          <w:sz w:val="32"/>
          <w:szCs w:val="32"/>
        </w:rPr>
        <w:t>、存在的问题及原因分析</w:t>
      </w:r>
    </w:p>
    <w:p>
      <w:pPr>
        <w:widowControl/>
        <w:spacing w:line="610" w:lineRule="exact"/>
        <w:ind w:firstLine="560" w:firstLineChars="200"/>
        <w:rPr>
          <w:rFonts w:ascii="仿宋" w:hAnsi="仿宋" w:eastAsia="仿宋"/>
          <w:sz w:val="28"/>
          <w:szCs w:val="28"/>
        </w:rPr>
      </w:pPr>
      <w:r>
        <w:rPr>
          <w:rFonts w:hint="eastAsia" w:ascii="仿宋" w:hAnsi="仿宋" w:eastAsia="仿宋"/>
          <w:sz w:val="28"/>
          <w:szCs w:val="28"/>
        </w:rPr>
        <w:t>人员不够，经费不足；单位公用经费资金不足不能及时支付，导致不能反映当年整体支出的实际情况。因业务增加，公用经费所需费用大幅增加，现有预算内公用经费资金已无法满足。</w:t>
      </w:r>
    </w:p>
    <w:p>
      <w:pPr>
        <w:widowControl/>
        <w:adjustRightInd w:val="0"/>
        <w:snapToGrid w:val="0"/>
        <w:spacing w:line="360" w:lineRule="auto"/>
        <w:rPr>
          <w:rFonts w:eastAsia="黑体"/>
          <w:sz w:val="32"/>
          <w:szCs w:val="32"/>
        </w:rPr>
      </w:pPr>
      <w:r>
        <w:rPr>
          <w:rFonts w:hint="eastAsia" w:eastAsia="黑体"/>
          <w:sz w:val="32"/>
          <w:szCs w:val="32"/>
        </w:rPr>
        <w:t>六</w:t>
      </w:r>
      <w:r>
        <w:rPr>
          <w:rFonts w:eastAsia="黑体"/>
          <w:sz w:val="32"/>
          <w:szCs w:val="32"/>
        </w:rPr>
        <w:t>、下一步改进措施</w:t>
      </w:r>
    </w:p>
    <w:p>
      <w:pPr>
        <w:pStyle w:val="2"/>
        <w:adjustRightInd w:val="0"/>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为了进一步规范资金管理，力争在预算编制管理上更精细化、科学化，确保各项开支更规范、合理，特提出以下建议：</w:t>
      </w:r>
    </w:p>
    <w:p>
      <w:pPr>
        <w:pStyle w:val="2"/>
        <w:adjustRightInd w:val="0"/>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1、基数预算与零基预算相结合。将预算足额安排到我单位，在严格审查符合政策法规的情况下，按零基预算原则给予补足。</w:t>
      </w:r>
    </w:p>
    <w:p>
      <w:pPr>
        <w:pStyle w:val="2"/>
        <w:adjustRightInd w:val="0"/>
        <w:spacing w:line="360" w:lineRule="auto"/>
        <w:ind w:firstLine="560" w:firstLineChars="200"/>
        <w:rPr>
          <w:rFonts w:ascii="仿宋_GB2312" w:eastAsia="仿宋_GB2312" w:hAnsiTheme="minorEastAsia"/>
          <w:sz w:val="28"/>
          <w:szCs w:val="28"/>
        </w:rPr>
      </w:pPr>
      <w:r>
        <w:rPr>
          <w:rFonts w:hint="eastAsia" w:ascii="仿宋_GB2312" w:eastAsia="仿宋_GB2312" w:hAnsiTheme="minorEastAsia"/>
          <w:sz w:val="28"/>
          <w:szCs w:val="28"/>
        </w:rPr>
        <w:t>2、医保局成立以来，随着医保基金支付方式改革，健康扶贫一站式结算，打击欺诈骗，推进信息化建设，业务明显增加，年初预算的公用经费已经严重不足，为使我局工作顺利开展，请求增加公用经费资金。</w:t>
      </w:r>
    </w:p>
    <w:p>
      <w:pPr>
        <w:pStyle w:val="2"/>
        <w:adjustRightInd w:val="0"/>
        <w:spacing w:line="360" w:lineRule="auto"/>
        <w:ind w:firstLine="560" w:firstLineChars="200"/>
        <w:rPr>
          <w:rFonts w:hint="eastAsia" w:ascii="仿宋_GB2312" w:eastAsia="仿宋_GB2312" w:hAnsiTheme="minorEastAsia"/>
          <w:sz w:val="28"/>
          <w:szCs w:val="28"/>
        </w:rPr>
      </w:pPr>
      <w:r>
        <w:rPr>
          <w:rFonts w:hint="eastAsia" w:ascii="仿宋_GB2312" w:eastAsia="仿宋_GB2312" w:hAnsiTheme="minorEastAsia"/>
          <w:sz w:val="28"/>
          <w:szCs w:val="28"/>
        </w:rPr>
        <w:t>3 、建立绩效评价管理工作的长效机制，将绩效评价作为各部门的日常性工作，加强相关培训。</w:t>
      </w:r>
    </w:p>
    <w:p>
      <w:pPr>
        <w:pStyle w:val="2"/>
        <w:adjustRightInd w:val="0"/>
        <w:spacing w:line="360" w:lineRule="auto"/>
        <w:rPr>
          <w:rFonts w:eastAsia="仿宋_GB2312"/>
          <w:sz w:val="32"/>
          <w:szCs w:val="32"/>
        </w:rPr>
      </w:pPr>
      <w:r>
        <w:rPr>
          <w:rFonts w:hint="eastAsia" w:eastAsia="黑体"/>
          <w:sz w:val="32"/>
          <w:szCs w:val="32"/>
        </w:rPr>
        <w:t>七</w:t>
      </w:r>
      <w:r>
        <w:rPr>
          <w:rFonts w:eastAsia="黑体"/>
          <w:sz w:val="32"/>
          <w:szCs w:val="32"/>
        </w:rPr>
        <w:t>、其他需要说明的情况</w:t>
      </w:r>
    </w:p>
    <w:p>
      <w:pPr>
        <w:pStyle w:val="2"/>
        <w:ind w:firstLine="560" w:firstLineChars="200"/>
        <w:rPr>
          <w:rFonts w:ascii="仿宋_GB2312" w:eastAsia="仿宋_GB2312"/>
          <w:sz w:val="28"/>
          <w:szCs w:val="20"/>
        </w:rPr>
        <w:sectPr>
          <w:pgSz w:w="11906" w:h="16838"/>
          <w:pgMar w:top="1984" w:right="1701" w:bottom="1984" w:left="1701" w:header="851" w:footer="992" w:gutter="0"/>
          <w:cols w:space="0" w:num="1"/>
          <w:docGrid w:type="lines" w:linePitch="312" w:charSpace="0"/>
        </w:sectPr>
      </w:pPr>
      <w:r>
        <w:rPr>
          <w:rFonts w:hint="eastAsia" w:ascii="仿宋_GB2312" w:eastAsia="仿宋_GB2312"/>
          <w:sz w:val="28"/>
          <w:szCs w:val="20"/>
          <w:lang w:val="en-US" w:eastAsia="zh-CN"/>
        </w:rPr>
        <w:t>暂</w:t>
      </w:r>
      <w:r>
        <w:rPr>
          <w:rFonts w:hint="eastAsia" w:ascii="仿宋_GB2312" w:eastAsia="仿宋_GB2312"/>
          <w:sz w:val="28"/>
          <w:szCs w:val="20"/>
        </w:rPr>
        <w:t>无</w:t>
      </w:r>
    </w:p>
    <w:p>
      <w:pPr>
        <w:spacing w:line="560" w:lineRule="exact"/>
        <w:rPr>
          <w:rFonts w:ascii="黑体" w:hAnsi="黑体" w:eastAsia="黑体"/>
          <w:sz w:val="32"/>
          <w:szCs w:val="32"/>
        </w:rPr>
      </w:pPr>
      <w:r>
        <w:rPr>
          <w:rFonts w:hint="eastAsia" w:ascii="黑体" w:hAnsi="黑体" w:eastAsia="黑体"/>
          <w:sz w:val="32"/>
          <w:szCs w:val="32"/>
        </w:rPr>
        <w:t>附件4</w:t>
      </w:r>
    </w:p>
    <w:p>
      <w:pPr>
        <w:widowControl/>
        <w:spacing w:before="156" w:beforeLines="50" w:after="312" w:afterLines="100"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项目支出绩效评价评分表（共性）</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②目标明确（1分）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②符合经济社会发展规划（1分）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③部门年度工作计划（1分）</w:t>
            </w:r>
          </w:p>
          <w:p>
            <w:pPr>
              <w:widowControl/>
              <w:spacing w:line="240" w:lineRule="exact"/>
              <w:jc w:val="left"/>
              <w:rPr>
                <w:rFonts w:ascii="仿宋_GB2312" w:hAnsi="宋体" w:eastAsia="仿宋_GB2312" w:cs="宋体"/>
                <w:spacing w:val="-6"/>
                <w:kern w:val="0"/>
                <w:sz w:val="18"/>
                <w:szCs w:val="18"/>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②办法健全、规范（1分）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rPr>
                <w:rFonts w:ascii="仿宋_GB2312" w:hAnsi="宋体" w:eastAsia="仿宋_GB2312" w:cs="宋体"/>
                <w:kern w:val="0"/>
                <w:sz w:val="18"/>
                <w:szCs w:val="18"/>
              </w:rPr>
            </w:pPr>
            <w:r>
              <w:rPr>
                <w:rFonts w:hint="eastAsia" w:ascii="仿宋_GB2312" w:hAnsi="宋体" w:eastAsia="仿宋_GB2312" w:cs="宋体"/>
                <w:kern w:val="0"/>
                <w:sz w:val="18"/>
                <w:szCs w:val="18"/>
              </w:rPr>
              <w:t>项目管理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p>
          <w:p>
            <w:pPr>
              <w:widowControl/>
              <w:spacing w:line="240" w:lineRule="exact"/>
              <w:jc w:val="left"/>
              <w:rPr>
                <w:rFonts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②依据不合规扣2分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③截留、挤占、挪用扣3-6分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②严格执行制度（1分）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宋体" w:hAnsi="宋体" w:cs="宋体"/>
                <w:b/>
                <w:bCs/>
                <w:kern w:val="0"/>
                <w:sz w:val="18"/>
                <w:szCs w:val="18"/>
              </w:rPr>
            </w:pPr>
            <w:r>
              <w:rPr>
                <w:rFonts w:hint="eastAsia" w:ascii="宋体" w:hAnsi="宋体" w:cs="宋体"/>
                <w:b/>
                <w:bCs/>
                <w:kern w:val="0"/>
                <w:sz w:val="18"/>
                <w:szCs w:val="18"/>
              </w:rPr>
              <w:t>99</w:t>
            </w:r>
          </w:p>
        </w:tc>
      </w:tr>
    </w:tbl>
    <w:p>
      <w:pPr>
        <w:adjustRightInd w:val="0"/>
        <w:snapToGrid w:val="0"/>
        <w:spacing w:before="156" w:beforeLines="50"/>
        <w:ind w:left="840" w:hanging="840" w:hangingChars="400"/>
        <w:contextualSpacing/>
        <w:rPr>
          <w:rFonts w:ascii="仿宋_GB2312" w:eastAsia="仿宋_GB2312"/>
        </w:rPr>
      </w:pPr>
      <w:r>
        <w:rPr>
          <w:rFonts w:hint="eastAsia" w:ascii="仿宋_GB2312" w:eastAsia="仿宋_GB2312"/>
        </w:rPr>
        <w:t>备注：1、部门（单位）根据项目实际，在《项目支出绩效评价指标评分表（共性）》上进一步完善、量化、细化个性指标，形成本项目的指标体系。</w:t>
      </w:r>
    </w:p>
    <w:p>
      <w:pPr>
        <w:adjustRightInd w:val="0"/>
        <w:snapToGrid w:val="0"/>
        <w:spacing w:before="156" w:beforeLines="50"/>
        <w:ind w:firstLine="630" w:firstLineChars="300"/>
        <w:contextualSpacing/>
        <w:rPr>
          <w:rFonts w:eastAsia="仿宋_GB2312"/>
          <w:sz w:val="32"/>
        </w:rPr>
      </w:pPr>
      <w:r>
        <w:rPr>
          <w:rFonts w:hint="eastAsia" w:ascii="仿宋_GB2312" w:eastAsia="仿宋_GB2312"/>
        </w:rPr>
        <w:t>2、一个一级项目一张表。</w:t>
      </w:r>
    </w:p>
    <w:p/>
    <w:p>
      <w:pPr>
        <w:pStyle w:val="2"/>
        <w:sectPr>
          <w:pgSz w:w="11906" w:h="16838"/>
          <w:pgMar w:top="1701" w:right="1417" w:bottom="1417" w:left="1417" w:header="851" w:footer="992" w:gutter="0"/>
          <w:cols w:space="0" w:num="1"/>
          <w:docGrid w:type="lines" w:linePitch="312" w:charSpace="0"/>
        </w:sectPr>
      </w:pPr>
    </w:p>
    <w:p>
      <w:pPr>
        <w:rPr>
          <w:rFonts w:ascii="黑体" w:hAnsi="黑体" w:eastAsia="黑体"/>
          <w:sz w:val="32"/>
          <w:szCs w:val="32"/>
        </w:rPr>
      </w:pPr>
      <w:r>
        <w:rPr>
          <w:rFonts w:hint="eastAsia" w:ascii="黑体" w:hAnsi="黑体" w:eastAsia="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项目支</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医疗保障服务能力建设</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华容县医疗保障局</w:t>
            </w:r>
          </w:p>
        </w:tc>
        <w:tc>
          <w:tcPr>
            <w:tcW w:w="1134" w:type="dxa"/>
            <w:tcBorders>
              <w:top w:val="single" w:color="auto" w:sz="4" w:space="0"/>
              <w:left w:val="nil"/>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华容县医疗保障局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项目资金</w:t>
            </w:r>
            <w:r>
              <w:rPr>
                <w:rFonts w:hint="eastAsia" w:ascii="仿宋_GB2312" w:eastAsia="仿宋_GB2312" w:hAnsiTheme="minorEastAsia"/>
                <w:color w:val="000000"/>
                <w:sz w:val="20"/>
                <w:szCs w:val="20"/>
              </w:rPr>
              <w:br w:type="textWrapping"/>
            </w:r>
            <w:r>
              <w:rPr>
                <w:rFonts w:hint="eastAsia" w:ascii="仿宋_GB2312" w:eastAsia="仿宋_GB2312" w:hAnsiTheme="minorEastAsia"/>
                <w:color w:val="000000"/>
                <w:sz w:val="20"/>
                <w:szCs w:val="20"/>
              </w:rPr>
              <w:t>（万元）</w:t>
            </w: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年初</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预算数</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全年</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预算数</w:t>
            </w:r>
          </w:p>
        </w:tc>
        <w:tc>
          <w:tcPr>
            <w:tcW w:w="1134"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全年</w:t>
            </w:r>
          </w:p>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执行数</w:t>
            </w:r>
          </w:p>
        </w:tc>
        <w:tc>
          <w:tcPr>
            <w:tcW w:w="828"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分值</w:t>
            </w:r>
          </w:p>
        </w:tc>
        <w:tc>
          <w:tcPr>
            <w:tcW w:w="873"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执行率</w:t>
            </w:r>
          </w:p>
        </w:tc>
        <w:tc>
          <w:tcPr>
            <w:tcW w:w="1418"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80</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80</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80</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80</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其他资金</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实际完成情况</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left"/>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提升综合监管、宣传引导、信息化建设、人才队伍建设等医疗保障服务能力</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绩</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二级指标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三级指标</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指标值</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实际</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完成值</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分值</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得分</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产出指标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(50分)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数量指标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系统正常运行率</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20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20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质量指标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信息标准化</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国家标准</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时效指标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项目完工</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验收通过</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成本指标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信用评价</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制度建立</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效益指标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（30分）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经济效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集中采购</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国家标准</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落实</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社会效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因病致贫</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同比上年</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减少</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生态效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restart"/>
            <w:tcBorders>
              <w:top w:val="single" w:color="auto" w:sz="4" w:space="0"/>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可持续</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人才培养</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合格率100%</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满意度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服务对象满意度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群众满意度</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828"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9</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总分</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99</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bl>
    <w:p>
      <w:pP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pStyle w:val="2"/>
      </w:pPr>
    </w:p>
    <w:p>
      <w:r>
        <w:t>填表人：</w:t>
      </w:r>
      <w:r>
        <w:rPr>
          <w:rFonts w:hint="eastAsia"/>
        </w:rPr>
        <w:t xml:space="preserve">吴蓉 </w:t>
      </w:r>
      <w:r>
        <w:t>填报日期：</w:t>
      </w:r>
      <w:r>
        <w:rPr>
          <w:rFonts w:hint="eastAsia"/>
        </w:rPr>
        <w:t>2023年7月4日</w:t>
      </w:r>
      <w:r>
        <w:t xml:space="preserve"> 联系电话：13762795777   单位负责人签字：</w:t>
      </w:r>
    </w:p>
    <w:p/>
    <w:p/>
    <w:p>
      <w:pPr>
        <w:rPr>
          <w:rFonts w:ascii="新宋体" w:hAnsi="新宋体" w:eastAsia="新宋体" w:cs="新宋体"/>
          <w:szCs w:val="21"/>
        </w:rPr>
        <w:sectPr>
          <w:pgSz w:w="11906" w:h="16838"/>
          <w:pgMar w:top="1701" w:right="1417" w:bottom="1417" w:left="1417" w:header="851" w:footer="992" w:gutter="0"/>
          <w:cols w:space="0" w:num="1"/>
          <w:docGrid w:type="lines" w:linePitch="312" w:charSpace="0"/>
        </w:sectPr>
      </w:pP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2022年度华容县医疗保障局</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医疗保障服务能力建设项目支出</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u w:val="single"/>
        </w:rPr>
        <w:t>华容县医疗保障局</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4</w:t>
      </w:r>
      <w:r>
        <w:rPr>
          <w:rFonts w:eastAsia="楷体_GB2312"/>
          <w:sz w:val="32"/>
          <w:szCs w:val="32"/>
        </w:rPr>
        <w:t>日</w:t>
      </w:r>
    </w:p>
    <w:p>
      <w:pPr>
        <w:jc w:val="center"/>
        <w:rPr>
          <w:rFonts w:eastAsia="仿宋_GB2312"/>
          <w:sz w:val="32"/>
          <w:szCs w:val="32"/>
        </w:rPr>
      </w:pPr>
      <w:r>
        <w:rPr>
          <w:rFonts w:eastAsia="仿宋_GB2312"/>
          <w:sz w:val="32"/>
          <w:szCs w:val="32"/>
        </w:rPr>
        <w:t>（此页为封面）</w:t>
      </w:r>
    </w:p>
    <w:p>
      <w:pPr>
        <w:spacing w:line="610" w:lineRule="exact"/>
        <w:jc w:val="center"/>
        <w:rPr>
          <w:rFonts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2022年度华容县医疗保障局</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医疗保障服务能力建设项目支出</w:t>
      </w:r>
    </w:p>
    <w:p>
      <w:pPr>
        <w:spacing w:line="610" w:lineRule="exact"/>
        <w:jc w:val="center"/>
        <w:rPr>
          <w:rFonts w:eastAsia="仿宋_GB2312"/>
          <w:sz w:val="32"/>
          <w:szCs w:val="32"/>
        </w:rPr>
      </w:pPr>
      <w:r>
        <w:rPr>
          <w:rFonts w:hint="eastAsia" w:ascii="方正小标宋简体" w:hAnsi="方正小标宋简体" w:eastAsia="方正小标宋简体" w:cs="方正小标宋简体"/>
          <w:sz w:val="44"/>
          <w:szCs w:val="44"/>
        </w:rPr>
        <w:t>绩效自评报告</w:t>
      </w:r>
    </w:p>
    <w:p>
      <w:pPr>
        <w:spacing w:line="610" w:lineRule="exact"/>
        <w:ind w:firstLine="600" w:firstLineChars="200"/>
        <w:rPr>
          <w:rFonts w:ascii="黑体" w:hAnsi="黑体" w:eastAsia="黑体" w:cs="黑体"/>
          <w:sz w:val="30"/>
          <w:szCs w:val="30"/>
        </w:rPr>
      </w:pP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一、基本情况</w:t>
      </w:r>
    </w:p>
    <w:p>
      <w:pPr>
        <w:adjustRightInd w:val="0"/>
        <w:snapToGrid w:val="0"/>
        <w:spacing w:line="360" w:lineRule="auto"/>
        <w:rPr>
          <w:rFonts w:ascii="仿宋_GB2312" w:eastAsia="仿宋_GB2312"/>
          <w:b/>
          <w:sz w:val="28"/>
          <w:szCs w:val="28"/>
        </w:rPr>
      </w:pPr>
      <w:r>
        <w:rPr>
          <w:rFonts w:hint="eastAsia" w:ascii="仿宋_GB2312" w:eastAsia="仿宋_GB2312"/>
          <w:b/>
          <w:sz w:val="28"/>
          <w:szCs w:val="28"/>
        </w:rPr>
        <w:t>(一)项目概况。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项目主要内容旨在提升综合监管、宣传引导、经办服务、信息化建设、人才队伍建设等医疗保障服务能力。</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2022年我局收到中央财政补助资金共计80万元，无省级资金下拨。</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资金投入与使用重点用于医保信息化标准化、基金监管、医保支付方式改革、经办管理服务体系建设、药品和医用耗材集中带量采购、医疗服务价格改革、医保目录管理等方面工作，专款专用。</w:t>
      </w:r>
    </w:p>
    <w:p>
      <w:pPr>
        <w:adjustRightInd w:val="0"/>
        <w:snapToGrid w:val="0"/>
        <w:spacing w:line="360" w:lineRule="auto"/>
        <w:rPr>
          <w:rFonts w:ascii="仿宋_GB2312" w:eastAsia="仿宋_GB2312"/>
          <w:b/>
          <w:sz w:val="24"/>
        </w:rPr>
      </w:pPr>
      <w:r>
        <w:rPr>
          <w:rFonts w:hint="eastAsia" w:ascii="仿宋_GB2312" w:eastAsia="仿宋_GB2312"/>
          <w:b/>
          <w:sz w:val="24"/>
        </w:rPr>
        <w:t>(二)项目绩效目标。</w:t>
      </w:r>
    </w:p>
    <w:p>
      <w:pPr>
        <w:pStyle w:val="2"/>
        <w:adjustRightInd w:val="0"/>
        <w:spacing w:line="360" w:lineRule="auto"/>
        <w:ind w:firstLine="700" w:firstLineChars="250"/>
        <w:rPr>
          <w:rFonts w:ascii="仿宋_GB2312" w:eastAsia="仿宋_GB2312"/>
          <w:sz w:val="24"/>
          <w:szCs w:val="24"/>
        </w:rPr>
      </w:pPr>
      <w:r>
        <w:rPr>
          <w:rFonts w:hint="eastAsia" w:ascii="仿宋_GB2312" w:eastAsia="仿宋_GB2312"/>
          <w:sz w:val="28"/>
          <w:szCs w:val="28"/>
        </w:rPr>
        <w:t>绩效总体目标：提升医疗保障服务能力。绩效本阶段目标：完成医保信息标准化，培养医保人才，扩大医保宣传。</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二、绩效评价工作开展情况</w:t>
      </w:r>
    </w:p>
    <w:p>
      <w:pPr>
        <w:adjustRightInd w:val="0"/>
        <w:snapToGrid w:val="0"/>
        <w:spacing w:line="360" w:lineRule="auto"/>
        <w:rPr>
          <w:rFonts w:ascii="仿宋_GB2312" w:eastAsia="仿宋_GB2312"/>
          <w:b/>
          <w:sz w:val="24"/>
        </w:rPr>
      </w:pPr>
      <w:r>
        <w:rPr>
          <w:rFonts w:hint="eastAsia" w:ascii="仿宋_GB2312" w:eastAsia="仿宋_GB2312"/>
          <w:b/>
          <w:sz w:val="24"/>
        </w:rPr>
        <w:t>(一)绩效评价目的、对象和范围。</w:t>
      </w:r>
    </w:p>
    <w:p>
      <w:pPr>
        <w:pStyle w:val="2"/>
        <w:adjustRightInd w:val="0"/>
        <w:spacing w:line="360" w:lineRule="auto"/>
        <w:ind w:firstLine="420" w:firstLineChars="150"/>
        <w:rPr>
          <w:rFonts w:ascii="仿宋_GB2312" w:eastAsia="仿宋_GB2312"/>
          <w:sz w:val="28"/>
          <w:szCs w:val="28"/>
        </w:rPr>
      </w:pPr>
      <w:r>
        <w:rPr>
          <w:rFonts w:hint="eastAsia" w:ascii="仿宋_GB2312" w:eastAsia="仿宋_GB2312"/>
          <w:sz w:val="28"/>
          <w:szCs w:val="28"/>
        </w:rPr>
        <w:t>本次绩效评价目的：加强资金管理，突出工作重点，严格落实存量资金管理要求，加强预算执行分析和监控，有效提升综合监管、宣传引导、经办服务、信息化建设、人才队伍建设等医疗保障服务能力。</w:t>
      </w:r>
    </w:p>
    <w:p>
      <w:pPr>
        <w:adjustRightInd w:val="0"/>
        <w:snapToGrid w:val="0"/>
        <w:spacing w:line="360" w:lineRule="auto"/>
        <w:ind w:firstLine="560" w:firstLineChars="200"/>
        <w:rPr>
          <w:sz w:val="28"/>
          <w:szCs w:val="28"/>
        </w:rPr>
      </w:pPr>
      <w:r>
        <w:rPr>
          <w:rFonts w:hint="eastAsia" w:ascii="仿宋_GB2312" w:eastAsia="仿宋_GB2312"/>
          <w:sz w:val="28"/>
          <w:szCs w:val="28"/>
        </w:rPr>
        <w:t>本次绩效评价对象：医疗保障服务能力建设项目。</w:t>
      </w:r>
    </w:p>
    <w:p>
      <w:pPr>
        <w:adjustRightInd w:val="0"/>
        <w:snapToGrid w:val="0"/>
        <w:spacing w:line="360" w:lineRule="auto"/>
        <w:ind w:firstLine="560" w:firstLineChars="200"/>
        <w:rPr>
          <w:rFonts w:ascii="仿宋_GB2312" w:eastAsia="仿宋_GB2312"/>
          <w:sz w:val="24"/>
        </w:rPr>
      </w:pPr>
      <w:r>
        <w:rPr>
          <w:rFonts w:hint="eastAsia" w:ascii="仿宋_GB2312" w:eastAsia="仿宋_GB2312"/>
          <w:sz w:val="28"/>
          <w:szCs w:val="28"/>
        </w:rPr>
        <w:t>本次绩效评价范围为2022年度全年该项补助资金的使用。</w:t>
      </w:r>
    </w:p>
    <w:p>
      <w:pPr>
        <w:adjustRightInd w:val="0"/>
        <w:snapToGrid w:val="0"/>
        <w:spacing w:line="360" w:lineRule="auto"/>
        <w:rPr>
          <w:rFonts w:ascii="仿宋_GB2312" w:eastAsia="仿宋_GB2312"/>
          <w:b/>
          <w:sz w:val="24"/>
        </w:rPr>
      </w:pPr>
      <w:r>
        <w:rPr>
          <w:rFonts w:hint="eastAsia" w:ascii="仿宋_GB2312" w:eastAsia="仿宋_GB2312"/>
          <w:b/>
          <w:sz w:val="24"/>
        </w:rPr>
        <w:t>(二)绩效评价原则、评价指标体系(附表说明)、评价方法、 评价标准等。</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绩效评价原则：公平公正，以客观、实事求是的态度进行，依据客观条件，以实际表现为依据，</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评价依据：本次评价依据为《中共中央国务院关于深化医疗保障制度改革的意见》、《“十四五”全民医疗保障规划》、《湖南省医疗保障局办公室关于开展2022年医保转移支付绩效评价工作的通知》（湘医保办函[2023]1号）。</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评价指标体系：根据上级文件要求，绩效指标包含项目决策、过程管理、产出指标、满意度指标。</w:t>
      </w:r>
    </w:p>
    <w:p>
      <w:pPr>
        <w:adjustRightInd w:val="0"/>
        <w:snapToGrid w:val="0"/>
        <w:spacing w:line="360" w:lineRule="auto"/>
        <w:rPr>
          <w:rFonts w:ascii="仿宋_GB2312" w:eastAsia="仿宋_GB2312"/>
          <w:b/>
          <w:sz w:val="24"/>
        </w:rPr>
      </w:pPr>
      <w:r>
        <w:rPr>
          <w:rFonts w:hint="eastAsia" w:ascii="仿宋_GB2312" w:eastAsia="仿宋_GB2312"/>
          <w:b/>
          <w:sz w:val="24"/>
        </w:rPr>
        <w:t>(三)绩效评价工作过程。</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建立绩效评价专项工作机制，压紧压实管理主体责任，落实到岗位、到人，全面组织开展自评工作。</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本项目绩效目标基本明确,预算执行合理,项目产出质量、时效符合规定。综合评价结论为优秀。</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四、绩效评价指标分析</w:t>
      </w:r>
    </w:p>
    <w:p>
      <w:pPr>
        <w:adjustRightInd w:val="0"/>
        <w:snapToGrid w:val="0"/>
        <w:spacing w:line="360" w:lineRule="auto"/>
        <w:rPr>
          <w:rFonts w:ascii="仿宋_GB2312" w:eastAsia="仿宋_GB2312"/>
          <w:b/>
          <w:sz w:val="24"/>
        </w:rPr>
      </w:pPr>
      <w:r>
        <w:rPr>
          <w:rFonts w:hint="eastAsia" w:ascii="仿宋_GB2312" w:eastAsia="仿宋_GB2312"/>
          <w:b/>
          <w:sz w:val="24"/>
        </w:rPr>
        <w:t>(一)项目决策情况。</w:t>
      </w:r>
    </w:p>
    <w:p>
      <w:pPr>
        <w:pStyle w:val="2"/>
        <w:adjustRightInd w:val="0"/>
        <w:spacing w:line="360" w:lineRule="auto"/>
        <w:ind w:firstLine="560" w:firstLineChars="200"/>
        <w:rPr>
          <w:rFonts w:ascii="仿宋_GB2312" w:eastAsia="仿宋_GB2312"/>
          <w:sz w:val="24"/>
          <w:szCs w:val="24"/>
        </w:rPr>
      </w:pPr>
      <w:r>
        <w:rPr>
          <w:rFonts w:hint="eastAsia" w:ascii="仿宋_GB2312" w:eastAsia="仿宋_GB2312"/>
          <w:sz w:val="28"/>
          <w:szCs w:val="28"/>
        </w:rPr>
        <w:t>项目实施流程、实施费用、过程监控等方面，单位组织召开“三重一大”事项征求意见会议，通过会议确定项目施行进程。</w:t>
      </w:r>
    </w:p>
    <w:p>
      <w:pPr>
        <w:adjustRightInd w:val="0"/>
        <w:snapToGrid w:val="0"/>
        <w:spacing w:line="360" w:lineRule="auto"/>
        <w:rPr>
          <w:rFonts w:ascii="仿宋_GB2312" w:eastAsia="仿宋_GB2312"/>
          <w:b/>
          <w:sz w:val="24"/>
        </w:rPr>
      </w:pPr>
      <w:r>
        <w:rPr>
          <w:rFonts w:hint="eastAsia" w:ascii="仿宋_GB2312" w:eastAsia="仿宋_GB2312"/>
          <w:b/>
          <w:sz w:val="24"/>
        </w:rPr>
        <w:t>(二)项目过程情况。</w:t>
      </w:r>
    </w:p>
    <w:p>
      <w:pPr>
        <w:pStyle w:val="2"/>
        <w:adjustRightInd w:val="0"/>
        <w:spacing w:line="360" w:lineRule="auto"/>
        <w:ind w:firstLine="560" w:firstLineChars="200"/>
        <w:rPr>
          <w:rFonts w:ascii="仿宋_GB2312" w:eastAsia="仿宋_GB2312"/>
          <w:sz w:val="24"/>
          <w:szCs w:val="24"/>
        </w:rPr>
      </w:pPr>
      <w:r>
        <w:rPr>
          <w:rFonts w:hint="eastAsia" w:ascii="仿宋_GB2312" w:eastAsia="仿宋_GB2312"/>
          <w:sz w:val="28"/>
          <w:szCs w:val="28"/>
        </w:rPr>
        <w:t>2022年度我县医疗保障服务能力建设资金共计收到80万元，组织实施医疗保障服务能力建设项目，主要实施项目有采购医疗标准化信息一体化、宣传资料印制与下乡宣传、医保人员培训、特贫困户走访落实困难人员参保资助政策。</w:t>
      </w:r>
    </w:p>
    <w:p>
      <w:pPr>
        <w:adjustRightInd w:val="0"/>
        <w:snapToGrid w:val="0"/>
        <w:spacing w:line="360" w:lineRule="auto"/>
        <w:rPr>
          <w:rFonts w:ascii="仿宋_GB2312" w:eastAsia="仿宋_GB2312"/>
          <w:b/>
          <w:sz w:val="24"/>
        </w:rPr>
      </w:pPr>
      <w:r>
        <w:rPr>
          <w:rFonts w:hint="eastAsia" w:ascii="仿宋_GB2312" w:eastAsia="仿宋_GB2312"/>
          <w:b/>
          <w:sz w:val="24"/>
        </w:rPr>
        <w:t>(三)项目产出情况。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召开医保工作政策吹风会5次，医保规范性文件和政策措施合法性审查、公平竞争达到全覆盖，医保信息系统验收合格率、医保信息系统正常运行率达到100%、医保信息系统重大安全事件响应时间不超过30分钟，统筹地区飞行检查覆盖率达到100%，医疗服务价格动态调整与深化医疗服务价格改革试点执行、医药价格和招采信用评价制度建立和实施、国谈药等相关药品落地及统计监测按时按要求落实到位，原各省份自行增补纳入医保支付药品100%消化，集中采购按时按要求落实到位。</w:t>
      </w:r>
    </w:p>
    <w:p>
      <w:pPr>
        <w:adjustRightInd w:val="0"/>
        <w:snapToGrid w:val="0"/>
        <w:spacing w:line="360" w:lineRule="auto"/>
        <w:rPr>
          <w:rFonts w:ascii="仿宋_GB2312" w:eastAsia="仿宋_GB2312"/>
          <w:b/>
          <w:sz w:val="24"/>
        </w:rPr>
      </w:pPr>
      <w:r>
        <w:rPr>
          <w:rFonts w:hint="eastAsia" w:ascii="仿宋_GB2312" w:eastAsia="仿宋_GB2312"/>
          <w:b/>
          <w:sz w:val="24"/>
        </w:rPr>
        <w:t>(四)项目效益情况。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城乡居民因病致贫人数较上年减少，严格落实相关医疗保障政策。参保对象满意度达到96%，参保群众普遍知晓医保政策。</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主要经验及做法：医保服务提质增效。一是医保经办服务下沉，17项政务事项下沉到乡镇，5项政务事项下沉到村（社区），医保政务实现15分钟服务圈。二是稳步实施“上门办”“帮代办”、“容缺办”等服务项目，经办服务暖心惠民。三是着力提升窗口服务形象，县医保服务窗口开展“亮身份、比服务、建示范、创一流”活动，将争创全省医疗保障服务窗口示范点作为工作目标，群众满意度大幅提升。</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存在问题及原因分析：医保征缴工作受个人缴费金额逐年增高及新冠肺炎疫情等因素影响，部分家庭出现家庭成员选择性参保的现象，基本医疗保险征缴工作面临较大压力。</w:t>
      </w:r>
    </w:p>
    <w:p>
      <w:pPr>
        <w:widowControl/>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六、其他需要说明的问题</w:t>
      </w:r>
    </w:p>
    <w:p>
      <w:pPr>
        <w:pStyle w:val="2"/>
        <w:adjustRightInd w:val="0"/>
        <w:spacing w:line="360" w:lineRule="auto"/>
        <w:rPr>
          <w:rFonts w:ascii="仿宋_GB2312" w:eastAsia="仿宋_GB2312"/>
          <w:sz w:val="28"/>
          <w:szCs w:val="28"/>
        </w:rPr>
      </w:pPr>
      <w:r>
        <w:rPr>
          <w:rFonts w:hint="eastAsia" w:ascii="仿宋_GB2312" w:eastAsia="仿宋_GB2312"/>
          <w:sz w:val="28"/>
          <w:szCs w:val="28"/>
        </w:rPr>
        <w:t>暂无</w:t>
      </w:r>
    </w:p>
    <w:p>
      <w:pPr>
        <w:adjustRightInd w:val="0"/>
        <w:snapToGrid w:val="0"/>
        <w:spacing w:line="360" w:lineRule="auto"/>
      </w:pPr>
    </w:p>
    <w:p>
      <w:pPr>
        <w:pStyle w:val="2"/>
        <w:adjustRightInd w:val="0"/>
        <w:spacing w:line="360" w:lineRule="auto"/>
      </w:pPr>
    </w:p>
    <w:p/>
    <w:p>
      <w:pPr>
        <w:pStyle w:val="2"/>
      </w:pPr>
    </w:p>
    <w:p/>
    <w:p>
      <w:pPr>
        <w:pStyle w:val="2"/>
      </w:pPr>
    </w:p>
    <w:p/>
    <w:p>
      <w:pPr>
        <w:pStyle w:val="2"/>
      </w:pPr>
    </w:p>
    <w:p/>
    <w:p>
      <w:pPr>
        <w:pStyle w:val="2"/>
      </w:pPr>
    </w:p>
    <w:p/>
    <w:p>
      <w:pPr>
        <w:pStyle w:val="2"/>
      </w:pPr>
    </w:p>
    <w:p>
      <w:pPr>
        <w:rPr>
          <w:rFonts w:ascii="黑体" w:hAnsi="黑体" w:eastAsia="黑体"/>
          <w:sz w:val="32"/>
          <w:szCs w:val="32"/>
        </w:rPr>
      </w:pPr>
      <w:r>
        <w:rPr>
          <w:rFonts w:hint="eastAsia" w:ascii="黑体" w:hAnsi="黑体" w:eastAsia="黑体"/>
          <w:sz w:val="32"/>
          <w:szCs w:val="32"/>
        </w:rPr>
        <w:t>附件5</w:t>
      </w:r>
    </w:p>
    <w:p>
      <w:pPr>
        <w:widowControl/>
        <w:spacing w:line="6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2022年度项目支出绩效自评表</w:t>
      </w:r>
    </w:p>
    <w:tbl>
      <w:tblPr>
        <w:tblStyle w:val="6"/>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项目支</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业务工作经费</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华容县医疗保障局</w:t>
            </w:r>
          </w:p>
        </w:tc>
        <w:tc>
          <w:tcPr>
            <w:tcW w:w="1134" w:type="dxa"/>
            <w:tcBorders>
              <w:top w:val="single" w:color="auto" w:sz="4" w:space="0"/>
              <w:left w:val="nil"/>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华容县医疗保障局</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项目资金</w:t>
            </w:r>
            <w:r>
              <w:rPr>
                <w:rFonts w:hint="eastAsia" w:ascii="仿宋_GB2312" w:eastAsia="仿宋_GB2312" w:hAnsiTheme="minorEastAsia"/>
                <w:color w:val="000000"/>
                <w:sz w:val="20"/>
                <w:szCs w:val="20"/>
              </w:rPr>
              <w:br w:type="textWrapping"/>
            </w:r>
            <w:r>
              <w:rPr>
                <w:rFonts w:hint="eastAsia" w:ascii="仿宋_GB2312" w:eastAsia="仿宋_GB2312" w:hAnsiTheme="minorEastAsia"/>
                <w:color w:val="000000"/>
                <w:sz w:val="20"/>
                <w:szCs w:val="20"/>
              </w:rPr>
              <w:t>（万元）</w:t>
            </w: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年初</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预算数</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全年</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预算数</w:t>
            </w:r>
          </w:p>
        </w:tc>
        <w:tc>
          <w:tcPr>
            <w:tcW w:w="1134"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全年</w:t>
            </w:r>
          </w:p>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执行数</w:t>
            </w:r>
          </w:p>
        </w:tc>
        <w:tc>
          <w:tcPr>
            <w:tcW w:w="828"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分值</w:t>
            </w:r>
          </w:p>
        </w:tc>
        <w:tc>
          <w:tcPr>
            <w:tcW w:w="873"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执行率</w:t>
            </w:r>
          </w:p>
        </w:tc>
        <w:tc>
          <w:tcPr>
            <w:tcW w:w="1418" w:type="dxa"/>
            <w:tcBorders>
              <w:top w:val="nil"/>
              <w:left w:val="nil"/>
              <w:bottom w:val="single" w:color="auto" w:sz="4" w:space="0"/>
              <w:right w:val="single" w:color="auto" w:sz="4" w:space="0"/>
            </w:tcBorders>
            <w:vAlign w:val="center"/>
          </w:tcPr>
          <w:p>
            <w:pPr>
              <w:spacing w:line="260" w:lineRule="exact"/>
              <w:jc w:val="center"/>
              <w:rPr>
                <w:rFonts w:ascii="仿宋_GB2312" w:eastAsia="仿宋_GB2312" w:hAnsiTheme="minorEastAsia"/>
                <w:sz w:val="20"/>
                <w:szCs w:val="20"/>
              </w:rPr>
            </w:pPr>
            <w:r>
              <w:rPr>
                <w:rFonts w:hint="eastAsia" w:ascii="仿宋_GB2312" w:eastAsia="仿宋_GB2312" w:hAnsiTheme="minorEastAsia"/>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年度资金总额</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60.62</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60.62</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其中：当年财政拨款</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60.62</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60.62</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上年结转资金</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2160" w:type="dxa"/>
            <w:gridSpan w:val="2"/>
            <w:tcBorders>
              <w:top w:val="nil"/>
              <w:left w:val="nil"/>
              <w:bottom w:val="single" w:color="auto" w:sz="4" w:space="0"/>
              <w:right w:val="single" w:color="auto" w:sz="4" w:space="0"/>
            </w:tcBorders>
            <w:vAlign w:val="center"/>
          </w:tcPr>
          <w:p>
            <w:pPr>
              <w:widowControl/>
              <w:spacing w:line="260" w:lineRule="exact"/>
              <w:ind w:firstLine="600" w:firstLineChars="300"/>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其他资金</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实际完成情况</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4518" w:type="dxa"/>
            <w:gridSpan w:val="4"/>
            <w:tcBorders>
              <w:top w:val="single" w:color="auto" w:sz="4" w:space="0"/>
              <w:left w:val="nil"/>
              <w:bottom w:val="single" w:color="auto" w:sz="4" w:space="0"/>
              <w:right w:val="single" w:color="000000"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单位正常运行</w:t>
            </w:r>
          </w:p>
        </w:tc>
        <w:tc>
          <w:tcPr>
            <w:tcW w:w="4253" w:type="dxa"/>
            <w:gridSpan w:val="4"/>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绩</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一级指标</w:t>
            </w:r>
          </w:p>
        </w:tc>
        <w:tc>
          <w:tcPr>
            <w:tcW w:w="1080"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二级指标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三级指标</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年度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指标值</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实际</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完成值</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分值</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得分</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产出指标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(50分)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数量指标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缴费达标率</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100%</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100%</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20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20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质量指标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医保经办服务下沉</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17项至镇</w:t>
            </w:r>
          </w:p>
          <w:p>
            <w:pPr>
              <w:pStyle w:val="2"/>
              <w:jc w:val="center"/>
              <w:rPr>
                <w:rFonts w:ascii="仿宋_GB2312" w:eastAsia="仿宋_GB2312" w:hAnsiTheme="minorEastAsia"/>
                <w:sz w:val="20"/>
                <w:szCs w:val="20"/>
              </w:rPr>
            </w:pPr>
            <w:r>
              <w:rPr>
                <w:rFonts w:hint="eastAsia" w:ascii="仿宋_GB2312" w:eastAsia="仿宋_GB2312" w:hAnsiTheme="minorEastAsia"/>
                <w:sz w:val="20"/>
                <w:szCs w:val="20"/>
              </w:rPr>
              <w:t>5项到村</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已完成</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时效指标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报销补助</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当月</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当月</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成本指标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医保控费</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实施总额控费协议管理</w:t>
            </w:r>
          </w:p>
        </w:tc>
        <w:tc>
          <w:tcPr>
            <w:tcW w:w="113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已完成</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效益指标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（30分）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经济效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集中采购</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国家标准</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落实</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社会效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医疗保障度</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生态效</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益指标</w:t>
            </w: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restart"/>
            <w:tcBorders>
              <w:top w:val="single" w:color="auto" w:sz="4" w:space="0"/>
              <w:left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可持续</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人才培养</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合格率100%</w:t>
            </w:r>
          </w:p>
        </w:tc>
        <w:tc>
          <w:tcPr>
            <w:tcW w:w="1134"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100%</w:t>
            </w:r>
          </w:p>
        </w:tc>
        <w:tc>
          <w:tcPr>
            <w:tcW w:w="828"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5</w:t>
            </w:r>
          </w:p>
        </w:tc>
        <w:tc>
          <w:tcPr>
            <w:tcW w:w="873" w:type="dxa"/>
            <w:tcBorders>
              <w:top w:val="single" w:color="auto" w:sz="4" w:space="0"/>
              <w:left w:val="single" w:color="auto" w:sz="4" w:space="0"/>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5</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224"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信息管理</w:t>
            </w:r>
          </w:p>
        </w:tc>
        <w:tc>
          <w:tcPr>
            <w:tcW w:w="1134" w:type="dxa"/>
            <w:tcBorders>
              <w:top w:val="single" w:color="auto" w:sz="4" w:space="0"/>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互联网+</w:t>
            </w:r>
          </w:p>
        </w:tc>
        <w:tc>
          <w:tcPr>
            <w:tcW w:w="1134" w:type="dxa"/>
            <w:tcBorders>
              <w:top w:val="single" w:color="auto" w:sz="4" w:space="0"/>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b/>
                <w:color w:val="000000"/>
                <w:sz w:val="20"/>
                <w:szCs w:val="20"/>
              </w:rPr>
            </w:pPr>
            <w:r>
              <w:rPr>
                <w:rFonts w:hint="eastAsia" w:ascii="仿宋_GB2312" w:eastAsia="仿宋_GB2312" w:cs="新宋体" w:hAnsiTheme="minorEastAsia"/>
                <w:color w:val="000000"/>
                <w:sz w:val="20"/>
                <w:szCs w:val="20"/>
              </w:rPr>
              <w:t>　互联网+</w:t>
            </w:r>
          </w:p>
        </w:tc>
        <w:tc>
          <w:tcPr>
            <w:tcW w:w="828"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5</w:t>
            </w:r>
          </w:p>
        </w:tc>
        <w:tc>
          <w:tcPr>
            <w:tcW w:w="873" w:type="dxa"/>
            <w:tcBorders>
              <w:top w:val="single" w:color="auto" w:sz="4" w:space="0"/>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5</w:t>
            </w:r>
          </w:p>
        </w:tc>
        <w:tc>
          <w:tcPr>
            <w:tcW w:w="1418" w:type="dxa"/>
            <w:tcBorders>
              <w:top w:val="single" w:color="auto" w:sz="4" w:space="0"/>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w:t>
            </w: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134"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vAlign w:val="center"/>
          </w:tcPr>
          <w:p>
            <w:pPr>
              <w:spacing w:line="260" w:lineRule="exact"/>
              <w:jc w:val="center"/>
              <w:rPr>
                <w:rFonts w:ascii="仿宋_GB2312" w:eastAsia="仿宋_GB2312" w:hAnsiTheme="minorEastAsia"/>
                <w:color w:val="000000"/>
                <w:sz w:val="20"/>
                <w:szCs w:val="20"/>
              </w:rPr>
            </w:pP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满意度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（10分）</w:t>
            </w:r>
          </w:p>
        </w:tc>
        <w:tc>
          <w:tcPr>
            <w:tcW w:w="1080" w:type="dxa"/>
            <w:vMerge w:val="restart"/>
            <w:tcBorders>
              <w:top w:val="nil"/>
              <w:left w:val="nil"/>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服务对象满意度</w:t>
            </w:r>
          </w:p>
          <w:p>
            <w:pPr>
              <w:widowControl/>
              <w:spacing w:line="260" w:lineRule="exact"/>
              <w:jc w:val="center"/>
              <w:rPr>
                <w:rFonts w:ascii="仿宋_GB2312" w:eastAsia="仿宋_GB2312" w:hAnsiTheme="minorEastAsia"/>
                <w:color w:val="000000"/>
                <w:sz w:val="20"/>
                <w:szCs w:val="20"/>
              </w:rPr>
            </w:pPr>
            <w:r>
              <w:rPr>
                <w:rFonts w:hint="eastAsia" w:ascii="仿宋_GB2312" w:eastAsia="仿宋_GB2312" w:hAnsiTheme="minorEastAsia"/>
                <w:color w:val="000000"/>
                <w:sz w:val="20"/>
                <w:szCs w:val="20"/>
              </w:rPr>
              <w:t>指标</w:t>
            </w: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群众满意度</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828"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5</w:t>
            </w:r>
          </w:p>
        </w:tc>
        <w:tc>
          <w:tcPr>
            <w:tcW w:w="873"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5</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080" w:type="dxa"/>
            <w:vMerge w:val="continue"/>
            <w:tcBorders>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c>
          <w:tcPr>
            <w:tcW w:w="1224"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政策知晓率</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100%</w:t>
            </w:r>
          </w:p>
        </w:tc>
        <w:tc>
          <w:tcPr>
            <w:tcW w:w="1134"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98%</w:t>
            </w:r>
          </w:p>
        </w:tc>
        <w:tc>
          <w:tcPr>
            <w:tcW w:w="828" w:type="dxa"/>
            <w:tcBorders>
              <w:top w:val="nil"/>
              <w:left w:val="nil"/>
              <w:bottom w:val="single" w:color="auto" w:sz="4" w:space="0"/>
              <w:right w:val="single" w:color="auto" w:sz="4" w:space="0"/>
            </w:tcBorders>
            <w:vAlign w:val="center"/>
          </w:tcPr>
          <w:p>
            <w:pPr>
              <w:widowControl/>
              <w:spacing w:line="0" w:lineRule="atLeast"/>
              <w:jc w:val="left"/>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　5</w:t>
            </w:r>
          </w:p>
        </w:tc>
        <w:tc>
          <w:tcPr>
            <w:tcW w:w="873" w:type="dxa"/>
            <w:tcBorders>
              <w:top w:val="nil"/>
              <w:left w:val="nil"/>
              <w:bottom w:val="single" w:color="auto" w:sz="4" w:space="0"/>
              <w:right w:val="single" w:color="auto" w:sz="4" w:space="0"/>
            </w:tcBorders>
            <w:vAlign w:val="center"/>
          </w:tcPr>
          <w:p>
            <w:pPr>
              <w:widowControl/>
              <w:spacing w:line="0" w:lineRule="atLeast"/>
              <w:jc w:val="center"/>
              <w:rPr>
                <w:rFonts w:ascii="仿宋_GB2312" w:eastAsia="仿宋_GB2312" w:cs="新宋体" w:hAnsiTheme="minorEastAsia"/>
                <w:color w:val="000000"/>
                <w:sz w:val="20"/>
                <w:szCs w:val="20"/>
              </w:rPr>
            </w:pPr>
            <w:r>
              <w:rPr>
                <w:rFonts w:hint="eastAsia" w:ascii="仿宋_GB2312" w:eastAsia="仿宋_GB2312" w:cs="新宋体" w:hAnsiTheme="minorEastAsia"/>
                <w:color w:val="000000"/>
                <w:sz w:val="20"/>
                <w:szCs w:val="20"/>
              </w:rPr>
              <w:t>4</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仿宋_GB2312" w:eastAsia="仿宋_GB2312" w:hAnsiTheme="minorEastAsia"/>
                <w:color w:val="000000"/>
                <w:sz w:val="20"/>
                <w:szCs w:val="20"/>
              </w:rPr>
            </w:pP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vAlign w:val="center"/>
          </w:tcPr>
          <w:p>
            <w:pPr>
              <w:widowControl/>
              <w:spacing w:line="260" w:lineRule="exact"/>
              <w:jc w:val="center"/>
              <w:rPr>
                <w:rFonts w:asciiTheme="minorEastAsia" w:hAnsiTheme="minorEastAsia" w:eastAsiaTheme="minorEastAsia"/>
                <w:color w:val="000000"/>
                <w:sz w:val="20"/>
                <w:szCs w:val="20"/>
              </w:rPr>
            </w:pPr>
            <w:r>
              <w:rPr>
                <w:rFonts w:hint="eastAsia" w:asciiTheme="minorEastAsia" w:hAnsiTheme="minorEastAsia" w:eastAsiaTheme="minorEastAsia"/>
                <w:color w:val="000000"/>
                <w:sz w:val="20"/>
                <w:szCs w:val="20"/>
              </w:rPr>
              <w:t>总分</w:t>
            </w:r>
          </w:p>
        </w:tc>
        <w:tc>
          <w:tcPr>
            <w:tcW w:w="828" w:type="dxa"/>
            <w:tcBorders>
              <w:top w:val="nil"/>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20"/>
                <w:szCs w:val="20"/>
              </w:rPr>
            </w:pPr>
            <w:r>
              <w:rPr>
                <w:rFonts w:hint="eastAsia" w:asciiTheme="minorEastAsia" w:hAnsiTheme="minorEastAsia" w:eastAsiaTheme="minorEastAsia"/>
                <w:color w:val="000000"/>
                <w:sz w:val="20"/>
                <w:szCs w:val="20"/>
              </w:rPr>
              <w:t>100</w:t>
            </w:r>
          </w:p>
        </w:tc>
        <w:tc>
          <w:tcPr>
            <w:tcW w:w="873" w:type="dxa"/>
            <w:tcBorders>
              <w:top w:val="nil"/>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20"/>
                <w:szCs w:val="20"/>
              </w:rPr>
            </w:pPr>
            <w:r>
              <w:rPr>
                <w:rFonts w:hint="eastAsia" w:asciiTheme="minorEastAsia" w:hAnsiTheme="minorEastAsia" w:eastAsiaTheme="minorEastAsia"/>
                <w:color w:val="000000"/>
                <w:sz w:val="20"/>
                <w:szCs w:val="20"/>
              </w:rPr>
              <w:t>99</w:t>
            </w:r>
          </w:p>
        </w:tc>
        <w:tc>
          <w:tcPr>
            <w:tcW w:w="1418" w:type="dxa"/>
            <w:tcBorders>
              <w:top w:val="nil"/>
              <w:left w:val="nil"/>
              <w:bottom w:val="single" w:color="auto" w:sz="4" w:space="0"/>
              <w:right w:val="single" w:color="auto" w:sz="4" w:space="0"/>
            </w:tcBorders>
            <w:vAlign w:val="center"/>
          </w:tcPr>
          <w:p>
            <w:pPr>
              <w:widowControl/>
              <w:spacing w:line="260" w:lineRule="exact"/>
              <w:jc w:val="center"/>
              <w:rPr>
                <w:rFonts w:asciiTheme="minorEastAsia" w:hAnsiTheme="minorEastAsia" w:eastAsiaTheme="minorEastAsia"/>
                <w:color w:val="000000"/>
                <w:sz w:val="20"/>
                <w:szCs w:val="20"/>
              </w:rPr>
            </w:pPr>
          </w:p>
        </w:tc>
      </w:tr>
    </w:tbl>
    <w:p>
      <w:pPr>
        <w:rPr>
          <w:rFonts w:ascii="新宋体" w:hAnsi="新宋体" w:eastAsia="新宋体" w:cs="新宋体"/>
          <w:szCs w:val="21"/>
        </w:rPr>
      </w:pPr>
      <w:r>
        <w:rPr>
          <w:rFonts w:hint="eastAsia" w:ascii="新宋体" w:hAnsi="新宋体" w:eastAsia="新宋体" w:cs="新宋体"/>
          <w:szCs w:val="21"/>
        </w:rPr>
        <w:t>备注：一个一级项目支出一张表。如，业务工作经费，运行维护经费，XX项目资金…各一张表。</w:t>
      </w:r>
    </w:p>
    <w:p>
      <w:pPr>
        <w:pStyle w:val="2"/>
      </w:pPr>
    </w:p>
    <w:p>
      <w:pPr>
        <w:rPr>
          <w:rFonts w:ascii="新宋体" w:hAnsi="新宋体" w:eastAsia="新宋体" w:cs="新宋体"/>
          <w:szCs w:val="21"/>
        </w:rPr>
        <w:sectPr>
          <w:pgSz w:w="11906" w:h="16838"/>
          <w:pgMar w:top="1701" w:right="1417" w:bottom="1417" w:left="1417" w:header="851" w:footer="992" w:gutter="0"/>
          <w:cols w:space="0" w:num="1"/>
          <w:docGrid w:type="lines" w:linePitch="312" w:charSpace="0"/>
        </w:sectPr>
      </w:pPr>
      <w:r>
        <w:t>填表人：</w:t>
      </w:r>
      <w:r>
        <w:rPr>
          <w:rFonts w:hint="eastAsia"/>
        </w:rPr>
        <w:t xml:space="preserve">吴蓉 </w:t>
      </w:r>
      <w:r>
        <w:t>填报日期：</w:t>
      </w:r>
      <w:r>
        <w:rPr>
          <w:rFonts w:hint="eastAsia"/>
        </w:rPr>
        <w:t>2023年7月4日</w:t>
      </w:r>
      <w:r>
        <w:t xml:space="preserve"> 联系电话：13762795777</w:t>
      </w:r>
      <w:bookmarkStart w:id="0" w:name="_GoBack"/>
      <w:bookmarkEnd w:id="0"/>
      <w:r>
        <w:t xml:space="preserve">   单位负责人签字：</w:t>
      </w:r>
      <w:r>
        <w:br w:type="page"/>
      </w:r>
    </w:p>
    <w:p>
      <w:pPr>
        <w:rPr>
          <w:rFonts w:ascii="黑体" w:hAnsi="黑体" w:eastAsia="黑体" w:cs="黑体"/>
          <w:sz w:val="32"/>
          <w:szCs w:val="32"/>
        </w:rPr>
      </w:pPr>
      <w:r>
        <w:rPr>
          <w:rFonts w:hint="eastAsia" w:ascii="黑体" w:hAnsi="黑体" w:eastAsia="黑体" w:cs="黑体"/>
          <w:sz w:val="32"/>
          <w:szCs w:val="32"/>
        </w:rPr>
        <w:t>附件6</w:t>
      </w:r>
    </w:p>
    <w:p>
      <w:pPr>
        <w:jc w:val="center"/>
        <w:rPr>
          <w:rFonts w:eastAsia="方正小标宋_GBK"/>
          <w:sz w:val="52"/>
          <w:szCs w:val="52"/>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2022年度华容县医疗保障局</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业务工作经费项目支出</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eastAsia="方正小标宋_GBK"/>
          <w:b/>
          <w:sz w:val="52"/>
          <w:szCs w:val="5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楷体_GB2312"/>
          <w:b/>
          <w:sz w:val="32"/>
          <w:szCs w:val="32"/>
        </w:rPr>
      </w:pPr>
    </w:p>
    <w:p>
      <w:pPr>
        <w:jc w:val="center"/>
        <w:rPr>
          <w:rFonts w:eastAsia="黑体"/>
          <w:sz w:val="32"/>
          <w:szCs w:val="32"/>
        </w:rPr>
      </w:pPr>
    </w:p>
    <w:p>
      <w:pPr>
        <w:jc w:val="center"/>
        <w:rPr>
          <w:rFonts w:eastAsia="黑体"/>
          <w:sz w:val="32"/>
          <w:szCs w:val="32"/>
        </w:rPr>
      </w:pPr>
    </w:p>
    <w:p>
      <w:pPr>
        <w:rPr>
          <w:rFonts w:eastAsia="黑体"/>
          <w:sz w:val="32"/>
          <w:szCs w:val="32"/>
        </w:rPr>
      </w:pPr>
    </w:p>
    <w:p>
      <w:pPr>
        <w:spacing w:line="600" w:lineRule="exact"/>
        <w:jc w:val="center"/>
        <w:rPr>
          <w:rFonts w:eastAsia="仿宋_GB2312"/>
          <w:sz w:val="32"/>
          <w:szCs w:val="32"/>
          <w:u w:val="single"/>
        </w:rPr>
      </w:pPr>
      <w:r>
        <w:rPr>
          <w:rFonts w:eastAsia="仿宋_GB2312"/>
          <w:sz w:val="32"/>
          <w:szCs w:val="32"/>
        </w:rPr>
        <w:t>部门（单位）名称：</w:t>
      </w:r>
      <w:r>
        <w:rPr>
          <w:rFonts w:hint="eastAsia" w:eastAsia="仿宋_GB2312"/>
          <w:sz w:val="32"/>
          <w:szCs w:val="32"/>
          <w:u w:val="single"/>
        </w:rPr>
        <w:t>华容县医疗保障局</w:t>
      </w:r>
    </w:p>
    <w:p>
      <w:pPr>
        <w:spacing w:line="600" w:lineRule="exact"/>
        <w:jc w:val="center"/>
        <w:rPr>
          <w:rFonts w:eastAsia="楷体_GB2312"/>
          <w:sz w:val="32"/>
          <w:szCs w:val="32"/>
        </w:rPr>
      </w:pPr>
      <w:r>
        <w:rPr>
          <w:rFonts w:hint="eastAsia" w:ascii="宋体" w:hAnsi="宋体" w:cs="宋体"/>
          <w:sz w:val="32"/>
          <w:szCs w:val="32"/>
        </w:rPr>
        <w:t>2023</w:t>
      </w:r>
      <w:r>
        <w:rPr>
          <w:rFonts w:eastAsia="楷体_GB2312"/>
          <w:sz w:val="32"/>
          <w:szCs w:val="32"/>
        </w:rPr>
        <w:t>年</w:t>
      </w:r>
      <w:r>
        <w:rPr>
          <w:rFonts w:hint="eastAsia" w:eastAsia="楷体_GB2312"/>
          <w:sz w:val="32"/>
          <w:szCs w:val="32"/>
        </w:rPr>
        <w:t>7</w:t>
      </w:r>
      <w:r>
        <w:rPr>
          <w:rFonts w:eastAsia="楷体_GB2312"/>
          <w:sz w:val="32"/>
          <w:szCs w:val="32"/>
        </w:rPr>
        <w:t>月</w:t>
      </w:r>
      <w:r>
        <w:rPr>
          <w:rFonts w:hint="eastAsia" w:eastAsia="楷体_GB2312"/>
          <w:sz w:val="32"/>
          <w:szCs w:val="32"/>
        </w:rPr>
        <w:t>4</w:t>
      </w:r>
      <w:r>
        <w:rPr>
          <w:rFonts w:eastAsia="楷体_GB2312"/>
          <w:sz w:val="32"/>
          <w:szCs w:val="32"/>
        </w:rPr>
        <w:t>日</w:t>
      </w:r>
    </w:p>
    <w:p>
      <w:pPr>
        <w:jc w:val="center"/>
        <w:rPr>
          <w:rFonts w:eastAsia="仿宋_GB2312"/>
          <w:sz w:val="32"/>
          <w:szCs w:val="32"/>
        </w:rPr>
      </w:pPr>
      <w:r>
        <w:rPr>
          <w:rFonts w:eastAsia="仿宋_GB2312"/>
          <w:sz w:val="32"/>
          <w:szCs w:val="32"/>
        </w:rPr>
        <w:t>（此页为封面）</w:t>
      </w:r>
    </w:p>
    <w:p>
      <w:pPr>
        <w:spacing w:line="610" w:lineRule="exact"/>
        <w:jc w:val="center"/>
        <w:rPr>
          <w:rFonts w:ascii="方正小标宋简体" w:hAnsi="方正小标宋简体" w:eastAsia="方正小标宋简体" w:cs="方正小标宋简体"/>
          <w:sz w:val="44"/>
          <w:szCs w:val="44"/>
        </w:rPr>
      </w:pPr>
      <w:r>
        <w:rPr>
          <w:rFonts w:eastAsia="仿宋_GB2312"/>
          <w:sz w:val="32"/>
          <w:szCs w:val="32"/>
        </w:rPr>
        <w:br w:type="page"/>
      </w:r>
      <w:r>
        <w:rPr>
          <w:rFonts w:hint="eastAsia" w:ascii="方正小标宋简体" w:hAnsi="方正小标宋简体" w:eastAsia="方正小标宋简体" w:cs="方正小标宋简体"/>
          <w:sz w:val="44"/>
          <w:szCs w:val="44"/>
        </w:rPr>
        <w:t>2022年度华容县医疗保障局</w:t>
      </w:r>
    </w:p>
    <w:p>
      <w:pPr>
        <w:spacing w:line="61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业务工作经费项目支出</w:t>
      </w:r>
    </w:p>
    <w:p>
      <w:pPr>
        <w:spacing w:line="610" w:lineRule="exact"/>
        <w:jc w:val="center"/>
        <w:rPr>
          <w:rFonts w:eastAsia="仿宋_GB2312"/>
          <w:sz w:val="32"/>
          <w:szCs w:val="32"/>
        </w:rPr>
      </w:pPr>
      <w:r>
        <w:rPr>
          <w:rFonts w:hint="eastAsia" w:ascii="方正小标宋简体" w:hAnsi="方正小标宋简体" w:eastAsia="方正小标宋简体" w:cs="方正小标宋简体"/>
          <w:sz w:val="44"/>
          <w:szCs w:val="44"/>
        </w:rPr>
        <w:t>绩效自评报告</w:t>
      </w:r>
    </w:p>
    <w:p>
      <w:pPr>
        <w:spacing w:line="610" w:lineRule="exact"/>
        <w:ind w:firstLine="600" w:firstLineChars="200"/>
        <w:rPr>
          <w:rFonts w:ascii="黑体" w:hAnsi="黑体" w:eastAsia="黑体" w:cs="黑体"/>
          <w:sz w:val="30"/>
          <w:szCs w:val="30"/>
        </w:rPr>
      </w:pP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一、基本情况</w:t>
      </w:r>
    </w:p>
    <w:p>
      <w:pPr>
        <w:adjustRightInd w:val="0"/>
        <w:snapToGrid w:val="0"/>
        <w:spacing w:line="360" w:lineRule="auto"/>
        <w:rPr>
          <w:rFonts w:ascii="仿宋_GB2312" w:eastAsia="仿宋_GB2312"/>
          <w:b/>
          <w:sz w:val="24"/>
        </w:rPr>
      </w:pPr>
      <w:r>
        <w:rPr>
          <w:rFonts w:hint="eastAsia" w:ascii="仿宋_GB2312" w:eastAsia="仿宋_GB2312"/>
          <w:b/>
          <w:sz w:val="24"/>
        </w:rPr>
        <w:t>(一)项目概况。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项目主要内容旨在提升综合监管、宣传引导、经办服务、人才队伍建设等医疗保障服务能力。</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2022年我局收到财政补助资金共计60.62万元。</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资金投入与使用重点用于医保信息化标准化、基金监管、医保支付方式改革、经办管理服务体系建设、药品和医用耗材集中带量采购、医疗服务价格改革、医保目录管理等方面工作。</w:t>
      </w:r>
    </w:p>
    <w:p>
      <w:pPr>
        <w:adjustRightInd w:val="0"/>
        <w:snapToGrid w:val="0"/>
        <w:spacing w:line="360" w:lineRule="auto"/>
        <w:rPr>
          <w:rFonts w:ascii="仿宋_GB2312" w:eastAsia="仿宋_GB2312"/>
          <w:b/>
          <w:sz w:val="24"/>
        </w:rPr>
      </w:pPr>
      <w:r>
        <w:rPr>
          <w:rFonts w:hint="eastAsia" w:ascii="仿宋_GB2312" w:eastAsia="仿宋_GB2312"/>
          <w:b/>
          <w:sz w:val="24"/>
        </w:rPr>
        <w:t>(二)项目绩效目标。</w:t>
      </w:r>
    </w:p>
    <w:p>
      <w:pPr>
        <w:pStyle w:val="2"/>
        <w:adjustRightInd w:val="0"/>
        <w:spacing w:line="360" w:lineRule="auto"/>
        <w:ind w:firstLine="700" w:firstLineChars="250"/>
        <w:rPr>
          <w:rFonts w:ascii="仿宋_GB2312" w:eastAsia="仿宋_GB2312"/>
          <w:sz w:val="24"/>
          <w:szCs w:val="24"/>
        </w:rPr>
      </w:pPr>
      <w:r>
        <w:rPr>
          <w:rFonts w:hint="eastAsia" w:ascii="仿宋_GB2312" w:eastAsia="仿宋_GB2312"/>
          <w:sz w:val="28"/>
          <w:szCs w:val="28"/>
        </w:rPr>
        <w:t>绩效总体目标：提升医疗保障服务能力。绩效本阶段目标：完成培养医保人才，扩大医保宣传，完成医保正常转移支付</w:t>
      </w:r>
      <w:r>
        <w:rPr>
          <w:rFonts w:hint="eastAsia" w:ascii="仿宋_GB2312" w:eastAsia="仿宋_GB2312"/>
          <w:sz w:val="24"/>
          <w:szCs w:val="24"/>
        </w:rPr>
        <w:t>。</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二、绩效评价工作开展情况</w:t>
      </w:r>
    </w:p>
    <w:p>
      <w:pPr>
        <w:adjustRightInd w:val="0"/>
        <w:snapToGrid w:val="0"/>
        <w:spacing w:line="360" w:lineRule="auto"/>
        <w:rPr>
          <w:rFonts w:ascii="仿宋_GB2312" w:eastAsia="仿宋_GB2312"/>
          <w:b/>
          <w:sz w:val="24"/>
        </w:rPr>
      </w:pPr>
      <w:r>
        <w:rPr>
          <w:rFonts w:hint="eastAsia" w:ascii="仿宋_GB2312" w:eastAsia="仿宋_GB2312"/>
          <w:b/>
          <w:sz w:val="24"/>
        </w:rPr>
        <w:t>(一)绩效评价目的、对象和范围。</w:t>
      </w:r>
    </w:p>
    <w:p>
      <w:pPr>
        <w:pStyle w:val="2"/>
        <w:adjustRightInd w:val="0"/>
        <w:spacing w:line="360" w:lineRule="auto"/>
        <w:ind w:firstLine="420" w:firstLineChars="150"/>
        <w:rPr>
          <w:rFonts w:ascii="仿宋_GB2312" w:eastAsia="仿宋_GB2312"/>
          <w:sz w:val="28"/>
          <w:szCs w:val="28"/>
        </w:rPr>
      </w:pPr>
      <w:r>
        <w:rPr>
          <w:rFonts w:hint="eastAsia" w:ascii="仿宋_GB2312" w:eastAsia="仿宋_GB2312"/>
          <w:sz w:val="28"/>
          <w:szCs w:val="28"/>
        </w:rPr>
        <w:t>本次绩效评价目的：加强资金管理，突出工作重点，严格落实存量资金管理要求，加强预算执行分析和监控，有效提升综合监管、宣传引导、经办服务、信息化建设、人才队伍建设等医疗保障服务能力。</w:t>
      </w:r>
    </w:p>
    <w:p>
      <w:pPr>
        <w:adjustRightInd w:val="0"/>
        <w:snapToGrid w:val="0"/>
        <w:spacing w:line="360" w:lineRule="auto"/>
        <w:ind w:firstLine="560" w:firstLineChars="200"/>
        <w:rPr>
          <w:sz w:val="22"/>
          <w:szCs w:val="28"/>
        </w:rPr>
      </w:pPr>
      <w:r>
        <w:rPr>
          <w:rFonts w:hint="eastAsia" w:ascii="仿宋_GB2312" w:eastAsia="仿宋_GB2312"/>
          <w:sz w:val="28"/>
          <w:szCs w:val="28"/>
        </w:rPr>
        <w:t>本次绩效评价对象：业务工作经费项目。</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本次绩效评价范围为2022年度全年该项补助资金的使用。</w:t>
      </w:r>
    </w:p>
    <w:p>
      <w:pPr>
        <w:adjustRightInd w:val="0"/>
        <w:snapToGrid w:val="0"/>
        <w:spacing w:line="360" w:lineRule="auto"/>
        <w:rPr>
          <w:rFonts w:ascii="仿宋_GB2312" w:eastAsia="仿宋_GB2312"/>
          <w:b/>
          <w:sz w:val="24"/>
        </w:rPr>
      </w:pPr>
      <w:r>
        <w:rPr>
          <w:rFonts w:hint="eastAsia" w:ascii="仿宋_GB2312" w:eastAsia="仿宋_GB2312"/>
          <w:b/>
          <w:sz w:val="24"/>
        </w:rPr>
        <w:t>(二)绩效评价原则、评价指标体系(附表说明)、评价方法、 评价标准等。</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绩效评价原则：公平公正，以客观、实事求是的态度进行，依据客观条件，以实际表现为依据，</w:t>
      </w:r>
    </w:p>
    <w:p>
      <w:pPr>
        <w:pStyle w:val="2"/>
        <w:adjustRightInd w:val="0"/>
        <w:spacing w:line="360" w:lineRule="auto"/>
        <w:ind w:firstLine="560" w:firstLineChars="200"/>
        <w:rPr>
          <w:rFonts w:hint="eastAsia" w:ascii="仿宋_GB2312" w:eastAsia="仿宋_GB2312"/>
          <w:sz w:val="28"/>
          <w:szCs w:val="28"/>
          <w:lang w:eastAsia="zh-CN"/>
        </w:rPr>
      </w:pPr>
      <w:r>
        <w:rPr>
          <w:rFonts w:hint="eastAsia" w:ascii="仿宋_GB2312" w:eastAsia="仿宋_GB2312"/>
          <w:sz w:val="28"/>
          <w:szCs w:val="28"/>
        </w:rPr>
        <w:t>评价依据：本次评价依据为《中共中央国务院关于深化医疗保障制度改革的意见》、《“十四五”全民医疗保障规划》、《湖南省医疗保障局办公室关于开展2022年医保转移支付绩效评价工作的通知》</w:t>
      </w:r>
      <w:r>
        <w:rPr>
          <w:rFonts w:hint="eastAsia" w:ascii="仿宋_GB2312" w:eastAsia="仿宋_GB2312"/>
          <w:sz w:val="28"/>
          <w:szCs w:val="28"/>
          <w:lang w:eastAsia="zh-CN"/>
        </w:rPr>
        <w:t>。</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评价指标体系：根据上级文件要求，绩效指标包含项目决策、过程管理、产出指标、满意度指标。</w:t>
      </w:r>
    </w:p>
    <w:p>
      <w:pPr>
        <w:adjustRightInd w:val="0"/>
        <w:snapToGrid w:val="0"/>
        <w:spacing w:line="360" w:lineRule="auto"/>
        <w:rPr>
          <w:rFonts w:ascii="仿宋_GB2312" w:eastAsia="仿宋_GB2312"/>
          <w:b/>
          <w:sz w:val="24"/>
        </w:rPr>
      </w:pPr>
      <w:r>
        <w:rPr>
          <w:rFonts w:hint="eastAsia" w:ascii="仿宋_GB2312" w:eastAsia="仿宋_GB2312"/>
          <w:b/>
          <w:sz w:val="24"/>
        </w:rPr>
        <w:t>(三)绩效评价工作过程。</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建立绩效评价专项工作机制，压紧压实管理主体责任，落实到岗位、到人，全面组织开展自评工作。</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 xml:space="preserve">三、综合评价情况及评价结论 </w:t>
      </w:r>
    </w:p>
    <w:p>
      <w:pPr>
        <w:adjustRightInd w:val="0"/>
        <w:snapToGrid w:val="0"/>
        <w:spacing w:line="360" w:lineRule="auto"/>
        <w:ind w:firstLine="560" w:firstLineChars="200"/>
        <w:rPr>
          <w:rFonts w:ascii="仿宋_GB2312" w:eastAsia="仿宋_GB2312"/>
          <w:sz w:val="28"/>
          <w:szCs w:val="28"/>
        </w:rPr>
      </w:pPr>
      <w:r>
        <w:rPr>
          <w:rFonts w:hint="eastAsia" w:ascii="仿宋_GB2312" w:eastAsia="仿宋_GB2312"/>
          <w:sz w:val="28"/>
          <w:szCs w:val="28"/>
        </w:rPr>
        <w:t>本项目绩效目标基本明确,预算执行合理,项目产出质量、时效符合规定。综合评价结论为优秀。</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四、绩效评价指标分析</w:t>
      </w:r>
    </w:p>
    <w:p>
      <w:pPr>
        <w:adjustRightInd w:val="0"/>
        <w:snapToGrid w:val="0"/>
        <w:spacing w:line="360" w:lineRule="auto"/>
        <w:rPr>
          <w:rFonts w:ascii="仿宋_GB2312" w:eastAsia="仿宋_GB2312"/>
          <w:b/>
          <w:sz w:val="24"/>
        </w:rPr>
      </w:pPr>
      <w:r>
        <w:rPr>
          <w:rFonts w:hint="eastAsia" w:ascii="仿宋_GB2312" w:eastAsia="仿宋_GB2312"/>
          <w:b/>
          <w:sz w:val="24"/>
        </w:rPr>
        <w:t>(一)项目决策情况。</w:t>
      </w:r>
    </w:p>
    <w:p>
      <w:pPr>
        <w:pStyle w:val="2"/>
        <w:adjustRightInd w:val="0"/>
        <w:spacing w:line="360" w:lineRule="auto"/>
        <w:ind w:firstLine="560" w:firstLineChars="200"/>
        <w:rPr>
          <w:rFonts w:hint="default" w:ascii="仿宋_GB2312" w:eastAsia="仿宋_GB2312"/>
          <w:sz w:val="28"/>
          <w:szCs w:val="28"/>
          <w:lang w:val="en-US" w:eastAsia="zh-CN"/>
        </w:rPr>
      </w:pPr>
      <w:r>
        <w:rPr>
          <w:rFonts w:hint="eastAsia" w:ascii="仿宋_GB2312" w:eastAsia="仿宋_GB2312"/>
          <w:sz w:val="28"/>
          <w:szCs w:val="28"/>
        </w:rPr>
        <w:t>业务工作经费项目是单位日常工作的有益补充。</w:t>
      </w:r>
      <w:r>
        <w:rPr>
          <w:rFonts w:hint="eastAsia" w:ascii="仿宋_GB2312" w:eastAsia="仿宋_GB2312"/>
          <w:sz w:val="28"/>
          <w:szCs w:val="28"/>
          <w:lang w:val="en-US" w:eastAsia="zh-CN"/>
        </w:rPr>
        <w:t>单位领导高度重视，组织项目实施小组，主要注重费用控制，严格绩效</w:t>
      </w:r>
      <w:r>
        <w:rPr>
          <w:rFonts w:hint="eastAsia" w:ascii="仿宋_GB2312" w:eastAsia="仿宋_GB2312"/>
          <w:sz w:val="28"/>
          <w:szCs w:val="28"/>
          <w:lang w:val="en-US" w:eastAsia="zh-CN"/>
        </w:rPr>
        <w:t>考核。</w:t>
      </w:r>
    </w:p>
    <w:p>
      <w:pPr>
        <w:adjustRightInd w:val="0"/>
        <w:snapToGrid w:val="0"/>
        <w:spacing w:line="360" w:lineRule="auto"/>
        <w:rPr>
          <w:rFonts w:ascii="仿宋_GB2312" w:eastAsia="仿宋_GB2312"/>
          <w:b/>
          <w:sz w:val="24"/>
        </w:rPr>
      </w:pPr>
      <w:r>
        <w:rPr>
          <w:rFonts w:hint="eastAsia" w:ascii="仿宋_GB2312" w:eastAsia="仿宋_GB2312"/>
          <w:b/>
          <w:sz w:val="24"/>
        </w:rPr>
        <w:t>(二)项目过程情况。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2022年度业务工作经费项目资金共计收到60.62万元，主要实施项目有加强职员绩效管理、宣传资料印制与下乡宣传、医保人员培训、特贫困户走访落实困难人员参保资助政策。</w:t>
      </w:r>
    </w:p>
    <w:p>
      <w:pPr>
        <w:adjustRightInd w:val="0"/>
        <w:snapToGrid w:val="0"/>
        <w:spacing w:line="360" w:lineRule="auto"/>
        <w:rPr>
          <w:rFonts w:ascii="仿宋_GB2312" w:eastAsia="仿宋_GB2312"/>
          <w:b/>
          <w:sz w:val="24"/>
        </w:rPr>
      </w:pPr>
      <w:r>
        <w:rPr>
          <w:rFonts w:hint="eastAsia" w:ascii="仿宋_GB2312" w:eastAsia="仿宋_GB2312"/>
          <w:b/>
          <w:sz w:val="24"/>
        </w:rPr>
        <w:t>(三)项目产出情况。</w:t>
      </w:r>
    </w:p>
    <w:p>
      <w:pPr>
        <w:adjustRightInd w:val="0"/>
        <w:snapToGrid w:val="0"/>
        <w:spacing w:line="360" w:lineRule="auto"/>
        <w:ind w:firstLine="560" w:firstLineChars="200"/>
        <w:rPr>
          <w:rFonts w:hint="eastAsia" w:ascii="仿宋_GB2312" w:eastAsia="仿宋_GB2312"/>
          <w:sz w:val="28"/>
          <w:szCs w:val="28"/>
        </w:rPr>
      </w:pPr>
      <w:r>
        <w:rPr>
          <w:rFonts w:hint="eastAsia" w:ascii="仿宋_GB2312" w:eastAsia="仿宋_GB2312"/>
          <w:sz w:val="28"/>
          <w:szCs w:val="28"/>
        </w:rPr>
        <w:t>较好完成医保征缴目标任务。将医保参保缴费工作纳入政府绩效考核，2022年医疗保险参保人数为64.57万人，完成我县常住人口55.38万的116.59%，超额完成常住人口95%的目标任务，基本医疗保险征缴工作在全市排名第一。</w:t>
      </w:r>
    </w:p>
    <w:p>
      <w:pPr>
        <w:adjustRightInd w:val="0"/>
        <w:snapToGrid w:val="0"/>
        <w:spacing w:line="360" w:lineRule="auto"/>
        <w:rPr>
          <w:rFonts w:ascii="仿宋_GB2312" w:eastAsia="仿宋_GB2312"/>
          <w:b/>
          <w:sz w:val="24"/>
        </w:rPr>
      </w:pPr>
      <w:r>
        <w:rPr>
          <w:rFonts w:hint="eastAsia" w:ascii="仿宋_GB2312" w:eastAsia="仿宋_GB2312"/>
          <w:b/>
          <w:sz w:val="24"/>
        </w:rPr>
        <w:t>(四)项目效益情况。</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严格落实困难人员待遇政策，全面执行医保惠民便民保障政策。</w:t>
      </w:r>
    </w:p>
    <w:p>
      <w:pPr>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主要经验及做法：持续保持基金监督高压态势，全力做好特殊人群信访维稳，总额控费基础夯实。</w:t>
      </w:r>
    </w:p>
    <w:p>
      <w:pPr>
        <w:pStyle w:val="2"/>
        <w:adjustRightInd w:val="0"/>
        <w:spacing w:line="360" w:lineRule="auto"/>
        <w:ind w:firstLine="560" w:firstLineChars="200"/>
        <w:rPr>
          <w:rFonts w:ascii="仿宋_GB2312" w:eastAsia="仿宋_GB2312"/>
          <w:sz w:val="28"/>
          <w:szCs w:val="28"/>
        </w:rPr>
      </w:pPr>
      <w:r>
        <w:rPr>
          <w:rFonts w:hint="eastAsia" w:ascii="仿宋_GB2312" w:eastAsia="仿宋_GB2312"/>
          <w:sz w:val="28"/>
          <w:szCs w:val="28"/>
        </w:rPr>
        <w:t>存在问题及原因分析：医保基金监管难，特殊人群诉求解决难。</w:t>
      </w:r>
    </w:p>
    <w:p>
      <w:pPr>
        <w:widowControl/>
        <w:adjustRightInd w:val="0"/>
        <w:snapToGrid w:val="0"/>
        <w:spacing w:line="360" w:lineRule="auto"/>
        <w:rPr>
          <w:rFonts w:ascii="黑体" w:hAnsi="黑体" w:eastAsia="黑体" w:cs="黑体"/>
          <w:sz w:val="30"/>
          <w:szCs w:val="30"/>
        </w:rPr>
      </w:pPr>
      <w:r>
        <w:rPr>
          <w:rFonts w:hint="eastAsia" w:ascii="黑体" w:hAnsi="黑体" w:eastAsia="黑体" w:cs="黑体"/>
          <w:sz w:val="30"/>
          <w:szCs w:val="30"/>
        </w:rPr>
        <w:t>六、其他需要说明的问题</w:t>
      </w:r>
    </w:p>
    <w:p>
      <w:pPr>
        <w:pStyle w:val="2"/>
        <w:adjustRightInd w:val="0"/>
        <w:spacing w:line="360" w:lineRule="auto"/>
        <w:rPr>
          <w:rFonts w:ascii="仿宋_GB2312" w:eastAsia="仿宋_GB2312"/>
          <w:sz w:val="28"/>
          <w:szCs w:val="28"/>
        </w:rPr>
      </w:pPr>
      <w:r>
        <w:rPr>
          <w:rFonts w:hint="eastAsia" w:ascii="仿宋_GB2312" w:eastAsia="仿宋_GB2312"/>
          <w:sz w:val="28"/>
          <w:szCs w:val="28"/>
        </w:rPr>
        <w:t>暂无</w:t>
      </w:r>
    </w:p>
    <w:p/>
    <w:sectPr>
      <w:pgSz w:w="11906" w:h="16838"/>
      <w:pgMar w:top="1984" w:right="1701" w:bottom="1984" w:left="170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58E0E4D-317B-4B34-ABAD-DFC38937FDDB}"/>
  </w:font>
  <w:font w:name="Arial">
    <w:panose1 w:val="020B0604020202020204"/>
    <w:charset w:val="01"/>
    <w:family w:val="swiss"/>
    <w:pitch w:val="default"/>
    <w:sig w:usb0="E0002EFF" w:usb1="C000785B" w:usb2="00000009" w:usb3="00000000" w:csb0="400001FF" w:csb1="FFFF0000"/>
    <w:embedRegular r:id="rId2" w:fontKey="{0DE8839E-EE03-43CA-A762-06A1D3BA8B64}"/>
  </w:font>
  <w:font w:name="黑体">
    <w:panose1 w:val="02010609060101010101"/>
    <w:charset w:val="86"/>
    <w:family w:val="auto"/>
    <w:pitch w:val="default"/>
    <w:sig w:usb0="800002BF" w:usb1="38CF7CFA" w:usb2="00000016" w:usb3="00000000" w:csb0="00040001" w:csb1="00000000"/>
    <w:embedRegular r:id="rId3" w:fontKey="{E9AA9ED2-FD7B-4028-B785-4A313377AC3A}"/>
  </w:font>
  <w:font w:name="Courier New">
    <w:panose1 w:val="02070309020205020404"/>
    <w:charset w:val="01"/>
    <w:family w:val="modern"/>
    <w:pitch w:val="default"/>
    <w:sig w:usb0="E0002EFF" w:usb1="C0007843" w:usb2="00000009" w:usb3="00000000" w:csb0="400001FF" w:csb1="FFFF0000"/>
    <w:embedRegular r:id="rId4" w:fontKey="{26A1F60E-3656-446A-AB72-4DC3FBDDC7D3}"/>
  </w:font>
  <w:font w:name="Symbol">
    <w:panose1 w:val="05050102010706020507"/>
    <w:charset w:val="02"/>
    <w:family w:val="roman"/>
    <w:pitch w:val="default"/>
    <w:sig w:usb0="00000000" w:usb1="00000000" w:usb2="00000000" w:usb3="00000000" w:csb0="80000000" w:csb1="00000000"/>
    <w:embedRegular r:id="rId5" w:fontKey="{4C4D35AB-C253-4DE2-8A35-13549AD7A658}"/>
  </w:font>
  <w:font w:name="Calibri">
    <w:panose1 w:val="020F0502020204030204"/>
    <w:charset w:val="00"/>
    <w:family w:val="swiss"/>
    <w:pitch w:val="default"/>
    <w:sig w:usb0="E4002EFF" w:usb1="C200247B" w:usb2="00000009" w:usb3="00000000" w:csb0="200001FF" w:csb1="00000000"/>
    <w:embedRegular r:id="rId6" w:fontKey="{755D0DC3-2013-45AF-9DF1-A1B6DA2FF01C}"/>
  </w:font>
  <w:font w:name="方正小标宋简体">
    <w:altName w:val="仿宋_GB2312"/>
    <w:panose1 w:val="00000000000000000000"/>
    <w:charset w:val="86"/>
    <w:family w:val="auto"/>
    <w:pitch w:val="default"/>
    <w:sig w:usb0="00000000" w:usb1="00000000" w:usb2="00000000" w:usb3="00000000" w:csb0="00040000" w:csb1="00000000"/>
    <w:embedRegular r:id="rId7" w:fontKey="{F53C6173-6BEE-4654-8C94-D32CCE7F0F26}"/>
  </w:font>
  <w:font w:name="新宋体">
    <w:panose1 w:val="02010609030101010101"/>
    <w:charset w:val="86"/>
    <w:family w:val="modern"/>
    <w:pitch w:val="default"/>
    <w:sig w:usb0="00000203" w:usb1="288F0000" w:usb2="00000006" w:usb3="00000000" w:csb0="00040001" w:csb1="00000000"/>
    <w:embedRegular r:id="rId8" w:fontKey="{143387FB-6FC0-48E7-96B7-D568028CFCC0}"/>
  </w:font>
  <w:font w:name="仿宋_GB2312">
    <w:panose1 w:val="02010609030101010101"/>
    <w:charset w:val="86"/>
    <w:family w:val="modern"/>
    <w:pitch w:val="default"/>
    <w:sig w:usb0="00000001" w:usb1="080E0000" w:usb2="00000000" w:usb3="00000000" w:csb0="00040000" w:csb1="00000000"/>
    <w:embedRegular r:id="rId9" w:fontKey="{259350DE-A5A9-4417-B228-D6D2C36B4EDD}"/>
  </w:font>
  <w:font w:name="方正小标宋_GBK">
    <w:altName w:val="微软雅黑"/>
    <w:panose1 w:val="00000000000000000000"/>
    <w:charset w:val="86"/>
    <w:family w:val="script"/>
    <w:pitch w:val="default"/>
    <w:sig w:usb0="00000000" w:usb1="00000000" w:usb2="00000000" w:usb3="00000000" w:csb0="00040000" w:csb1="00000000"/>
    <w:embedRegular r:id="rId10" w:fontKey="{D5CAF577-CF28-4F29-8E90-0D4EECBC350F}"/>
  </w:font>
  <w:font w:name="楷体_GB2312">
    <w:altName w:val="楷体"/>
    <w:panose1 w:val="00000000000000000000"/>
    <w:charset w:val="86"/>
    <w:family w:val="auto"/>
    <w:pitch w:val="default"/>
    <w:sig w:usb0="00000000" w:usb1="00000000" w:usb2="00000000" w:usb3="00000000" w:csb0="00040000" w:csb1="00000000"/>
    <w:embedRegular r:id="rId11" w:fontKey="{E6C08AEE-2299-4754-AB93-A30D208D74D5}"/>
  </w:font>
  <w:font w:name="仿宋">
    <w:panose1 w:val="02010609060101010101"/>
    <w:charset w:val="86"/>
    <w:family w:val="modern"/>
    <w:pitch w:val="default"/>
    <w:sig w:usb0="800002BF" w:usb1="38CF7CFA" w:usb2="00000016" w:usb3="00000000" w:csb0="00040001" w:csb1="00000000"/>
    <w:embedRegular r:id="rId12" w:fontKey="{A1C62CAA-DEDB-44EC-81FA-231242F7500D}"/>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仿宋_GB2312" w:eastAsia="仿宋_GB2312"/>
        <w:sz w:val="28"/>
        <w:szCs w:val="28"/>
      </w:rPr>
    </w:pPr>
    <w:r>
      <w:rPr>
        <w:rFonts w:ascii="仿宋_GB2312" w:eastAsia="仿宋_GB2312"/>
        <w:sz w:val="28"/>
        <w:szCs w:val="28"/>
      </w:rPr>
      <w:ptab w:relativeTo="margin" w:alignment="right" w:leader="none"/>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4"/>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162589"/>
    <w:multiLevelType w:val="singleLevel"/>
    <w:tmpl w:val="9716258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wOTVjNTgwMzM1NmUwNGQyMWI3MThmYmQ5MTliZGUifQ=="/>
  </w:docVars>
  <w:rsids>
    <w:rsidRoot w:val="0CCB7736"/>
    <w:rsid w:val="00040C00"/>
    <w:rsid w:val="00047FEF"/>
    <w:rsid w:val="000A3906"/>
    <w:rsid w:val="000A7BD7"/>
    <w:rsid w:val="000B16B1"/>
    <w:rsid w:val="000E765B"/>
    <w:rsid w:val="0013077B"/>
    <w:rsid w:val="001776F1"/>
    <w:rsid w:val="00181797"/>
    <w:rsid w:val="00193278"/>
    <w:rsid w:val="001A3584"/>
    <w:rsid w:val="001E1C87"/>
    <w:rsid w:val="0020435C"/>
    <w:rsid w:val="002172E9"/>
    <w:rsid w:val="00223AF1"/>
    <w:rsid w:val="00234E4A"/>
    <w:rsid w:val="00236FBA"/>
    <w:rsid w:val="002A395A"/>
    <w:rsid w:val="002C2DDF"/>
    <w:rsid w:val="002C7858"/>
    <w:rsid w:val="00316355"/>
    <w:rsid w:val="00350C03"/>
    <w:rsid w:val="00354698"/>
    <w:rsid w:val="00401469"/>
    <w:rsid w:val="004B2FDF"/>
    <w:rsid w:val="005F76EF"/>
    <w:rsid w:val="00605A9E"/>
    <w:rsid w:val="00612DCC"/>
    <w:rsid w:val="006A0E20"/>
    <w:rsid w:val="006C13FE"/>
    <w:rsid w:val="006F0A16"/>
    <w:rsid w:val="007279A6"/>
    <w:rsid w:val="00741192"/>
    <w:rsid w:val="00757A91"/>
    <w:rsid w:val="00764458"/>
    <w:rsid w:val="007732EE"/>
    <w:rsid w:val="00773328"/>
    <w:rsid w:val="00793635"/>
    <w:rsid w:val="007A2174"/>
    <w:rsid w:val="0081256F"/>
    <w:rsid w:val="00821883"/>
    <w:rsid w:val="008D3E76"/>
    <w:rsid w:val="00906112"/>
    <w:rsid w:val="00917857"/>
    <w:rsid w:val="0092095B"/>
    <w:rsid w:val="00931E9E"/>
    <w:rsid w:val="00951F23"/>
    <w:rsid w:val="00972E84"/>
    <w:rsid w:val="009E0D79"/>
    <w:rsid w:val="00A755C2"/>
    <w:rsid w:val="00AB06D9"/>
    <w:rsid w:val="00B04E3B"/>
    <w:rsid w:val="00B23669"/>
    <w:rsid w:val="00B56EC4"/>
    <w:rsid w:val="00B9350B"/>
    <w:rsid w:val="00C10844"/>
    <w:rsid w:val="00C247B6"/>
    <w:rsid w:val="00C33BAC"/>
    <w:rsid w:val="00C47DF7"/>
    <w:rsid w:val="00CE7BAE"/>
    <w:rsid w:val="00D611CA"/>
    <w:rsid w:val="00D7106E"/>
    <w:rsid w:val="00DE50A1"/>
    <w:rsid w:val="00E55C1E"/>
    <w:rsid w:val="00EB4146"/>
    <w:rsid w:val="00F12174"/>
    <w:rsid w:val="00F165BE"/>
    <w:rsid w:val="00F21D16"/>
    <w:rsid w:val="00FF2AE6"/>
    <w:rsid w:val="016A347B"/>
    <w:rsid w:val="02B50488"/>
    <w:rsid w:val="0338470A"/>
    <w:rsid w:val="034822A9"/>
    <w:rsid w:val="03D86621"/>
    <w:rsid w:val="04EE6171"/>
    <w:rsid w:val="05395EA9"/>
    <w:rsid w:val="0ABD557B"/>
    <w:rsid w:val="0BBB5A8D"/>
    <w:rsid w:val="0C104906"/>
    <w:rsid w:val="0CCB7736"/>
    <w:rsid w:val="0D9E0E8D"/>
    <w:rsid w:val="0EAB7397"/>
    <w:rsid w:val="0EF755B3"/>
    <w:rsid w:val="0F17035E"/>
    <w:rsid w:val="0F4E168D"/>
    <w:rsid w:val="11404466"/>
    <w:rsid w:val="11963ADD"/>
    <w:rsid w:val="11EB0F5C"/>
    <w:rsid w:val="11F20483"/>
    <w:rsid w:val="136F31F8"/>
    <w:rsid w:val="138750E0"/>
    <w:rsid w:val="15A620D3"/>
    <w:rsid w:val="16A3369E"/>
    <w:rsid w:val="178536BD"/>
    <w:rsid w:val="19516372"/>
    <w:rsid w:val="19575CC2"/>
    <w:rsid w:val="19A80228"/>
    <w:rsid w:val="1A101464"/>
    <w:rsid w:val="1AB74849"/>
    <w:rsid w:val="1AC52FF2"/>
    <w:rsid w:val="1AE6175D"/>
    <w:rsid w:val="1B742AA7"/>
    <w:rsid w:val="1CA34935"/>
    <w:rsid w:val="1D5A640E"/>
    <w:rsid w:val="1F7640EC"/>
    <w:rsid w:val="20D76C5F"/>
    <w:rsid w:val="21057490"/>
    <w:rsid w:val="214A230E"/>
    <w:rsid w:val="21B052C4"/>
    <w:rsid w:val="22FF5445"/>
    <w:rsid w:val="238D0E57"/>
    <w:rsid w:val="24256710"/>
    <w:rsid w:val="251E7983"/>
    <w:rsid w:val="260D5D83"/>
    <w:rsid w:val="284A2254"/>
    <w:rsid w:val="292F1467"/>
    <w:rsid w:val="29786927"/>
    <w:rsid w:val="297B51B4"/>
    <w:rsid w:val="29E40467"/>
    <w:rsid w:val="29F527E2"/>
    <w:rsid w:val="2BF35971"/>
    <w:rsid w:val="2C487650"/>
    <w:rsid w:val="2E4F43C0"/>
    <w:rsid w:val="2EC7368E"/>
    <w:rsid w:val="30FB4B41"/>
    <w:rsid w:val="31621165"/>
    <w:rsid w:val="323C5548"/>
    <w:rsid w:val="37450F88"/>
    <w:rsid w:val="37D6106F"/>
    <w:rsid w:val="38F862EB"/>
    <w:rsid w:val="39343807"/>
    <w:rsid w:val="39887BBC"/>
    <w:rsid w:val="3A53023B"/>
    <w:rsid w:val="3AF42D2D"/>
    <w:rsid w:val="3B3A041F"/>
    <w:rsid w:val="3BAE6BF9"/>
    <w:rsid w:val="3CCA47F2"/>
    <w:rsid w:val="3CDE0708"/>
    <w:rsid w:val="3D26679B"/>
    <w:rsid w:val="3D5877DF"/>
    <w:rsid w:val="3DC55CAA"/>
    <w:rsid w:val="3DD556CA"/>
    <w:rsid w:val="3F450429"/>
    <w:rsid w:val="40226C80"/>
    <w:rsid w:val="40C451A5"/>
    <w:rsid w:val="4156470B"/>
    <w:rsid w:val="41943ACE"/>
    <w:rsid w:val="425D4066"/>
    <w:rsid w:val="43173FD4"/>
    <w:rsid w:val="44143822"/>
    <w:rsid w:val="44654A12"/>
    <w:rsid w:val="457C5F26"/>
    <w:rsid w:val="493B604D"/>
    <w:rsid w:val="49CF255F"/>
    <w:rsid w:val="4B2C5DCD"/>
    <w:rsid w:val="4B7D1173"/>
    <w:rsid w:val="4C150E22"/>
    <w:rsid w:val="4C6A38FC"/>
    <w:rsid w:val="4CE74BC3"/>
    <w:rsid w:val="4CF5000E"/>
    <w:rsid w:val="4DB17672"/>
    <w:rsid w:val="50AC44C4"/>
    <w:rsid w:val="50EA6DB9"/>
    <w:rsid w:val="51CA7471"/>
    <w:rsid w:val="521C2FA3"/>
    <w:rsid w:val="522529B2"/>
    <w:rsid w:val="53910AF4"/>
    <w:rsid w:val="555952B3"/>
    <w:rsid w:val="556B5A36"/>
    <w:rsid w:val="55AF40BB"/>
    <w:rsid w:val="56F72F7C"/>
    <w:rsid w:val="586243BF"/>
    <w:rsid w:val="58FD3402"/>
    <w:rsid w:val="5AAF7799"/>
    <w:rsid w:val="5B5C1753"/>
    <w:rsid w:val="5E134100"/>
    <w:rsid w:val="5F7A1C50"/>
    <w:rsid w:val="601C4AB5"/>
    <w:rsid w:val="60BE691E"/>
    <w:rsid w:val="61444403"/>
    <w:rsid w:val="62265BDF"/>
    <w:rsid w:val="62E1699A"/>
    <w:rsid w:val="64147F0D"/>
    <w:rsid w:val="64D66362"/>
    <w:rsid w:val="65860217"/>
    <w:rsid w:val="667E0AA1"/>
    <w:rsid w:val="68FB17C3"/>
    <w:rsid w:val="695F12F9"/>
    <w:rsid w:val="69636C3A"/>
    <w:rsid w:val="69CF7B2C"/>
    <w:rsid w:val="6A0B0004"/>
    <w:rsid w:val="6BA1010E"/>
    <w:rsid w:val="6BDB4B91"/>
    <w:rsid w:val="6CE47E41"/>
    <w:rsid w:val="6CED5810"/>
    <w:rsid w:val="6CF92413"/>
    <w:rsid w:val="6DFE5E04"/>
    <w:rsid w:val="6E87203D"/>
    <w:rsid w:val="6F9278BB"/>
    <w:rsid w:val="71572F19"/>
    <w:rsid w:val="719B7427"/>
    <w:rsid w:val="724A6793"/>
    <w:rsid w:val="741F26FA"/>
    <w:rsid w:val="74470DF8"/>
    <w:rsid w:val="75FD1676"/>
    <w:rsid w:val="799536BA"/>
    <w:rsid w:val="7B170752"/>
    <w:rsid w:val="7B8F681B"/>
    <w:rsid w:val="7BC70067"/>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1"/>
    <w:link w:val="13"/>
    <w:qFormat/>
    <w:uiPriority w:val="0"/>
    <w:pPr>
      <w:snapToGrid w:val="0"/>
      <w:jc w:val="left"/>
    </w:pPr>
    <w:rPr>
      <w:sz w:val="18"/>
      <w:szCs w:val="18"/>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99"/>
    <w:rPr>
      <w:rFonts w:cs="Times New Roman"/>
    </w:rPr>
  </w:style>
  <w:style w:type="character" w:customStyle="1" w:styleId="10">
    <w:name w:val="页脚 Char"/>
    <w:basedOn w:val="8"/>
    <w:link w:val="4"/>
    <w:qFormat/>
    <w:uiPriority w:val="99"/>
    <w:rPr>
      <w:sz w:val="18"/>
      <w:szCs w:val="18"/>
    </w:rPr>
  </w:style>
  <w:style w:type="character" w:customStyle="1" w:styleId="11">
    <w:name w:val="页眉 Char"/>
    <w:basedOn w:val="8"/>
    <w:link w:val="5"/>
    <w:semiHidden/>
    <w:qFormat/>
    <w:uiPriority w:val="99"/>
    <w:rPr>
      <w:sz w:val="18"/>
      <w:szCs w:val="18"/>
    </w:rPr>
  </w:style>
  <w:style w:type="paragraph" w:styleId="12">
    <w:name w:val="List Paragraph"/>
    <w:basedOn w:val="1"/>
    <w:qFormat/>
    <w:uiPriority w:val="99"/>
    <w:pPr>
      <w:ind w:firstLine="420" w:firstLineChars="200"/>
    </w:pPr>
    <w:rPr>
      <w:rFonts w:ascii="Calibri" w:hAnsi="Calibri"/>
      <w:szCs w:val="22"/>
    </w:rPr>
  </w:style>
  <w:style w:type="character" w:customStyle="1" w:styleId="13">
    <w:name w:val="脚注文本 Char"/>
    <w:basedOn w:val="8"/>
    <w:link w:val="2"/>
    <w:uiPriority w:val="0"/>
    <w:rPr>
      <w:rFonts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8001</Words>
  <Characters>8637</Characters>
  <Lines>73</Lines>
  <Paragraphs>20</Paragraphs>
  <TotalTime>1</TotalTime>
  <ScaleCrop>false</ScaleCrop>
  <LinksUpToDate>false</LinksUpToDate>
  <CharactersWithSpaces>8722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2023-07-05T13:12:00Z</dcterms:created>
  <dc:creator>Administrator</dc:creator>
  <cp:lastModifiedBy>Susan</cp:lastModifiedBy>
  <cp:lastPrinted>2023-06-29T01:04:00Z</cp:lastPrinted>
  <dcterms:modified xsi:type="dcterms:W3CDTF">2023-07-13T13:14:44Z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BCEA63DAF624456AADE85B6B06C14A45_13</vt:lpwstr>
  </property>
</Properties>
</file>