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12"/>
        <w:tblW w:w="4997" w:type="pct"/>
        <w:jc w:val="center"/>
        <w:tblLayout w:type="autofit"/>
        <w:tblCellMar>
          <w:top w:w="0" w:type="dxa"/>
          <w:left w:w="108" w:type="dxa"/>
          <w:bottom w:w="0" w:type="dxa"/>
          <w:right w:w="108" w:type="dxa"/>
        </w:tblCellMar>
      </w:tblPr>
      <w:tblGrid>
        <w:gridCol w:w="3218"/>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622.16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951.50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951.50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1.36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1500.02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firstLine="880" w:firstLineChars="400"/>
              <w:jc w:val="both"/>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908.27</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908.27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（一个专项一行）</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default" w:ascii="Times New Roman" w:hAnsi="Times New Roman" w:eastAsia="仿宋_GB2312" w:cs="Times New Roman"/>
          <w:sz w:val="22"/>
        </w:rPr>
      </w:pPr>
      <w:r>
        <w:rPr>
          <w:rFonts w:hint="default" w:ascii="Times New Roman" w:hAnsi="Times New Roman" w:eastAsia="仿宋_GB2312" w:cs="Times New Roman"/>
          <w:sz w:val="22"/>
        </w:rPr>
        <w:t>填表人：</w:t>
      </w:r>
      <w:r>
        <w:rPr>
          <w:rFonts w:hint="eastAsia" w:eastAsia="仿宋_GB2312" w:cs="Times New Roman"/>
          <w:sz w:val="22"/>
          <w:lang w:eastAsia="zh-CN"/>
        </w:rPr>
        <w:t>欧阳南</w:t>
      </w:r>
      <w:r>
        <w:rPr>
          <w:rFonts w:hint="default" w:ascii="Times New Roman" w:hAnsi="Times New Roman" w:eastAsia="仿宋_GB2312" w:cs="Times New Roman"/>
          <w:sz w:val="22"/>
        </w:rPr>
        <w:t xml:space="preserve">   填报日期</w:t>
      </w:r>
      <w:r>
        <w:rPr>
          <w:rFonts w:hint="eastAsia" w:eastAsia="仿宋_GB2312" w:cs="Times New Roman"/>
          <w:sz w:val="22"/>
          <w:lang w:eastAsia="zh-CN"/>
        </w:rPr>
        <w:t>：</w:t>
      </w:r>
      <w:r>
        <w:rPr>
          <w:rFonts w:hint="eastAsia" w:eastAsia="仿宋_GB2312" w:cs="Times New Roman"/>
          <w:sz w:val="22"/>
          <w:lang w:val="en-US" w:eastAsia="zh-CN"/>
        </w:rPr>
        <w:t>2023.7.10</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13974085009</w:t>
      </w:r>
      <w:r>
        <w:rPr>
          <w:rFonts w:hint="default" w:ascii="Times New Roman" w:hAnsi="Times New Roman" w:eastAsia="仿宋_GB2312" w:cs="Times New Roman"/>
          <w:sz w:val="22"/>
        </w:rPr>
        <w:t xml:space="preserve">   单位负责人签字：</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12"/>
        <w:tblW w:w="4392" w:type="pct"/>
        <w:jc w:val="center"/>
        <w:tblLayout w:type="fixed"/>
        <w:tblCellMar>
          <w:top w:w="0" w:type="dxa"/>
          <w:left w:w="108" w:type="dxa"/>
          <w:bottom w:w="0" w:type="dxa"/>
          <w:right w:w="108" w:type="dxa"/>
        </w:tblCellMar>
      </w:tblPr>
      <w:tblGrid>
        <w:gridCol w:w="608"/>
        <w:gridCol w:w="587"/>
        <w:gridCol w:w="421"/>
        <w:gridCol w:w="1421"/>
        <w:gridCol w:w="1526"/>
        <w:gridCol w:w="1541"/>
        <w:gridCol w:w="538"/>
        <w:gridCol w:w="539"/>
        <w:gridCol w:w="978"/>
      </w:tblGrid>
      <w:tr>
        <w:tblPrEx>
          <w:tblCellMar>
            <w:top w:w="0" w:type="dxa"/>
            <w:left w:w="108" w:type="dxa"/>
            <w:bottom w:w="0" w:type="dxa"/>
            <w:right w:w="108" w:type="dxa"/>
          </w:tblCellMar>
        </w:tblPrEx>
        <w:trPr>
          <w:trHeight w:val="90" w:hRule="atLeast"/>
          <w:jc w:val="center"/>
        </w:trPr>
        <w:tc>
          <w:tcPr>
            <w:tcW w:w="3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627"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华容县田家湖生态新区管理委员会</w:t>
            </w:r>
          </w:p>
        </w:tc>
      </w:tr>
      <w:tr>
        <w:tblPrEx>
          <w:tblCellMar>
            <w:top w:w="0" w:type="dxa"/>
            <w:left w:w="108" w:type="dxa"/>
            <w:bottom w:w="0" w:type="dxa"/>
            <w:right w:w="108" w:type="dxa"/>
          </w:tblCellMar>
        </w:tblPrEx>
        <w:trPr>
          <w:trHeight w:val="90" w:hRule="atLeast"/>
          <w:jc w:val="center"/>
        </w:trPr>
        <w:tc>
          <w:tcPr>
            <w:tcW w:w="372"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617"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87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93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94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2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59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90" w:hRule="atLeast"/>
          <w:jc w:val="center"/>
        </w:trPr>
        <w:tc>
          <w:tcPr>
            <w:tcW w:w="372"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617"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870"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726.61</w:t>
            </w:r>
          </w:p>
        </w:tc>
        <w:tc>
          <w:tcPr>
            <w:tcW w:w="93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1859.77</w:t>
            </w:r>
          </w:p>
        </w:tc>
        <w:tc>
          <w:tcPr>
            <w:tcW w:w="944"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1859.77</w:t>
            </w:r>
          </w:p>
        </w:tc>
        <w:tc>
          <w:tcPr>
            <w:tcW w:w="32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59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90"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90"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1414.13</w:t>
            </w:r>
          </w:p>
        </w:tc>
        <w:tc>
          <w:tcPr>
            <w:tcW w:w="22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tabs>
                <w:tab w:val="center" w:pos="1919"/>
              </w:tabs>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eastAsia="zh-CN"/>
              </w:rPr>
              <w:tab/>
            </w:r>
            <w:r>
              <w:rPr>
                <w:rFonts w:hint="eastAsia" w:ascii="新宋体" w:hAnsi="新宋体" w:eastAsia="新宋体" w:cs="新宋体"/>
                <w:color w:val="000000"/>
                <w:sz w:val="21"/>
                <w:szCs w:val="21"/>
                <w:lang w:val="en-US" w:eastAsia="zh-CN"/>
              </w:rPr>
              <w:t>951.50</w:t>
            </w:r>
          </w:p>
        </w:tc>
      </w:tr>
      <w:tr>
        <w:tblPrEx>
          <w:tblCellMar>
            <w:top w:w="0" w:type="dxa"/>
            <w:left w:w="108" w:type="dxa"/>
            <w:bottom w:w="0" w:type="dxa"/>
            <w:right w:w="108" w:type="dxa"/>
          </w:tblCellMar>
        </w:tblPrEx>
        <w:trPr>
          <w:trHeight w:val="90"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445.64</w:t>
            </w:r>
          </w:p>
        </w:tc>
        <w:tc>
          <w:tcPr>
            <w:tcW w:w="22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908.27</w:t>
            </w:r>
          </w:p>
        </w:tc>
      </w:tr>
      <w:tr>
        <w:tblPrEx>
          <w:tblCellMar>
            <w:top w:w="0" w:type="dxa"/>
            <w:left w:w="108" w:type="dxa"/>
            <w:bottom w:w="0" w:type="dxa"/>
            <w:right w:w="108" w:type="dxa"/>
          </w:tblCellMar>
        </w:tblPrEx>
        <w:trPr>
          <w:trHeight w:val="90"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纳入专户管理的非税收入拨款：</w:t>
            </w:r>
            <w:r>
              <w:rPr>
                <w:rFonts w:hint="eastAsia" w:ascii="新宋体" w:hAnsi="新宋体" w:eastAsia="新宋体" w:cs="新宋体"/>
                <w:i w:val="0"/>
                <w:iCs w:val="0"/>
                <w:color w:val="000000"/>
                <w:sz w:val="21"/>
                <w:szCs w:val="21"/>
                <w:lang w:val="en-US" w:eastAsia="zh-CN"/>
              </w:rPr>
              <w:t>0</w:t>
            </w:r>
          </w:p>
        </w:tc>
        <w:tc>
          <w:tcPr>
            <w:tcW w:w="22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90" w:hRule="atLeast"/>
          <w:jc w:val="center"/>
        </w:trPr>
        <w:tc>
          <w:tcPr>
            <w:tcW w:w="372"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42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其他资金：</w:t>
            </w:r>
            <w:r>
              <w:rPr>
                <w:rFonts w:hint="eastAsia" w:ascii="新宋体" w:hAnsi="新宋体" w:eastAsia="新宋体" w:cs="新宋体"/>
                <w:i w:val="0"/>
                <w:iCs w:val="0"/>
                <w:color w:val="000000"/>
                <w:sz w:val="21"/>
                <w:szCs w:val="21"/>
                <w:lang w:val="en-US" w:eastAsia="zh-CN"/>
              </w:rPr>
              <w:t>0</w:t>
            </w:r>
          </w:p>
        </w:tc>
        <w:tc>
          <w:tcPr>
            <w:tcW w:w="220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90" w:hRule="atLeast"/>
          <w:jc w:val="center"/>
        </w:trPr>
        <w:tc>
          <w:tcPr>
            <w:tcW w:w="372"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423"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03"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90" w:hRule="atLeast"/>
          <w:jc w:val="center"/>
        </w:trPr>
        <w:tc>
          <w:tcPr>
            <w:tcW w:w="372"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423" w:type="pct"/>
            <w:gridSpan w:val="4"/>
            <w:tcBorders>
              <w:top w:val="single" w:color="auto" w:sz="4" w:space="0"/>
              <w:left w:val="nil"/>
              <w:bottom w:val="single" w:color="auto" w:sz="4" w:space="0"/>
              <w:right w:val="single" w:color="000000"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rPr>
              <w:t>目标1：明确有机农业、特色产业、文旅产业发展新定位，推动产业层次实现新跨越</w:t>
            </w:r>
          </w:p>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rPr>
              <w:t>目标2：提质生态环境、基础建设、发展基础，推动乡村振兴实现新进步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仿宋_GB2312" w:cs="新宋体"/>
                <w:color w:val="000000"/>
                <w:sz w:val="21"/>
                <w:szCs w:val="21"/>
                <w:lang w:eastAsia="zh-CN"/>
              </w:rPr>
            </w:pPr>
            <w:r>
              <w:rPr>
                <w:rFonts w:hint="eastAsia" w:ascii="仿宋_GB2312" w:hAnsi="仿宋_GB2312" w:eastAsia="仿宋_GB2312" w:cs="仿宋_GB2312"/>
                <w:color w:val="000000"/>
                <w:sz w:val="24"/>
              </w:rPr>
              <w:t>目标3：强化民生保障，推动民生福祉实现新提</w:t>
            </w:r>
            <w:r>
              <w:rPr>
                <w:rFonts w:hint="eastAsia" w:ascii="仿宋_GB2312" w:hAnsi="仿宋_GB2312" w:eastAsia="仿宋_GB2312" w:cs="仿宋_GB2312"/>
                <w:color w:val="000000"/>
                <w:sz w:val="24"/>
                <w:lang w:eastAsia="zh-CN"/>
              </w:rPr>
              <w:t>升。</w:t>
            </w:r>
          </w:p>
        </w:tc>
        <w:tc>
          <w:tcPr>
            <w:tcW w:w="2203"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已完成</w:t>
            </w:r>
          </w:p>
        </w:tc>
      </w:tr>
      <w:tr>
        <w:tblPrEx>
          <w:tblCellMar>
            <w:top w:w="0" w:type="dxa"/>
            <w:left w:w="108" w:type="dxa"/>
            <w:bottom w:w="0" w:type="dxa"/>
            <w:right w:w="108" w:type="dxa"/>
          </w:tblCellMar>
        </w:tblPrEx>
        <w:trPr>
          <w:trHeight w:val="90" w:hRule="atLeast"/>
          <w:jc w:val="center"/>
        </w:trPr>
        <w:tc>
          <w:tcPr>
            <w:tcW w:w="37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3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2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90"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w:t>
            </w:r>
            <w:r>
              <w:rPr>
                <w:rFonts w:hint="eastAsia" w:ascii="新宋体" w:hAnsi="新宋体" w:eastAsia="新宋体" w:cs="新宋体"/>
                <w:color w:val="000000"/>
                <w:sz w:val="21"/>
                <w:szCs w:val="21"/>
              </w:rPr>
              <w:t>50分</w:t>
            </w:r>
            <w:r>
              <w:rPr>
                <w:rFonts w:hint="eastAsia" w:ascii="新宋体" w:hAnsi="新宋体" w:eastAsia="新宋体" w:cs="新宋体"/>
                <w:color w:val="000000"/>
                <w:sz w:val="21"/>
                <w:szCs w:val="21"/>
                <w:lang w:eastAsia="zh-CN"/>
              </w:rPr>
              <w:t>）</w:t>
            </w:r>
          </w:p>
        </w:tc>
        <w:tc>
          <w:tcPr>
            <w:tcW w:w="25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highlight w:val="none"/>
              </w:rPr>
              <w:t>指标1：</w:t>
            </w:r>
            <w:r>
              <w:rPr>
                <w:rFonts w:hint="eastAsia" w:ascii="宋体" w:hAnsi="宋体" w:eastAsia="宋体" w:cs="宋体"/>
                <w:color w:val="000000"/>
                <w:sz w:val="24"/>
                <w:szCs w:val="24"/>
                <w:highlight w:val="none"/>
                <w:lang w:eastAsia="zh-CN"/>
              </w:rPr>
              <w:t>积极推进征地拆迁遗留问题解决，完成田家湖社区储备用地等房屋拆迁扫尾工作，拆除房屋</w:t>
            </w:r>
            <w:r>
              <w:rPr>
                <w:rFonts w:hint="eastAsia" w:ascii="宋体" w:hAnsi="宋体" w:eastAsia="宋体" w:cs="宋体"/>
                <w:color w:val="000000"/>
                <w:sz w:val="24"/>
                <w:szCs w:val="24"/>
                <w:highlight w:val="none"/>
                <w:lang w:val="en-US" w:eastAsia="zh-CN"/>
              </w:rPr>
              <w:t>15栋，完成幸福路、白鼎山南路2栋房屋拆迁。</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90"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highlight w:val="none"/>
                <w:lang w:val="en-US" w:eastAsia="zh-CN"/>
              </w:rPr>
              <w:t>指标2：严格落实上级粮食种植面积任务，推动1000亩种植示范田打造，持续推动粮食产业升级转型。</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90"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2"/>
                <w:szCs w:val="22"/>
              </w:rPr>
              <w:t>指标1：全面履行部门职责，促进地方经济社会发展。</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90"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指标2：高标准完成县委、县政府交办任务。</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90"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0"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各项工作任务严格按照时限要求，确保到位</w:t>
            </w:r>
          </w:p>
        </w:tc>
        <w:tc>
          <w:tcPr>
            <w:tcW w:w="935"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30"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ascii="新宋体" w:hAnsi="新宋体" w:eastAsia="新宋体" w:cs="新宋体"/>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ascii="新宋体" w:hAnsi="新宋体" w:eastAsia="新宋体" w:cs="新宋体"/>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90" w:hRule="atLeast"/>
          <w:jc w:val="center"/>
        </w:trPr>
        <w:tc>
          <w:tcPr>
            <w:tcW w:w="37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全年财政整体支出</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无</w:t>
            </w:r>
          </w:p>
        </w:tc>
      </w:tr>
      <w:tr>
        <w:tblPrEx>
          <w:tblCellMar>
            <w:top w:w="0" w:type="dxa"/>
            <w:left w:w="108" w:type="dxa"/>
            <w:bottom w:w="0" w:type="dxa"/>
            <w:right w:w="108" w:type="dxa"/>
          </w:tblCellMar>
        </w:tblPrEx>
        <w:trPr>
          <w:trHeight w:val="90" w:hRule="atLeast"/>
          <w:jc w:val="center"/>
        </w:trPr>
        <w:tc>
          <w:tcPr>
            <w:tcW w:w="37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35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2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指标</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指标值</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1144"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25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落实粮食种植面积1000亩，粮食总产945吨。</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2296"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rPr>
            </w:pPr>
            <w:r>
              <w:rPr>
                <w:rFonts w:hint="default" w:ascii="宋体" w:hAnsi="宋体" w:eastAsia="宋体" w:cs="宋体"/>
                <w:color w:val="000000"/>
                <w:sz w:val="22"/>
                <w:szCs w:val="22"/>
                <w:lang w:val="en-US" w:eastAsia="zh-CN"/>
              </w:rPr>
              <w:t>开展禁违巡查</w:t>
            </w:r>
            <w:r>
              <w:rPr>
                <w:rFonts w:hint="eastAsia" w:ascii="宋体" w:hAnsi="宋体" w:eastAsia="宋体" w:cs="宋体"/>
                <w:color w:val="000000"/>
                <w:sz w:val="22"/>
                <w:szCs w:val="22"/>
                <w:lang w:val="en-US" w:eastAsia="zh-CN"/>
              </w:rPr>
              <w:t>120余</w:t>
            </w:r>
            <w:r>
              <w:rPr>
                <w:rFonts w:hint="default" w:ascii="宋体" w:hAnsi="宋体" w:eastAsia="宋体" w:cs="宋体"/>
                <w:color w:val="000000"/>
                <w:sz w:val="22"/>
                <w:szCs w:val="22"/>
                <w:lang w:val="en-US" w:eastAsia="zh-CN"/>
              </w:rPr>
              <w:t>次，</w:t>
            </w:r>
            <w:r>
              <w:rPr>
                <w:rFonts w:hint="eastAsia" w:ascii="宋体" w:hAnsi="宋体" w:eastAsia="宋体" w:cs="宋体"/>
                <w:color w:val="000000"/>
                <w:sz w:val="22"/>
                <w:szCs w:val="22"/>
                <w:lang w:val="en-US" w:eastAsia="zh-CN"/>
              </w:rPr>
              <w:t>拆除违建47处6000余m2，联合多部门，对维也纳酒店2处共计400m2的存量违建强制拆除</w:t>
            </w:r>
            <w:r>
              <w:rPr>
                <w:rFonts w:hint="eastAsia" w:ascii="宋体" w:hAnsi="宋体" w:cs="宋体"/>
                <w:color w:val="000000"/>
                <w:sz w:val="22"/>
                <w:szCs w:val="22"/>
                <w:lang w:val="en-US" w:eastAsia="zh-CN"/>
              </w:rPr>
              <w:t>。</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90"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7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2"/>
                <w:szCs w:val="22"/>
              </w:rPr>
              <w:t>开展安全生产“集中整治”专项行动，切实强化隐患排查和监管执法力度，全年未发生安全生产事故</w:t>
            </w:r>
            <w:r>
              <w:rPr>
                <w:rFonts w:hint="eastAsia" w:ascii="宋体" w:hAnsi="宋体" w:eastAsia="宋体" w:cs="宋体"/>
                <w:color w:val="000000"/>
                <w:sz w:val="22"/>
                <w:szCs w:val="22"/>
                <w:lang w:eastAsia="zh-CN"/>
              </w:rPr>
              <w:t>。</w:t>
            </w:r>
          </w:p>
        </w:tc>
        <w:tc>
          <w:tcPr>
            <w:tcW w:w="93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90"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870" w:type="pct"/>
            <w:tcBorders>
              <w:top w:val="nil"/>
              <w:left w:val="nil"/>
              <w:bottom w:val="single" w:color="auto" w:sz="4" w:space="0"/>
              <w:right w:val="single" w:color="auto" w:sz="4" w:space="0"/>
            </w:tcBorders>
            <w:noWrap w:val="0"/>
            <w:vAlign w:val="center"/>
          </w:tcPr>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220" w:lineRule="exact"/>
              <w:ind w:left="0" w:right="0"/>
              <w:jc w:val="center"/>
              <w:textAlignment w:val="baseline"/>
              <w:outlineLvl w:val="9"/>
              <w:rPr>
                <w:rFonts w:hint="eastAsia" w:ascii="宋体" w:hAnsi="宋体" w:eastAsia="宋体" w:cs="宋体"/>
                <w:color w:val="000000"/>
                <w:sz w:val="24"/>
                <w:szCs w:val="24"/>
              </w:rPr>
            </w:pPr>
            <w:r>
              <w:rPr>
                <w:rFonts w:hint="eastAsia" w:ascii="宋体" w:hAnsi="宋体" w:eastAsia="宋体" w:cs="宋体"/>
                <w:color w:val="000000"/>
                <w:kern w:val="2"/>
                <w:sz w:val="22"/>
                <w:szCs w:val="22"/>
                <w:lang w:val="en-US" w:eastAsia="zh-CN" w:bidi="ar-SA"/>
              </w:rPr>
              <w:t>对所有农村户厕开展拉网式排查，开工整改问题厕所25个，完成整改25个，共投入资金5万元，购置三格式化粪池25个。持续推进沟渠疏洗4000米，及时清理清运垃圾、漂浮物。实施减肥减药行动，发放有机肥1.2吨，推广示范田面积1000亩，在普圣堂社区6、7、8组周边实施点灯诱蛾、统防统治、绿肥板块共1000亩。</w:t>
            </w:r>
          </w:p>
        </w:tc>
        <w:tc>
          <w:tcPr>
            <w:tcW w:w="93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1447"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57" w:type="pc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2"/>
                <w:szCs w:val="22"/>
                <w:lang w:val="en-US" w:eastAsia="zh-CN"/>
              </w:rPr>
              <w:t>自然环境改观，减少环境污染</w:t>
            </w:r>
          </w:p>
        </w:tc>
        <w:tc>
          <w:tcPr>
            <w:tcW w:w="9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33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90" w:hRule="atLeast"/>
          <w:jc w:val="center"/>
        </w:trPr>
        <w:tc>
          <w:tcPr>
            <w:tcW w:w="37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359"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257"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87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指标1：以建立健全村规民约为抓手，强化公共事务共担意识。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2"/>
                <w:szCs w:val="22"/>
              </w:rPr>
              <w:t>指标2：受理信访案件信访问题“三到位一处理”有效落实；</w:t>
            </w:r>
          </w:p>
        </w:tc>
        <w:tc>
          <w:tcPr>
            <w:tcW w:w="93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94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100%</w:t>
            </w:r>
          </w:p>
        </w:tc>
        <w:tc>
          <w:tcPr>
            <w:tcW w:w="32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9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CellMar>
            <w:top w:w="0" w:type="dxa"/>
            <w:left w:w="108" w:type="dxa"/>
            <w:bottom w:w="0" w:type="dxa"/>
            <w:right w:w="108" w:type="dxa"/>
          </w:tblCellMar>
        </w:tblPrEx>
        <w:trPr>
          <w:trHeight w:val="90" w:hRule="atLeast"/>
          <w:jc w:val="center"/>
        </w:trPr>
        <w:tc>
          <w:tcPr>
            <w:tcW w:w="3740"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2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33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9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bl>
    <w:p>
      <w:pPr>
        <w:jc w:val="cente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9"/>
        <w:jc w:val="center"/>
        <w:rPr>
          <w:rFonts w:hint="default"/>
          <w:lang w:val="en-US" w:eastAsia="zh-CN"/>
        </w:rPr>
      </w:pPr>
    </w:p>
    <w:p>
      <w:pPr>
        <w:jc w:val="cente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欧阳南</w:t>
      </w:r>
      <w:r>
        <w:rPr>
          <w:rFonts w:hint="eastAsia" w:eastAsia="仿宋_GB2312" w:cs="Times New Roman"/>
          <w:sz w:val="22"/>
          <w:szCs w:val="22"/>
          <w:lang w:val="en-US" w:eastAsia="zh-CN"/>
        </w:rPr>
        <w:t xml:space="preserve"> </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2023.7.10</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13974085009</w:t>
      </w:r>
      <w:r>
        <w:rPr>
          <w:rFonts w:hint="default" w:ascii="Times New Roman" w:hAnsi="Times New Roman" w:eastAsia="仿宋_GB2312" w:cs="Times New Roman"/>
          <w:sz w:val="22"/>
          <w:szCs w:val="22"/>
        </w:rPr>
        <w:t xml:space="preserve">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田家湖生态新区</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10</w:t>
      </w:r>
      <w:r>
        <w:rPr>
          <w:rFonts w:hint="default" w:ascii="Times New Roman" w:hAnsi="Times New Roman" w:eastAsia="楷体_GB2312" w:cs="Times New Roman"/>
          <w:sz w:val="32"/>
          <w:szCs w:val="32"/>
        </w:rPr>
        <w:t xml:space="preserve"> 日</w:t>
      </w:r>
    </w:p>
    <w:p>
      <w:pPr>
        <w:pStyle w:val="10"/>
        <w:widowControl/>
        <w:spacing w:beforeAutospacing="0" w:afterAutospacing="0"/>
        <w:ind w:firstLine="640" w:firstLineChars="200"/>
        <w:textAlignment w:val="baseline"/>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田家湖生态新区</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eastAsia" w:eastAsia="黑体" w:cs="Times New Roman"/>
          <w:sz w:val="32"/>
          <w:szCs w:val="32"/>
          <w:lang w:eastAsia="zh-CN"/>
        </w:rPr>
      </w:pPr>
    </w:p>
    <w:p>
      <w:pPr>
        <w:keepNext w:val="0"/>
        <w:keepLines w:val="0"/>
        <w:pageBreakBefore w:val="0"/>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一、</w:t>
      </w:r>
      <w:r>
        <w:rPr>
          <w:rFonts w:hint="default" w:ascii="Times New Roman" w:hAnsi="Times New Roman" w:eastAsia="黑体" w:cs="Times New Roman"/>
          <w:sz w:val="32"/>
          <w:szCs w:val="32"/>
        </w:rPr>
        <w:t>部门（单位）基本情况</w:t>
      </w:r>
    </w:p>
    <w:p>
      <w:pPr>
        <w:spacing w:line="560" w:lineRule="exact"/>
        <w:ind w:firstLine="643"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1.人员编制：</w:t>
      </w:r>
      <w:r>
        <w:rPr>
          <w:rFonts w:hint="eastAsia" w:ascii="仿宋_GB2312" w:hAnsi="仿宋_GB2312" w:eastAsia="仿宋_GB2312" w:cs="仿宋_GB2312"/>
          <w:bCs/>
          <w:sz w:val="32"/>
          <w:szCs w:val="32"/>
        </w:rPr>
        <w:t>机关共有人员编制3</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人（其中，行政编制</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rPr>
        <w:t>名，事业编制</w:t>
      </w:r>
      <w:r>
        <w:rPr>
          <w:rFonts w:hint="eastAsia" w:ascii="仿宋_GB2312" w:hAnsi="仿宋_GB2312" w:eastAsia="仿宋_GB2312" w:cs="仿宋_GB2312"/>
          <w:bCs/>
          <w:sz w:val="32"/>
          <w:szCs w:val="32"/>
          <w:lang w:val="en-US" w:eastAsia="zh-CN"/>
        </w:rPr>
        <w:t>33</w:t>
      </w:r>
      <w:r>
        <w:rPr>
          <w:rFonts w:hint="eastAsia" w:ascii="仿宋_GB2312" w:hAnsi="仿宋_GB2312" w:eastAsia="仿宋_GB2312" w:cs="仿宋_GB2312"/>
          <w:bCs/>
          <w:sz w:val="32"/>
          <w:szCs w:val="32"/>
        </w:rPr>
        <w:t>人）。实有人数3</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人（行政编制</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rPr>
        <w:t>名，事业编制</w:t>
      </w:r>
      <w:r>
        <w:rPr>
          <w:rFonts w:hint="eastAsia" w:ascii="仿宋_GB2312" w:hAnsi="仿宋_GB2312" w:eastAsia="仿宋_GB2312" w:cs="仿宋_GB2312"/>
          <w:bCs/>
          <w:sz w:val="32"/>
          <w:szCs w:val="32"/>
          <w:lang w:val="en-US" w:eastAsia="zh-CN"/>
        </w:rPr>
        <w:t>33</w:t>
      </w:r>
      <w:r>
        <w:rPr>
          <w:rFonts w:hint="eastAsia" w:ascii="仿宋_GB2312" w:hAnsi="仿宋_GB2312" w:eastAsia="仿宋_GB2312" w:cs="仿宋_GB2312"/>
          <w:bCs/>
          <w:sz w:val="32"/>
          <w:szCs w:val="32"/>
        </w:rPr>
        <w:t>人），退休人员15人。</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2.机构设置：</w:t>
      </w:r>
      <w:r>
        <w:rPr>
          <w:rFonts w:hint="eastAsia" w:ascii="仿宋_GB2312" w:hAnsi="仿宋_GB2312" w:eastAsia="仿宋_GB2312" w:cs="仿宋_GB2312"/>
          <w:sz w:val="32"/>
          <w:szCs w:val="32"/>
          <w:lang w:val="en-US" w:eastAsia="zh-CN"/>
        </w:rPr>
        <w:t>下设综合办、拆迁安置办、征地规建办、招商发展办、社会事务办、纪检监察室、党建办、安全监管办、民政扶贫办、卫生健康所、文明创建办、综治办、财政所、自然资源所，下辖管马鞍社区、田家湖社区、普圣堂社区和农科社区4个社区，面积10.6平方公里，辖区人口47000余人。</w:t>
      </w:r>
    </w:p>
    <w:p>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3.职能职责概述：</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（1）加强党的建设。落实基层党建工作责任制，加强党员队伍的思想建设、组织建设、作风建设、制度建设和党风廉政建设等相关工作。</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（2）统筹区域发展。做好农业、农村、农民和社区工作，推进乡村振兴；规范经济管理，组织指导经济发展和经济结构调整；加强综合生产能力建设；加强基础设施建设；</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（3）组织公共服务。加强公共设施建设，开展就业和社会保障等服务，发展科教文卫事业，组织实施与村（居）民生活密切相关的各项公共服务事项。</w:t>
      </w:r>
    </w:p>
    <w:p>
      <w:pPr>
        <w:spacing w:line="560" w:lineRule="exact"/>
        <w:ind w:firstLine="640" w:firstLineChars="200"/>
        <w:rPr>
          <w:rFonts w:hint="default"/>
          <w:sz w:val="20"/>
          <w:szCs w:val="20"/>
        </w:rPr>
      </w:pPr>
      <w:r>
        <w:rPr>
          <w:rFonts w:hint="eastAsia" w:ascii="仿宋_GB2312" w:hAnsi="仿宋_GB2312" w:eastAsia="仿宋_GB2312" w:cs="仿宋_GB2312"/>
          <w:sz w:val="32"/>
          <w:szCs w:val="32"/>
          <w:lang w:val="en-US" w:eastAsia="zh-CN"/>
        </w:rPr>
        <w:t>（4）完成县委、县政府交办的其他事项</w:t>
      </w:r>
    </w:p>
    <w:p>
      <w:pPr>
        <w:pStyle w:val="18"/>
        <w:keepNext w:val="0"/>
        <w:keepLines w:val="0"/>
        <w:pageBreakBefore w:val="0"/>
        <w:widowControl/>
        <w:numPr>
          <w:ilvl w:val="0"/>
          <w:numId w:val="0"/>
        </w:numPr>
        <w:kinsoku/>
        <w:wordWrap/>
        <w:overflowPunct/>
        <w:topLinePunct w:val="0"/>
        <w:autoSpaceDE/>
        <w:autoSpaceDN/>
        <w:bidi w:val="0"/>
        <w:adjustRightInd/>
        <w:snapToGrid/>
        <w:spacing w:line="610" w:lineRule="exact"/>
        <w:ind w:firstLine="720" w:firstLineChars="200"/>
        <w:jc w:val="both"/>
        <w:textAlignment w:val="auto"/>
        <w:rPr>
          <w:rFonts w:hint="default" w:ascii="Times New Roman" w:hAnsi="Times New Roman" w:eastAsia="黑体" w:cs="Times New Roman"/>
          <w:kern w:val="2"/>
          <w:sz w:val="36"/>
          <w:szCs w:val="36"/>
          <w:lang w:val="en-US" w:eastAsia="zh-CN" w:bidi="ar-SA"/>
        </w:rPr>
      </w:pPr>
      <w:r>
        <w:rPr>
          <w:rFonts w:hint="eastAsia" w:ascii="Times New Roman" w:hAnsi="Times New Roman" w:eastAsia="黑体" w:cs="Times New Roman"/>
          <w:kern w:val="2"/>
          <w:sz w:val="36"/>
          <w:szCs w:val="36"/>
          <w:lang w:val="en-US" w:eastAsia="zh-CN" w:bidi="ar-SA"/>
        </w:rPr>
        <w:t>二、</w:t>
      </w:r>
      <w:r>
        <w:rPr>
          <w:rFonts w:hint="default" w:ascii="Times New Roman" w:hAnsi="Times New Roman" w:eastAsia="黑体" w:cs="Times New Roman"/>
          <w:kern w:val="2"/>
          <w:sz w:val="36"/>
          <w:szCs w:val="36"/>
          <w:lang w:val="en-US" w:eastAsia="zh-CN" w:bidi="ar-SA"/>
        </w:rPr>
        <w:t>基本支出情况</w:t>
      </w:r>
    </w:p>
    <w:p>
      <w:pPr>
        <w:pStyle w:val="18"/>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6"/>
          <w:szCs w:val="36"/>
          <w:lang w:val="en-US" w:eastAsia="zh-CN" w:bidi="ar-SA"/>
        </w:rPr>
      </w:pPr>
      <w:r>
        <w:rPr>
          <w:rFonts w:hint="eastAsia" w:ascii="仿宋_GB2312" w:hAnsi="仿宋_GB2312" w:eastAsia="仿宋_GB2312" w:cs="仿宋_GB2312"/>
          <w:bCs/>
          <w:sz w:val="32"/>
          <w:szCs w:val="32"/>
          <w:lang w:val="en-US" w:eastAsia="zh-CN"/>
        </w:rPr>
        <w:t>我单位2022年总支出为1859.77万元，其</w:t>
      </w:r>
      <w:r>
        <w:rPr>
          <w:rFonts w:ascii="仿宋_GB2312" w:hAnsi="仿宋_GB2312" w:eastAsia="仿宋_GB2312" w:cs="仿宋_GB2312"/>
          <w:bCs/>
          <w:sz w:val="32"/>
          <w:szCs w:val="32"/>
        </w:rPr>
        <w:t>中基本支出</w:t>
      </w:r>
      <w:r>
        <w:rPr>
          <w:rFonts w:hint="eastAsia" w:ascii="仿宋_GB2312" w:hAnsi="仿宋_GB2312" w:eastAsia="仿宋_GB2312" w:cs="仿宋_GB2312"/>
          <w:bCs/>
          <w:sz w:val="32"/>
          <w:szCs w:val="32"/>
          <w:lang w:val="en-US" w:eastAsia="zh-CN"/>
        </w:rPr>
        <w:t>951.50</w:t>
      </w:r>
      <w:r>
        <w:rPr>
          <w:rFonts w:ascii="仿宋_GB2312" w:hAnsi="仿宋_GB2312" w:eastAsia="仿宋_GB2312" w:cs="仿宋_GB2312"/>
          <w:bCs/>
          <w:sz w:val="32"/>
          <w:szCs w:val="32"/>
        </w:rPr>
        <w:t>万元、项目支出</w:t>
      </w:r>
      <w:r>
        <w:rPr>
          <w:rFonts w:hint="eastAsia" w:ascii="仿宋_GB2312" w:hAnsi="仿宋_GB2312" w:eastAsia="仿宋_GB2312" w:cs="仿宋_GB2312"/>
          <w:bCs/>
          <w:sz w:val="32"/>
          <w:szCs w:val="32"/>
          <w:lang w:val="en-US" w:eastAsia="zh-CN"/>
        </w:rPr>
        <w:t>908.27</w:t>
      </w:r>
      <w:r>
        <w:rPr>
          <w:rFonts w:ascii="仿宋_GB2312" w:hAnsi="仿宋_GB2312" w:eastAsia="仿宋_GB2312" w:cs="仿宋_GB2312"/>
          <w:bCs/>
          <w:sz w:val="32"/>
          <w:szCs w:val="32"/>
        </w:rPr>
        <w:t>万元。</w:t>
      </w:r>
    </w:p>
    <w:p>
      <w:pPr>
        <w:pStyle w:val="18"/>
        <w:keepNext w:val="0"/>
        <w:keepLines w:val="0"/>
        <w:pageBreakBefore w:val="0"/>
        <w:widowControl/>
        <w:numPr>
          <w:ilvl w:val="0"/>
          <w:numId w:val="1"/>
        </w:numPr>
        <w:kinsoku/>
        <w:wordWrap/>
        <w:overflowPunct/>
        <w:topLinePunct w:val="0"/>
        <w:autoSpaceDE/>
        <w:autoSpaceDN/>
        <w:bidi w:val="0"/>
        <w:adjustRightInd/>
        <w:snapToGrid/>
        <w:spacing w:line="610" w:lineRule="exact"/>
        <w:ind w:firstLine="720" w:firstLineChars="200"/>
        <w:jc w:val="both"/>
        <w:textAlignment w:val="auto"/>
        <w:rPr>
          <w:rFonts w:hint="default" w:ascii="Times New Roman" w:hAnsi="Times New Roman" w:eastAsia="黑体" w:cs="Times New Roman"/>
          <w:kern w:val="2"/>
          <w:sz w:val="36"/>
          <w:szCs w:val="36"/>
          <w:lang w:val="en-US" w:eastAsia="zh-CN" w:bidi="ar-SA"/>
        </w:rPr>
      </w:pPr>
      <w:r>
        <w:rPr>
          <w:rFonts w:hint="default" w:ascii="Times New Roman" w:hAnsi="Times New Roman" w:eastAsia="黑体" w:cs="Times New Roman"/>
          <w:kern w:val="2"/>
          <w:sz w:val="36"/>
          <w:szCs w:val="36"/>
          <w:lang w:val="en-US" w:eastAsia="zh-CN" w:bidi="ar-SA"/>
        </w:rPr>
        <w:t>项目支出情况</w:t>
      </w:r>
    </w:p>
    <w:p>
      <w:pPr>
        <w:pStyle w:val="18"/>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项目支出合计908.27万元</w:t>
      </w:r>
    </w:p>
    <w:p>
      <w:pPr>
        <w:keepNext w:val="0"/>
        <w:keepLines w:val="0"/>
        <w:pageBreakBefore w:val="0"/>
        <w:widowControl/>
        <w:kinsoku/>
        <w:wordWrap/>
        <w:overflowPunct/>
        <w:topLinePunct w:val="0"/>
        <w:autoSpaceDE/>
        <w:autoSpaceDN/>
        <w:bidi w:val="0"/>
        <w:adjustRightInd/>
        <w:snapToGrid/>
        <w:spacing w:line="610" w:lineRule="exact"/>
        <w:ind w:firstLine="720" w:firstLineChars="200"/>
        <w:jc w:val="both"/>
        <w:textAlignment w:val="auto"/>
        <w:rPr>
          <w:rFonts w:hint="default" w:ascii="Times New Roman" w:hAnsi="Times New Roman" w:eastAsia="黑体" w:cs="Times New Roman"/>
          <w:sz w:val="36"/>
          <w:szCs w:val="36"/>
        </w:rPr>
      </w:pPr>
      <w:r>
        <w:rPr>
          <w:rFonts w:hint="eastAsia" w:eastAsia="黑体" w:cs="Times New Roman"/>
          <w:sz w:val="36"/>
          <w:szCs w:val="36"/>
          <w:lang w:eastAsia="zh-CN"/>
        </w:rPr>
        <w:t>四</w:t>
      </w:r>
      <w:r>
        <w:rPr>
          <w:rFonts w:hint="default" w:ascii="Times New Roman" w:hAnsi="Times New Roman" w:eastAsia="黑体" w:cs="Times New Roman"/>
          <w:sz w:val="36"/>
          <w:szCs w:val="36"/>
        </w:rPr>
        <w:t>、部门整体支出绩效情况</w:t>
      </w:r>
    </w:p>
    <w:p>
      <w:pPr>
        <w:pStyle w:val="10"/>
        <w:widowControl/>
        <w:spacing w:beforeAutospacing="0" w:afterAutospacing="0"/>
        <w:ind w:firstLine="640" w:firstLineChars="200"/>
        <w:textAlignment w:val="baseline"/>
        <w:rPr>
          <w:rFonts w:hint="eastAsia" w:ascii="仿宋_GB2312" w:hAnsi="仿宋_GB2312" w:eastAsia="仿宋_GB2312" w:cs="仿宋_GB2312"/>
          <w:kern w:val="2"/>
          <w:sz w:val="32"/>
          <w:szCs w:val="32"/>
        </w:rPr>
      </w:pPr>
      <w:r>
        <w:rPr>
          <w:rFonts w:ascii="仿宋_GB2312" w:hAnsi="仿宋_GB2312" w:eastAsia="仿宋_GB2312" w:cs="仿宋_GB2312"/>
          <w:kern w:val="2"/>
          <w:sz w:val="32"/>
          <w:szCs w:val="32"/>
        </w:rPr>
        <w:t>我单位积极履职，强化管理，较好地完成了年度工作目标。通过加强预算收支管理，不断建立健全内部管理制度，梳理内部管理流程，部门整体支出管理水平得到提升。</w:t>
      </w:r>
    </w:p>
    <w:p>
      <w:pPr>
        <w:pStyle w:val="10"/>
        <w:widowControl/>
        <w:spacing w:beforeAutospacing="0" w:afterAutospacing="0"/>
        <w:ind w:firstLine="640" w:firstLineChars="200"/>
        <w:textAlignment w:val="baseline"/>
        <w:rPr>
          <w:rFonts w:ascii="仿宋_GB2312" w:hAnsi="仿宋_GB2312" w:eastAsia="仿宋_GB2312" w:cs="仿宋_GB2312"/>
          <w:bCs/>
          <w:sz w:val="28"/>
          <w:szCs w:val="28"/>
        </w:rPr>
      </w:pPr>
      <w:r>
        <w:rPr>
          <w:rFonts w:hint="eastAsia" w:ascii="仿宋_GB2312" w:hAnsi="仿宋_GB2312" w:eastAsia="仿宋_GB2312" w:cs="仿宋_GB2312"/>
          <w:kern w:val="2"/>
          <w:sz w:val="32"/>
          <w:szCs w:val="32"/>
        </w:rPr>
        <w:t>1</w:t>
      </w:r>
      <w:r>
        <w:rPr>
          <w:rFonts w:hint="eastAsia" w:ascii="仿宋_GB2312" w:hAnsi="仿宋_GB2312" w:eastAsia="仿宋_GB2312" w:cs="仿宋_GB2312"/>
          <w:kern w:val="2"/>
          <w:sz w:val="32"/>
          <w:szCs w:val="32"/>
          <w:lang w:val="en-US" w:eastAsia="zh-CN"/>
        </w:rPr>
        <w:t>.</w:t>
      </w:r>
      <w:r>
        <w:rPr>
          <w:rFonts w:ascii="仿宋_GB2312" w:hAnsi="仿宋_GB2312" w:eastAsia="仿宋_GB2312" w:cs="仿宋_GB2312"/>
          <w:kern w:val="2"/>
          <w:sz w:val="32"/>
          <w:szCs w:val="32"/>
        </w:rPr>
        <w:t>预算管理</w:t>
      </w:r>
      <w:r>
        <w:rPr>
          <w:rFonts w:hint="eastAsia" w:ascii="仿宋_GB2312" w:hAnsi="仿宋_GB2312" w:eastAsia="仿宋_GB2312" w:cs="仿宋_GB2312"/>
          <w:kern w:val="2"/>
          <w:sz w:val="32"/>
          <w:szCs w:val="32"/>
          <w:lang w:eastAsia="zh-CN"/>
        </w:rPr>
        <w:t>完善。</w:t>
      </w:r>
      <w:r>
        <w:rPr>
          <w:rFonts w:hint="eastAsia" w:ascii="仿宋_GB2312" w:hAnsi="仿宋_GB2312" w:eastAsia="仿宋_GB2312" w:cs="仿宋_GB2312"/>
          <w:kern w:val="2"/>
          <w:sz w:val="32"/>
          <w:szCs w:val="32"/>
          <w:lang w:val="en-US" w:eastAsia="zh-CN" w:bidi="ar-SA"/>
        </w:rPr>
        <w:t>严格执行预算，控制经费支出；相关专项</w:t>
      </w:r>
      <w:r>
        <w:rPr>
          <w:rFonts w:hint="eastAsia" w:ascii="仿宋_GB2312" w:hAnsi="仿宋_GB2312" w:eastAsia="仿宋_GB2312" w:cs="仿宋_GB2312"/>
          <w:kern w:val="2"/>
          <w:sz w:val="32"/>
          <w:szCs w:val="32"/>
        </w:rPr>
        <w:t>资金严格按照预算执行，</w:t>
      </w:r>
      <w:r>
        <w:rPr>
          <w:rFonts w:hint="eastAsia" w:ascii="仿宋_GB2312" w:hAnsi="仿宋_GB2312" w:eastAsia="仿宋_GB2312" w:cs="仿宋_GB2312"/>
          <w:kern w:val="2"/>
          <w:sz w:val="32"/>
          <w:szCs w:val="32"/>
          <w:lang w:val="en-US" w:eastAsia="zh-CN"/>
        </w:rPr>
        <w:t>按照专项的使用范围，做到了不挪项、不挪用、不超预算使用专项经费，并</w:t>
      </w:r>
      <w:r>
        <w:rPr>
          <w:rFonts w:hint="eastAsia" w:ascii="仿宋_GB2312" w:hAnsi="仿宋_GB2312" w:eastAsia="仿宋_GB2312" w:cs="仿宋_GB2312"/>
          <w:kern w:val="2"/>
          <w:sz w:val="32"/>
          <w:szCs w:val="32"/>
          <w:lang w:val="en-US" w:eastAsia="zh-CN" w:bidi="ar-SA"/>
        </w:rPr>
        <w:t>按照“量入为出，</w:t>
      </w:r>
      <w:r>
        <w:rPr>
          <w:rFonts w:hint="eastAsia" w:ascii="仿宋_GB2312" w:hAnsi="仿宋_GB2312" w:eastAsia="仿宋_GB2312" w:cs="仿宋_GB2312"/>
          <w:kern w:val="2"/>
          <w:sz w:val="32"/>
          <w:szCs w:val="32"/>
          <w:lang w:val="en-US" w:eastAsia="zh-CN"/>
        </w:rPr>
        <w:t>量体裁衣</w:t>
      </w:r>
      <w:r>
        <w:rPr>
          <w:rFonts w:hint="eastAsia" w:ascii="仿宋_GB2312" w:hAnsi="仿宋_GB2312" w:eastAsia="仿宋_GB2312" w:cs="仿宋_GB2312"/>
          <w:kern w:val="2"/>
          <w:sz w:val="32"/>
          <w:szCs w:val="32"/>
          <w:lang w:val="en-US" w:eastAsia="zh-CN" w:bidi="ar-SA"/>
        </w:rPr>
        <w:t>、节约使用”的原则，做到有计划地使用各类资金。</w:t>
      </w:r>
    </w:p>
    <w:p>
      <w:pPr>
        <w:pStyle w:val="10"/>
        <w:widowControl/>
        <w:spacing w:beforeAutospacing="0" w:afterAutospacing="0"/>
        <w:ind w:firstLine="640" w:firstLineChars="200"/>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w:t>
      </w:r>
      <w:r>
        <w:rPr>
          <w:rFonts w:hint="eastAsia" w:ascii="仿宋_GB2312" w:hAnsi="仿宋_GB2312" w:eastAsia="仿宋_GB2312" w:cs="仿宋_GB2312"/>
          <w:kern w:val="2"/>
          <w:sz w:val="32"/>
          <w:szCs w:val="32"/>
          <w:lang w:eastAsia="zh-CN"/>
        </w:rPr>
        <w:t>.</w:t>
      </w:r>
      <w:r>
        <w:rPr>
          <w:rFonts w:ascii="仿宋_GB2312" w:hAnsi="仿宋_GB2312" w:eastAsia="仿宋_GB2312" w:cs="仿宋_GB2312"/>
          <w:kern w:val="2"/>
          <w:sz w:val="32"/>
          <w:szCs w:val="32"/>
        </w:rPr>
        <w:t>资金使用合规</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本年度支出的所有资金均由县财政局国库支付，支出符合国家财经法规和财务管理制度规定以及有关专项资金管理办法的规定</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我区</w:t>
      </w:r>
      <w:r>
        <w:rPr>
          <w:rFonts w:hint="eastAsia" w:ascii="仿宋_GB2312" w:hAnsi="仿宋_GB2312" w:eastAsia="仿宋_GB2312" w:cs="仿宋_GB2312"/>
          <w:kern w:val="2"/>
          <w:sz w:val="32"/>
          <w:szCs w:val="32"/>
        </w:rPr>
        <w:t>财政资金逐年增加，为规避财政风险，提高财政资金使用效益，确保财政资金安全运行，对财政专项资金管理做法如下：坚持专项资金实行开票、经办、审核、审批、记账等职责严格分离</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坚持支出先报批、后经办，经严格审核后，再审批付款，最后交会计人员制单、记账</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坚持专项资金凭用款计划、项目进度及专户存款情况，审核拨付资金</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坚持把好票据签章关，严格票据销号，对已开完的票据及时销号，防止票据丢失、挪用公款，严禁一人保管支付款项所需要的全部印章。</w:t>
      </w:r>
    </w:p>
    <w:p>
      <w:pPr>
        <w:pStyle w:val="10"/>
        <w:widowControl/>
        <w:spacing w:beforeAutospacing="0" w:afterAutospacing="0"/>
        <w:ind w:firstLine="640" w:firstLineChars="200"/>
        <w:textAlignment w:val="baseline"/>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w:t>
      </w:r>
      <w:r>
        <w:rPr>
          <w:rFonts w:hint="eastAsia" w:ascii="仿宋_GB2312" w:hAnsi="仿宋_GB2312" w:eastAsia="仿宋_GB2312" w:cs="仿宋_GB2312"/>
          <w:kern w:val="2"/>
          <w:sz w:val="32"/>
          <w:szCs w:val="32"/>
          <w:lang w:val="en-US" w:eastAsia="zh-CN"/>
        </w:rPr>
        <w:t>.</w:t>
      </w:r>
      <w:r>
        <w:rPr>
          <w:rFonts w:ascii="仿宋_GB2312" w:hAnsi="仿宋_GB2312" w:eastAsia="仿宋_GB2312" w:cs="仿宋_GB2312"/>
          <w:kern w:val="2"/>
          <w:sz w:val="32"/>
          <w:szCs w:val="32"/>
        </w:rPr>
        <w:t>预决算信息公开</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一是按</w:t>
      </w:r>
      <w:r>
        <w:rPr>
          <w:rFonts w:hint="eastAsia" w:ascii="仿宋_GB2312" w:hAnsi="仿宋_GB2312" w:eastAsia="仿宋_GB2312" w:cs="仿宋_GB2312"/>
          <w:kern w:val="2"/>
          <w:sz w:val="32"/>
          <w:szCs w:val="32"/>
          <w:lang w:eastAsia="zh-CN"/>
        </w:rPr>
        <w:t>规定</w:t>
      </w:r>
      <w:r>
        <w:rPr>
          <w:rFonts w:ascii="仿宋_GB2312" w:hAnsi="仿宋_GB2312" w:eastAsia="仿宋_GB2312" w:cs="仿宋_GB2312"/>
          <w:kern w:val="2"/>
          <w:sz w:val="32"/>
          <w:szCs w:val="32"/>
        </w:rPr>
        <w:t>公开信息</w:t>
      </w:r>
      <w:r>
        <w:rPr>
          <w:rFonts w:hint="eastAsia" w:ascii="仿宋_GB2312" w:hAnsi="仿宋_GB2312" w:eastAsia="仿宋_GB2312" w:cs="仿宋_GB2312"/>
          <w:kern w:val="2"/>
          <w:sz w:val="32"/>
          <w:szCs w:val="32"/>
          <w:lang w:eastAsia="zh-CN"/>
        </w:rPr>
        <w:t>，</w:t>
      </w:r>
      <w:r>
        <w:rPr>
          <w:rFonts w:ascii="仿宋_GB2312" w:hAnsi="仿宋_GB2312" w:eastAsia="仿宋_GB2312" w:cs="仿宋_GB2312"/>
          <w:kern w:val="2"/>
          <w:sz w:val="32"/>
          <w:szCs w:val="32"/>
        </w:rPr>
        <w:t>二是基础数据信息和会计信息资料真实、完整、准确。</w:t>
      </w:r>
    </w:p>
    <w:p>
      <w:pPr>
        <w:pStyle w:val="10"/>
        <w:widowControl/>
        <w:spacing w:beforeAutospacing="0" w:afterAutospacing="0"/>
        <w:ind w:firstLine="640" w:firstLineChars="200"/>
        <w:textAlignment w:val="baseline"/>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w:t>
      </w:r>
      <w:r>
        <w:rPr>
          <w:rFonts w:ascii="仿宋_GB2312" w:hAnsi="仿宋_GB2312" w:eastAsia="仿宋_GB2312" w:cs="仿宋_GB2312"/>
          <w:kern w:val="2"/>
          <w:sz w:val="32"/>
          <w:szCs w:val="32"/>
        </w:rPr>
        <w:t>职责履行</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2022</w:t>
      </w:r>
      <w:r>
        <w:rPr>
          <w:rFonts w:ascii="仿宋_GB2312" w:hAnsi="仿宋_GB2312" w:eastAsia="仿宋_GB2312" w:cs="仿宋_GB2312"/>
          <w:kern w:val="2"/>
          <w:sz w:val="32"/>
          <w:szCs w:val="32"/>
        </w:rPr>
        <w:t>年我单位在全体干部职工的共同努力下圆满出色完成了各项工作目标和任务。</w:t>
      </w:r>
    </w:p>
    <w:p>
      <w:pPr>
        <w:pStyle w:val="10"/>
        <w:widowControl/>
        <w:spacing w:beforeAutospacing="0" w:afterAutospacing="0"/>
        <w:ind w:firstLine="640" w:firstLineChars="200"/>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w:t>
      </w:r>
      <w:r>
        <w:rPr>
          <w:rFonts w:ascii="仿宋_GB2312" w:hAnsi="仿宋_GB2312" w:eastAsia="仿宋_GB2312" w:cs="仿宋_GB2312"/>
          <w:kern w:val="2"/>
          <w:sz w:val="32"/>
          <w:szCs w:val="32"/>
        </w:rPr>
        <w:t>履职效益</w:t>
      </w:r>
      <w:r>
        <w:rPr>
          <w:rFonts w:hint="eastAsia" w:ascii="仿宋_GB2312" w:hAnsi="仿宋_GB2312" w:eastAsia="仿宋_GB2312" w:cs="仿宋_GB2312"/>
          <w:kern w:val="2"/>
          <w:sz w:val="32"/>
          <w:szCs w:val="32"/>
        </w:rPr>
        <w:t>。</w:t>
      </w:r>
    </w:p>
    <w:p>
      <w:pPr>
        <w:pStyle w:val="10"/>
        <w:widowControl/>
        <w:spacing w:beforeAutospacing="0" w:afterAutospacing="0"/>
        <w:ind w:firstLine="640" w:firstLineChars="200"/>
        <w:textAlignment w:val="baseline"/>
        <w:rPr>
          <w:rFonts w:hint="eastAsia"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rPr>
        <w:t>（1）经济效益、社会效益我单位的各方面工作都得到社会大众的肯定和</w:t>
      </w:r>
      <w:r>
        <w:rPr>
          <w:rFonts w:hint="eastAsia" w:ascii="仿宋_GB2312" w:hAnsi="仿宋_GB2312" w:eastAsia="仿宋_GB2312" w:cs="仿宋_GB2312"/>
          <w:kern w:val="2"/>
          <w:sz w:val="32"/>
          <w:szCs w:val="32"/>
        </w:rPr>
        <w:t>好评。</w:t>
      </w:r>
      <w:r>
        <w:rPr>
          <w:rFonts w:hint="eastAsia" w:ascii="仿宋_GB2312" w:hAnsi="仿宋_GB2312" w:eastAsia="仿宋_GB2312" w:cs="仿宋_GB2312"/>
          <w:kern w:val="2"/>
          <w:sz w:val="32"/>
          <w:szCs w:val="32"/>
          <w:lang w:val="en-US" w:eastAsia="zh-CN"/>
        </w:rPr>
        <w:t>落实粮食种植面积1000亩，粮食总产945吨；</w:t>
      </w:r>
      <w:r>
        <w:rPr>
          <w:rFonts w:hint="eastAsia" w:ascii="仿宋_GB2312" w:hAnsi="仿宋_GB2312" w:eastAsia="仿宋_GB2312" w:cs="仿宋_GB2312"/>
          <w:kern w:val="2"/>
          <w:sz w:val="32"/>
          <w:szCs w:val="32"/>
        </w:rPr>
        <w:t>开展安全生产“集中整治”专项行动，切实强化隐患排查和监管执法力度，全年未发生安全生产事故</w:t>
      </w:r>
      <w:r>
        <w:rPr>
          <w:rFonts w:hint="eastAsia" w:ascii="仿宋_GB2312" w:hAnsi="仿宋_GB2312" w:eastAsia="仿宋_GB2312" w:cs="仿宋_GB2312"/>
          <w:kern w:val="2"/>
          <w:sz w:val="32"/>
          <w:szCs w:val="32"/>
          <w:lang w:eastAsia="zh-CN"/>
        </w:rPr>
        <w:t>。</w:t>
      </w:r>
    </w:p>
    <w:p>
      <w:pPr>
        <w:pStyle w:val="10"/>
        <w:widowControl/>
        <w:spacing w:beforeAutospacing="0" w:afterAutospacing="0"/>
        <w:ind w:firstLine="640" w:firstLineChars="200"/>
        <w:textAlignment w:val="baseline"/>
        <w:rPr>
          <w:rFonts w:ascii="仿宋_GB2312" w:hAnsi="仿宋_GB2312" w:eastAsia="仿宋_GB2312" w:cs="仿宋_GB2312"/>
          <w:kern w:val="2"/>
          <w:sz w:val="32"/>
          <w:szCs w:val="32"/>
        </w:rPr>
      </w:pPr>
      <w:r>
        <w:rPr>
          <w:rFonts w:ascii="仿宋_GB2312" w:hAnsi="仿宋_GB2312" w:eastAsia="仿宋_GB2312" w:cs="仿宋_GB2312"/>
          <w:kern w:val="2"/>
          <w:sz w:val="32"/>
          <w:szCs w:val="32"/>
        </w:rPr>
        <w:t>（2）行政效能</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我单位不断</w:t>
      </w:r>
      <w:r>
        <w:rPr>
          <w:rFonts w:hint="eastAsia" w:ascii="仿宋_GB2312" w:hAnsi="仿宋_GB2312" w:eastAsia="仿宋_GB2312" w:cs="仿宋_GB2312"/>
          <w:kern w:val="2"/>
          <w:sz w:val="32"/>
          <w:szCs w:val="32"/>
          <w:lang w:eastAsia="zh-CN"/>
        </w:rPr>
        <w:t>加强</w:t>
      </w:r>
      <w:r>
        <w:rPr>
          <w:rFonts w:ascii="仿宋_GB2312" w:hAnsi="仿宋_GB2312" w:eastAsia="仿宋_GB2312" w:cs="仿宋_GB2312"/>
          <w:kern w:val="2"/>
          <w:sz w:val="32"/>
          <w:szCs w:val="32"/>
        </w:rPr>
        <w:t>行政管理、严格经费及资产管理，文风会风</w:t>
      </w:r>
      <w:r>
        <w:rPr>
          <w:rFonts w:hint="eastAsia" w:ascii="仿宋_GB2312" w:hAnsi="仿宋_GB2312" w:eastAsia="仿宋_GB2312" w:cs="仿宋_GB2312"/>
          <w:kern w:val="2"/>
          <w:sz w:val="32"/>
          <w:szCs w:val="32"/>
          <w:lang w:eastAsia="zh-CN"/>
        </w:rPr>
        <w:t>进一步优化</w:t>
      </w:r>
      <w:r>
        <w:rPr>
          <w:rFonts w:ascii="仿宋_GB2312" w:hAnsi="仿宋_GB2312" w:eastAsia="仿宋_GB2312" w:cs="仿宋_GB2312"/>
          <w:kern w:val="2"/>
          <w:sz w:val="32"/>
          <w:szCs w:val="32"/>
        </w:rPr>
        <w:t>。</w:t>
      </w:r>
    </w:p>
    <w:p>
      <w:pPr>
        <w:pStyle w:val="10"/>
        <w:widowControl/>
        <w:spacing w:beforeAutospacing="0" w:afterAutospacing="0"/>
        <w:ind w:firstLine="640" w:firstLineChars="200"/>
        <w:textAlignment w:val="baseline"/>
        <w:rPr>
          <w:rFonts w:ascii="仿宋_GB2312" w:hAnsi="仿宋_GB2312" w:eastAsia="仿宋_GB2312" w:cs="仿宋_GB2312"/>
          <w:kern w:val="2"/>
          <w:sz w:val="32"/>
          <w:szCs w:val="32"/>
        </w:rPr>
      </w:pPr>
      <w:r>
        <w:rPr>
          <w:rFonts w:ascii="仿宋_GB2312" w:hAnsi="仿宋_GB2312" w:eastAsia="仿宋_GB2312" w:cs="仿宋_GB2312"/>
          <w:kern w:val="2"/>
          <w:sz w:val="32"/>
          <w:szCs w:val="32"/>
        </w:rPr>
        <w:t>（3）社会公众或服务对象满意度在年度绩效考核中成绩优异。</w:t>
      </w:r>
    </w:p>
    <w:p>
      <w:pPr>
        <w:pStyle w:val="18"/>
        <w:keepNext w:val="0"/>
        <w:keepLines w:val="0"/>
        <w:pageBreakBefore w:val="0"/>
        <w:widowControl/>
        <w:kinsoku/>
        <w:wordWrap/>
        <w:overflowPunct/>
        <w:topLinePunct w:val="0"/>
        <w:autoSpaceDE/>
        <w:autoSpaceDN/>
        <w:bidi w:val="0"/>
        <w:adjustRightInd/>
        <w:snapToGrid/>
        <w:spacing w:line="610" w:lineRule="exact"/>
        <w:ind w:firstLine="720" w:firstLineChars="200"/>
        <w:jc w:val="both"/>
        <w:textAlignment w:val="auto"/>
        <w:rPr>
          <w:rFonts w:hint="default" w:ascii="Times New Roman" w:hAnsi="Times New Roman" w:eastAsia="黑体" w:cs="Times New Roman"/>
          <w:sz w:val="36"/>
          <w:szCs w:val="36"/>
        </w:rPr>
      </w:pPr>
      <w:r>
        <w:rPr>
          <w:rFonts w:hint="eastAsia" w:ascii="Times New Roman" w:hAnsi="Times New Roman" w:eastAsia="黑体" w:cs="Times New Roman"/>
          <w:sz w:val="36"/>
          <w:szCs w:val="36"/>
          <w:lang w:eastAsia="zh-CN"/>
        </w:rPr>
        <w:t>五</w:t>
      </w:r>
      <w:r>
        <w:rPr>
          <w:rFonts w:hint="default" w:ascii="Times New Roman" w:hAnsi="Times New Roman" w:eastAsia="黑体" w:cs="Times New Roman"/>
          <w:sz w:val="36"/>
          <w:szCs w:val="36"/>
        </w:rPr>
        <w:t>、存在的问题及原因分析</w:t>
      </w:r>
    </w:p>
    <w:p>
      <w:pPr>
        <w:pStyle w:val="10"/>
        <w:widowControl/>
        <w:spacing w:beforeAutospacing="0" w:afterAutospacing="0"/>
        <w:ind w:firstLine="640" w:firstLineChars="200"/>
        <w:textAlignment w:val="baseline"/>
        <w:rPr>
          <w:rFonts w:ascii="仿宋_GB2312" w:hAnsi="仿宋_GB2312" w:eastAsia="仿宋_GB2312" w:cs="仿宋_GB2312"/>
          <w:kern w:val="2"/>
          <w:sz w:val="32"/>
          <w:szCs w:val="32"/>
        </w:rPr>
      </w:pP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预算编制工作有待细化。预算编制不够明确和细化，预算编制的合理性需要提高，预算执行力度还要进一步加强。</w:t>
      </w:r>
    </w:p>
    <w:p>
      <w:pPr>
        <w:pStyle w:val="10"/>
        <w:widowControl/>
        <w:spacing w:beforeAutospacing="0" w:afterAutospacing="0"/>
        <w:ind w:firstLine="640" w:firstLineChars="200"/>
        <w:textAlignment w:val="baseline"/>
        <w:rPr>
          <w:rFonts w:hint="default" w:ascii="Times New Roman" w:hAnsi="Times New Roman" w:eastAsia="仿宋_GB2312" w:cs="Times New Roman"/>
          <w:sz w:val="36"/>
          <w:szCs w:val="36"/>
        </w:rPr>
      </w:pPr>
      <w:r>
        <w:rPr>
          <w:rFonts w:hint="eastAsia" w:ascii="仿宋_GB2312" w:hAnsi="仿宋_GB2312" w:eastAsia="仿宋_GB2312" w:cs="仿宋_GB2312"/>
          <w:kern w:val="2"/>
          <w:sz w:val="32"/>
          <w:szCs w:val="32"/>
        </w:rPr>
        <w:t>2.对项目资金开支分类需要进一步科学化、规范化，费用开支和绩效产出测</w:t>
      </w:r>
      <w:r>
        <w:rPr>
          <w:rFonts w:hint="eastAsia" w:ascii="仿宋_GB2312" w:hAnsi="仿宋_GB2312" w:eastAsia="仿宋_GB2312" w:cs="仿宋_GB2312"/>
          <w:kern w:val="2"/>
          <w:sz w:val="32"/>
          <w:szCs w:val="32"/>
          <w:lang w:eastAsia="zh-CN"/>
        </w:rPr>
        <w:t>得</w:t>
      </w:r>
      <w:r>
        <w:rPr>
          <w:rFonts w:hint="eastAsia" w:ascii="仿宋_GB2312" w:hAnsi="仿宋_GB2312" w:eastAsia="仿宋_GB2312" w:cs="仿宋_GB2312"/>
          <w:kern w:val="2"/>
          <w:sz w:val="32"/>
          <w:szCs w:val="32"/>
        </w:rPr>
        <w:t>结果不够准确，需要进一步量化。预算管理、绩效管理、资金管理需要加强。</w:t>
      </w:r>
    </w:p>
    <w:p>
      <w:pPr>
        <w:keepNext w:val="0"/>
        <w:keepLines w:val="0"/>
        <w:pageBreakBefore w:val="0"/>
        <w:widowControl/>
        <w:kinsoku/>
        <w:wordWrap/>
        <w:overflowPunct/>
        <w:topLinePunct w:val="0"/>
        <w:autoSpaceDE/>
        <w:autoSpaceDN/>
        <w:bidi w:val="0"/>
        <w:adjustRightInd/>
        <w:snapToGrid/>
        <w:spacing w:line="610" w:lineRule="exact"/>
        <w:ind w:firstLine="720" w:firstLineChars="200"/>
        <w:jc w:val="both"/>
        <w:textAlignment w:val="auto"/>
        <w:rPr>
          <w:rFonts w:hint="default" w:ascii="Times New Roman" w:hAnsi="Times New Roman" w:eastAsia="黑体" w:cs="Times New Roman"/>
          <w:sz w:val="36"/>
          <w:szCs w:val="36"/>
        </w:rPr>
      </w:pPr>
      <w:r>
        <w:rPr>
          <w:rFonts w:hint="eastAsia" w:eastAsia="黑体" w:cs="Times New Roman"/>
          <w:sz w:val="36"/>
          <w:szCs w:val="36"/>
          <w:lang w:eastAsia="zh-CN"/>
        </w:rPr>
        <w:t>六</w:t>
      </w:r>
      <w:r>
        <w:rPr>
          <w:rFonts w:hint="default" w:ascii="Times New Roman" w:hAnsi="Times New Roman" w:eastAsia="黑体" w:cs="Times New Roman"/>
          <w:sz w:val="36"/>
          <w:szCs w:val="36"/>
        </w:rPr>
        <w:t>、下一步改进措施</w:t>
      </w:r>
    </w:p>
    <w:p>
      <w:pPr>
        <w:pStyle w:val="10"/>
        <w:widowControl/>
        <w:spacing w:beforeAutospacing="0" w:afterAutospacing="0"/>
        <w:ind w:firstLine="640" w:firstLineChars="200"/>
        <w:textAlignment w:val="baseline"/>
        <w:rPr>
          <w:rFonts w:hint="eastAsia"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rPr>
        <w:t>1</w:t>
      </w: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eastAsia="zh-CN"/>
        </w:rPr>
        <w:t>强化</w:t>
      </w:r>
      <w:r>
        <w:rPr>
          <w:rFonts w:ascii="仿宋_GB2312" w:hAnsi="仿宋_GB2312" w:eastAsia="仿宋_GB2312" w:cs="仿宋_GB2312"/>
          <w:kern w:val="2"/>
          <w:sz w:val="32"/>
          <w:szCs w:val="32"/>
        </w:rPr>
        <w:t>预算编制。进一步加强单位内部机构</w:t>
      </w:r>
      <w:r>
        <w:rPr>
          <w:rFonts w:hint="eastAsia" w:ascii="仿宋_GB2312" w:hAnsi="仿宋_GB2312" w:eastAsia="仿宋_GB2312" w:cs="仿宋_GB2312"/>
          <w:kern w:val="2"/>
          <w:sz w:val="32"/>
          <w:szCs w:val="32"/>
          <w:lang w:eastAsia="zh-CN"/>
        </w:rPr>
        <w:t>内设机构</w:t>
      </w:r>
      <w:r>
        <w:rPr>
          <w:rFonts w:ascii="仿宋_GB2312" w:hAnsi="仿宋_GB2312" w:eastAsia="仿宋_GB2312" w:cs="仿宋_GB2312"/>
          <w:kern w:val="2"/>
          <w:sz w:val="32"/>
          <w:szCs w:val="32"/>
        </w:rPr>
        <w:t>的预算管理意识，严格按照预算编制的相关制度和要求进行预算编制</w:t>
      </w:r>
      <w:r>
        <w:rPr>
          <w:rFonts w:hint="eastAsia" w:ascii="仿宋_GB2312" w:hAnsi="仿宋_GB2312" w:eastAsia="仿宋_GB2312" w:cs="仿宋_GB2312"/>
          <w:kern w:val="2"/>
          <w:sz w:val="32"/>
          <w:szCs w:val="32"/>
          <w:lang w:eastAsia="zh-CN"/>
        </w:rPr>
        <w:t>，树牢节约意识，共同过“紧日子”。</w:t>
      </w:r>
    </w:p>
    <w:p>
      <w:pPr>
        <w:pStyle w:val="10"/>
        <w:widowControl/>
        <w:spacing w:beforeAutospacing="0" w:afterAutospacing="0"/>
        <w:ind w:firstLine="640" w:firstLineChars="200"/>
        <w:textAlignment w:val="baseline"/>
        <w:rPr>
          <w:rFonts w:ascii="仿宋_GB2312" w:hAnsi="仿宋_GB2312" w:eastAsia="仿宋_GB2312" w:cs="仿宋_GB2312"/>
          <w:kern w:val="2"/>
          <w:sz w:val="32"/>
          <w:szCs w:val="32"/>
        </w:rPr>
      </w:pPr>
      <w:r>
        <w:rPr>
          <w:rFonts w:ascii="仿宋_GB2312" w:hAnsi="仿宋_GB2312" w:eastAsia="仿宋_GB2312" w:cs="仿宋_GB2312"/>
          <w:kern w:val="2"/>
          <w:sz w:val="32"/>
          <w:szCs w:val="32"/>
        </w:rPr>
        <w:t>2</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0"/>
        <w:widowControl/>
        <w:spacing w:beforeAutospacing="0" w:afterAutospacing="0"/>
        <w:ind w:firstLine="640" w:firstLineChars="200"/>
        <w:textAlignment w:val="baseline"/>
        <w:rPr>
          <w:rFonts w:ascii="仿宋_GB2312" w:hAnsi="仿宋_GB2312" w:eastAsia="仿宋_GB2312" w:cs="仿宋_GB2312"/>
          <w:kern w:val="2"/>
          <w:sz w:val="32"/>
          <w:szCs w:val="32"/>
        </w:rPr>
      </w:pPr>
      <w:r>
        <w:rPr>
          <w:rFonts w:ascii="仿宋_GB2312" w:hAnsi="仿宋_GB2312" w:eastAsia="仿宋_GB2312" w:cs="仿宋_GB2312"/>
          <w:kern w:val="2"/>
          <w:sz w:val="32"/>
          <w:szCs w:val="32"/>
        </w:rPr>
        <w:t>3</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严格控制“三公”经费，</w:t>
      </w:r>
      <w:r>
        <w:rPr>
          <w:rFonts w:hint="eastAsia" w:ascii="仿宋_GB2312" w:hAnsi="仿宋_GB2312" w:eastAsia="仿宋_GB2312" w:cs="仿宋_GB2312"/>
          <w:kern w:val="2"/>
          <w:sz w:val="32"/>
          <w:szCs w:val="32"/>
          <w:lang w:eastAsia="zh-CN"/>
        </w:rPr>
        <w:t>认真执行“三重一大”，</w:t>
      </w:r>
      <w:r>
        <w:rPr>
          <w:rFonts w:ascii="仿宋_GB2312" w:hAnsi="仿宋_GB2312" w:eastAsia="仿宋_GB2312" w:cs="仿宋_GB2312"/>
          <w:kern w:val="2"/>
          <w:sz w:val="32"/>
          <w:szCs w:val="32"/>
        </w:rPr>
        <w:t>把关“三公”经费支出的审核、审批，杜绝挪用和挤占其他预算资金行为；进一步细化“三公”经费的管理，合理压缩“三公”经费支出。</w:t>
      </w:r>
    </w:p>
    <w:p>
      <w:pPr>
        <w:pStyle w:val="10"/>
        <w:widowControl/>
        <w:spacing w:beforeAutospacing="0" w:afterAutospacing="0"/>
        <w:ind w:firstLine="640" w:firstLineChars="200"/>
        <w:textAlignment w:val="baseline"/>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从预算项目入手，以往预算不够科学，是根据文件依据来预算，与实际工作有差别，希望财政部门设计有效预算方法。</w:t>
      </w:r>
    </w:p>
    <w:p>
      <w:pPr>
        <w:pStyle w:val="10"/>
        <w:widowControl/>
        <w:spacing w:beforeAutospacing="0" w:afterAutospacing="0"/>
        <w:ind w:firstLine="640" w:firstLineChars="200"/>
        <w:textAlignment w:val="baseline"/>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将绩效评价结果作为预算资金安排、政策调整、专项资金竞争性分配的重要依据</w:t>
      </w:r>
      <w:r>
        <w:rPr>
          <w:rFonts w:hint="eastAsia" w:ascii="仿宋_GB2312" w:hAnsi="仿宋_GB2312" w:eastAsia="仿宋_GB2312" w:cs="仿宋_GB2312"/>
          <w:kern w:val="2"/>
          <w:sz w:val="32"/>
          <w:szCs w:val="32"/>
          <w:lang w:eastAsia="zh-CN"/>
        </w:rPr>
        <w:t>；加强区、社区干部工作能力培养培训。</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pStyle w:val="10"/>
        <w:widowControl/>
        <w:spacing w:beforeAutospacing="0" w:afterAutospacing="0"/>
        <w:ind w:firstLine="640" w:firstLineChars="200"/>
        <w:textAlignment w:val="baseline"/>
        <w:rPr>
          <w:rFonts w:hint="default" w:ascii="仿宋_GB2312" w:hAnsi="仿宋_GB2312" w:eastAsia="仿宋_GB2312" w:cs="仿宋_GB2312"/>
          <w:kern w:val="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hAnsi="仿宋_GB2312" w:eastAsia="仿宋_GB2312" w:cs="仿宋_GB2312"/>
          <w:kern w:val="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auto"/>
          <w:sz w:val="32"/>
          <w:szCs w:val="32"/>
          <w:lang w:val="en-US"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项目支出绩效评价</w:t>
      </w:r>
      <w:r>
        <w:rPr>
          <w:rFonts w:hint="eastAsia" w:ascii="方正小标宋简体" w:hAnsi="方正小标宋简体" w:eastAsia="方正小标宋简体" w:cs="方正小标宋简体"/>
          <w:color w:val="auto"/>
          <w:sz w:val="44"/>
          <w:szCs w:val="44"/>
          <w:lang w:eastAsia="zh-CN"/>
        </w:rPr>
        <w:t>评分表</w:t>
      </w:r>
      <w:r>
        <w:rPr>
          <w:rFonts w:hint="eastAsia" w:ascii="方正小标宋简体" w:hAnsi="方正小标宋简体" w:eastAsia="方正小标宋简体" w:cs="方正小标宋简体"/>
          <w:color w:val="auto"/>
          <w:sz w:val="44"/>
          <w:szCs w:val="44"/>
        </w:rPr>
        <w:t>（</w:t>
      </w:r>
      <w:r>
        <w:rPr>
          <w:rFonts w:hint="eastAsia" w:ascii="方正小标宋简体" w:hAnsi="方正小标宋简体" w:eastAsia="方正小标宋简体" w:cs="方正小标宋简体"/>
          <w:color w:val="auto"/>
          <w:sz w:val="44"/>
          <w:szCs w:val="44"/>
          <w:lang w:eastAsia="zh-CN"/>
        </w:rPr>
        <w:t>共性</w:t>
      </w:r>
      <w:r>
        <w:rPr>
          <w:rFonts w:hint="eastAsia" w:ascii="方正小标宋简体" w:hAnsi="方正小标宋简体" w:eastAsia="方正小标宋简体" w:cs="方正小标宋简体"/>
          <w:color w:val="auto"/>
          <w:sz w:val="44"/>
          <w:szCs w:val="44"/>
        </w:rPr>
        <w:t>）</w:t>
      </w:r>
    </w:p>
    <w:tbl>
      <w:tblPr>
        <w:tblStyle w:val="12"/>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auto"/>
                <w:kern w:val="0"/>
                <w:sz w:val="18"/>
                <w:szCs w:val="18"/>
                <w:lang w:eastAsia="zh-CN"/>
              </w:rPr>
            </w:pPr>
            <w:r>
              <w:rPr>
                <w:rFonts w:hint="eastAsia" w:ascii="仿宋_GB2312" w:hAnsi="宋体" w:eastAsia="仿宋_GB2312" w:cs="宋体"/>
                <w:b/>
                <w:bCs/>
                <w:color w:val="auto"/>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auto"/>
                <w:kern w:val="0"/>
                <w:sz w:val="18"/>
                <w:szCs w:val="18"/>
                <w:lang w:eastAsia="zh-CN"/>
              </w:rPr>
            </w:pPr>
            <w:r>
              <w:rPr>
                <w:rFonts w:hint="eastAsia" w:ascii="仿宋_GB2312" w:hAnsi="宋体" w:eastAsia="仿宋_GB2312" w:cs="宋体"/>
                <w:b/>
                <w:bCs/>
                <w:color w:val="auto"/>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auto"/>
                <w:kern w:val="0"/>
                <w:sz w:val="18"/>
                <w:szCs w:val="18"/>
                <w:lang w:eastAsia="zh-CN"/>
              </w:rPr>
            </w:pPr>
            <w:r>
              <w:rPr>
                <w:rFonts w:hint="eastAsia" w:ascii="仿宋_GB2312" w:hAnsi="宋体" w:eastAsia="仿宋_GB2312" w:cs="宋体"/>
                <w:b/>
                <w:bCs/>
                <w:color w:val="auto"/>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24"/>
              </w:rPr>
            </w:pPr>
            <w:r>
              <w:rPr>
                <w:rFonts w:hint="eastAsia" w:ascii="仿宋_GB2312" w:hAnsi="宋体" w:eastAsia="仿宋_GB2312" w:cs="宋体"/>
                <w:b/>
                <w:bCs/>
                <w:color w:val="auto"/>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spacing w:val="-6"/>
                <w:kern w:val="0"/>
                <w:sz w:val="18"/>
                <w:szCs w:val="18"/>
                <w:lang w:eastAsia="zh-CN"/>
              </w:rPr>
            </w:pPr>
            <w:r>
              <w:rPr>
                <w:rFonts w:hint="eastAsia" w:ascii="仿宋_GB2312" w:hAnsi="宋体" w:eastAsia="仿宋_GB2312" w:cs="宋体"/>
                <w:color w:val="auto"/>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项目</w:t>
            </w:r>
            <w:r>
              <w:rPr>
                <w:rFonts w:hint="eastAsia" w:ascii="仿宋_GB2312" w:hAnsi="宋体" w:eastAsia="仿宋_GB2312" w:cs="宋体"/>
                <w:color w:val="auto"/>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25</w:t>
            </w:r>
          </w:p>
          <w:p>
            <w:pPr>
              <w:keepNext w:val="0"/>
              <w:keepLines w:val="0"/>
              <w:suppressLineNumbers w:val="0"/>
              <w:spacing w:before="0" w:beforeAutospacing="0" w:after="0" w:afterAutospacing="0"/>
              <w:ind w:left="0" w:right="0"/>
              <w:rPr>
                <w:rFonts w:hint="default"/>
                <w:color w:val="auto"/>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spacing w:val="-10"/>
                <w:kern w:val="0"/>
                <w:sz w:val="18"/>
                <w:szCs w:val="18"/>
                <w:lang w:eastAsia="zh-CN"/>
              </w:rPr>
            </w:pPr>
            <w:r>
              <w:rPr>
                <w:rFonts w:hint="eastAsia" w:ascii="仿宋_GB2312" w:hAnsi="宋体" w:eastAsia="仿宋_GB2312" w:cs="宋体"/>
                <w:color w:val="auto"/>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①虚列套取扣4</w:t>
            </w:r>
            <w:r>
              <w:rPr>
                <w:rFonts w:hint="eastAsia" w:ascii="仿宋_GB2312" w:hAnsi="宋体" w:eastAsia="仿宋_GB2312" w:cs="宋体"/>
                <w:color w:val="auto"/>
                <w:kern w:val="0"/>
                <w:sz w:val="18"/>
                <w:szCs w:val="18"/>
                <w:lang w:eastAsia="zh-CN"/>
              </w:rPr>
              <w:t>—</w:t>
            </w:r>
            <w:r>
              <w:rPr>
                <w:rFonts w:hint="eastAsia" w:ascii="仿宋_GB2312" w:hAnsi="宋体" w:eastAsia="仿宋_GB2312" w:cs="宋体"/>
                <w:color w:val="auto"/>
                <w:kern w:val="0"/>
                <w:sz w:val="18"/>
                <w:szCs w:val="18"/>
              </w:rPr>
              <w:t xml:space="preserve">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③截留、挤占、挪用扣3</w:t>
            </w:r>
            <w:r>
              <w:rPr>
                <w:rFonts w:hint="eastAsia" w:ascii="仿宋_GB2312" w:hAnsi="宋体" w:eastAsia="仿宋_GB2312" w:cs="宋体"/>
                <w:color w:val="auto"/>
                <w:kern w:val="0"/>
                <w:sz w:val="18"/>
                <w:szCs w:val="18"/>
                <w:lang w:eastAsia="zh-CN"/>
              </w:rPr>
              <w:t>—</w:t>
            </w:r>
            <w:r>
              <w:rPr>
                <w:rFonts w:hint="eastAsia" w:ascii="仿宋_GB2312" w:hAnsi="宋体" w:eastAsia="仿宋_GB2312" w:cs="宋体"/>
                <w:color w:val="auto"/>
                <w:kern w:val="0"/>
                <w:sz w:val="18"/>
                <w:szCs w:val="18"/>
              </w:rPr>
              <w:t>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④超标准开支扣2</w:t>
            </w:r>
            <w:r>
              <w:rPr>
                <w:rFonts w:hint="eastAsia" w:ascii="仿宋_GB2312" w:hAnsi="宋体" w:eastAsia="仿宋_GB2312" w:cs="宋体"/>
                <w:color w:val="auto"/>
                <w:kern w:val="0"/>
                <w:sz w:val="18"/>
                <w:szCs w:val="18"/>
                <w:lang w:eastAsia="zh-CN"/>
              </w:rPr>
              <w:t>—</w:t>
            </w:r>
            <w:r>
              <w:rPr>
                <w:rFonts w:hint="eastAsia" w:ascii="仿宋_GB2312" w:hAnsi="宋体" w:eastAsia="仿宋_GB2312" w:cs="宋体"/>
                <w:color w:val="auto"/>
                <w:kern w:val="0"/>
                <w:sz w:val="18"/>
                <w:szCs w:val="18"/>
              </w:rPr>
              <w:t>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⑤超预算扣2</w:t>
            </w:r>
            <w:r>
              <w:rPr>
                <w:rFonts w:hint="eastAsia" w:ascii="仿宋_GB2312" w:hAnsi="宋体" w:eastAsia="仿宋_GB2312" w:cs="宋体"/>
                <w:color w:val="auto"/>
                <w:kern w:val="0"/>
                <w:sz w:val="18"/>
                <w:szCs w:val="18"/>
                <w:lang w:eastAsia="zh-CN"/>
              </w:rPr>
              <w:t>—</w:t>
            </w:r>
            <w:r>
              <w:rPr>
                <w:rFonts w:hint="eastAsia" w:ascii="仿宋_GB2312" w:hAnsi="宋体" w:eastAsia="仿宋_GB2312" w:cs="宋体"/>
                <w:color w:val="auto"/>
                <w:kern w:val="0"/>
                <w:sz w:val="18"/>
                <w:szCs w:val="18"/>
              </w:rPr>
              <w:t>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595"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color w:val="auto"/>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完成绩效目标100%</w:t>
            </w:r>
            <w:r>
              <w:rPr>
                <w:rFonts w:hint="eastAsia" w:ascii="仿宋_GB2312" w:hAnsi="宋体" w:eastAsia="仿宋_GB2312" w:cs="宋体"/>
                <w:color w:val="auto"/>
                <w:kern w:val="0"/>
                <w:sz w:val="18"/>
                <w:szCs w:val="18"/>
                <w:lang w:eastAsia="zh-CN"/>
              </w:rPr>
              <w:t>的</w:t>
            </w:r>
            <w:r>
              <w:rPr>
                <w:rFonts w:hint="eastAsia" w:ascii="仿宋_GB2312" w:hAnsi="宋体" w:eastAsia="仿宋_GB2312" w:cs="宋体"/>
                <w:color w:val="auto"/>
                <w:kern w:val="0"/>
                <w:sz w:val="18"/>
                <w:szCs w:val="18"/>
              </w:rPr>
              <w:t>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项目产出质量达到绩效目标100%</w:t>
            </w:r>
            <w:r>
              <w:rPr>
                <w:rFonts w:hint="eastAsia" w:ascii="仿宋_GB2312" w:hAnsi="宋体" w:eastAsia="仿宋_GB2312" w:cs="宋体"/>
                <w:color w:val="auto"/>
                <w:kern w:val="0"/>
                <w:sz w:val="18"/>
                <w:szCs w:val="18"/>
                <w:lang w:eastAsia="zh-CN"/>
              </w:rPr>
              <w:t>的</w:t>
            </w:r>
            <w:r>
              <w:rPr>
                <w:rFonts w:hint="eastAsia" w:ascii="仿宋_GB2312" w:hAnsi="宋体" w:eastAsia="仿宋_GB2312" w:cs="宋体"/>
                <w:color w:val="auto"/>
                <w:kern w:val="0"/>
                <w:sz w:val="18"/>
                <w:szCs w:val="18"/>
              </w:rPr>
              <w:t>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项目产出时效达到绩效目标</w:t>
            </w:r>
            <w:r>
              <w:rPr>
                <w:rFonts w:hint="eastAsia" w:ascii="仿宋_GB2312" w:hAnsi="宋体" w:eastAsia="仿宋_GB2312" w:cs="宋体"/>
                <w:color w:val="auto"/>
                <w:kern w:val="0"/>
                <w:sz w:val="18"/>
                <w:szCs w:val="18"/>
                <w:lang w:eastAsia="zh-CN"/>
              </w:rPr>
              <w:t>的</w:t>
            </w:r>
            <w:r>
              <w:rPr>
                <w:rFonts w:hint="eastAsia" w:ascii="仿宋_GB2312" w:hAnsi="宋体" w:eastAsia="仿宋_GB2312" w:cs="宋体"/>
                <w:color w:val="auto"/>
                <w:kern w:val="0"/>
                <w:sz w:val="18"/>
                <w:szCs w:val="18"/>
              </w:rPr>
              <w:t>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项目产出成本按绩效目标控制</w:t>
            </w:r>
            <w:r>
              <w:rPr>
                <w:rFonts w:hint="eastAsia" w:ascii="仿宋_GB2312" w:hAnsi="宋体" w:eastAsia="仿宋_GB2312" w:cs="宋体"/>
                <w:color w:val="auto"/>
                <w:kern w:val="0"/>
                <w:sz w:val="18"/>
                <w:szCs w:val="18"/>
                <w:lang w:eastAsia="zh-CN"/>
              </w:rPr>
              <w:t>的</w:t>
            </w:r>
            <w:r>
              <w:rPr>
                <w:rFonts w:hint="eastAsia" w:ascii="仿宋_GB2312" w:hAnsi="宋体" w:eastAsia="仿宋_GB2312" w:cs="宋体"/>
                <w:color w:val="auto"/>
                <w:kern w:val="0"/>
                <w:sz w:val="18"/>
                <w:szCs w:val="18"/>
              </w:rPr>
              <w:t>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完成绩效目标设定的社会效益</w:t>
            </w:r>
            <w:r>
              <w:rPr>
                <w:rFonts w:hint="eastAsia" w:ascii="仿宋_GB2312" w:hAnsi="宋体" w:eastAsia="仿宋_GB2312" w:cs="宋体"/>
                <w:color w:val="auto"/>
                <w:kern w:val="0"/>
                <w:sz w:val="18"/>
                <w:szCs w:val="18"/>
                <w:lang w:eastAsia="zh-CN"/>
              </w:rPr>
              <w:t>的</w:t>
            </w:r>
            <w:r>
              <w:rPr>
                <w:rFonts w:hint="eastAsia" w:ascii="仿宋_GB2312" w:hAnsi="宋体" w:eastAsia="仿宋_GB2312" w:cs="宋体"/>
                <w:color w:val="auto"/>
                <w:kern w:val="0"/>
                <w:sz w:val="18"/>
                <w:szCs w:val="18"/>
              </w:rPr>
              <w:t>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r>
              <w:rPr>
                <w:rFonts w:hint="eastAsia" w:ascii="仿宋_GB2312" w:hAnsi="宋体" w:eastAsia="仿宋_GB2312" w:cs="宋体"/>
                <w:b/>
                <w:bCs/>
                <w:color w:val="auto"/>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color w:val="auto"/>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color w:val="auto"/>
                <w:kern w:val="0"/>
                <w:sz w:val="24"/>
                <w:lang w:val="en-US" w:eastAsia="zh-CN"/>
              </w:rPr>
            </w:pPr>
            <w:r>
              <w:rPr>
                <w:rFonts w:hint="eastAsia" w:ascii="仿宋_GB2312" w:hAnsi="宋体" w:eastAsia="仿宋_GB2312" w:cs="宋体"/>
                <w:b/>
                <w:bCs/>
                <w:color w:val="auto"/>
                <w:kern w:val="0"/>
                <w:sz w:val="18"/>
                <w:szCs w:val="18"/>
                <w:lang w:val="en-US" w:eastAsia="zh-CN"/>
              </w:rPr>
              <w:t>99</w:t>
            </w:r>
          </w:p>
        </w:tc>
      </w:tr>
    </w:tbl>
    <w:p>
      <w:pPr>
        <w:adjustRightInd w:val="0"/>
        <w:snapToGrid w:val="0"/>
        <w:spacing w:before="156" w:beforeLines="50"/>
        <w:ind w:left="840" w:hanging="840" w:hangingChars="400"/>
        <w:contextualSpacing/>
        <w:rPr>
          <w:rFonts w:hint="eastAsia" w:ascii="仿宋_GB2312" w:eastAsia="仿宋_GB2312"/>
          <w:color w:val="auto"/>
        </w:rPr>
      </w:pPr>
      <w:r>
        <w:rPr>
          <w:rFonts w:hint="eastAsia" w:ascii="仿宋_GB2312" w:eastAsia="仿宋_GB2312"/>
          <w:color w:val="auto"/>
        </w:rPr>
        <w:t>备注：</w:t>
      </w:r>
      <w:r>
        <w:rPr>
          <w:rFonts w:hint="eastAsia" w:ascii="仿宋_GB2312" w:eastAsia="仿宋_GB2312"/>
          <w:color w:val="auto"/>
          <w:lang w:val="en-US" w:eastAsia="zh-CN"/>
        </w:rPr>
        <w:t>1、</w:t>
      </w:r>
      <w:r>
        <w:rPr>
          <w:rFonts w:hint="eastAsia" w:ascii="仿宋_GB2312" w:eastAsia="仿宋_GB2312"/>
          <w:color w:val="auto"/>
        </w:rPr>
        <w:t>部门（单位）根据项目实际，在《项目支出绩效评价指标</w:t>
      </w:r>
      <w:r>
        <w:rPr>
          <w:rFonts w:hint="eastAsia" w:ascii="仿宋_GB2312" w:eastAsia="仿宋_GB2312"/>
          <w:color w:val="auto"/>
          <w:lang w:eastAsia="zh-CN"/>
        </w:rPr>
        <w:t>评分表</w:t>
      </w:r>
      <w:r>
        <w:rPr>
          <w:rFonts w:hint="eastAsia" w:ascii="仿宋_GB2312" w:eastAsia="仿宋_GB2312"/>
          <w:color w:val="auto"/>
        </w:rPr>
        <w:t>（</w:t>
      </w:r>
      <w:r>
        <w:rPr>
          <w:rFonts w:hint="eastAsia" w:ascii="仿宋_GB2312" w:eastAsia="仿宋_GB2312"/>
          <w:color w:val="auto"/>
          <w:lang w:eastAsia="zh-CN"/>
        </w:rPr>
        <w:t>共性</w:t>
      </w:r>
      <w:r>
        <w:rPr>
          <w:rFonts w:hint="eastAsia" w:ascii="仿宋_GB2312" w:eastAsia="仿宋_GB2312"/>
          <w:color w:val="auto"/>
        </w:rPr>
        <w:t>）》上进一步完善、量化、细化个性指标，形成本项目的指标体系。</w:t>
      </w:r>
    </w:p>
    <w:p>
      <w:pPr>
        <w:adjustRightInd w:val="0"/>
        <w:snapToGrid w:val="0"/>
        <w:spacing w:before="156" w:beforeLines="50"/>
        <w:ind w:firstLine="630" w:firstLineChars="300"/>
        <w:contextualSpacing/>
        <w:rPr>
          <w:rFonts w:hint="eastAsia" w:ascii="新宋体" w:hAnsi="新宋体" w:eastAsia="新宋体" w:cs="新宋体"/>
          <w:sz w:val="21"/>
          <w:szCs w:val="21"/>
          <w:lang w:val="en-US" w:eastAsia="zh-CN"/>
        </w:rPr>
        <w:sectPr>
          <w:footerReference r:id="rId4"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eastAsia="仿宋_GB2312"/>
          <w:color w:val="auto"/>
          <w:lang w:val="en-US" w:eastAsia="zh-CN"/>
        </w:rPr>
        <w:t>2、</w:t>
      </w:r>
      <w:r>
        <w:rPr>
          <w:rFonts w:hint="eastAsia" w:ascii="仿宋_GB2312" w:eastAsia="仿宋_GB2312"/>
          <w:color w:val="auto"/>
          <w:lang w:eastAsia="zh-CN"/>
        </w:rPr>
        <w:t>一个一级项目一张表。</w:t>
      </w: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田家湖生态新区自建房排查整治</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5</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lang w:eastAsia="zh-CN"/>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田家湖生态新区自建房排查整治</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3" w:firstLineChars="200"/>
        <w:jc w:val="both"/>
        <w:textAlignment w:val="auto"/>
        <w:outlineLvl w:val="9"/>
        <w:rPr>
          <w:rFonts w:hint="eastAsia" w:eastAsia="仿宋_GB2312"/>
          <w:sz w:val="30"/>
          <w:szCs w:val="30"/>
        </w:rPr>
      </w:pPr>
      <w:r>
        <w:rPr>
          <w:rFonts w:hint="eastAsia" w:ascii="方正楷体_GBK" w:hAnsi="方正楷体_GBK" w:eastAsia="方正楷体_GBK" w:cs="方正楷体_GBK"/>
          <w:b/>
          <w:bCs/>
          <w:color w:val="auto"/>
          <w:sz w:val="32"/>
          <w:szCs w:val="32"/>
          <w:lang w:eastAsia="zh-CN"/>
        </w:rPr>
        <w:t>（一）项目概况</w:t>
      </w:r>
      <w:r>
        <w:rPr>
          <w:rFonts w:hint="eastAsia" w:eastAsia="仿宋_GB2312"/>
          <w:sz w:val="30"/>
          <w:szCs w:val="30"/>
        </w:rPr>
        <w:t>。</w:t>
      </w:r>
      <w:r>
        <w:rPr>
          <w:rFonts w:hint="eastAsia" w:eastAsia="仿宋_GB2312"/>
          <w:sz w:val="30"/>
          <w:szCs w:val="30"/>
          <w:lang w:eastAsia="zh-CN"/>
        </w:rPr>
        <w:t>根据上级自建房排查整治工作要求，对</w:t>
      </w:r>
      <w:r>
        <w:rPr>
          <w:rFonts w:hint="eastAsia" w:ascii="仿宋_GB2312" w:hAnsi="仿宋_GB2312" w:eastAsia="仿宋_GB2312" w:cs="仿宋_GB2312"/>
          <w:b w:val="0"/>
          <w:bCs w:val="0"/>
          <w:i w:val="0"/>
          <w:caps w:val="0"/>
          <w:color w:val="auto"/>
          <w:spacing w:val="0"/>
          <w:kern w:val="0"/>
          <w:sz w:val="32"/>
          <w:szCs w:val="32"/>
          <w:lang w:val="en-US" w:eastAsia="zh-CN" w:bidi="ar"/>
        </w:rPr>
        <w:t>城乡结合部、城中村、学校医院周边、工业园区、安置区、集镇、景区、商业区等人员密集场所三层以上、涉及10人以上出租经营、违规改扩建（含私自加装电梯）的经营性居民自建房进行排查整治。</w:t>
      </w:r>
    </w:p>
    <w:p>
      <w:pPr>
        <w:keepNext w:val="0"/>
        <w:keepLines w:val="0"/>
        <w:pageBreakBefore w:val="0"/>
        <w:widowControl/>
        <w:kinsoku/>
        <w:wordWrap/>
        <w:overflowPunct/>
        <w:topLinePunct w:val="0"/>
        <w:autoSpaceDE w:val="0"/>
        <w:autoSpaceDN w:val="0"/>
        <w:bidi w:val="0"/>
        <w:adjustRightInd w:val="0"/>
        <w:snapToGrid/>
        <w:spacing w:line="600" w:lineRule="exact"/>
        <w:ind w:firstLine="643" w:firstLineChars="200"/>
        <w:textAlignment w:val="auto"/>
        <w:rPr>
          <w:rFonts w:hint="eastAsia" w:eastAsia="仿宋_GB2312"/>
          <w:sz w:val="30"/>
          <w:szCs w:val="30"/>
        </w:rPr>
      </w:pPr>
      <w:r>
        <w:rPr>
          <w:rFonts w:hint="eastAsia" w:ascii="方正楷体_GBK" w:hAnsi="方正楷体_GBK" w:eastAsia="方正楷体_GBK" w:cs="方正楷体_GBK"/>
          <w:b/>
          <w:bCs/>
          <w:color w:val="auto"/>
          <w:sz w:val="32"/>
          <w:szCs w:val="32"/>
          <w:lang w:eastAsia="zh-CN"/>
        </w:rPr>
        <w:t>（二）项目绩效目标。</w:t>
      </w:r>
      <w:r>
        <w:rPr>
          <w:rFonts w:hint="eastAsia" w:ascii="仿宋_GB2312" w:hAnsi="仿宋" w:eastAsia="仿宋_GB2312" w:cs="仿宋_GB2312"/>
          <w:sz w:val="32"/>
          <w:szCs w:val="32"/>
          <w:lang w:val="en-US" w:eastAsia="zh-CN"/>
        </w:rPr>
        <w:t>严格落实安全鉴定中的安全责任措施，严防可能发生的次生灾害；要从严进行安全性评估或鉴定的质量监管。同时，按照“人不进危房，危房不进人”的原则，依法分类采取“改、停、封、拆”措施，边鉴定、边整治，实行销号管理。</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600" w:lineRule="exact"/>
        <w:ind w:firstLine="643" w:firstLineChars="200"/>
        <w:jc w:val="both"/>
        <w:rPr>
          <w:rFonts w:hint="eastAsia" w:ascii="Times New Roman" w:hAnsi="Times New Roman" w:eastAsia="仿宋_GB2312" w:cs="Times New Roman"/>
          <w:color w:val="auto"/>
          <w:sz w:val="32"/>
          <w:szCs w:val="32"/>
          <w:lang w:eastAsia="zh-CN"/>
        </w:rPr>
      </w:pPr>
      <w:r>
        <w:rPr>
          <w:rFonts w:hint="eastAsia" w:ascii="方正楷体_GBK" w:hAnsi="方正楷体_GBK" w:eastAsia="方正楷体_GBK" w:cs="方正楷体_GBK"/>
          <w:b/>
          <w:bCs/>
          <w:color w:val="auto"/>
          <w:sz w:val="32"/>
          <w:szCs w:val="32"/>
          <w:lang w:eastAsia="zh-CN"/>
        </w:rPr>
        <w:t>（一）绩效评价目的、对象和范围。</w:t>
      </w:r>
      <w:r>
        <w:rPr>
          <w:rFonts w:hint="eastAsia" w:ascii="Times New Roman" w:hAnsi="Times New Roman" w:eastAsia="仿宋_GB2312" w:cs="Times New Roman"/>
          <w:color w:val="auto"/>
          <w:sz w:val="32"/>
          <w:szCs w:val="32"/>
          <w:lang w:eastAsia="zh-CN"/>
        </w:rPr>
        <w:t>根据上级部门的工作部署和要求，运用科学、规范的绩效评价方法，客观、公正地对自建房排查整治</w:t>
      </w:r>
      <w:r>
        <w:rPr>
          <w:rFonts w:hint="eastAsia" w:ascii="Times New Roman" w:hAnsi="Times New Roman" w:eastAsia="仿宋_GB2312" w:cs="Times New Roman"/>
          <w:color w:val="auto"/>
          <w:sz w:val="32"/>
          <w:szCs w:val="32"/>
          <w:lang w:val="en-US" w:eastAsia="zh-CN"/>
        </w:rPr>
        <w:t>专项工作</w:t>
      </w:r>
      <w:r>
        <w:rPr>
          <w:rFonts w:hint="eastAsia" w:ascii="Times New Roman" w:hAnsi="Times New Roman" w:eastAsia="仿宋_GB2312" w:cs="Times New Roman"/>
          <w:color w:val="auto"/>
          <w:sz w:val="32"/>
          <w:szCs w:val="32"/>
          <w:lang w:eastAsia="zh-CN"/>
        </w:rPr>
        <w:t>支出进行评价，以反映项目资金的绩效，通过绩效评价，树立绩效管理理念，做好预算绩效管理，提高财政资金效益。</w:t>
      </w:r>
    </w:p>
    <w:p>
      <w:pPr>
        <w:spacing w:line="600" w:lineRule="exact"/>
        <w:ind w:firstLine="643" w:firstLineChars="200"/>
        <w:jc w:val="both"/>
        <w:rPr>
          <w:rFonts w:hint="eastAsia" w:ascii="方正楷体_GBK" w:hAnsi="方正楷体_GBK" w:eastAsia="方正楷体_GBK" w:cs="方正楷体_GBK"/>
          <w:b/>
          <w:bCs/>
          <w:color w:val="auto"/>
          <w:sz w:val="32"/>
          <w:szCs w:val="32"/>
          <w:lang w:eastAsia="zh-CN"/>
        </w:rPr>
      </w:pPr>
      <w:r>
        <w:rPr>
          <w:rFonts w:hint="eastAsia" w:ascii="方正楷体_GBK" w:hAnsi="方正楷体_GBK" w:eastAsia="方正楷体_GBK" w:cs="方正楷体_GBK"/>
          <w:b/>
          <w:bCs/>
          <w:color w:val="auto"/>
          <w:sz w:val="32"/>
          <w:szCs w:val="32"/>
          <w:lang w:eastAsia="zh-CN"/>
        </w:rPr>
        <w:t>（二）绩效评价原则、评价指标体系、评价方法、评价标准等。</w:t>
      </w:r>
    </w:p>
    <w:p>
      <w:pPr>
        <w:spacing w:line="600" w:lineRule="exact"/>
        <w:ind w:firstLine="643" w:firstLineChars="200"/>
        <w:jc w:val="both"/>
        <w:rPr>
          <w:rFonts w:hint="eastAsia" w:ascii="方正楷体_GBK" w:hAnsi="方正楷体_GBK" w:eastAsia="方正楷体_GBK" w:cs="方正楷体_GBK"/>
          <w:b/>
          <w:bCs/>
          <w:color w:val="auto"/>
          <w:sz w:val="32"/>
          <w:szCs w:val="32"/>
          <w:lang w:val="en-US" w:eastAsia="zh-CN"/>
        </w:rPr>
      </w:pPr>
      <w:r>
        <w:rPr>
          <w:rFonts w:hint="default" w:ascii="方正楷体_GBK" w:hAnsi="方正楷体_GBK" w:eastAsia="方正楷体_GBK" w:cs="方正楷体_GBK"/>
          <w:b/>
          <w:bCs/>
          <w:color w:val="auto"/>
          <w:sz w:val="32"/>
          <w:szCs w:val="32"/>
          <w:lang w:val="en-US" w:eastAsia="zh-CN"/>
        </w:rPr>
        <w:t>1</w:t>
      </w:r>
      <w:r>
        <w:rPr>
          <w:rFonts w:hint="eastAsia" w:ascii="方正楷体_GBK" w:hAnsi="方正楷体_GBK" w:eastAsia="方正楷体_GBK" w:cs="方正楷体_GBK"/>
          <w:b/>
          <w:bCs/>
          <w:color w:val="auto"/>
          <w:sz w:val="32"/>
          <w:szCs w:val="32"/>
          <w:lang w:val="en-US" w:eastAsia="zh-CN"/>
        </w:rPr>
        <w:t>.</w:t>
      </w:r>
      <w:r>
        <w:rPr>
          <w:rFonts w:hint="default" w:ascii="方正楷体_GBK" w:hAnsi="方正楷体_GBK" w:eastAsia="方正楷体_GBK" w:cs="方正楷体_GBK"/>
          <w:b/>
          <w:bCs/>
          <w:color w:val="auto"/>
          <w:sz w:val="32"/>
          <w:szCs w:val="32"/>
          <w:lang w:val="en-US" w:eastAsia="zh-CN"/>
        </w:rPr>
        <w:t>绩效评价原则</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科学规范原则。绩效评价应当严格执行规定的程序</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按照科学可行的要求</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采用定量与定性分析相结合的方法。</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公开公正原则。绩效评价应当符合真实、客观、公正的要求</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依法公开并接受监督。</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绩效相关原则。绩效评价应当针对具体支出及其产出绩效进行</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评价结果应当清晰反映支出与产出绩效之间的紧密对应关系。</w:t>
      </w:r>
    </w:p>
    <w:p>
      <w:pPr>
        <w:spacing w:line="600" w:lineRule="exact"/>
        <w:ind w:firstLine="643" w:firstLineChars="200"/>
        <w:jc w:val="both"/>
        <w:rPr>
          <w:rFonts w:hint="default" w:ascii="方正楷体_GBK" w:hAnsi="方正楷体_GBK" w:eastAsia="方正楷体_GBK" w:cs="方正楷体_GBK"/>
          <w:b/>
          <w:bCs/>
          <w:color w:val="auto"/>
          <w:sz w:val="32"/>
          <w:szCs w:val="32"/>
          <w:lang w:val="en-US" w:eastAsia="zh-CN"/>
        </w:rPr>
      </w:pPr>
      <w:r>
        <w:rPr>
          <w:rFonts w:hint="default" w:ascii="方正楷体_GBK" w:hAnsi="方正楷体_GBK" w:eastAsia="方正楷体_GBK" w:cs="方正楷体_GBK"/>
          <w:b/>
          <w:bCs/>
          <w:color w:val="auto"/>
          <w:sz w:val="32"/>
          <w:szCs w:val="32"/>
          <w:lang w:val="en-US" w:eastAsia="zh-CN"/>
        </w:rPr>
        <w:t>2</w:t>
      </w:r>
      <w:r>
        <w:rPr>
          <w:rFonts w:hint="eastAsia" w:ascii="方正楷体_GBK" w:hAnsi="方正楷体_GBK" w:eastAsia="方正楷体_GBK" w:cs="方正楷体_GBK"/>
          <w:b/>
          <w:bCs/>
          <w:color w:val="auto"/>
          <w:sz w:val="32"/>
          <w:szCs w:val="32"/>
          <w:lang w:val="en-US" w:eastAsia="zh-CN"/>
        </w:rPr>
        <w:t>.</w:t>
      </w:r>
      <w:r>
        <w:rPr>
          <w:rFonts w:hint="default" w:ascii="方正楷体_GBK" w:hAnsi="方正楷体_GBK" w:eastAsia="方正楷体_GBK" w:cs="方正楷体_GBK"/>
          <w:b/>
          <w:bCs/>
          <w:color w:val="auto"/>
          <w:sz w:val="32"/>
          <w:szCs w:val="32"/>
          <w:lang w:val="en-US" w:eastAsia="zh-CN"/>
        </w:rPr>
        <w:t>评价指标体系</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绩效评价指标体系包括</w:t>
      </w:r>
      <w:r>
        <w:rPr>
          <w:rFonts w:hint="eastAsia" w:ascii="Times New Roman" w:hAnsi="Times New Roman" w:eastAsia="仿宋_GB2312" w:cs="Times New Roman"/>
          <w:color w:val="auto"/>
          <w:sz w:val="32"/>
          <w:szCs w:val="32"/>
          <w:lang w:val="en-US" w:eastAsia="zh-CN"/>
        </w:rPr>
        <w:t>项目决策、项目产出、项目效果三</w:t>
      </w:r>
      <w:r>
        <w:rPr>
          <w:rFonts w:hint="default" w:ascii="Times New Roman" w:hAnsi="Times New Roman" w:eastAsia="仿宋_GB2312" w:cs="Times New Roman"/>
          <w:color w:val="auto"/>
          <w:sz w:val="32"/>
          <w:szCs w:val="32"/>
          <w:lang w:val="en-US" w:eastAsia="zh-CN"/>
        </w:rPr>
        <w:t>个部分</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具体评价指标体系见《</w:t>
      </w:r>
      <w:r>
        <w:rPr>
          <w:rFonts w:hint="eastAsia" w:ascii="Times New Roman" w:hAnsi="Times New Roman" w:eastAsia="仿宋_GB2312" w:cs="Times New Roman"/>
          <w:color w:val="auto"/>
          <w:sz w:val="32"/>
          <w:szCs w:val="32"/>
          <w:lang w:val="en-US" w:eastAsia="zh-CN"/>
        </w:rPr>
        <w:t>项目支出绩效评价评分表（共性）</w:t>
      </w:r>
      <w:r>
        <w:rPr>
          <w:rFonts w:hint="default" w:ascii="Times New Roman" w:hAnsi="Times New Roman" w:eastAsia="仿宋_GB2312" w:cs="Times New Roman"/>
          <w:color w:val="auto"/>
          <w:sz w:val="32"/>
          <w:szCs w:val="32"/>
          <w:lang w:val="en-US" w:eastAsia="zh-CN"/>
        </w:rPr>
        <w:t>》。</w:t>
      </w:r>
    </w:p>
    <w:p>
      <w:pPr>
        <w:spacing w:line="600" w:lineRule="exact"/>
        <w:ind w:firstLine="643" w:firstLineChars="200"/>
        <w:jc w:val="both"/>
        <w:rPr>
          <w:rFonts w:hint="default" w:ascii="方正楷体_GBK" w:hAnsi="方正楷体_GBK" w:eastAsia="方正楷体_GBK" w:cs="方正楷体_GBK"/>
          <w:b/>
          <w:bCs/>
          <w:color w:val="auto"/>
          <w:sz w:val="32"/>
          <w:szCs w:val="32"/>
          <w:lang w:val="en-US" w:eastAsia="zh-CN"/>
        </w:rPr>
      </w:pPr>
      <w:r>
        <w:rPr>
          <w:rFonts w:hint="default" w:ascii="方正楷体_GBK" w:hAnsi="方正楷体_GBK" w:eastAsia="方正楷体_GBK" w:cs="方正楷体_GBK"/>
          <w:b/>
          <w:bCs/>
          <w:color w:val="auto"/>
          <w:sz w:val="32"/>
          <w:szCs w:val="32"/>
          <w:lang w:val="en-US" w:eastAsia="zh-CN"/>
        </w:rPr>
        <w:t>3</w:t>
      </w:r>
      <w:r>
        <w:rPr>
          <w:rFonts w:hint="eastAsia" w:ascii="方正楷体_GBK" w:hAnsi="方正楷体_GBK" w:eastAsia="方正楷体_GBK" w:cs="方正楷体_GBK"/>
          <w:b/>
          <w:bCs/>
          <w:color w:val="auto"/>
          <w:sz w:val="32"/>
          <w:szCs w:val="32"/>
          <w:lang w:val="en-US" w:eastAsia="zh-CN"/>
        </w:rPr>
        <w:t>.</w:t>
      </w:r>
      <w:r>
        <w:rPr>
          <w:rFonts w:hint="default" w:ascii="方正楷体_GBK" w:hAnsi="方正楷体_GBK" w:eastAsia="方正楷体_GBK" w:cs="方正楷体_GBK"/>
          <w:b/>
          <w:bCs/>
          <w:color w:val="auto"/>
          <w:sz w:val="32"/>
          <w:szCs w:val="32"/>
          <w:lang w:val="en-US" w:eastAsia="zh-CN"/>
        </w:rPr>
        <w:t>评价方法</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本项目采用定量与定性相结合的比较法</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总分由各项指标得分汇总形成。</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定量指标评定方法</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与年初指标值相比</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完成指标值的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记该指标所赋全部分值</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对完成值高于指标值较多的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要分析原因</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如果是由于年初指标值设定明显偏低造成的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要按照偏高适度调减分值</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未完成指标值的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按照完成值与指标值的比例记分。</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定性指标评定方法</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根据指标完成情况分为达成年度指标、部分达成年度指标并具有一定效果、未达成年度指标且效果较差三档</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分别按照该指标对应分值区间100%</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80%</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含</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、80%</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60%</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含</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、60%-0%合理确定分值。</w:t>
      </w:r>
    </w:p>
    <w:p>
      <w:pPr>
        <w:spacing w:line="600" w:lineRule="exact"/>
        <w:ind w:firstLine="643" w:firstLineChars="200"/>
        <w:jc w:val="both"/>
        <w:rPr>
          <w:rFonts w:hint="default" w:ascii="方正楷体_GBK" w:hAnsi="方正楷体_GBK" w:eastAsia="方正楷体_GBK" w:cs="方正楷体_GBK"/>
          <w:b/>
          <w:bCs/>
          <w:color w:val="auto"/>
          <w:sz w:val="32"/>
          <w:szCs w:val="32"/>
          <w:lang w:val="en-US" w:eastAsia="zh-CN"/>
        </w:rPr>
      </w:pPr>
      <w:r>
        <w:rPr>
          <w:rFonts w:hint="eastAsia" w:ascii="方正楷体_GBK" w:hAnsi="方正楷体_GBK" w:eastAsia="方正楷体_GBK" w:cs="方正楷体_GBK"/>
          <w:b/>
          <w:bCs/>
          <w:color w:val="auto"/>
          <w:sz w:val="32"/>
          <w:szCs w:val="32"/>
          <w:lang w:val="en-US" w:eastAsia="zh-CN"/>
        </w:rPr>
        <w:t>（</w:t>
      </w:r>
      <w:r>
        <w:rPr>
          <w:rFonts w:hint="default" w:ascii="方正楷体_GBK" w:hAnsi="方正楷体_GBK" w:eastAsia="方正楷体_GBK" w:cs="方正楷体_GBK"/>
          <w:b/>
          <w:bCs/>
          <w:color w:val="auto"/>
          <w:sz w:val="32"/>
          <w:szCs w:val="32"/>
          <w:lang w:val="en-US" w:eastAsia="zh-CN"/>
        </w:rPr>
        <w:t>三</w:t>
      </w:r>
      <w:r>
        <w:rPr>
          <w:rFonts w:hint="eastAsia" w:ascii="方正楷体_GBK" w:hAnsi="方正楷体_GBK" w:eastAsia="方正楷体_GBK" w:cs="方正楷体_GBK"/>
          <w:b/>
          <w:bCs/>
          <w:color w:val="auto"/>
          <w:sz w:val="32"/>
          <w:szCs w:val="32"/>
          <w:lang w:val="en-US" w:eastAsia="zh-CN"/>
        </w:rPr>
        <w:t>）</w:t>
      </w:r>
      <w:r>
        <w:rPr>
          <w:rFonts w:hint="default" w:ascii="方正楷体_GBK" w:hAnsi="方正楷体_GBK" w:eastAsia="方正楷体_GBK" w:cs="方正楷体_GBK"/>
          <w:b/>
          <w:bCs/>
          <w:color w:val="auto"/>
          <w:sz w:val="32"/>
          <w:szCs w:val="32"/>
          <w:lang w:val="en-US" w:eastAsia="zh-CN"/>
        </w:rPr>
        <w:t>绩效评价工作过程。</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前期准备</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下发通知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单位自评。绩效评价小组开展调查研究、分析讨论并形成绩效评价工作方案</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为后期的数据获取做了充分的准备。</w:t>
      </w:r>
    </w:p>
    <w:p>
      <w:pPr>
        <w:spacing w:line="600"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组织实施</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通过座谈、到实地核查等方式了解项目实施情况</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整理项目相关资料</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设计绩效评价指标体系。</w:t>
      </w:r>
    </w:p>
    <w:p>
      <w:pPr>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分析评价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整理分析获取的基础数据等资料</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依据制定的评价标准进行评价指标打分</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根据结果提出建议并完成绩效评价报告。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三、综合评价情况及评价结论</w:t>
      </w:r>
    </w:p>
    <w:p>
      <w:pPr>
        <w:spacing w:line="600" w:lineRule="exact"/>
        <w:ind w:firstLine="640" w:firstLineChars="200"/>
        <w:jc w:val="both"/>
        <w:rPr>
          <w:rFonts w:hint="eastAsia"/>
        </w:rPr>
      </w:pPr>
      <w:r>
        <w:rPr>
          <w:rFonts w:hint="eastAsia" w:ascii="Times New Roman" w:hAnsi="Times New Roman" w:eastAsia="仿宋_GB2312" w:cs="Times New Roman"/>
          <w:color w:val="auto"/>
          <w:sz w:val="32"/>
          <w:szCs w:val="32"/>
          <w:lang w:val="en-US" w:eastAsia="zh-CN"/>
        </w:rPr>
        <w:t>本次绩效评价遵循科学规范、公开公正、绩效相关的原则，重点评价项目项目决策、项目产出、项目效果等三方面，得出自建房排查整治专项工作绩效评价综合得分</w:t>
      </w:r>
      <w:r>
        <w:rPr>
          <w:rFonts w:hint="eastAsia" w:ascii="方正楷体_GBK" w:hAnsi="方正楷体_GBK" w:eastAsia="方正楷体_GBK" w:cs="方正楷体_GBK"/>
          <w:b/>
          <w:bCs/>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分，等级为“优”。详细评分情况见附件（项目支出绩效评分表）。</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600" w:lineRule="exact"/>
        <w:ind w:firstLine="643" w:firstLineChars="200"/>
        <w:jc w:val="both"/>
        <w:rPr>
          <w:rFonts w:hint="eastAsia"/>
        </w:rPr>
      </w:pPr>
      <w:r>
        <w:rPr>
          <w:rFonts w:hint="eastAsia" w:ascii="方正楷体_GBK" w:hAnsi="方正楷体_GBK" w:eastAsia="方正楷体_GBK" w:cs="方正楷体_GBK"/>
          <w:b/>
          <w:bCs/>
          <w:color w:val="auto"/>
          <w:sz w:val="32"/>
          <w:szCs w:val="32"/>
          <w:lang w:val="en-US" w:eastAsia="zh-CN"/>
        </w:rPr>
        <w:t>（一）项目决策情况。</w:t>
      </w:r>
      <w:r>
        <w:rPr>
          <w:rFonts w:hint="eastAsia" w:ascii="Times New Roman" w:hAnsi="Times New Roman" w:eastAsia="仿宋_GB2312" w:cs="Times New Roman"/>
          <w:color w:val="auto"/>
          <w:sz w:val="32"/>
          <w:szCs w:val="32"/>
          <w:lang w:val="en-US" w:eastAsia="zh-CN"/>
        </w:rPr>
        <w:t>项目立项，规划情况。召开区党工委会专题研究自建房排查整治专项工作经费事宜；确保各笔鉴定整治及时打入第三方公司的账户中。</w:t>
      </w:r>
    </w:p>
    <w:p>
      <w:pPr>
        <w:spacing w:line="600" w:lineRule="exact"/>
        <w:ind w:firstLine="643" w:firstLineChars="200"/>
        <w:jc w:val="both"/>
        <w:rPr>
          <w:rFonts w:hint="eastAsia" w:eastAsia="仿宋_GB2312"/>
          <w:sz w:val="30"/>
          <w:szCs w:val="30"/>
        </w:rPr>
      </w:pPr>
      <w:r>
        <w:rPr>
          <w:rFonts w:hint="eastAsia" w:ascii="方正楷体_GBK" w:hAnsi="方正楷体_GBK" w:eastAsia="方正楷体_GBK" w:cs="方正楷体_GBK"/>
          <w:b/>
          <w:bCs/>
          <w:color w:val="auto"/>
          <w:sz w:val="32"/>
          <w:szCs w:val="32"/>
          <w:lang w:val="en-US" w:eastAsia="zh-CN"/>
        </w:rPr>
        <w:t>（二）项目过程情况。</w:t>
      </w:r>
      <w:r>
        <w:rPr>
          <w:rFonts w:hint="eastAsia" w:ascii="Times New Roman" w:hAnsi="Times New Roman" w:eastAsia="仿宋_GB2312" w:cs="Times New Roman"/>
          <w:color w:val="auto"/>
          <w:sz w:val="32"/>
          <w:szCs w:val="32"/>
          <w:lang w:val="en-US" w:eastAsia="zh-CN"/>
        </w:rPr>
        <w:t>严格资金管理。严禁调整变更项目；严格账务处理，实行“三专”管理，即“专户管理、专账管理、专人管理”；按合同约定审批、拨付工程进度款，资金支付手续齐全，审批流程规范，无大额支付现象发生，无截留、挤占、挪用、虚到支出现象。实行公示制度。充分利用LED显示屏、村级宣传栏等多种形式开展宣传</w:t>
      </w:r>
      <w:r>
        <w:rPr>
          <w:rFonts w:hint="eastAsia" w:ascii="仿宋_GB2312" w:hAnsi="仿宋_GB2312" w:eastAsia="仿宋_GB2312" w:cs="仿宋_GB2312"/>
          <w:b w:val="0"/>
          <w:bCs w:val="0"/>
          <w:sz w:val="32"/>
          <w:szCs w:val="32"/>
          <w:lang w:eastAsia="zh-CN"/>
        </w:rPr>
        <w:t>，提高群众的参与度，让此项民生工程政策深入民心。</w:t>
      </w:r>
    </w:p>
    <w:p>
      <w:pPr>
        <w:spacing w:line="600" w:lineRule="exact"/>
        <w:ind w:firstLine="643" w:firstLineChars="200"/>
        <w:jc w:val="both"/>
        <w:rPr>
          <w:rFonts w:hint="eastAsia" w:eastAsia="仿宋_GB2312"/>
          <w:sz w:val="30"/>
          <w:szCs w:val="30"/>
        </w:rPr>
      </w:pPr>
      <w:r>
        <w:rPr>
          <w:rFonts w:hint="eastAsia" w:ascii="方正楷体_GBK" w:hAnsi="方正楷体_GBK" w:eastAsia="方正楷体_GBK" w:cs="方正楷体_GBK"/>
          <w:b/>
          <w:bCs/>
          <w:color w:val="auto"/>
          <w:sz w:val="32"/>
          <w:szCs w:val="32"/>
          <w:lang w:val="en-US" w:eastAsia="zh-CN"/>
        </w:rPr>
        <w:t>（三）项目产出情况。</w:t>
      </w:r>
      <w:r>
        <w:rPr>
          <w:rFonts w:hint="eastAsia" w:ascii="Times New Roman" w:hAnsi="Times New Roman" w:eastAsia="仿宋_GB2312" w:cs="Times New Roman"/>
          <w:color w:val="auto"/>
          <w:sz w:val="32"/>
          <w:szCs w:val="32"/>
          <w:lang w:val="en-US" w:eastAsia="zh-CN"/>
        </w:rPr>
        <w:t>拆除房屋安全隐患率先“破零”，拆除县维也纳酒店4楼违规搭建10余间铁皮房350</w:t>
      </w:r>
      <w:r>
        <w:rPr>
          <w:rFonts w:hint="default" w:ascii="Times New Roman" w:hAnsi="Times New Roman" w:eastAsia="仿宋_GB2312" w:cs="Times New Roman"/>
          <w:color w:val="auto"/>
          <w:sz w:val="32"/>
          <w:szCs w:val="32"/>
          <w:lang w:val="en-US" w:eastAsia="zh-CN"/>
        </w:rPr>
        <w:t>m2</w:t>
      </w:r>
      <w:r>
        <w:rPr>
          <w:rFonts w:hint="eastAsia" w:ascii="Times New Roman" w:hAnsi="Times New Roman" w:eastAsia="仿宋_GB2312" w:cs="Times New Roman"/>
          <w:color w:val="auto"/>
          <w:sz w:val="32"/>
          <w:szCs w:val="32"/>
          <w:lang w:val="en-US" w:eastAsia="zh-CN"/>
        </w:rPr>
        <w:t>；系统上传排查数据率先“破零”，抢抓数据上传，在6月6日晚8点实现数据上传；房屋鉴定工作率先“破零”，积极有效部署，推进房屋鉴定工作；鉴定报告上传率先“破零”，联合技术单位对经营性自建房数据多次进行核对，提高鉴定报告出具速度；推进经营性自建房鉴定工作，排查自建房2051栋，其中非经营性自建房1767栋、经营性自建房284栋，现已全部完成鉴定工作。</w:t>
      </w:r>
    </w:p>
    <w:p>
      <w:pPr>
        <w:keepNext w:val="0"/>
        <w:keepLines w:val="0"/>
        <w:pageBreakBefore w:val="0"/>
        <w:kinsoku/>
        <w:wordWrap/>
        <w:overflowPunct/>
        <w:topLinePunct w:val="0"/>
        <w:autoSpaceDE/>
        <w:autoSpaceDN/>
        <w:bidi w:val="0"/>
        <w:adjustRightInd/>
        <w:snapToGrid/>
        <w:spacing w:line="610" w:lineRule="exact"/>
        <w:ind w:firstLine="643" w:firstLineChars="200"/>
        <w:textAlignment w:val="auto"/>
        <w:rPr>
          <w:rFonts w:hint="eastAsia" w:eastAsia="仿宋_GB2312"/>
          <w:sz w:val="30"/>
          <w:szCs w:val="30"/>
          <w:lang w:eastAsia="zh-CN"/>
        </w:rPr>
      </w:pPr>
      <w:r>
        <w:rPr>
          <w:rFonts w:hint="eastAsia" w:ascii="方正楷体_GBK" w:hAnsi="方正楷体_GBK" w:eastAsia="方正楷体_GBK" w:cs="方正楷体_GBK"/>
          <w:b/>
          <w:bCs/>
          <w:color w:val="auto"/>
          <w:sz w:val="32"/>
          <w:szCs w:val="32"/>
          <w:lang w:val="en-US" w:eastAsia="zh-CN"/>
        </w:rPr>
        <w:t>（四）项目效益情况。</w:t>
      </w:r>
      <w:r>
        <w:rPr>
          <w:rFonts w:hint="eastAsia" w:eastAsia="仿宋_GB2312"/>
          <w:sz w:val="30"/>
          <w:szCs w:val="30"/>
          <w:lang w:eastAsia="zh-CN"/>
        </w:rPr>
        <w:t>自建房专项整治工作基本完成</w:t>
      </w:r>
    </w:p>
    <w:p>
      <w:pPr>
        <w:spacing w:line="600" w:lineRule="exact"/>
        <w:ind w:firstLine="600" w:firstLineChars="200"/>
        <w:jc w:val="both"/>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在面对自建房排查整治出现的新问题，做好了新区答卷，提供了新区模板，充分发挥拆迁群众的主动性，让群众的需求群众提、群众的决定群众议、群众的工作群众做，使经费使用工作实现常态化、规范化，使专项经费使用不出现变更用途和闲置浪费现象。</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bookmarkStart w:id="0" w:name="_GoBack"/>
      <w:bookmarkEnd w:id="0"/>
    </w:p>
    <w:p>
      <w:pPr>
        <w:rPr>
          <w:rFonts w:hint="eastAsia"/>
          <w:lang w:val="en-US" w:eastAsia="zh-CN"/>
        </w:rPr>
      </w:pPr>
      <w:r>
        <w:rPr>
          <w:rFonts w:hint="eastAsia"/>
          <w:lang w:val="en-US" w:eastAsia="zh-CN"/>
        </w:rPr>
        <w:br w:type="page"/>
      </w:r>
    </w:p>
    <w:p>
      <w:pPr>
        <w:rPr>
          <w:rFonts w:hint="eastAsia"/>
          <w:lang w:val="en-US" w:eastAsia="zh-CN"/>
        </w:rPr>
      </w:pP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24"/>
        <w:gridCol w:w="1134"/>
        <w:gridCol w:w="1020"/>
        <w:gridCol w:w="942"/>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出名称</w:t>
            </w:r>
          </w:p>
        </w:tc>
        <w:tc>
          <w:tcPr>
            <w:tcW w:w="8771" w:type="dxa"/>
            <w:gridSpan w:val="8"/>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华容县田家湖新区自建房整治工程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主管部门</w:t>
            </w: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华容县田家湖生态新区管理委员会</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实施单位</w:t>
            </w:r>
          </w:p>
        </w:tc>
        <w:tc>
          <w:tcPr>
            <w:tcW w:w="3233"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华容县田家湖生态新区管理委员会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eastAsia="zh-CN"/>
              </w:rPr>
            </w:pPr>
            <w:r>
              <w:rPr>
                <w:rFonts w:hint="default" w:ascii="Times New Roman" w:hAnsi="Times New Roman" w:eastAsia="仿宋_GB2312" w:cs="Times New Roman"/>
                <w:color w:val="auto"/>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（万元）</w:t>
            </w: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预算数</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预算数</w:t>
            </w:r>
          </w:p>
        </w:tc>
        <w:tc>
          <w:tcPr>
            <w:tcW w:w="1020"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执行数</w:t>
            </w:r>
          </w:p>
        </w:tc>
        <w:tc>
          <w:tcPr>
            <w:tcW w:w="942"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分值</w:t>
            </w:r>
          </w:p>
        </w:tc>
        <w:tc>
          <w:tcPr>
            <w:tcW w:w="873"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执行率</w:t>
            </w:r>
          </w:p>
        </w:tc>
        <w:tc>
          <w:tcPr>
            <w:tcW w:w="1418"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年度资金总额</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908.27</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908.27</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908.27</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100%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其中：当年财政拨款</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上年结转资金</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其他资金</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年度总体目标</w:t>
            </w: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预期目标</w:t>
            </w:r>
          </w:p>
        </w:tc>
        <w:tc>
          <w:tcPr>
            <w:tcW w:w="4253"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4253"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标</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一级指标</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二级指标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三级指标</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指标值</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完成值</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分值</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得分</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(50分)</w:t>
            </w: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数量指标</w:t>
            </w:r>
          </w:p>
        </w:tc>
        <w:tc>
          <w:tcPr>
            <w:tcW w:w="1224"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val="en-US" w:eastAsia="zh-CN"/>
              </w:rPr>
              <w:t>2051栋</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487米</w:t>
            </w:r>
            <w:r>
              <w:rPr>
                <w:rFonts w:hint="default" w:ascii="Times New Roman" w:hAnsi="Times New Roman" w:eastAsia="仿宋_GB2312" w:cs="Times New Roman"/>
                <w:color w:val="auto"/>
                <w:sz w:val="20"/>
                <w:szCs w:val="20"/>
              </w:rPr>
              <w:t>　</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487米</w:t>
            </w:r>
            <w:r>
              <w:rPr>
                <w:rFonts w:hint="default" w:ascii="Times New Roman" w:hAnsi="Times New Roman" w:eastAsia="仿宋_GB2312" w:cs="Times New Roman"/>
                <w:color w:val="auto"/>
                <w:sz w:val="20"/>
                <w:szCs w:val="20"/>
              </w:rPr>
              <w:t>　</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4</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6783.8</w:t>
            </w:r>
            <w:r>
              <w:rPr>
                <w:rFonts w:hint="eastAsia" w:ascii="宋体" w:hAnsi="宋体" w:eastAsia="宋体" w:cs="宋体"/>
                <w:color w:val="auto"/>
                <w:sz w:val="20"/>
                <w:szCs w:val="20"/>
                <w:lang w:val="en-US" w:eastAsia="zh-CN"/>
              </w:rPr>
              <w:t>㎡</w:t>
            </w:r>
            <w:r>
              <w:rPr>
                <w:rFonts w:hint="default" w:ascii="Times New Roman" w:hAnsi="Times New Roman" w:eastAsia="仿宋_GB2312" w:cs="Times New Roman"/>
                <w:color w:val="auto"/>
                <w:sz w:val="20"/>
                <w:szCs w:val="20"/>
              </w:rPr>
              <w:t>　</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6783.8</w:t>
            </w:r>
            <w:r>
              <w:rPr>
                <w:rFonts w:hint="eastAsia" w:ascii="宋体" w:hAnsi="宋体" w:eastAsia="宋体" w:cs="宋体"/>
                <w:color w:val="auto"/>
                <w:sz w:val="20"/>
                <w:szCs w:val="20"/>
                <w:lang w:val="en-US" w:eastAsia="zh-CN"/>
              </w:rPr>
              <w:t>㎡</w:t>
            </w:r>
            <w:r>
              <w:rPr>
                <w:rFonts w:hint="default" w:ascii="Times New Roman" w:hAnsi="Times New Roman" w:eastAsia="仿宋_GB2312" w:cs="Times New Roman"/>
                <w:color w:val="auto"/>
                <w:sz w:val="20"/>
                <w:szCs w:val="20"/>
              </w:rPr>
              <w:t>　</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4</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auto"/>
                <w:sz w:val="20"/>
                <w:szCs w:val="20"/>
                <w:lang w:eastAsia="zh-CN"/>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127.4</w:t>
            </w:r>
            <w:r>
              <w:rPr>
                <w:rFonts w:hint="eastAsia" w:ascii="宋体" w:hAnsi="宋体" w:eastAsia="宋体" w:cs="宋体"/>
                <w:color w:val="auto"/>
                <w:sz w:val="20"/>
                <w:szCs w:val="20"/>
                <w:lang w:val="en-US" w:eastAsia="zh-CN"/>
              </w:rPr>
              <w:t>㎡</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127.4</w:t>
            </w:r>
            <w:r>
              <w:rPr>
                <w:rFonts w:hint="eastAsia" w:ascii="宋体" w:hAnsi="宋体" w:eastAsia="宋体" w:cs="宋体"/>
                <w:color w:val="auto"/>
                <w:sz w:val="20"/>
                <w:szCs w:val="20"/>
                <w:lang w:val="en-US" w:eastAsia="zh-CN"/>
              </w:rPr>
              <w:t>㎡</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4</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auto"/>
                <w:sz w:val="20"/>
                <w:szCs w:val="20"/>
                <w:lang w:eastAsia="zh-CN"/>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7个</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7个</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2</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2</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auto"/>
                <w:sz w:val="20"/>
                <w:szCs w:val="20"/>
                <w:lang w:eastAsia="zh-CN"/>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2135.7</w:t>
            </w:r>
            <w:r>
              <w:rPr>
                <w:rFonts w:hint="eastAsia" w:ascii="宋体" w:hAnsi="宋体" w:eastAsia="宋体" w:cs="宋体"/>
                <w:color w:val="auto"/>
                <w:sz w:val="20"/>
                <w:szCs w:val="20"/>
                <w:lang w:val="en-US" w:eastAsia="zh-CN"/>
              </w:rPr>
              <w:t>㎡</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2135.7</w:t>
            </w:r>
            <w:r>
              <w:rPr>
                <w:rFonts w:hint="eastAsia" w:ascii="宋体" w:hAnsi="宋体" w:eastAsia="宋体" w:cs="宋体"/>
                <w:color w:val="auto"/>
                <w:sz w:val="20"/>
                <w:szCs w:val="20"/>
                <w:lang w:val="en-US" w:eastAsia="zh-CN"/>
              </w:rPr>
              <w:t>㎡</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4</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4</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224"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auto"/>
                <w:sz w:val="20"/>
                <w:szCs w:val="20"/>
                <w:lang w:eastAsia="zh-CN"/>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53.76</w:t>
            </w:r>
            <w:r>
              <w:rPr>
                <w:rFonts w:hint="eastAsia" w:ascii="宋体" w:hAnsi="宋体" w:eastAsia="宋体" w:cs="宋体"/>
                <w:color w:val="auto"/>
                <w:sz w:val="20"/>
                <w:szCs w:val="20"/>
                <w:lang w:val="en-US" w:eastAsia="zh-CN"/>
              </w:rPr>
              <w:t>㎡</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53.76</w:t>
            </w:r>
            <w:r>
              <w:rPr>
                <w:rFonts w:hint="eastAsia" w:ascii="宋体" w:hAnsi="宋体" w:eastAsia="宋体" w:cs="宋体"/>
                <w:color w:val="auto"/>
                <w:sz w:val="20"/>
                <w:szCs w:val="20"/>
                <w:lang w:val="en-US" w:eastAsia="zh-CN"/>
              </w:rPr>
              <w:t>㎡</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2</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val="en-US" w:eastAsia="zh-CN"/>
              </w:rPr>
              <w:t>2</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质量指标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建设合格率</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合格</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合格</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时效指标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工期</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60天</w:t>
            </w:r>
            <w:r>
              <w:rPr>
                <w:rFonts w:hint="default" w:ascii="Times New Roman" w:hAnsi="Times New Roman" w:eastAsia="仿宋_GB2312" w:cs="Times New Roman"/>
                <w:color w:val="auto"/>
                <w:sz w:val="20"/>
                <w:szCs w:val="20"/>
              </w:rPr>
              <w:t>　</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60天</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成本指标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eastAsia" w:eastAsia="仿宋_GB2312" w:cs="Times New Roman"/>
                <w:color w:val="auto"/>
                <w:sz w:val="20"/>
                <w:szCs w:val="20"/>
                <w:lang w:val="en-US" w:eastAsia="zh-CN"/>
              </w:rPr>
              <w:t>竣工验收审计</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18"/>
                <w:szCs w:val="18"/>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908.27</w:t>
            </w:r>
            <w:r>
              <w:rPr>
                <w:rFonts w:hint="eastAsia" w:eastAsia="仿宋_GB2312" w:cs="Times New Roman"/>
                <w:color w:val="auto"/>
                <w:sz w:val="18"/>
                <w:szCs w:val="18"/>
                <w:lang w:val="en-US" w:eastAsia="zh-CN"/>
              </w:rPr>
              <w:t>万元</w:t>
            </w:r>
            <w:r>
              <w:rPr>
                <w:rFonts w:hint="default" w:ascii="Times New Roman" w:hAnsi="Times New Roman" w:eastAsia="仿宋_GB2312" w:cs="Times New Roman"/>
                <w:color w:val="auto"/>
                <w:sz w:val="18"/>
                <w:szCs w:val="18"/>
              </w:rPr>
              <w:t>　</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18"/>
                <w:szCs w:val="18"/>
              </w:rPr>
            </w:pPr>
            <w:r>
              <w:rPr>
                <w:rFonts w:hint="eastAsia" w:ascii="宋体" w:hAnsi="宋体" w:eastAsia="宋体" w:cs="宋体"/>
                <w:color w:val="auto"/>
                <w:sz w:val="18"/>
                <w:szCs w:val="18"/>
              </w:rPr>
              <w:t>≦</w:t>
            </w:r>
            <w:r>
              <w:rPr>
                <w:rFonts w:hint="eastAsia" w:ascii="宋体" w:hAnsi="宋体" w:eastAsia="宋体" w:cs="宋体"/>
                <w:color w:val="auto"/>
                <w:sz w:val="18"/>
                <w:szCs w:val="18"/>
                <w:lang w:val="en-US" w:eastAsia="zh-CN"/>
              </w:rPr>
              <w:t>908.27</w:t>
            </w:r>
            <w:r>
              <w:rPr>
                <w:rFonts w:hint="eastAsia" w:eastAsia="仿宋_GB2312" w:cs="Times New Roman"/>
                <w:color w:val="auto"/>
                <w:sz w:val="18"/>
                <w:szCs w:val="18"/>
                <w:lang w:val="en-US" w:eastAsia="zh-CN"/>
              </w:rPr>
              <w:t>万元</w:t>
            </w:r>
            <w:r>
              <w:rPr>
                <w:rFonts w:hint="default" w:ascii="Times New Roman" w:hAnsi="Times New Roman" w:eastAsia="仿宋_GB2312" w:cs="Times New Roman"/>
                <w:color w:val="auto"/>
                <w:sz w:val="18"/>
                <w:szCs w:val="18"/>
              </w:rPr>
              <w:t>　　</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（30分）</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val="en-US" w:eastAsia="zh-CN"/>
              </w:rPr>
              <w:t>项目不以赢利为主要目的。</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eastAsia="zh-CN"/>
              </w:rPr>
              <w:t>工程建设期间，尽量使用农民劳务工，增加地方农民劳务收入。</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eastAsia="zh-CN"/>
              </w:rPr>
              <w:t>工程建设期间，尽量使用农民劳务工，增加地方农民劳务收入。</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5</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5</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val="en-US" w:eastAsia="zh-CN"/>
              </w:rPr>
              <w:t>可持续发展</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eastAsia" w:eastAsia="仿宋_GB2312" w:cs="Times New Roman"/>
                <w:color w:val="auto"/>
                <w:sz w:val="20"/>
                <w:szCs w:val="20"/>
                <w:lang w:val="en-US" w:eastAsia="zh-CN"/>
              </w:rPr>
              <w:t>可持续发展</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eastAsia="仿宋_GB2312" w:cs="Times New Roman"/>
                <w:color w:val="auto"/>
                <w:sz w:val="20"/>
                <w:szCs w:val="20"/>
                <w:lang w:val="en-US" w:eastAsia="zh-CN"/>
              </w:rPr>
            </w:pPr>
            <w:r>
              <w:rPr>
                <w:rFonts w:hint="default" w:eastAsia="仿宋_GB2312" w:cs="Times New Roman"/>
                <w:color w:val="auto"/>
                <w:sz w:val="20"/>
                <w:szCs w:val="20"/>
                <w:lang w:val="en-US" w:eastAsia="zh-CN"/>
              </w:rPr>
              <w:t>　</w:t>
            </w:r>
            <w:r>
              <w:rPr>
                <w:rFonts w:hint="eastAsia" w:eastAsia="仿宋_GB2312" w:cs="Times New Roman"/>
                <w:color w:val="auto"/>
                <w:sz w:val="20"/>
                <w:szCs w:val="20"/>
                <w:lang w:val="en-US" w:eastAsia="zh-CN"/>
              </w:rPr>
              <w:t>可持续发展</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5</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5</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优化环境</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eastAsia="zh-CN"/>
              </w:rPr>
              <w:t>优化环境</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auto"/>
                <w:kern w:val="2"/>
                <w:sz w:val="20"/>
                <w:szCs w:val="20"/>
                <w:lang w:val="en-US" w:eastAsia="zh-CN" w:bidi="ar-SA"/>
              </w:rPr>
            </w:pPr>
            <w:r>
              <w:rPr>
                <w:rFonts w:hint="eastAsia" w:eastAsia="仿宋_GB2312" w:cs="Times New Roman"/>
                <w:color w:val="auto"/>
                <w:sz w:val="20"/>
                <w:szCs w:val="20"/>
                <w:lang w:eastAsia="zh-CN"/>
              </w:rPr>
              <w:t>优化环境</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影响指标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优化环境</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eastAsia="zh-CN"/>
              </w:rPr>
              <w:t>持续向好</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eastAsia="zh-CN"/>
              </w:rPr>
              <w:t>持续向好</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（10分）</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auto"/>
                <w:sz w:val="20"/>
                <w:szCs w:val="20"/>
                <w:lang w:eastAsia="zh-CN"/>
              </w:rPr>
            </w:pPr>
            <w:r>
              <w:rPr>
                <w:rFonts w:hint="eastAsia" w:eastAsia="仿宋_GB2312" w:cs="Times New Roman"/>
                <w:color w:val="auto"/>
                <w:sz w:val="20"/>
                <w:szCs w:val="20"/>
                <w:lang w:eastAsia="zh-CN"/>
              </w:rPr>
              <w:t>群众满意度</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100%</w:t>
            </w:r>
            <w:r>
              <w:rPr>
                <w:rFonts w:hint="default" w:ascii="Times New Roman" w:hAnsi="Times New Roman" w:eastAsia="仿宋_GB2312" w:cs="Times New Roman"/>
                <w:color w:val="auto"/>
                <w:sz w:val="20"/>
                <w:szCs w:val="20"/>
              </w:rPr>
              <w:t>　</w:t>
            </w:r>
          </w:p>
        </w:tc>
        <w:tc>
          <w:tcPr>
            <w:tcW w:w="102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eastAsia" w:eastAsia="仿宋_GB2312" w:cs="Times New Roman"/>
                <w:color w:val="auto"/>
                <w:sz w:val="20"/>
                <w:szCs w:val="20"/>
                <w:lang w:val="en-US" w:eastAsia="zh-CN"/>
              </w:rPr>
              <w:t>100%</w:t>
            </w:r>
            <w:r>
              <w:rPr>
                <w:rFonts w:hint="default" w:ascii="Times New Roman" w:hAnsi="Times New Roman" w:eastAsia="仿宋_GB2312" w:cs="Times New Roman"/>
                <w:color w:val="auto"/>
                <w:sz w:val="20"/>
                <w:szCs w:val="20"/>
              </w:rPr>
              <w:t>　</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8" w:type="dxa"/>
            <w:gridSpan w:val="6"/>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总分</w:t>
            </w:r>
          </w:p>
        </w:tc>
        <w:tc>
          <w:tcPr>
            <w:tcW w:w="94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100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lang w:val="en-US" w:eastAsia="zh-CN"/>
              </w:rPr>
            </w:pPr>
            <w:r>
              <w:rPr>
                <w:rFonts w:hint="default" w:ascii="Times New Roman" w:hAnsi="Times New Roman" w:eastAsia="仿宋_GB2312" w:cs="Times New Roman"/>
                <w:color w:val="auto"/>
                <w:sz w:val="20"/>
                <w:szCs w:val="20"/>
              </w:rPr>
              <w:t>　</w:t>
            </w:r>
            <w:r>
              <w:rPr>
                <w:rFonts w:hint="eastAsia" w:eastAsia="仿宋_GB2312" w:cs="Times New Roman"/>
                <w:color w:val="auto"/>
                <w:sz w:val="20"/>
                <w:szCs w:val="20"/>
                <w:lang w:val="en-US" w:eastAsia="zh-CN"/>
              </w:rPr>
              <w:t>100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9"/>
        <w:rPr>
          <w:rFonts w:hint="eastAsia"/>
        </w:rPr>
      </w:pPr>
    </w:p>
    <w:p>
      <w:pPr>
        <w:rPr>
          <w:rFonts w:hint="eastAsia"/>
        </w:rPr>
      </w:pPr>
    </w:p>
    <w:p>
      <w:pPr>
        <w:jc w:val="left"/>
        <w:rPr>
          <w:rFonts w:hint="eastAsia"/>
          <w:lang w:val="en-US" w:eastAsia="zh-CN"/>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欧阳南</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 xml:space="preserve">2023年7月10日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13974085009</w:t>
      </w:r>
      <w:r>
        <w:rPr>
          <w:rFonts w:hint="eastAsia" w:ascii="新宋体" w:hAnsi="新宋体" w:eastAsia="新宋体" w:cs="新宋体"/>
          <w:sz w:val="21"/>
          <w:szCs w:val="21"/>
        </w:rPr>
        <w:t xml:space="preserve"> 单位负责人签字</w:t>
      </w:r>
    </w:p>
    <w:sectPr>
      <w:pgSz w:w="11906" w:h="16838"/>
      <w:pgMar w:top="1701" w:right="1701" w:bottom="1701"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embedRegular r:id="rId1" w:fontKey="{6D889FB6-93AA-4FD7-B8E0-26DB0BEF0343}"/>
  </w:font>
  <w:font w:name="Arial">
    <w:panose1 w:val="020B0604020202020204"/>
    <w:charset w:val="01"/>
    <w:family w:val="swiss"/>
    <w:pitch w:val="default"/>
    <w:sig w:usb0="E0002AFF" w:usb1="C0007843" w:usb2="00000009" w:usb3="00000000" w:csb0="400001FF" w:csb1="FFFF0000"/>
    <w:embedRegular r:id="rId2" w:fontKey="{B563763A-69E4-4256-9E60-CE97AE5EEF32}"/>
  </w:font>
  <w:font w:name="黑体">
    <w:panose1 w:val="02010600030101010101"/>
    <w:charset w:val="86"/>
    <w:family w:val="auto"/>
    <w:pitch w:val="default"/>
    <w:sig w:usb0="800002BF" w:usb1="38CF7CFA" w:usb2="00000016" w:usb3="00000000" w:csb0="00040001" w:csb1="00000000"/>
    <w:embedRegular r:id="rId3" w:fontKey="{77142F20-EBAE-400C-89BA-E7BC6E141110}"/>
  </w:font>
  <w:font w:name="Courier New">
    <w:panose1 w:val="02070309020205020404"/>
    <w:charset w:val="01"/>
    <w:family w:val="modern"/>
    <w:pitch w:val="default"/>
    <w:sig w:usb0="E0002AFF" w:usb1="C0007843" w:usb2="00000009" w:usb3="00000000" w:csb0="400001FF" w:csb1="FFFF0000"/>
    <w:embedRegular r:id="rId4" w:fontKey="{7B9C4746-7ECC-4D98-A304-58954C97A09D}"/>
  </w:font>
  <w:font w:name="Symbol">
    <w:panose1 w:val="05050102010706020507"/>
    <w:charset w:val="02"/>
    <w:family w:val="roman"/>
    <w:pitch w:val="default"/>
    <w:sig w:usb0="00000000" w:usb1="00000000" w:usb2="00000000" w:usb3="00000000" w:csb0="80000000" w:csb1="00000000"/>
    <w:embedRegular r:id="rId5" w:fontKey="{38DA8B63-88EF-4227-9B56-7874C3FC9140}"/>
  </w:font>
  <w:font w:name="Calibri">
    <w:panose1 w:val="020F0502020204030204"/>
    <w:charset w:val="00"/>
    <w:family w:val="swiss"/>
    <w:pitch w:val="default"/>
    <w:sig w:usb0="E10002FF" w:usb1="4000ACFF" w:usb2="00000009" w:usb3="00000000" w:csb0="2000019F" w:csb1="00000000"/>
    <w:embedRegular r:id="rId6" w:fontKey="{A1558C9D-4E50-4CA5-9372-654BB75CC1D1}"/>
  </w:font>
  <w:font w:name="仿宋_GB2312">
    <w:panose1 w:val="02010609030101010101"/>
    <w:charset w:val="86"/>
    <w:family w:val="auto"/>
    <w:pitch w:val="default"/>
    <w:sig w:usb0="00000001" w:usb1="080E0000" w:usb2="00000000" w:usb3="00000000" w:csb0="00040000" w:csb1="00000000"/>
    <w:embedRegular r:id="rId7" w:fontKey="{9F9E00D4-8CF2-4E78-914F-7F0733742838}"/>
  </w:font>
  <w:font w:name="???-18030">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embedRegular r:id="rId8" w:fontKey="{30376224-2C5B-49F6-A7C5-8D8DB0A74320}"/>
  </w:font>
  <w:font w:name="新宋体">
    <w:panose1 w:val="02010609030101010101"/>
    <w:charset w:val="86"/>
    <w:family w:val="auto"/>
    <w:pitch w:val="default"/>
    <w:sig w:usb0="00000003" w:usb1="288F0000" w:usb2="00000006" w:usb3="00000000" w:csb0="00040001" w:csb1="00000000"/>
    <w:embedRegular r:id="rId9" w:fontKey="{35B40890-D086-48A7-9E90-7D7B2C27EA14}"/>
  </w:font>
  <w:font w:name="方正小标宋_GBK">
    <w:panose1 w:val="03000509000000000000"/>
    <w:charset w:val="86"/>
    <w:family w:val="script"/>
    <w:pitch w:val="default"/>
    <w:sig w:usb0="00000001" w:usb1="080E0000" w:usb2="00000000" w:usb3="00000000" w:csb0="00040000" w:csb1="00000000"/>
    <w:embedRegular r:id="rId10" w:fontKey="{EBDA886E-C8A9-4655-AF29-43F8C48C25A7}"/>
  </w:font>
  <w:font w:name="楷体_GB2312">
    <w:panose1 w:val="02010609030101010101"/>
    <w:charset w:val="86"/>
    <w:family w:val="auto"/>
    <w:pitch w:val="default"/>
    <w:sig w:usb0="00000001" w:usb1="080E0000" w:usb2="00000000" w:usb3="00000000" w:csb0="00040000" w:csb1="00000000"/>
    <w:embedRegular r:id="rId11" w:fontKey="{A2BC2131-C4D4-4B6C-AE91-233D669AEA70}"/>
  </w:font>
  <w:font w:name="方正楷体_GBK">
    <w:panose1 w:val="03000509000000000000"/>
    <w:charset w:val="86"/>
    <w:family w:val="auto"/>
    <w:pitch w:val="default"/>
    <w:sig w:usb0="00000001" w:usb1="080E0000" w:usb2="00000000" w:usb3="00000000" w:csb0="00040000" w:csb1="00000000"/>
    <w:embedRegular r:id="rId12" w:fontKey="{8DC8D79F-66BA-4DFF-BD01-42AAF9922A51}"/>
  </w:font>
  <w:font w:name="仿宋">
    <w:panose1 w:val="02010609060101010101"/>
    <w:charset w:val="86"/>
    <w:family w:val="auto"/>
    <w:pitch w:val="default"/>
    <w:sig w:usb0="800002BF" w:usb1="38CF7CFA" w:usb2="00000016" w:usb3="00000000" w:csb0="00040001" w:csb1="00000000"/>
    <w:embedRegular r:id="rId13" w:fontKey="{96C15E03-3C4D-4D19-AE51-E09D446D5D27}"/>
  </w:font>
  <w:font w:name="Symbol">
    <w:panose1 w:val="05050102010706020507"/>
    <w:charset w:val="00"/>
    <w:family w:val="auto"/>
    <w:pitch w:val="default"/>
    <w:sig w:usb0="00000000" w:usb1="00000000" w:usb2="00000000" w:usb3="00000000" w:csb0="80000000" w:csb1="00000000"/>
    <w:embedRegular r:id="rId14" w:fontKey="{A74985AB-6A90-44A2-BA99-72BB2E170D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7"/>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7"/>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BFE714"/>
    <w:multiLevelType w:val="singleLevel"/>
    <w:tmpl w:val="B2BFE71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6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mY2EyYTI5NGJhNjM2MjkzY2NlMWJhYzUzNTExZmUifQ=="/>
  </w:docVars>
  <w:rsids>
    <w:rsidRoot w:val="0CCB7736"/>
    <w:rsid w:val="00047FEF"/>
    <w:rsid w:val="000A3906"/>
    <w:rsid w:val="001776F1"/>
    <w:rsid w:val="006F0A16"/>
    <w:rsid w:val="00773328"/>
    <w:rsid w:val="00821883"/>
    <w:rsid w:val="00917857"/>
    <w:rsid w:val="00A755C2"/>
    <w:rsid w:val="016A347B"/>
    <w:rsid w:val="01EF5C0B"/>
    <w:rsid w:val="02B50488"/>
    <w:rsid w:val="0338470A"/>
    <w:rsid w:val="034822A9"/>
    <w:rsid w:val="03D86621"/>
    <w:rsid w:val="04EE6171"/>
    <w:rsid w:val="05395EA9"/>
    <w:rsid w:val="05883ED0"/>
    <w:rsid w:val="0A2368BD"/>
    <w:rsid w:val="0ABD557B"/>
    <w:rsid w:val="0B5539B8"/>
    <w:rsid w:val="0BBB5A8D"/>
    <w:rsid w:val="0C104906"/>
    <w:rsid w:val="0CCB7736"/>
    <w:rsid w:val="0D9E0E8D"/>
    <w:rsid w:val="0DFD7024"/>
    <w:rsid w:val="0EAB7397"/>
    <w:rsid w:val="0ED704A3"/>
    <w:rsid w:val="0EF755B3"/>
    <w:rsid w:val="0F17035E"/>
    <w:rsid w:val="0F4E168D"/>
    <w:rsid w:val="11404466"/>
    <w:rsid w:val="11963ADD"/>
    <w:rsid w:val="11EB0F5C"/>
    <w:rsid w:val="11F20483"/>
    <w:rsid w:val="136F31F8"/>
    <w:rsid w:val="138750E0"/>
    <w:rsid w:val="14D709D0"/>
    <w:rsid w:val="15A620D3"/>
    <w:rsid w:val="15C251DC"/>
    <w:rsid w:val="16A3369E"/>
    <w:rsid w:val="178536BD"/>
    <w:rsid w:val="19516372"/>
    <w:rsid w:val="19575CC2"/>
    <w:rsid w:val="19A80228"/>
    <w:rsid w:val="1A101464"/>
    <w:rsid w:val="1A7A2B76"/>
    <w:rsid w:val="1AB74849"/>
    <w:rsid w:val="1AC52FF2"/>
    <w:rsid w:val="1AE6175D"/>
    <w:rsid w:val="1B742AA7"/>
    <w:rsid w:val="1CA34935"/>
    <w:rsid w:val="1D5A640E"/>
    <w:rsid w:val="1F7640EC"/>
    <w:rsid w:val="20D76C5F"/>
    <w:rsid w:val="21057490"/>
    <w:rsid w:val="214A230E"/>
    <w:rsid w:val="21B052C4"/>
    <w:rsid w:val="21B53E47"/>
    <w:rsid w:val="22FF5445"/>
    <w:rsid w:val="23272F9C"/>
    <w:rsid w:val="238D0E57"/>
    <w:rsid w:val="24256710"/>
    <w:rsid w:val="24BA1FC0"/>
    <w:rsid w:val="251E7983"/>
    <w:rsid w:val="260D5D83"/>
    <w:rsid w:val="270A253F"/>
    <w:rsid w:val="284A2254"/>
    <w:rsid w:val="292F1467"/>
    <w:rsid w:val="29786927"/>
    <w:rsid w:val="297B51B4"/>
    <w:rsid w:val="29E40467"/>
    <w:rsid w:val="29F527E2"/>
    <w:rsid w:val="2BF35971"/>
    <w:rsid w:val="2C487650"/>
    <w:rsid w:val="2CD930DF"/>
    <w:rsid w:val="2E4F43C0"/>
    <w:rsid w:val="2EC7368E"/>
    <w:rsid w:val="2ED43E1F"/>
    <w:rsid w:val="30FB4B41"/>
    <w:rsid w:val="31621165"/>
    <w:rsid w:val="323C5548"/>
    <w:rsid w:val="330178AB"/>
    <w:rsid w:val="35450912"/>
    <w:rsid w:val="37450F88"/>
    <w:rsid w:val="37D6106F"/>
    <w:rsid w:val="38425B0B"/>
    <w:rsid w:val="38F862EB"/>
    <w:rsid w:val="39343807"/>
    <w:rsid w:val="39887BBC"/>
    <w:rsid w:val="3A2F07E2"/>
    <w:rsid w:val="3A53023B"/>
    <w:rsid w:val="3AF42D2D"/>
    <w:rsid w:val="3B3A041F"/>
    <w:rsid w:val="3BAE6BF9"/>
    <w:rsid w:val="3CCA47F2"/>
    <w:rsid w:val="3CDE0708"/>
    <w:rsid w:val="3D5877DF"/>
    <w:rsid w:val="3DC55CAA"/>
    <w:rsid w:val="3DD556CA"/>
    <w:rsid w:val="3DF75B79"/>
    <w:rsid w:val="3F450429"/>
    <w:rsid w:val="40226C80"/>
    <w:rsid w:val="40C451A5"/>
    <w:rsid w:val="4106459E"/>
    <w:rsid w:val="4156470B"/>
    <w:rsid w:val="41943ACE"/>
    <w:rsid w:val="425D4066"/>
    <w:rsid w:val="42F651D2"/>
    <w:rsid w:val="43173FD4"/>
    <w:rsid w:val="44143822"/>
    <w:rsid w:val="44654A12"/>
    <w:rsid w:val="457C5F26"/>
    <w:rsid w:val="48BC2937"/>
    <w:rsid w:val="492360EA"/>
    <w:rsid w:val="49CF255F"/>
    <w:rsid w:val="4B2C5DCD"/>
    <w:rsid w:val="4B7D1173"/>
    <w:rsid w:val="4C150E22"/>
    <w:rsid w:val="4C6A38FC"/>
    <w:rsid w:val="4CE74BC3"/>
    <w:rsid w:val="4CF5000E"/>
    <w:rsid w:val="4DB17672"/>
    <w:rsid w:val="4EDB23CD"/>
    <w:rsid w:val="4FA64A60"/>
    <w:rsid w:val="4FF45F63"/>
    <w:rsid w:val="50AC44C4"/>
    <w:rsid w:val="50DE0415"/>
    <w:rsid w:val="50EA6DB9"/>
    <w:rsid w:val="51CA7471"/>
    <w:rsid w:val="521C2FA3"/>
    <w:rsid w:val="522529B2"/>
    <w:rsid w:val="531B14AC"/>
    <w:rsid w:val="53910AF4"/>
    <w:rsid w:val="555952B3"/>
    <w:rsid w:val="556B5A36"/>
    <w:rsid w:val="55AF40BB"/>
    <w:rsid w:val="56F72F7C"/>
    <w:rsid w:val="586243BF"/>
    <w:rsid w:val="58FD3402"/>
    <w:rsid w:val="5AAF7799"/>
    <w:rsid w:val="5B5C1753"/>
    <w:rsid w:val="5E134100"/>
    <w:rsid w:val="5E18686B"/>
    <w:rsid w:val="5F7A1C50"/>
    <w:rsid w:val="5FDA69F5"/>
    <w:rsid w:val="601C4AB5"/>
    <w:rsid w:val="60BE691E"/>
    <w:rsid w:val="61444403"/>
    <w:rsid w:val="61F47A98"/>
    <w:rsid w:val="62265BDF"/>
    <w:rsid w:val="62E1699A"/>
    <w:rsid w:val="64147F0D"/>
    <w:rsid w:val="64D66362"/>
    <w:rsid w:val="65860217"/>
    <w:rsid w:val="663544E8"/>
    <w:rsid w:val="667E0AA1"/>
    <w:rsid w:val="68FB17C3"/>
    <w:rsid w:val="695F12F9"/>
    <w:rsid w:val="69636C3A"/>
    <w:rsid w:val="69CF7B2C"/>
    <w:rsid w:val="6A0B0004"/>
    <w:rsid w:val="6BA1010E"/>
    <w:rsid w:val="6BBD4800"/>
    <w:rsid w:val="6C17204C"/>
    <w:rsid w:val="6CE47E41"/>
    <w:rsid w:val="6CED5810"/>
    <w:rsid w:val="6CF92413"/>
    <w:rsid w:val="6DFE5E04"/>
    <w:rsid w:val="6E87203D"/>
    <w:rsid w:val="6F9278BB"/>
    <w:rsid w:val="70AC7790"/>
    <w:rsid w:val="71572F19"/>
    <w:rsid w:val="719B7427"/>
    <w:rsid w:val="724A6793"/>
    <w:rsid w:val="73CD0149"/>
    <w:rsid w:val="741F26FA"/>
    <w:rsid w:val="74470DF8"/>
    <w:rsid w:val="74996FAB"/>
    <w:rsid w:val="7504028B"/>
    <w:rsid w:val="75FD1676"/>
    <w:rsid w:val="77B05BDA"/>
    <w:rsid w:val="799536BA"/>
    <w:rsid w:val="7B170752"/>
    <w:rsid w:val="7B8F681B"/>
    <w:rsid w:val="7C142DB9"/>
    <w:rsid w:val="7DD96C0E"/>
    <w:rsid w:val="7DDF2F52"/>
    <w:rsid w:val="7E474F7B"/>
    <w:rsid w:val="7E8F7AC1"/>
    <w:rsid w:val="7EC32874"/>
    <w:rsid w:val="7EE572F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0"/>
    <w:pPr>
      <w:keepNext/>
      <w:keepLines/>
      <w:outlineLvl w:val="0"/>
    </w:pPr>
    <w:rPr>
      <w:rFonts w:eastAsia="黑体"/>
      <w:bCs/>
      <w:kern w:val="44"/>
      <w:szCs w:val="44"/>
    </w:rPr>
  </w:style>
  <w:style w:type="character" w:default="1" w:styleId="14">
    <w:name w:val="Default Paragraph Font"/>
    <w:semiHidden/>
    <w:qFormat/>
    <w:uiPriority w:val="99"/>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szCs w:val="22"/>
    </w:rPr>
  </w:style>
  <w:style w:type="paragraph" w:styleId="5">
    <w:name w:val="Normal Indent"/>
    <w:basedOn w:val="1"/>
    <w:unhideWhenUsed/>
    <w:qFormat/>
    <w:uiPriority w:val="99"/>
    <w:pPr>
      <w:ind w:firstLine="420" w:firstLineChars="200"/>
    </w:pPr>
  </w:style>
  <w:style w:type="paragraph" w:styleId="6">
    <w:name w:val="Body Text Indent"/>
    <w:basedOn w:val="1"/>
    <w:qFormat/>
    <w:uiPriority w:val="99"/>
    <w:pPr>
      <w:spacing w:line="420" w:lineRule="atLeast"/>
      <w:ind w:left="0" w:leftChars="0" w:firstLine="540"/>
    </w:pPr>
    <w:rPr>
      <w:szCs w:val="20"/>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next w:val="1"/>
    <w:qFormat/>
    <w:uiPriority w:val="0"/>
    <w:pPr>
      <w:snapToGrid w:val="0"/>
      <w:jc w:val="left"/>
    </w:pPr>
    <w:rPr>
      <w:sz w:val="18"/>
      <w:szCs w:val="18"/>
    </w:rPr>
  </w:style>
  <w:style w:type="paragraph" w:styleId="10">
    <w:name w:val="Normal (Web)"/>
    <w:basedOn w:val="1"/>
    <w:qFormat/>
    <w:uiPriority w:val="0"/>
    <w:pPr>
      <w:spacing w:beforeAutospacing="1" w:afterAutospacing="1"/>
      <w:jc w:val="left"/>
    </w:pPr>
    <w:rPr>
      <w:kern w:val="0"/>
      <w:sz w:val="24"/>
    </w:rPr>
  </w:style>
  <w:style w:type="paragraph" w:styleId="11">
    <w:name w:val="Body Text First Indent 2"/>
    <w:basedOn w:val="6"/>
    <w:unhideWhenUsed/>
    <w:qFormat/>
    <w:uiPriority w:val="99"/>
    <w:pPr>
      <w:spacing w:after="120" w:line="360" w:lineRule="auto"/>
      <w:ind w:left="420" w:leftChars="200" w:firstLine="420" w:firstLineChars="200"/>
    </w:pPr>
    <w:rPr>
      <w:rFonts w:ascii="Calibri" w:hAnsi="Calibri"/>
    </w:rPr>
  </w:style>
  <w:style w:type="table" w:styleId="13">
    <w:name w:val="Table Grid"/>
    <w:basedOn w:val="12"/>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99"/>
    <w:rPr>
      <w:rFonts w:cs="Times New Roman"/>
    </w:rPr>
  </w:style>
  <w:style w:type="character" w:customStyle="1" w:styleId="16">
    <w:name w:val="Footer Char"/>
    <w:basedOn w:val="14"/>
    <w:link w:val="7"/>
    <w:semiHidden/>
    <w:qFormat/>
    <w:uiPriority w:val="99"/>
    <w:rPr>
      <w:sz w:val="18"/>
      <w:szCs w:val="18"/>
    </w:rPr>
  </w:style>
  <w:style w:type="character" w:customStyle="1" w:styleId="17">
    <w:name w:val="Header Char"/>
    <w:basedOn w:val="14"/>
    <w:link w:val="8"/>
    <w:semiHidden/>
    <w:qFormat/>
    <w:uiPriority w:val="99"/>
    <w:rPr>
      <w:sz w:val="18"/>
      <w:szCs w:val="18"/>
    </w:rPr>
  </w:style>
  <w:style w:type="paragraph" w:styleId="18">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20</Pages>
  <Words>7180</Words>
  <Characters>7767</Characters>
  <Lines>0</Lines>
  <Paragraphs>0</Paragraphs>
  <TotalTime>13</TotalTime>
  <ScaleCrop>false</ScaleCrop>
  <LinksUpToDate>false</LinksUpToDate>
  <CharactersWithSpaces>7846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丽轩文印-张丽萍</cp:lastModifiedBy>
  <cp:lastPrinted>2023-06-29T01:04:00Z</cp:lastPrinted>
  <dcterms:modified xsi:type="dcterms:W3CDTF">2023-07-14T00:27:58Z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7C0B05F0D89B4EA1A65F8F7E8974D308_13</vt:lpwstr>
  </property>
</Properties>
</file>