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7" w:line="224" w:lineRule="auto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4"/>
          <w:sz w:val="36"/>
          <w:szCs w:val="36"/>
        </w:rPr>
        <w:t>附件5</w:t>
      </w:r>
    </w:p>
    <w:p>
      <w:pPr>
        <w:spacing w:before="180" w:line="207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3"/>
          <w:sz w:val="44"/>
          <w:szCs w:val="44"/>
        </w:rPr>
        <w:t>2022年度项目支出绩效自评表</w:t>
      </w:r>
    </w:p>
    <w:tbl>
      <w:tblPr>
        <w:tblStyle w:val="5"/>
        <w:tblW w:w="979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1"/>
        <w:gridCol w:w="963"/>
        <w:gridCol w:w="963"/>
        <w:gridCol w:w="2042"/>
        <w:gridCol w:w="746"/>
        <w:gridCol w:w="1058"/>
        <w:gridCol w:w="823"/>
        <w:gridCol w:w="863"/>
        <w:gridCol w:w="14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项目支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出名称</w:t>
            </w:r>
          </w:p>
        </w:tc>
        <w:tc>
          <w:tcPr>
            <w:tcW w:w="888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乡村振兴道路建设资金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br w:type="textWrapping"/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（支出项目：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S222建设项目征拆资金、梅田湖大桥建设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主管部门</w:t>
            </w:r>
          </w:p>
        </w:tc>
        <w:tc>
          <w:tcPr>
            <w:tcW w:w="47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华容县交通运输局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实施单位</w:t>
            </w:r>
          </w:p>
        </w:tc>
        <w:tc>
          <w:tcPr>
            <w:tcW w:w="311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县交通项目建设有限责任公司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911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项目资金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(万元)</w:t>
            </w:r>
          </w:p>
        </w:tc>
        <w:tc>
          <w:tcPr>
            <w:tcW w:w="19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预算数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预算数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执行数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分值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执行率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年度资金总额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3394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3394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3394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其中：当年财政拨款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上年结转资金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9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其他资金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年度总体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目标</w:t>
            </w:r>
          </w:p>
        </w:tc>
        <w:tc>
          <w:tcPr>
            <w:tcW w:w="47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预期目标</w:t>
            </w:r>
          </w:p>
        </w:tc>
        <w:tc>
          <w:tcPr>
            <w:tcW w:w="417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实际完成情况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  <w:jc w:val="center"/>
        </w:trPr>
        <w:tc>
          <w:tcPr>
            <w:tcW w:w="9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471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完成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S222建设所涉及3个乡镇的征拆遗留问题处置；完成梅田湖大桥建设交工通车。</w:t>
            </w:r>
          </w:p>
        </w:tc>
        <w:tc>
          <w:tcPr>
            <w:tcW w:w="417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left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已完成</w:t>
            </w: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S222建设遗留征拆问题的办理，梅田湖大桥建设实现年内通车。项目实施后，行车安全环境得到提升，营造了良好的道路交通环境。全面提升路网安全保障能力，提升人民群众获得感、幸福感和安全感。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911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绩效指标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一级指标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二级指标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三级指标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指标值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position w:val="4"/>
                <w:sz w:val="18"/>
                <w:szCs w:val="18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完成值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分值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得分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偏差原因分析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及改进措施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产出指标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(50分)</w:t>
            </w: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数量指标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项目征拆目标完成率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完成桥梁建设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1座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质量指标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交工项目合格率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资金使用规范性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规范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规范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桥梁设计及施工符合现行的国家有关建筑设计规范和行业标准率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时效指标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如期完成计量任务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评价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项目建设按期交工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评价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是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成本指标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工程建设造价成本控制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合同约定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合同约定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效益指标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(30分)</w:t>
            </w: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益指标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辐射桥梁沿线</w:t>
            </w:r>
            <w:r>
              <w:rPr>
                <w:rFonts w:hint="eastAsia" w:eastAsia="宋体"/>
                <w:sz w:val="18"/>
                <w:szCs w:val="18"/>
                <w:lang w:eastAsia="zh-CN"/>
              </w:rPr>
              <w:t>乡镇</w:t>
            </w:r>
            <w:r>
              <w:rPr>
                <w:rFonts w:hint="eastAsia" w:ascii="Arial"/>
                <w:sz w:val="18"/>
                <w:szCs w:val="18"/>
              </w:rPr>
              <w:t>产业发展成效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明显提升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明显提升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促进园区工业</w:t>
            </w:r>
            <w:r>
              <w:rPr>
                <w:rFonts w:hint="eastAsia" w:ascii="Arial"/>
                <w:sz w:val="18"/>
                <w:szCs w:val="18"/>
              </w:rPr>
              <w:t>产业发展成效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明显提升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明显提升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益指标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乡村振兴直接受益乡镇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6个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6个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基本公共服务水平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明显提升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明显提升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益指标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项目实施对项目区保护野生资源、维护生态平衡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抵御自然灾害、防汛影响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保持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可持续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影响指标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  <w:r>
              <w:rPr>
                <w:rFonts w:hint="eastAsia" w:ascii="Arial"/>
                <w:sz w:val="18"/>
                <w:szCs w:val="18"/>
              </w:rPr>
              <w:t>新改建公路项目适应未来一定时期内交通需求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适应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适应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(10分)</w:t>
            </w:r>
          </w:p>
        </w:tc>
        <w:tc>
          <w:tcPr>
            <w:tcW w:w="963" w:type="dxa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服务对象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Arial" w:eastAsia="宋体"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sz w:val="18"/>
                <w:szCs w:val="18"/>
                <w:lang w:eastAsia="zh-CN"/>
              </w:rPr>
              <w:t>受益群众满意度</w:t>
            </w: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911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  <w:jc w:val="center"/>
        </w:trPr>
        <w:tc>
          <w:tcPr>
            <w:tcW w:w="911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963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20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  <w:jc w:val="center"/>
        </w:trPr>
        <w:tc>
          <w:tcPr>
            <w:tcW w:w="668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总分</w:t>
            </w:r>
          </w:p>
        </w:tc>
        <w:tc>
          <w:tcPr>
            <w:tcW w:w="8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position w:val="-2"/>
                <w:sz w:val="18"/>
                <w:szCs w:val="18"/>
              </w:rPr>
              <w:t>100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default" w:ascii="Arial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ascii="Arial"/>
                <w:sz w:val="18"/>
                <w:szCs w:val="18"/>
              </w:rPr>
            </w:pPr>
          </w:p>
        </w:tc>
      </w:tr>
    </w:tbl>
    <w:p>
      <w:pPr>
        <w:spacing w:before="33" w:line="219" w:lineRule="auto"/>
        <w:ind w:left="34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备注：</w:t>
      </w:r>
      <w:r>
        <w:rPr>
          <w:rFonts w:ascii="宋体" w:hAnsi="宋体" w:eastAsia="宋体" w:cs="宋体"/>
          <w:spacing w:val="29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一个一级项目支出一张表。如，业务工作经费，运行维护经费，XX项目资金</w:t>
      </w:r>
      <w:r>
        <w:rPr>
          <w:rFonts w:ascii="宋体" w:hAnsi="宋体" w:eastAsia="宋体" w:cs="宋体"/>
          <w:spacing w:val="-80"/>
          <w:sz w:val="21"/>
          <w:szCs w:val="21"/>
        </w:rPr>
        <w:t xml:space="preserve"> </w:t>
      </w:r>
      <w:r>
        <w:rPr>
          <w:rFonts w:ascii="宋体" w:hAnsi="宋体" w:eastAsia="宋体" w:cs="宋体"/>
          <w:spacing w:val="-1"/>
          <w:sz w:val="21"/>
          <w:szCs w:val="21"/>
        </w:rPr>
        <w:t>…各一张表。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72" w:line="228" w:lineRule="auto"/>
        <w:ind w:left="364"/>
        <w:rPr>
          <w:rFonts w:ascii="Arial"/>
          <w:sz w:val="21"/>
        </w:rPr>
      </w:pPr>
      <w:r>
        <w:rPr>
          <w:rFonts w:ascii="宋体" w:hAnsi="宋体" w:eastAsia="宋体" w:cs="宋体"/>
          <w:spacing w:val="-22"/>
          <w:sz w:val="22"/>
          <w:szCs w:val="22"/>
        </w:rPr>
        <w:t>填表人：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6"/>
          <w:sz w:val="22"/>
          <w:szCs w:val="22"/>
          <w:lang w:val="en-US" w:eastAsia="zh-CN"/>
        </w:rPr>
        <w:t>吴丹</w:t>
      </w:r>
      <w:r>
        <w:rPr>
          <w:rFonts w:ascii="宋体" w:hAnsi="宋体" w:eastAsia="宋体" w:cs="宋体"/>
          <w:spacing w:val="6"/>
          <w:sz w:val="22"/>
          <w:szCs w:val="22"/>
        </w:rPr>
        <w:t xml:space="preserve">       </w:t>
      </w:r>
      <w:r>
        <w:rPr>
          <w:rFonts w:ascii="宋体" w:hAnsi="宋体" w:eastAsia="宋体" w:cs="宋体"/>
          <w:spacing w:val="-22"/>
          <w:sz w:val="22"/>
          <w:szCs w:val="22"/>
        </w:rPr>
        <w:t>填报日期：</w:t>
      </w:r>
      <w:r>
        <w:rPr>
          <w:rFonts w:hint="eastAsia" w:ascii="宋体" w:hAnsi="宋体" w:eastAsia="宋体" w:cs="宋体"/>
          <w:spacing w:val="-22"/>
          <w:sz w:val="22"/>
          <w:szCs w:val="22"/>
          <w:lang w:val="en-US" w:eastAsia="zh-CN"/>
        </w:rPr>
        <w:t>2023-7-7</w:t>
      </w:r>
      <w:r>
        <w:rPr>
          <w:rFonts w:ascii="宋体" w:hAnsi="宋体" w:eastAsia="宋体" w:cs="宋体"/>
          <w:spacing w:val="4"/>
          <w:sz w:val="22"/>
          <w:szCs w:val="22"/>
        </w:rPr>
        <w:t xml:space="preserve">          </w:t>
      </w:r>
      <w:r>
        <w:rPr>
          <w:rFonts w:ascii="宋体" w:hAnsi="宋体" w:eastAsia="宋体" w:cs="宋体"/>
          <w:spacing w:val="-22"/>
          <w:sz w:val="22"/>
          <w:szCs w:val="22"/>
        </w:rPr>
        <w:t>联系电话：</w:t>
      </w:r>
      <w:r>
        <w:rPr>
          <w:rFonts w:hint="eastAsia" w:ascii="宋体" w:hAnsi="宋体" w:eastAsia="宋体" w:cs="宋体"/>
          <w:spacing w:val="-22"/>
          <w:sz w:val="22"/>
          <w:szCs w:val="22"/>
          <w:lang w:val="en-US" w:eastAsia="zh-CN"/>
        </w:rPr>
        <w:t>4131157</w:t>
      </w:r>
      <w:r>
        <w:rPr>
          <w:rFonts w:ascii="宋体" w:hAnsi="宋体" w:eastAsia="宋体" w:cs="宋体"/>
          <w:spacing w:val="4"/>
          <w:sz w:val="22"/>
          <w:szCs w:val="22"/>
        </w:rPr>
        <w:t xml:space="preserve">        </w:t>
      </w:r>
      <w:r>
        <w:rPr>
          <w:rFonts w:ascii="宋体" w:hAnsi="宋体" w:eastAsia="宋体" w:cs="宋体"/>
          <w:spacing w:val="-22"/>
          <w:position w:val="-1"/>
          <w:sz w:val="22"/>
          <w:szCs w:val="22"/>
        </w:rPr>
        <w:t>单位负责人签字；</w:t>
      </w:r>
      <w:r>
        <w:rPr>
          <w:rFonts w:hint="eastAsia" w:ascii="宋体" w:hAnsi="宋体" w:eastAsia="宋体" w:cs="宋体"/>
          <w:spacing w:val="-22"/>
          <w:position w:val="-1"/>
          <w:sz w:val="22"/>
          <w:szCs w:val="22"/>
          <w:lang w:val="en-US" w:eastAsia="zh-CN"/>
        </w:rPr>
        <w:t>唐龙</w:t>
      </w:r>
    </w:p>
    <w:p>
      <w:pPr>
        <w:sectPr>
          <w:footerReference r:id="rId5" w:type="default"/>
          <w:pgSz w:w="12058" w:h="16940"/>
          <w:pgMar w:top="1134" w:right="1134" w:bottom="1134" w:left="1134" w:header="0" w:footer="0" w:gutter="0"/>
          <w:cols w:space="0" w:num="1"/>
          <w:rtlGutter w:val="0"/>
          <w:docGrid w:linePitch="0" w:charSpace="0"/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7" w:line="224" w:lineRule="auto"/>
        <w:ind w:left="2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7"/>
          <w:sz w:val="33"/>
          <w:szCs w:val="33"/>
        </w:rPr>
        <w:t>附件6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47" w:line="907" w:lineRule="exact"/>
        <w:ind w:left="246"/>
        <w:jc w:val="center"/>
        <w:rPr>
          <w:rFonts w:hint="eastAsia" w:ascii="宋体" w:hAnsi="宋体" w:eastAsia="宋体" w:cs="宋体"/>
          <w:b/>
          <w:bCs/>
          <w:spacing w:val="14"/>
          <w:position w:val="34"/>
          <w:sz w:val="45"/>
          <w:szCs w:val="45"/>
          <w:lang w:val="en-US" w:eastAsia="zh-CN"/>
        </w:rPr>
      </w:pPr>
      <w:r>
        <w:rPr>
          <w:rFonts w:ascii="宋体" w:hAnsi="宋体" w:eastAsia="宋体" w:cs="宋体"/>
          <w:b/>
          <w:bCs/>
          <w:spacing w:val="14"/>
          <w:position w:val="34"/>
          <w:sz w:val="45"/>
          <w:szCs w:val="45"/>
        </w:rPr>
        <w:t>2022年度</w:t>
      </w:r>
      <w:r>
        <w:rPr>
          <w:rFonts w:hint="eastAsia" w:ascii="宋体" w:hAnsi="宋体" w:eastAsia="宋体" w:cs="宋体"/>
          <w:b/>
          <w:bCs/>
          <w:spacing w:val="14"/>
          <w:position w:val="34"/>
          <w:sz w:val="45"/>
          <w:szCs w:val="45"/>
          <w:lang w:val="en-US" w:eastAsia="zh-CN"/>
        </w:rPr>
        <w:t>华容县交通运输局</w:t>
      </w:r>
    </w:p>
    <w:p>
      <w:pPr>
        <w:spacing w:before="147" w:line="907" w:lineRule="exact"/>
        <w:ind w:left="246"/>
        <w:jc w:val="center"/>
        <w:rPr>
          <w:rFonts w:ascii="宋体" w:hAnsi="宋体" w:eastAsia="宋体" w:cs="宋体"/>
          <w:sz w:val="45"/>
          <w:szCs w:val="45"/>
        </w:rPr>
      </w:pPr>
      <w:r>
        <w:rPr>
          <w:rFonts w:hint="eastAsia" w:ascii="宋体" w:hAnsi="宋体" w:eastAsia="宋体" w:cs="宋体"/>
          <w:b/>
          <w:bCs/>
          <w:spacing w:val="14"/>
          <w:position w:val="34"/>
          <w:sz w:val="45"/>
          <w:szCs w:val="45"/>
          <w:lang w:val="en-US" w:eastAsia="zh-CN"/>
        </w:rPr>
        <w:t>乡村振兴道路建设资金</w:t>
      </w:r>
      <w:r>
        <w:rPr>
          <w:rFonts w:ascii="宋体" w:hAnsi="宋体" w:eastAsia="宋体" w:cs="宋体"/>
          <w:b/>
          <w:bCs/>
          <w:spacing w:val="14"/>
          <w:position w:val="34"/>
          <w:sz w:val="45"/>
          <w:szCs w:val="45"/>
        </w:rPr>
        <w:t>项目支出</w:t>
      </w:r>
    </w:p>
    <w:p>
      <w:pPr>
        <w:spacing w:before="2" w:line="217" w:lineRule="auto"/>
        <w:ind w:left="2956"/>
        <w:jc w:val="both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4"/>
          <w:sz w:val="45"/>
          <w:szCs w:val="45"/>
        </w:rPr>
        <w:t>绩效自评报告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jc w:val="center"/>
        <w:rPr>
          <w:rFonts w:ascii="Arial"/>
          <w:sz w:val="21"/>
        </w:rPr>
      </w:pPr>
    </w:p>
    <w:p>
      <w:pPr>
        <w:spacing w:before="107" w:line="221" w:lineRule="auto"/>
        <w:ind w:firstLine="332" w:firstLineChars="100"/>
        <w:jc w:val="center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1"/>
          <w:sz w:val="33"/>
          <w:szCs w:val="33"/>
        </w:rPr>
        <w:t>部门(单位)名称：</w:t>
      </w:r>
      <w:r>
        <w:rPr>
          <w:rFonts w:ascii="仿宋" w:hAnsi="仿宋" w:eastAsia="仿宋" w:cs="仿宋"/>
          <w:spacing w:val="3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95"/>
          <w:sz w:val="33"/>
          <w:szCs w:val="33"/>
          <w:u w:val="single" w:color="auto"/>
        </w:rPr>
        <w:t xml:space="preserve"> </w:t>
      </w:r>
      <w:r>
        <w:rPr>
          <w:rFonts w:ascii="仿宋" w:hAnsi="仿宋" w:eastAsia="仿宋" w:cs="仿宋"/>
          <w:spacing w:val="1"/>
          <w:sz w:val="33"/>
          <w:szCs w:val="33"/>
          <w:u w:val="single" w:color="auto"/>
        </w:rPr>
        <w:t>(盖章)</w:t>
      </w:r>
    </w:p>
    <w:p>
      <w:pPr>
        <w:spacing w:before="178" w:line="222" w:lineRule="auto"/>
        <w:ind w:left="3459"/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</w:pPr>
    </w:p>
    <w:p>
      <w:pPr>
        <w:spacing w:before="178" w:line="222" w:lineRule="auto"/>
        <w:jc w:val="center"/>
        <w:rPr>
          <w:rFonts w:ascii="仿宋" w:hAnsi="仿宋" w:eastAsia="仿宋" w:cs="仿宋"/>
          <w:sz w:val="33"/>
          <w:szCs w:val="33"/>
        </w:rPr>
      </w:pP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 2023 </w:t>
      </w:r>
      <w:r>
        <w:rPr>
          <w:rFonts w:ascii="仿宋" w:hAnsi="仿宋" w:eastAsia="仿宋" w:cs="仿宋"/>
          <w:spacing w:val="-22"/>
          <w:sz w:val="33"/>
          <w:szCs w:val="33"/>
        </w:rPr>
        <w:t>年</w:t>
      </w: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 7 </w:t>
      </w:r>
      <w:r>
        <w:rPr>
          <w:rFonts w:ascii="仿宋" w:hAnsi="仿宋" w:eastAsia="仿宋" w:cs="仿宋"/>
          <w:spacing w:val="-22"/>
          <w:sz w:val="33"/>
          <w:szCs w:val="33"/>
        </w:rPr>
        <w:t>月</w:t>
      </w:r>
      <w:r>
        <w:rPr>
          <w:rFonts w:hint="eastAsia" w:ascii="仿宋" w:hAnsi="仿宋" w:eastAsia="仿宋" w:cs="仿宋"/>
          <w:spacing w:val="-22"/>
          <w:sz w:val="33"/>
          <w:szCs w:val="33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28"/>
          <w:sz w:val="33"/>
          <w:szCs w:val="33"/>
          <w:lang w:val="en-US" w:eastAsia="zh-CN"/>
        </w:rPr>
        <w:t>7</w:t>
      </w:r>
      <w:r>
        <w:rPr>
          <w:rFonts w:ascii="仿宋" w:hAnsi="仿宋" w:eastAsia="仿宋" w:cs="仿宋"/>
          <w:spacing w:val="-22"/>
          <w:sz w:val="33"/>
          <w:szCs w:val="33"/>
        </w:rPr>
        <w:t>日</w:t>
      </w:r>
    </w:p>
    <w:p>
      <w:pPr>
        <w:sectPr>
          <w:footerReference r:id="rId6" w:type="default"/>
          <w:pgSz w:w="12058" w:h="16940"/>
          <w:pgMar w:top="1701" w:right="1701" w:bottom="1701" w:left="1701" w:header="0" w:footer="0" w:gutter="0"/>
          <w:cols w:space="0" w:num="1"/>
          <w:rtlGutter w:val="0"/>
          <w:docGrid w:linePitch="0" w:charSpace="0"/>
        </w:sect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2022年度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华容县交通运输局乡村振兴道路建设资金项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目支出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绩效自评报告</w:t>
      </w:r>
    </w:p>
    <w:p>
      <w:pPr>
        <w:spacing w:line="344" w:lineRule="auto"/>
        <w:rPr>
          <w:rFonts w:ascii="Arial"/>
          <w:sz w:val="21"/>
        </w:rPr>
      </w:pPr>
    </w:p>
    <w:p>
      <w:pPr>
        <w:spacing w:line="345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(一)项目概况。S222珠头山至花子坟绕城公路，二级公路，长9.726km，路基12m，路面10.5m，沥青混凝土路面，设计批复19178元， 2017年10月9日 ，岳阳路桥公司中标承建，该工程2017开工建设，2020年12月21日交工通车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；梅田湖大桥起于鲇鱼须大桥南岸接线，沿原新建乡西侧三合垸跨藕池河东支至梅田湖镇，止于北剅口村接X082。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本项目总投资估算约18411.6万元，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2020年5月开工，2022年12月31日交工通车。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(二)项目绩效目标。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根据施工合同如期推进，确保施工进度，解决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S222征拆遗留问题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年内完成梅田湖大桥建设交工作通行。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 绩效评价工作开展情况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(一)绩效评价目的、对象和范围。为加强交通运输行业服务水平，提高其他公路水路运输资金的使用效益，发挥主管部门绩效工作监督和指导职能。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主要自评项目为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解决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S222项目所涉及征拆遗留问题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；梅田湖大桥建设年内实现交工通行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(二)绩效评价原则、评价指标体系(附表说明)、评价方法、评价标准等。我局绩效自评遵循以下原则：客观、公正、科学、严谨、独立的基础上开展工作。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部门项目支出自评体系，设定基本情况、产出、效益、满意度等一级指标四个，下各设定了若干个二级指标和三级指标及其分值，总分设置为100分，等级划分为四档：90（含）-100分为优、80（含）-90分为良、60（含）-80分为中、60分以下为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绩效评价方法主要采取成本效益分析法、比较法、公众评判法等。手段主要包括：收集资料，实地勘察和民意采集等。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绩效评价工作过程。我局成立了2022年度财政资金绩效自评工作小组，为了保障自评质量，我局抽调精干人员，从专业角度开展了局本级及被评价责任单位，2022年整体支出和项目支出绩效自评工作。此项目支出情况在评价范围内，通过查阅资料、现场勘察，完成了自评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 综合评价情况及评价结论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综合评价以上项目均已完成，梅田湖大桥建设交工通车，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S222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征拆遗留问题已经解决。经评价考核，以上项目符合行业标准，未见异常。项目支出自评得分99分。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 绩效评价指标分析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(一)项目决策情况。以上项目实施单位，局机关、县交通项目有限责任公司，根据政府要求，按年初计划确定具体项目，按程序推进落实。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项目过程情况。按属地原则，我局将农村公路小型项目建设计划下达给乡镇，由乡镇担任项目业主，乡镇按项目计划大小，经公开招标、非招采购、村“三公三议”等程序确定施工单位，每个项目都是按计划里程，计划轨迹实施，没有调整。项目实施过程中，机构健全、分工明确，管理制度合法、合规、完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(三)项目产出情况。项目交工验收后，将初审计量数据报县局复核，制订拨款申请表，按流程报县分管副县长审批同意后，再由县局报县财政资金分配计划拨款。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项目效益情况。改善了我县农村公路的路容、路况，营造了良好的道路交通环境。全面提升农村公路路网安全保障能力，提升人民群众获得感、幸福感和安全感，满意度100%。沿线群众生产生活条件，公路沿线产业发展成效显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 主要经验及做法、存在的问题及原因分析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做法：我局在上级部门指导下，健全和完善了交通运输领域的绩效指标体系和管理制度，加强了绩效管理人员业务培训。规范了绩效目标编审、绩效运行监控、绩效评价实施和绩效结果应用等绩效管理全过程，积极与县财政对接，及时掌握国省补助资金到位情况，根据资金筹措及安排，及时落实年度建设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存在问题分析：通过回头看，我局在2022年国省补助财政预算执行还存在一些问题：一是个别项目预算绩效目标的设定以及资金使用率等还有不足；二是绩效管理人员缺乏专业知识，也缺少培训机会，容易在绩效管理工作中管理不到位，对现行的预算绩效管理不适应；三是部门整体预算编制的科学化、精细化、精准化还有待提高。</w:t>
      </w:r>
    </w:p>
    <w:p/>
    <w:p>
      <w:pPr>
        <w:spacing w:before="219" w:line="221" w:lineRule="auto"/>
        <w:ind w:left="584"/>
        <w:outlineLvl w:val="1"/>
        <w:sectPr>
          <w:footerReference r:id="rId7" w:type="default"/>
          <w:pgSz w:w="12058" w:h="16940"/>
          <w:pgMar w:top="1701" w:right="1701" w:bottom="1701" w:left="1701" w:header="0" w:footer="0" w:gutter="0"/>
          <w:cols w:space="0" w:num="1"/>
          <w:rtlGutter w:val="0"/>
          <w:docGrid w:linePitch="0" w:charSpace="0"/>
        </w:sectPr>
      </w:pPr>
    </w:p>
    <w:p>
      <w:pPr>
        <w:spacing w:before="114" w:line="224" w:lineRule="auto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z w:val="35"/>
          <w:szCs w:val="35"/>
        </w:rPr>
        <w:t>附件4</w:t>
      </w:r>
    </w:p>
    <w:p>
      <w:pPr>
        <w:spacing w:before="229" w:line="218" w:lineRule="auto"/>
        <w:ind w:left="156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11"/>
          <w:sz w:val="45"/>
          <w:szCs w:val="45"/>
        </w:rPr>
        <w:t>项目支出绩效评价评分表(共性)</w:t>
      </w:r>
    </w:p>
    <w:p/>
    <w:p>
      <w:pPr>
        <w:spacing w:line="44" w:lineRule="exact"/>
      </w:pPr>
    </w:p>
    <w:tbl>
      <w:tblPr>
        <w:tblStyle w:val="5"/>
        <w:tblW w:w="98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540"/>
        <w:gridCol w:w="709"/>
        <w:gridCol w:w="549"/>
        <w:gridCol w:w="789"/>
        <w:gridCol w:w="559"/>
        <w:gridCol w:w="2408"/>
        <w:gridCol w:w="2929"/>
        <w:gridCol w:w="6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84" w:hRule="atLeast"/>
          <w:jc w:val="center"/>
        </w:trPr>
        <w:tc>
          <w:tcPr>
            <w:tcW w:w="694" w:type="dxa"/>
            <w:vAlign w:val="top"/>
          </w:tcPr>
          <w:p>
            <w:pPr>
              <w:spacing w:before="71" w:line="239" w:lineRule="exact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4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0" w:type="dxa"/>
            <w:textDirection w:val="tbRlV"/>
            <w:vAlign w:val="top"/>
          </w:tcPr>
          <w:p>
            <w:pPr>
              <w:spacing w:before="179" w:line="216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13"/>
                <w:sz w:val="18"/>
                <w:szCs w:val="18"/>
              </w:rPr>
              <w:t>分值</w:t>
            </w:r>
          </w:p>
        </w:tc>
        <w:tc>
          <w:tcPr>
            <w:tcW w:w="709" w:type="dxa"/>
            <w:vAlign w:val="top"/>
          </w:tcPr>
          <w:p>
            <w:pPr>
              <w:spacing w:before="71" w:line="239" w:lineRule="exact"/>
              <w:ind w:left="1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position w:val="4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1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9" w:type="dxa"/>
            <w:textDirection w:val="tbRlV"/>
            <w:vAlign w:val="top"/>
          </w:tcPr>
          <w:p>
            <w:pPr>
              <w:spacing w:before="187" w:line="216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分值</w:t>
            </w:r>
          </w:p>
        </w:tc>
        <w:tc>
          <w:tcPr>
            <w:tcW w:w="789" w:type="dxa"/>
            <w:vAlign w:val="top"/>
          </w:tcPr>
          <w:p>
            <w:pPr>
              <w:spacing w:before="61" w:line="239" w:lineRule="exact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position w:val="4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59" w:type="dxa"/>
            <w:textDirection w:val="tbRlV"/>
            <w:vAlign w:val="top"/>
          </w:tcPr>
          <w:p>
            <w:pPr>
              <w:spacing w:before="185" w:line="216" w:lineRule="auto"/>
              <w:ind w:left="9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8"/>
                <w:szCs w:val="18"/>
              </w:rPr>
              <w:t>分值</w:t>
            </w:r>
          </w:p>
        </w:tc>
        <w:tc>
          <w:tcPr>
            <w:tcW w:w="2408" w:type="dxa"/>
            <w:vAlign w:val="top"/>
          </w:tcPr>
          <w:p>
            <w:pPr>
              <w:spacing w:before="200" w:line="220" w:lineRule="auto"/>
              <w:ind w:left="8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具体指标</w:t>
            </w:r>
          </w:p>
        </w:tc>
        <w:tc>
          <w:tcPr>
            <w:tcW w:w="2929" w:type="dxa"/>
            <w:vAlign w:val="top"/>
          </w:tcPr>
          <w:p>
            <w:pPr>
              <w:spacing w:before="198" w:line="218" w:lineRule="auto"/>
              <w:ind w:left="10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评价标准</w:t>
            </w:r>
          </w:p>
        </w:tc>
        <w:tc>
          <w:tcPr>
            <w:tcW w:w="652" w:type="dxa"/>
            <w:vAlign w:val="top"/>
          </w:tcPr>
          <w:p>
            <w:pPr>
              <w:spacing w:before="70" w:line="249" w:lineRule="exact"/>
              <w:ind w:left="2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position w:val="4"/>
                <w:sz w:val="18"/>
                <w:szCs w:val="18"/>
              </w:rPr>
              <w:t>自评</w:t>
            </w:r>
          </w:p>
          <w:p>
            <w:pPr>
              <w:spacing w:line="219" w:lineRule="auto"/>
              <w:ind w:left="2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  <w:jc w:val="center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9" w:line="216" w:lineRule="auto"/>
              <w:ind w:left="210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709" w:type="dxa"/>
            <w:textDirection w:val="tbRlV"/>
            <w:vAlign w:val="top"/>
          </w:tcPr>
          <w:p>
            <w:pPr>
              <w:spacing w:before="267" w:line="217" w:lineRule="auto"/>
              <w:ind w:left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项目目标</w:t>
            </w:r>
          </w:p>
        </w:tc>
        <w:tc>
          <w:tcPr>
            <w:tcW w:w="54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789" w:type="dxa"/>
            <w:vAlign w:val="top"/>
          </w:tcPr>
          <w:p>
            <w:pPr>
              <w:spacing w:before="248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position w:val="4"/>
                <w:sz w:val="18"/>
                <w:szCs w:val="18"/>
              </w:rPr>
              <w:t>目标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内容</w:t>
            </w:r>
          </w:p>
        </w:tc>
        <w:tc>
          <w:tcPr>
            <w:tcW w:w="55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  <w:vAlign w:val="top"/>
          </w:tcPr>
          <w:p>
            <w:pPr>
              <w:spacing w:before="259" w:line="227" w:lineRule="auto"/>
              <w:ind w:left="84" w:right="145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设立了项目绩效目标；目标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明确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2929" w:type="dxa"/>
            <w:vAlign w:val="top"/>
          </w:tcPr>
          <w:p>
            <w:pPr>
              <w:spacing w:before="26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①设有目标(</w:t>
            </w:r>
            <w:r>
              <w:rPr>
                <w:rFonts w:hint="eastAsia" w:ascii="宋体" w:hAnsi="宋体" w:eastAsia="宋体" w:cs="宋体"/>
                <w:spacing w:val="2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分)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②目标明确(</w:t>
            </w:r>
            <w:r>
              <w:rPr>
                <w:rFonts w:hint="eastAsia" w:ascii="宋体" w:hAnsi="宋体" w:eastAsia="宋体" w:cs="宋体"/>
                <w:spacing w:val="2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21"/>
                <w:sz w:val="18"/>
                <w:szCs w:val="18"/>
              </w:rPr>
              <w:t>分)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  <w:p>
            <w:pPr>
              <w:bidi w:val="0"/>
              <w:ind w:firstLine="46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7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8" w:line="216" w:lineRule="auto"/>
              <w:ind w:left="7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决策过程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789" w:type="dxa"/>
            <w:vAlign w:val="top"/>
          </w:tcPr>
          <w:p>
            <w:pPr>
              <w:spacing w:line="358" w:lineRule="auto"/>
              <w:rPr>
                <w:rFonts w:ascii="Arial"/>
                <w:sz w:val="21"/>
              </w:rPr>
            </w:pPr>
          </w:p>
          <w:p>
            <w:pPr>
              <w:spacing w:before="58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position w:val="5"/>
                <w:sz w:val="18"/>
                <w:szCs w:val="18"/>
              </w:rPr>
              <w:t>决策</w:t>
            </w:r>
          </w:p>
          <w:p>
            <w:pPr>
              <w:spacing w:line="218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依据</w:t>
            </w:r>
          </w:p>
        </w:tc>
        <w:tc>
          <w:tcPr>
            <w:tcW w:w="559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  <w:vAlign w:val="top"/>
          </w:tcPr>
          <w:p>
            <w:pPr>
              <w:spacing w:before="188"/>
              <w:ind w:left="84" w:right="6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有关法律法规的明确规定；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某一经济社会发展规划</w:t>
            </w:r>
          </w:p>
        </w:tc>
        <w:tc>
          <w:tcPr>
            <w:tcW w:w="2929" w:type="dxa"/>
            <w:vAlign w:val="top"/>
          </w:tcPr>
          <w:p>
            <w:pPr>
              <w:spacing w:before="57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①符合法律法规(</w:t>
            </w:r>
            <w:r>
              <w:rPr>
                <w:rFonts w:hint="eastAsia" w:ascii="宋体" w:hAnsi="宋体" w:eastAsia="宋体" w:cs="宋体"/>
                <w:spacing w:val="17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分)</w:t>
            </w:r>
          </w:p>
          <w:p>
            <w:pPr>
              <w:spacing w:before="28" w:line="217" w:lineRule="auto"/>
              <w:ind w:left="1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②符合经济社会发展规划(</w:t>
            </w:r>
            <w:r>
              <w:rPr>
                <w:rFonts w:hint="eastAsia" w:ascii="宋体" w:hAnsi="宋体" w:eastAsia="宋体" w:cs="宋体"/>
                <w:spacing w:val="11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分)</w:t>
            </w:r>
          </w:p>
          <w:p>
            <w:pPr>
              <w:spacing w:before="28" w:line="216" w:lineRule="auto"/>
              <w:ind w:left="86" w:right="20" w:firstLine="9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270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position w:val="4"/>
                <w:sz w:val="18"/>
                <w:szCs w:val="18"/>
              </w:rPr>
              <w:t>决策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程序</w:t>
            </w:r>
          </w:p>
        </w:tc>
        <w:tc>
          <w:tcPr>
            <w:tcW w:w="559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08" w:type="dxa"/>
            <w:vAlign w:val="top"/>
          </w:tcPr>
          <w:p>
            <w:pPr>
              <w:spacing w:before="39" w:line="228" w:lineRule="auto"/>
              <w:ind w:left="84" w:right="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项目符合申报条件；申报、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批复程序符合相关管理办</w:t>
            </w:r>
          </w:p>
          <w:p>
            <w:pPr>
              <w:spacing w:before="26" w:line="223" w:lineRule="auto"/>
              <w:ind w:left="84" w:right="16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法；项目调整履行了相应手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续</w:t>
            </w:r>
          </w:p>
        </w:tc>
        <w:tc>
          <w:tcPr>
            <w:tcW w:w="2929" w:type="dxa"/>
            <w:vAlign w:val="top"/>
          </w:tcPr>
          <w:p>
            <w:pPr>
              <w:spacing w:before="4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①符合申报条件(2分)</w:t>
            </w:r>
          </w:p>
          <w:p>
            <w:pPr>
              <w:spacing w:before="17" w:line="234" w:lineRule="auto"/>
              <w:ind w:left="86" w:right="1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②项目申报、批复程序符合管理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1"/>
                <w:sz w:val="18"/>
                <w:szCs w:val="18"/>
              </w:rPr>
              <w:t>办法(1分)</w:t>
            </w:r>
          </w:p>
          <w:p>
            <w:pPr>
              <w:spacing w:before="24" w:line="216" w:lineRule="auto"/>
              <w:ind w:left="1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③项目调整履行了相应手续(1分)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5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7" w:lineRule="auto"/>
              <w:ind w:left="4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资金分配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789" w:type="dxa"/>
            <w:vAlign w:val="top"/>
          </w:tcPr>
          <w:p>
            <w:pPr>
              <w:spacing w:before="271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5"/>
                <w:sz w:val="18"/>
                <w:szCs w:val="18"/>
              </w:rPr>
              <w:t>分配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办法</w:t>
            </w:r>
          </w:p>
        </w:tc>
        <w:tc>
          <w:tcPr>
            <w:tcW w:w="559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42" w:line="235" w:lineRule="auto"/>
              <w:ind w:left="84" w:right="13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根据需要制定的相关资金管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理办法；管理办法中有明确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资金分配办法；资金分配因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素全面、合理</w:t>
            </w:r>
          </w:p>
        </w:tc>
        <w:tc>
          <w:tcPr>
            <w:tcW w:w="2929" w:type="dxa"/>
            <w:vAlign w:val="top"/>
          </w:tcPr>
          <w:p>
            <w:pPr>
              <w:spacing w:before="39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①有相应的资金管理办法(1分)</w:t>
            </w:r>
          </w:p>
          <w:p>
            <w:pPr>
              <w:spacing w:before="1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②办法健全、规范(1分)</w:t>
            </w:r>
          </w:p>
          <w:p>
            <w:pPr>
              <w:spacing w:before="37" w:line="226" w:lineRule="auto"/>
              <w:ind w:left="86" w:right="6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③因素全面合理(1分)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以上①需提供佐证资料。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 w:hRule="atLeast"/>
          <w:jc w:val="center"/>
        </w:trPr>
        <w:tc>
          <w:tcPr>
            <w:tcW w:w="69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63" w:line="225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分配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结果</w:t>
            </w:r>
          </w:p>
        </w:tc>
        <w:tc>
          <w:tcPr>
            <w:tcW w:w="55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408" w:type="dxa"/>
            <w:vAlign w:val="top"/>
          </w:tcPr>
          <w:p>
            <w:pPr>
              <w:spacing w:before="161" w:line="244" w:lineRule="auto"/>
              <w:ind w:left="84" w:right="3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资金分配符合相关管理办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法；分配结果公平合理</w:t>
            </w:r>
          </w:p>
        </w:tc>
        <w:tc>
          <w:tcPr>
            <w:tcW w:w="2929" w:type="dxa"/>
            <w:vAlign w:val="top"/>
          </w:tcPr>
          <w:p>
            <w:pPr>
              <w:spacing w:before="60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①符合分配办法(2分)</w:t>
            </w:r>
          </w:p>
          <w:p>
            <w:pPr>
              <w:spacing w:before="2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②分配公平合理(3分)</w:t>
            </w:r>
          </w:p>
          <w:p>
            <w:pPr>
              <w:spacing w:before="19" w:line="229" w:lineRule="auto"/>
              <w:ind w:left="8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此项需提供相应的资金分配方案。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0" w:hRule="atLeast"/>
          <w:jc w:val="center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9" w:line="216" w:lineRule="auto"/>
              <w:ind w:left="27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7" w:lineRule="auto"/>
              <w:ind w:left="26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资金到位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2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789" w:type="dxa"/>
            <w:vAlign w:val="top"/>
          </w:tcPr>
          <w:p>
            <w:pPr>
              <w:spacing w:before="162" w:line="219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到位率</w:t>
            </w:r>
          </w:p>
        </w:tc>
        <w:tc>
          <w:tcPr>
            <w:tcW w:w="559" w:type="dxa"/>
            <w:vAlign w:val="top"/>
          </w:tcPr>
          <w:p>
            <w:pPr>
              <w:spacing w:before="208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162" w:line="220" w:lineRule="auto"/>
              <w:ind w:left="8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实际到位/计划到位*100%</w:t>
            </w:r>
          </w:p>
        </w:tc>
        <w:tc>
          <w:tcPr>
            <w:tcW w:w="2929" w:type="dxa"/>
            <w:vAlign w:val="top"/>
          </w:tcPr>
          <w:p>
            <w:pPr>
              <w:spacing w:before="31" w:line="235" w:lineRule="auto"/>
              <w:ind w:left="86" w:right="1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根据项目资金的实际到位率计算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1"/>
                <w:sz w:val="18"/>
                <w:szCs w:val="18"/>
              </w:rPr>
              <w:t>得分(3分)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52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到位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时效</w:t>
            </w:r>
          </w:p>
        </w:tc>
        <w:tc>
          <w:tcPr>
            <w:tcW w:w="559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2408" w:type="dxa"/>
            <w:vAlign w:val="top"/>
          </w:tcPr>
          <w:p>
            <w:pPr>
              <w:spacing w:before="152" w:line="228" w:lineRule="auto"/>
              <w:ind w:left="84" w:right="1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资金及时到位；若未及时到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位，是否影响项目进度</w:t>
            </w:r>
          </w:p>
        </w:tc>
        <w:tc>
          <w:tcPr>
            <w:tcW w:w="2929" w:type="dxa"/>
            <w:vAlign w:val="top"/>
          </w:tcPr>
          <w:p>
            <w:pPr>
              <w:spacing w:before="40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3"/>
                <w:sz w:val="18"/>
                <w:szCs w:val="18"/>
              </w:rPr>
              <w:t>①到位及时(2分)</w:t>
            </w:r>
          </w:p>
          <w:p>
            <w:pPr>
              <w:spacing w:before="2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②不及时但未影响项目进度(1分)</w:t>
            </w:r>
          </w:p>
          <w:p>
            <w:pPr>
              <w:spacing w:before="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③不及时并影响项目进度(0.5分)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8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8" w:line="216" w:lineRule="auto"/>
              <w:ind w:left="7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资金管理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789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spacing w:before="58" w:line="234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资金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使用</w:t>
            </w:r>
          </w:p>
        </w:tc>
        <w:tc>
          <w:tcPr>
            <w:tcW w:w="559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2408" w:type="dxa"/>
            <w:vAlign w:val="top"/>
          </w:tcPr>
          <w:p>
            <w:pPr>
              <w:spacing w:before="143" w:line="242" w:lineRule="auto"/>
              <w:ind w:left="84" w:right="6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支出依据合规，无虚列项目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支出情况；无截留挤占挪用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情况；无超标准开支情况；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无超预算情况</w:t>
            </w:r>
          </w:p>
        </w:tc>
        <w:tc>
          <w:tcPr>
            <w:tcW w:w="2929" w:type="dxa"/>
            <w:vAlign w:val="top"/>
          </w:tcPr>
          <w:p>
            <w:pPr>
              <w:spacing w:before="21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①虚列套取扣4-7分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②依据不合规扣2分</w:t>
            </w:r>
          </w:p>
          <w:p>
            <w:pPr>
              <w:spacing w:before="3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③截留、挤占、挪用扣3-6分</w:t>
            </w:r>
          </w:p>
          <w:p>
            <w:pPr>
              <w:spacing w:before="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④超标准开支扣2-5分</w:t>
            </w:r>
          </w:p>
          <w:p>
            <w:pPr>
              <w:spacing w:before="38" w:line="203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⑤超预算扣2-5分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5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264" w:line="24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position w:val="4"/>
                <w:sz w:val="18"/>
                <w:szCs w:val="18"/>
              </w:rPr>
              <w:t>财务</w:t>
            </w:r>
          </w:p>
          <w:p>
            <w:pPr>
              <w:spacing w:line="219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管理</w:t>
            </w:r>
          </w:p>
        </w:tc>
        <w:tc>
          <w:tcPr>
            <w:tcW w:w="559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164" w:line="237" w:lineRule="auto"/>
              <w:ind w:left="84" w:right="142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资金管理、费用支出等制度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健全；制度执行严格；会计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核算规范</w:t>
            </w:r>
          </w:p>
        </w:tc>
        <w:tc>
          <w:tcPr>
            <w:tcW w:w="2929" w:type="dxa"/>
            <w:vAlign w:val="top"/>
          </w:tcPr>
          <w:p>
            <w:pPr>
              <w:spacing w:before="42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①财务制度健全(1分)</w:t>
            </w:r>
          </w:p>
          <w:p>
            <w:pPr>
              <w:spacing w:before="1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②严格执行制度(1分)</w:t>
            </w:r>
          </w:p>
          <w:p>
            <w:pPr>
              <w:spacing w:before="38" w:line="224" w:lineRule="auto"/>
              <w:ind w:left="86" w:right="8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③会计核算规范(1分)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以上①需提供佐证资料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7" w:lineRule="auto"/>
              <w:ind w:left="100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组织实施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10</w:t>
            </w:r>
          </w:p>
        </w:tc>
        <w:tc>
          <w:tcPr>
            <w:tcW w:w="789" w:type="dxa"/>
            <w:vAlign w:val="top"/>
          </w:tcPr>
          <w:p>
            <w:pPr>
              <w:spacing w:before="69" w:line="245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组织</w:t>
            </w:r>
          </w:p>
          <w:p>
            <w:pPr>
              <w:spacing w:line="218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机构</w:t>
            </w:r>
          </w:p>
        </w:tc>
        <w:tc>
          <w:tcPr>
            <w:tcW w:w="559" w:type="dxa"/>
            <w:vAlign w:val="top"/>
          </w:tcPr>
          <w:p>
            <w:pPr>
              <w:spacing w:before="230" w:line="184" w:lineRule="auto"/>
              <w:ind w:left="223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2408" w:type="dxa"/>
            <w:vAlign w:val="top"/>
          </w:tcPr>
          <w:p>
            <w:pPr>
              <w:spacing w:before="184" w:line="219" w:lineRule="auto"/>
              <w:ind w:left="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机构健全、分工明确</w:t>
            </w:r>
          </w:p>
        </w:tc>
        <w:tc>
          <w:tcPr>
            <w:tcW w:w="2929" w:type="dxa"/>
            <w:vAlign w:val="top"/>
          </w:tcPr>
          <w:p>
            <w:pPr>
              <w:spacing w:before="183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①机构健全、分工明确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分)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67" w:line="215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项 目</w:t>
            </w:r>
          </w:p>
          <w:p>
            <w:pPr>
              <w:spacing w:line="220" w:lineRule="auto"/>
              <w:ind w:left="1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实施</w:t>
            </w:r>
          </w:p>
        </w:tc>
        <w:tc>
          <w:tcPr>
            <w:tcW w:w="55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08" w:type="dxa"/>
            <w:vAlign w:val="top"/>
          </w:tcPr>
          <w:p>
            <w:pPr>
              <w:spacing w:before="165" w:line="228" w:lineRule="auto"/>
              <w:ind w:left="84" w:righ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项目按计划开工；按计划进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度开展；按计划完工</w:t>
            </w:r>
          </w:p>
        </w:tc>
        <w:tc>
          <w:tcPr>
            <w:tcW w:w="2929" w:type="dxa"/>
            <w:vAlign w:val="top"/>
          </w:tcPr>
          <w:p>
            <w:pPr>
              <w:spacing w:before="44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①按计划开工(1分)</w:t>
            </w:r>
          </w:p>
          <w:p>
            <w:pPr>
              <w:spacing w:before="48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②按计划开展(1分)</w:t>
            </w:r>
          </w:p>
          <w:p>
            <w:pPr>
              <w:spacing w:before="17" w:line="190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8"/>
                <w:sz w:val="18"/>
                <w:szCs w:val="18"/>
              </w:rPr>
              <w:t>③按计划完工(1分)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4" w:hRule="atLeast"/>
          <w:jc w:val="center"/>
        </w:trPr>
        <w:tc>
          <w:tcPr>
            <w:tcW w:w="69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67" w:line="250" w:lineRule="exact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5"/>
                <w:sz w:val="18"/>
                <w:szCs w:val="18"/>
              </w:rPr>
              <w:t>管理</w:t>
            </w:r>
          </w:p>
          <w:p>
            <w:pPr>
              <w:spacing w:line="220" w:lineRule="auto"/>
              <w:ind w:left="20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制度</w:t>
            </w:r>
          </w:p>
        </w:tc>
        <w:tc>
          <w:tcPr>
            <w:tcW w:w="559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58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408" w:type="dxa"/>
            <w:vAlign w:val="top"/>
          </w:tcPr>
          <w:p>
            <w:pPr>
              <w:spacing w:before="177" w:line="243" w:lineRule="auto"/>
              <w:ind w:left="84" w:righ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项目管理制度健全；严格执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行相关管理制度</w:t>
            </w:r>
          </w:p>
        </w:tc>
        <w:tc>
          <w:tcPr>
            <w:tcW w:w="2929" w:type="dxa"/>
            <w:vAlign w:val="top"/>
          </w:tcPr>
          <w:p>
            <w:pPr>
              <w:spacing w:before="65" w:line="217" w:lineRule="auto"/>
              <w:ind w:left="8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①管理制度健全(2分)</w:t>
            </w:r>
          </w:p>
          <w:p>
            <w:pPr>
              <w:spacing w:before="18" w:line="235" w:lineRule="auto"/>
              <w:ind w:left="86" w:right="6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②制度执行严格(3分)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以上①需提供佐证资料，</w:t>
            </w: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</w:tr>
    </w:tbl>
    <w:p/>
    <w:p>
      <w:pPr>
        <w:spacing w:line="102" w:lineRule="exact"/>
      </w:pPr>
    </w:p>
    <w:tbl>
      <w:tblPr>
        <w:tblStyle w:val="5"/>
        <w:tblW w:w="978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549"/>
        <w:gridCol w:w="709"/>
        <w:gridCol w:w="530"/>
        <w:gridCol w:w="779"/>
        <w:gridCol w:w="559"/>
        <w:gridCol w:w="2418"/>
        <w:gridCol w:w="2757"/>
        <w:gridCol w:w="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5" w:hRule="atLeast"/>
          <w:jc w:val="center"/>
        </w:trPr>
        <w:tc>
          <w:tcPr>
            <w:tcW w:w="694" w:type="dxa"/>
            <w:vAlign w:val="top"/>
          </w:tcPr>
          <w:p>
            <w:pPr>
              <w:spacing w:before="71" w:line="239" w:lineRule="exact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4"/>
                <w:sz w:val="18"/>
                <w:szCs w:val="18"/>
              </w:rPr>
              <w:t>一级</w:t>
            </w:r>
          </w:p>
          <w:p>
            <w:pPr>
              <w:spacing w:line="220" w:lineRule="auto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指标</w:t>
            </w:r>
          </w:p>
        </w:tc>
        <w:tc>
          <w:tcPr>
            <w:tcW w:w="549" w:type="dxa"/>
            <w:textDirection w:val="tbRlV"/>
            <w:vAlign w:val="top"/>
          </w:tcPr>
          <w:p>
            <w:pPr>
              <w:spacing w:before="188" w:line="216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709" w:type="dxa"/>
            <w:vAlign w:val="top"/>
          </w:tcPr>
          <w:p>
            <w:pPr>
              <w:spacing w:before="64" w:line="249" w:lineRule="exact"/>
              <w:ind w:left="1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position w:val="4"/>
                <w:sz w:val="18"/>
                <w:szCs w:val="18"/>
              </w:rPr>
              <w:t>二级</w:t>
            </w:r>
          </w:p>
          <w:p>
            <w:pPr>
              <w:spacing w:line="220" w:lineRule="auto"/>
              <w:ind w:left="16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530" w:type="dxa"/>
            <w:textDirection w:val="tbRlV"/>
            <w:vAlign w:val="top"/>
          </w:tcPr>
          <w:p>
            <w:pPr>
              <w:spacing w:before="177" w:line="216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779" w:type="dxa"/>
            <w:vAlign w:val="top"/>
          </w:tcPr>
          <w:p>
            <w:pPr>
              <w:spacing w:before="74" w:line="259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position w:val="5"/>
                <w:sz w:val="18"/>
                <w:szCs w:val="18"/>
              </w:rPr>
              <w:t>三级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指标</w:t>
            </w:r>
          </w:p>
        </w:tc>
        <w:tc>
          <w:tcPr>
            <w:tcW w:w="559" w:type="dxa"/>
            <w:textDirection w:val="tbRlV"/>
            <w:vAlign w:val="top"/>
          </w:tcPr>
          <w:p>
            <w:pPr>
              <w:spacing w:before="185" w:line="216" w:lineRule="auto"/>
              <w:ind w:left="1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分值</w:t>
            </w:r>
          </w:p>
        </w:tc>
        <w:tc>
          <w:tcPr>
            <w:tcW w:w="2418" w:type="dxa"/>
            <w:vAlign w:val="top"/>
          </w:tcPr>
          <w:p>
            <w:pPr>
              <w:spacing w:before="213" w:line="220" w:lineRule="auto"/>
              <w:ind w:left="8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具体指标</w:t>
            </w:r>
          </w:p>
        </w:tc>
        <w:tc>
          <w:tcPr>
            <w:tcW w:w="2757" w:type="dxa"/>
            <w:vAlign w:val="top"/>
          </w:tcPr>
          <w:p>
            <w:pPr>
              <w:spacing w:before="208" w:line="218" w:lineRule="auto"/>
              <w:ind w:left="9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18"/>
                <w:szCs w:val="18"/>
              </w:rPr>
              <w:t>评价标准</w:t>
            </w:r>
          </w:p>
        </w:tc>
        <w:tc>
          <w:tcPr>
            <w:tcW w:w="794" w:type="dxa"/>
            <w:vAlign w:val="top"/>
          </w:tcPr>
          <w:p>
            <w:pPr>
              <w:spacing w:before="82" w:line="220" w:lineRule="auto"/>
              <w:ind w:left="2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自评</w:t>
            </w:r>
          </w:p>
          <w:p>
            <w:pPr>
              <w:spacing w:before="22" w:line="219" w:lineRule="auto"/>
              <w:ind w:left="2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69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8" w:line="217" w:lineRule="auto"/>
              <w:ind w:left="47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项目绩效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55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7" w:line="216" w:lineRule="auto"/>
              <w:ind w:left="19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项目产出</w:t>
            </w:r>
          </w:p>
        </w:tc>
        <w:tc>
          <w:tcPr>
            <w:tcW w:w="53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15</w:t>
            </w:r>
          </w:p>
        </w:tc>
        <w:tc>
          <w:tcPr>
            <w:tcW w:w="77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58" w:line="250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position w:val="5"/>
                <w:sz w:val="18"/>
                <w:szCs w:val="18"/>
              </w:rPr>
              <w:t>产出</w:t>
            </w:r>
          </w:p>
          <w:p>
            <w:pPr>
              <w:spacing w:line="219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数量</w:t>
            </w:r>
          </w:p>
        </w:tc>
        <w:tc>
          <w:tcPr>
            <w:tcW w:w="559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59" w:line="182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</w:p>
        </w:tc>
        <w:tc>
          <w:tcPr>
            <w:tcW w:w="2418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59" w:line="238" w:lineRule="auto"/>
              <w:ind w:left="104" w:right="115" w:firstLine="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目标完成率=目标完成数/预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定目标数×100%</w:t>
            </w:r>
          </w:p>
        </w:tc>
        <w:tc>
          <w:tcPr>
            <w:tcW w:w="2757" w:type="dxa"/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58" w:line="239" w:lineRule="auto"/>
              <w:ind w:left="116" w:right="8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完成绩效目标100%得5分，未完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成100%的同比例扣减。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before="58" w:line="251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position w:val="5"/>
                <w:sz w:val="18"/>
                <w:szCs w:val="18"/>
              </w:rPr>
              <w:t>产出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质量</w:t>
            </w:r>
          </w:p>
        </w:tc>
        <w:tc>
          <w:tcPr>
            <w:tcW w:w="559" w:type="dxa"/>
            <w:vAlign w:val="top"/>
          </w:tcPr>
          <w:p>
            <w:pPr>
              <w:spacing w:line="463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</w:t>
            </w:r>
          </w:p>
        </w:tc>
        <w:tc>
          <w:tcPr>
            <w:tcW w:w="2418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spacing w:before="58" w:line="239" w:lineRule="auto"/>
              <w:ind w:left="104" w:right="21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目标完成质量=实际达到的 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效果/预定目标×100%</w:t>
            </w:r>
          </w:p>
        </w:tc>
        <w:tc>
          <w:tcPr>
            <w:tcW w:w="2757" w:type="dxa"/>
            <w:vAlign w:val="top"/>
          </w:tcPr>
          <w:p>
            <w:pPr>
              <w:spacing w:before="247" w:line="235" w:lineRule="auto"/>
              <w:ind w:left="116" w:right="54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项目产出质量达到绩效目标100%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>得4分，未完成100%的同比例扣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减</w:t>
            </w:r>
            <w:r>
              <w:rPr>
                <w:rFonts w:ascii="宋体" w:hAnsi="宋体" w:eastAsia="宋体" w:cs="宋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59" w:line="271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position w:val="6"/>
                <w:sz w:val="18"/>
                <w:szCs w:val="18"/>
              </w:rPr>
              <w:t>产出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时效</w:t>
            </w:r>
          </w:p>
        </w:tc>
        <w:tc>
          <w:tcPr>
            <w:tcW w:w="559" w:type="dxa"/>
            <w:vAlign w:val="top"/>
          </w:tcPr>
          <w:p>
            <w:pPr>
              <w:spacing w:line="464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18" w:type="dxa"/>
            <w:vAlign w:val="top"/>
          </w:tcPr>
          <w:p>
            <w:pPr>
              <w:spacing w:before="249" w:line="241" w:lineRule="auto"/>
              <w:ind w:left="104" w:right="10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项目资金使用的预定目标是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否如期完成，未完成的理由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是否充分</w:t>
            </w:r>
          </w:p>
        </w:tc>
        <w:tc>
          <w:tcPr>
            <w:tcW w:w="2757" w:type="dxa"/>
            <w:vAlign w:val="top"/>
          </w:tcPr>
          <w:p>
            <w:pPr>
              <w:spacing w:before="248" w:line="238" w:lineRule="auto"/>
              <w:ind w:left="116" w:right="96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项目产出时效达到绩效目标得3 </w:t>
            </w:r>
            <w:r>
              <w:rPr>
                <w:rFonts w:ascii="宋体" w:hAnsi="宋体" w:eastAsia="宋体" w:cs="宋体"/>
                <w:sz w:val="18"/>
                <w:szCs w:val="18"/>
              </w:rPr>
              <w:t>分，未如期完成且无充分理由的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扣</w:t>
            </w:r>
            <w:r>
              <w:rPr>
                <w:rFonts w:ascii="宋体" w:hAnsi="宋体" w:eastAsia="宋体" w:cs="宋体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分</w:t>
            </w:r>
            <w:r>
              <w:rPr>
                <w:rFonts w:ascii="宋体" w:hAnsi="宋体" w:eastAsia="宋体" w:cs="宋体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before="58" w:line="235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产出</w:t>
            </w:r>
          </w:p>
          <w:p>
            <w:pPr>
              <w:spacing w:line="218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成本</w:t>
            </w:r>
          </w:p>
        </w:tc>
        <w:tc>
          <w:tcPr>
            <w:tcW w:w="559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</w:t>
            </w:r>
          </w:p>
        </w:tc>
        <w:tc>
          <w:tcPr>
            <w:tcW w:w="2418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59" w:line="229" w:lineRule="auto"/>
              <w:ind w:left="104" w:right="1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项目产出成本是否按绩效目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标控制</w:t>
            </w:r>
          </w:p>
        </w:tc>
        <w:tc>
          <w:tcPr>
            <w:tcW w:w="2757" w:type="dxa"/>
            <w:vAlign w:val="top"/>
          </w:tcPr>
          <w:p>
            <w:pPr>
              <w:spacing w:before="268" w:line="232" w:lineRule="auto"/>
              <w:ind w:left="116" w:right="119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项目产出成本按绩效目标控制得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 xml:space="preserve"> 3分，未完成的，按超支比例扣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减</w:t>
            </w:r>
            <w:r>
              <w:rPr>
                <w:rFonts w:ascii="宋体" w:hAnsi="宋体" w:eastAsia="宋体" w:cs="宋体"/>
                <w:spacing w:val="33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66" w:line="217" w:lineRule="auto"/>
              <w:ind w:left="24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项目效果</w:t>
            </w:r>
          </w:p>
        </w:tc>
        <w:tc>
          <w:tcPr>
            <w:tcW w:w="530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16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40</w:t>
            </w:r>
          </w:p>
        </w:tc>
        <w:tc>
          <w:tcPr>
            <w:tcW w:w="779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spacing w:before="59" w:line="250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经济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59" w:line="228" w:lineRule="auto"/>
              <w:ind w:left="104" w:right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项目实施对经济发展所带来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  <w:vAlign w:val="top"/>
          </w:tcPr>
          <w:p>
            <w:pPr>
              <w:spacing w:before="250" w:line="238" w:lineRule="auto"/>
              <w:ind w:left="116" w:right="118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完成绩效目标设定的经济效益得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8分，未完成的，按完成情况酌 </w:t>
            </w:r>
            <w:r>
              <w:rPr>
                <w:rFonts w:ascii="宋体" w:hAnsi="宋体" w:eastAsia="宋体" w:cs="宋体"/>
                <w:spacing w:val="22"/>
                <w:sz w:val="18"/>
                <w:szCs w:val="18"/>
              </w:rPr>
              <w:t>情扣分。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1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58" w:line="252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5"/>
                <w:sz w:val="18"/>
                <w:szCs w:val="18"/>
              </w:rPr>
              <w:t>社会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  <w:vAlign w:val="top"/>
          </w:tcPr>
          <w:p>
            <w:pPr>
              <w:spacing w:line="457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58" w:line="239" w:lineRule="auto"/>
              <w:ind w:left="104" w:right="11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项目实施对社会发展所带来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  <w:vAlign w:val="top"/>
          </w:tcPr>
          <w:p>
            <w:pPr>
              <w:spacing w:before="261" w:line="238" w:lineRule="auto"/>
              <w:ind w:left="116" w:right="118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完成绩效目标设定的社会效益得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8分，未完成的，按完成情况酌 </w:t>
            </w:r>
            <w:r>
              <w:rPr>
                <w:rFonts w:ascii="宋体" w:hAnsi="宋体" w:eastAsia="宋体" w:cs="宋体"/>
                <w:spacing w:val="22"/>
                <w:sz w:val="18"/>
                <w:szCs w:val="18"/>
              </w:rPr>
              <w:t>情扣分。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before="59" w:line="246" w:lineRule="exact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position w:val="4"/>
                <w:sz w:val="18"/>
                <w:szCs w:val="18"/>
              </w:rPr>
              <w:t>生态</w:t>
            </w:r>
          </w:p>
          <w:p>
            <w:pPr>
              <w:spacing w:line="22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效益</w:t>
            </w:r>
          </w:p>
        </w:tc>
        <w:tc>
          <w:tcPr>
            <w:tcW w:w="559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</w:p>
          <w:p>
            <w:pPr>
              <w:spacing w:before="58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58" w:line="228" w:lineRule="auto"/>
              <w:ind w:left="104" w:right="15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项目实施对生态环境所带来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的直接或间接影响情况。</w:t>
            </w:r>
          </w:p>
        </w:tc>
        <w:tc>
          <w:tcPr>
            <w:tcW w:w="2757" w:type="dxa"/>
            <w:vAlign w:val="top"/>
          </w:tcPr>
          <w:p>
            <w:pPr>
              <w:spacing w:before="262" w:line="238" w:lineRule="auto"/>
              <w:ind w:left="116" w:right="101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完成绩效目标设定的积极的环境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效益得8分，未完成的，按完成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情况酌情扣分。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58" w:line="219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可持续</w:t>
            </w:r>
          </w:p>
          <w:p>
            <w:pPr>
              <w:spacing w:before="28" w:line="221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影响</w:t>
            </w:r>
          </w:p>
        </w:tc>
        <w:tc>
          <w:tcPr>
            <w:tcW w:w="559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before="59" w:line="238" w:lineRule="auto"/>
              <w:ind w:left="104" w:right="10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项目后续运行及成效发挥的</w:t>
            </w:r>
            <w:r>
              <w:rPr>
                <w:rFonts w:ascii="宋体" w:hAnsi="宋体" w:eastAsia="宋体" w:cs="宋体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可持续影响情况。</w:t>
            </w:r>
          </w:p>
        </w:tc>
        <w:tc>
          <w:tcPr>
            <w:tcW w:w="2757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before="58" w:line="233" w:lineRule="auto"/>
              <w:ind w:left="116" w:right="20" w:firstLine="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完成绩效设定目标的得8分，未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完成的，按完成情况酌情扣分。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9" w:hRule="atLeast"/>
          <w:jc w:val="center"/>
        </w:trPr>
        <w:tc>
          <w:tcPr>
            <w:tcW w:w="69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>
            <w:pPr>
              <w:spacing w:before="255" w:line="219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服务</w:t>
            </w:r>
          </w:p>
          <w:p>
            <w:pPr>
              <w:spacing w:before="15" w:line="233" w:lineRule="auto"/>
              <w:ind w:left="112" w:right="123" w:firstLine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对象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满意度</w:t>
            </w:r>
          </w:p>
        </w:tc>
        <w:tc>
          <w:tcPr>
            <w:tcW w:w="559" w:type="dxa"/>
            <w:vAlign w:val="top"/>
          </w:tcPr>
          <w:p>
            <w:pPr>
              <w:spacing w:line="470" w:lineRule="auto"/>
              <w:rPr>
                <w:rFonts w:ascii="Arial"/>
                <w:sz w:val="21"/>
              </w:rPr>
            </w:pPr>
          </w:p>
          <w:p>
            <w:pPr>
              <w:spacing w:before="59" w:line="183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2418" w:type="dxa"/>
            <w:vAlign w:val="top"/>
          </w:tcPr>
          <w:p>
            <w:pPr>
              <w:spacing w:before="126" w:line="242" w:lineRule="auto"/>
              <w:ind w:left="104" w:right="1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服务对象满意率=项目区被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18"/>
                <w:szCs w:val="18"/>
              </w:rPr>
              <w:t>调查人数中表示满意的人数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(户数)/被调查人数(户数)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×100%</w:t>
            </w:r>
          </w:p>
        </w:tc>
        <w:tc>
          <w:tcPr>
            <w:tcW w:w="2757" w:type="dxa"/>
            <w:vAlign w:val="top"/>
          </w:tcPr>
          <w:p>
            <w:pPr>
              <w:spacing w:before="146" w:line="239" w:lineRule="auto"/>
              <w:ind w:left="116" w:right="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9"/>
                <w:sz w:val="18"/>
                <w:szCs w:val="18"/>
              </w:rPr>
              <w:t>满意率达90%(含)以上的得8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分，80%(含)-90%得6分，70%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(含)-80%得4分，60%(含)-70%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得2分，60%以下不得分。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44" w:hRule="atLeast"/>
          <w:jc w:val="center"/>
        </w:trPr>
        <w:tc>
          <w:tcPr>
            <w:tcW w:w="69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spacing w:before="59" w:line="220" w:lineRule="auto"/>
              <w:ind w:left="1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总分</w:t>
            </w:r>
          </w:p>
        </w:tc>
        <w:tc>
          <w:tcPr>
            <w:tcW w:w="54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3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0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9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before="58" w:line="184" w:lineRule="auto"/>
              <w:ind w:left="1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100</w:t>
            </w:r>
          </w:p>
        </w:tc>
        <w:tc>
          <w:tcPr>
            <w:tcW w:w="2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100</w:t>
            </w:r>
          </w:p>
        </w:tc>
      </w:tr>
    </w:tbl>
    <w:p>
      <w:pPr>
        <w:spacing w:before="169" w:line="242" w:lineRule="auto"/>
        <w:ind w:left="1194" w:right="299" w:hanging="840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5"/>
          <w:sz w:val="21"/>
          <w:szCs w:val="21"/>
        </w:rPr>
        <w:t>备注：1、部门(单位)根据项目实际，在《项目支出绩效评价指标评分表(共性)》上进</w:t>
      </w:r>
      <w:r>
        <w:rPr>
          <w:rFonts w:ascii="仿宋" w:hAnsi="仿宋" w:eastAsia="仿宋" w:cs="仿宋"/>
          <w:spacing w:val="4"/>
          <w:sz w:val="21"/>
          <w:szCs w:val="21"/>
        </w:rPr>
        <w:t>一步完善、</w:t>
      </w:r>
      <w:r>
        <w:rPr>
          <w:rFonts w:ascii="仿宋" w:hAnsi="仿宋" w:eastAsia="仿宋" w:cs="仿宋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2"/>
          <w:sz w:val="21"/>
          <w:szCs w:val="21"/>
        </w:rPr>
        <w:t>量化、细化个性指标，形成本项目的指标体系。</w:t>
      </w:r>
    </w:p>
    <w:p>
      <w:pPr>
        <w:spacing w:before="23" w:line="223" w:lineRule="auto"/>
        <w:ind w:left="974"/>
        <w:rPr>
          <w:rFonts w:ascii="仿宋" w:hAnsi="仿宋" w:eastAsia="仿宋" w:cs="仿宋"/>
          <w:sz w:val="21"/>
          <w:szCs w:val="21"/>
        </w:rPr>
      </w:pPr>
      <w:r>
        <w:rPr>
          <w:rFonts w:ascii="仿宋" w:hAnsi="仿宋" w:eastAsia="仿宋" w:cs="仿宋"/>
          <w:spacing w:val="-7"/>
          <w:sz w:val="21"/>
          <w:szCs w:val="21"/>
        </w:rPr>
        <w:t>2、</w:t>
      </w:r>
      <w:r>
        <w:rPr>
          <w:rFonts w:ascii="仿宋" w:hAnsi="仿宋" w:eastAsia="仿宋" w:cs="仿宋"/>
          <w:spacing w:val="-38"/>
          <w:sz w:val="21"/>
          <w:szCs w:val="21"/>
        </w:rPr>
        <w:t xml:space="preserve"> </w:t>
      </w:r>
      <w:r>
        <w:rPr>
          <w:rFonts w:ascii="仿宋" w:hAnsi="仿宋" w:eastAsia="仿宋" w:cs="仿宋"/>
          <w:spacing w:val="-7"/>
          <w:sz w:val="21"/>
          <w:szCs w:val="21"/>
        </w:rPr>
        <w:t>一个一级项目一张表。</w:t>
      </w:r>
    </w:p>
    <w:p/>
    <w:sectPr>
      <w:headerReference r:id="rId8" w:type="default"/>
      <w:footerReference r:id="rId9" w:type="default"/>
      <w:pgSz w:w="12058" w:h="16940"/>
      <w:pgMar w:top="1701" w:right="1701" w:bottom="1701" w:left="1701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hOTFhN2E3MDUwMjUxYmJjNDdkMmFhNGQ3NTgzZTQifQ=="/>
  </w:docVars>
  <w:rsids>
    <w:rsidRoot w:val="2E942B80"/>
    <w:rsid w:val="01D76139"/>
    <w:rsid w:val="0AD61B81"/>
    <w:rsid w:val="0B483577"/>
    <w:rsid w:val="0C1C1816"/>
    <w:rsid w:val="0D8E6743"/>
    <w:rsid w:val="0ED4462A"/>
    <w:rsid w:val="0F102810"/>
    <w:rsid w:val="0FD5392E"/>
    <w:rsid w:val="18455C50"/>
    <w:rsid w:val="18F97167"/>
    <w:rsid w:val="1C093B64"/>
    <w:rsid w:val="205E01F7"/>
    <w:rsid w:val="2225631B"/>
    <w:rsid w:val="2E942B80"/>
    <w:rsid w:val="3A0B4AF4"/>
    <w:rsid w:val="3F9410E8"/>
    <w:rsid w:val="447004E0"/>
    <w:rsid w:val="46CC6109"/>
    <w:rsid w:val="4A796C30"/>
    <w:rsid w:val="52613157"/>
    <w:rsid w:val="5AAD60F7"/>
    <w:rsid w:val="675039C2"/>
    <w:rsid w:val="67CC3D17"/>
    <w:rsid w:val="69CC61E8"/>
    <w:rsid w:val="6C9500C9"/>
    <w:rsid w:val="6F93380A"/>
    <w:rsid w:val="704953D7"/>
    <w:rsid w:val="710863BF"/>
    <w:rsid w:val="745A5BE3"/>
    <w:rsid w:val="75546C0C"/>
    <w:rsid w:val="769A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3872</Words>
  <Characters>4134</Characters>
  <Lines>0</Lines>
  <Paragraphs>0</Paragraphs>
  <TotalTime>11</TotalTime>
  <ScaleCrop>false</ScaleCrop>
  <LinksUpToDate>false</LinksUpToDate>
  <CharactersWithSpaces>4253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2023-07-07T00:25:00Z</dcterms:created>
  <dc:creator>黄建兵</dc:creator>
  <cp:lastModifiedBy>黄建兵</cp:lastModifiedBy>
  <dcterms:modified xsi:type="dcterms:W3CDTF">2023-07-10T09:38:34Z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646C9397CF034E0D8E1CE2C7955EE9DF</vt:lpwstr>
  </property>
</Properties>
</file>