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8" w:line="224" w:lineRule="auto"/>
        <w:rPr>
          <w:rFonts w:ascii="黑体" w:hAnsi="黑体" w:eastAsia="黑体" w:cs="黑体"/>
          <w:sz w:val="33"/>
          <w:szCs w:val="33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2022年度部门整体支出绩效评价基础数据表</w:t>
      </w:r>
    </w:p>
    <w:p/>
    <w:p>
      <w:pPr>
        <w:spacing w:line="65" w:lineRule="exact"/>
      </w:pPr>
    </w:p>
    <w:tbl>
      <w:tblPr>
        <w:tblStyle w:val="6"/>
        <w:tblW w:w="92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7"/>
        <w:gridCol w:w="1863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3297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4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1863" w:type="dxa"/>
            <w:vAlign w:val="top"/>
          </w:tcPr>
          <w:p>
            <w:pPr>
              <w:spacing w:before="163" w:line="219" w:lineRule="auto"/>
              <w:ind w:left="6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427" w:type="dxa"/>
            <w:vAlign w:val="top"/>
          </w:tcPr>
          <w:p>
            <w:pPr>
              <w:spacing w:before="163"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2022年实际在职人数</w:t>
            </w:r>
          </w:p>
        </w:tc>
        <w:tc>
          <w:tcPr>
            <w:tcW w:w="1673" w:type="dxa"/>
            <w:vAlign w:val="top"/>
          </w:tcPr>
          <w:p>
            <w:pPr>
              <w:spacing w:before="163" w:line="219" w:lineRule="auto"/>
              <w:ind w:left="5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117%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70" w:line="220" w:lineRule="auto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1863" w:type="dxa"/>
            <w:vAlign w:val="top"/>
          </w:tcPr>
          <w:p>
            <w:pPr>
              <w:spacing w:before="169" w:line="219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2021年决算数</w:t>
            </w:r>
          </w:p>
        </w:tc>
        <w:tc>
          <w:tcPr>
            <w:tcW w:w="2427" w:type="dxa"/>
            <w:vAlign w:val="top"/>
          </w:tcPr>
          <w:p>
            <w:pPr>
              <w:spacing w:before="169" w:line="219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2022年预算数</w:t>
            </w:r>
          </w:p>
        </w:tc>
        <w:tc>
          <w:tcPr>
            <w:tcW w:w="1673" w:type="dxa"/>
            <w:vAlign w:val="top"/>
          </w:tcPr>
          <w:p>
            <w:pPr>
              <w:spacing w:before="169" w:line="219" w:lineRule="auto"/>
              <w:ind w:left="1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、基本支出：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557.74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350.6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350.60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61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其中：三公经费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2.86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0.55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1.公务用车购置和维护经费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62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63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2.出国经费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73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3.公务接待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2.86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0.55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297" w:type="dxa"/>
            <w:vAlign w:val="top"/>
          </w:tcPr>
          <w:p>
            <w:pPr>
              <w:spacing w:before="165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二、项目支出：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6617.7</w:t>
            </w: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6793.9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6793.9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rPr>
                <w:rFonts w:hint="default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1.其他巩固脱贫衔接乡村振兴支出</w:t>
            </w:r>
          </w:p>
        </w:tc>
        <w:tc>
          <w:tcPr>
            <w:tcW w:w="1863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3394.00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3394.00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rPr>
                <w:rFonts w:hint="default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2.公路建设支出</w:t>
            </w:r>
          </w:p>
        </w:tc>
        <w:tc>
          <w:tcPr>
            <w:tcW w:w="1863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250.00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250.00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rPr>
                <w:rFonts w:hint="default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3.公路养护支出</w:t>
            </w:r>
          </w:p>
        </w:tc>
        <w:tc>
          <w:tcPr>
            <w:tcW w:w="1863" w:type="dxa"/>
            <w:vAlign w:val="center"/>
          </w:tcPr>
          <w:p>
            <w:pPr>
              <w:jc w:val="both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1188.00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1188.00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4.其他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公路水路运输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支出</w:t>
            </w:r>
          </w:p>
        </w:tc>
        <w:tc>
          <w:tcPr>
            <w:tcW w:w="1863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1958.90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1958.90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rPr>
                <w:rFonts w:hint="default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5. 一般行政管理事务支出</w:t>
            </w:r>
          </w:p>
        </w:tc>
        <w:tc>
          <w:tcPr>
            <w:tcW w:w="1863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3.00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3297" w:type="dxa"/>
            <w:vAlign w:val="center"/>
          </w:tcPr>
          <w:p>
            <w:pPr>
              <w:spacing w:before="162" w:line="219" w:lineRule="auto"/>
              <w:ind w:left="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厉行节约</w:t>
            </w:r>
            <w:r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</w:rPr>
              <w:t>保障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措施</w:t>
            </w:r>
          </w:p>
        </w:tc>
        <w:tc>
          <w:tcPr>
            <w:tcW w:w="5963" w:type="dxa"/>
            <w:gridSpan w:val="3"/>
            <w:vAlign w:val="center"/>
          </w:tcPr>
          <w:p>
            <w:pPr>
              <w:spacing w:before="162" w:line="219" w:lineRule="auto"/>
              <w:ind w:left="95" w:firstLine="420" w:firstLineChars="200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宣传动员过紧</w:t>
            </w:r>
            <w:r>
              <w:rPr>
                <w:rFonts w:hint="eastAsia" w:eastAsia="宋体"/>
                <w:sz w:val="21"/>
                <w:lang w:eastAsia="zh-CN"/>
              </w:rPr>
              <w:t>日子的观念，强化勤俭认识；加强党风廉政建设，严格控制行政支出，节约办公耗材、水电，压缩三公经费；严肃财经纪律，加强督查，认真开展自查自纠。</w:t>
            </w:r>
          </w:p>
        </w:tc>
      </w:tr>
    </w:tbl>
    <w:p>
      <w:pPr>
        <w:spacing w:before="132" w:line="336" w:lineRule="auto"/>
        <w:ind w:left="95" w:right="10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hAnsi="宋体" w:eastAsia="宋体" w:cs="宋体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细表(财决05-2表)。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72" w:line="232" w:lineRule="auto"/>
        <w:ind w:left="95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ascii="仿宋" w:hAnsi="仿宋" w:eastAsia="仿宋" w:cs="仿宋"/>
          <w:spacing w:val="-22"/>
          <w:position w:val="-1"/>
          <w:sz w:val="22"/>
          <w:szCs w:val="22"/>
        </w:rPr>
        <w:t>填表人：</w:t>
      </w:r>
      <w:r>
        <w:rPr>
          <w:rFonts w:hint="eastAsia" w:ascii="仿宋" w:hAnsi="仿宋" w:eastAsia="仿宋" w:cs="仿宋"/>
          <w:spacing w:val="-22"/>
          <w:position w:val="-1"/>
          <w:sz w:val="22"/>
          <w:szCs w:val="22"/>
          <w:lang w:val="en-US" w:eastAsia="zh-CN"/>
        </w:rPr>
        <w:t>吴丹</w:t>
      </w:r>
      <w:r>
        <w:rPr>
          <w:rFonts w:ascii="仿宋" w:hAnsi="仿宋" w:eastAsia="仿宋" w:cs="仿宋"/>
          <w:spacing w:val="3"/>
          <w:position w:val="-1"/>
          <w:sz w:val="22"/>
          <w:szCs w:val="22"/>
        </w:rPr>
        <w:t xml:space="preserve">       </w:t>
      </w:r>
      <w:r>
        <w:rPr>
          <w:rFonts w:ascii="仿宋" w:hAnsi="仿宋" w:eastAsia="仿宋" w:cs="仿宋"/>
          <w:spacing w:val="-22"/>
          <w:sz w:val="22"/>
          <w:szCs w:val="22"/>
        </w:rPr>
        <w:t>填报日期：</w:t>
      </w:r>
      <w:r>
        <w:rPr>
          <w:rFonts w:hint="eastAsia" w:ascii="仿宋" w:hAnsi="仿宋" w:eastAsia="仿宋" w:cs="仿宋"/>
          <w:spacing w:val="-22"/>
          <w:sz w:val="22"/>
          <w:szCs w:val="22"/>
          <w:lang w:val="en-US" w:eastAsia="zh-CN"/>
        </w:rPr>
        <w:t>2023-7-6</w:t>
      </w:r>
      <w:r>
        <w:rPr>
          <w:rFonts w:ascii="仿宋" w:hAnsi="仿宋" w:eastAsia="仿宋" w:cs="仿宋"/>
          <w:spacing w:val="2"/>
          <w:sz w:val="22"/>
          <w:szCs w:val="22"/>
        </w:rPr>
        <w:t xml:space="preserve">        </w:t>
      </w:r>
      <w:r>
        <w:rPr>
          <w:rFonts w:ascii="仿宋" w:hAnsi="仿宋" w:eastAsia="仿宋" w:cs="仿宋"/>
          <w:spacing w:val="-22"/>
          <w:sz w:val="22"/>
          <w:szCs w:val="22"/>
        </w:rPr>
        <w:t>联系电话：</w:t>
      </w:r>
      <w:r>
        <w:rPr>
          <w:rFonts w:hint="eastAsia" w:ascii="仿宋" w:hAnsi="仿宋" w:eastAsia="仿宋" w:cs="仿宋"/>
          <w:spacing w:val="-22"/>
          <w:sz w:val="22"/>
          <w:szCs w:val="22"/>
          <w:lang w:val="en-US" w:eastAsia="zh-CN"/>
        </w:rPr>
        <w:t>4131157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22"/>
          <w:sz w:val="22"/>
          <w:szCs w:val="22"/>
        </w:rPr>
        <w:t>单位负责人签字：</w:t>
      </w:r>
      <w:r>
        <w:rPr>
          <w:rFonts w:hint="eastAsia" w:ascii="仿宋" w:hAnsi="仿宋" w:eastAsia="仿宋" w:cs="仿宋"/>
          <w:spacing w:val="-22"/>
          <w:sz w:val="22"/>
          <w:szCs w:val="22"/>
          <w:lang w:val="en-US" w:eastAsia="zh-CN"/>
        </w:rPr>
        <w:t>唐龙</w:t>
      </w:r>
    </w:p>
    <w:p>
      <w:pPr>
        <w:sectPr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before="113" w:line="224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"/>
          <w:sz w:val="35"/>
          <w:szCs w:val="35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" w:line="219" w:lineRule="auto"/>
        <w:ind w:left="1871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2022年度部门整体支出绩效自评表</w:t>
      </w:r>
    </w:p>
    <w:p/>
    <w:tbl>
      <w:tblPr>
        <w:tblStyle w:val="6"/>
        <w:tblW w:w="10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911"/>
        <w:gridCol w:w="773"/>
        <w:gridCol w:w="1547"/>
        <w:gridCol w:w="1228"/>
        <w:gridCol w:w="1179"/>
        <w:gridCol w:w="659"/>
        <w:gridCol w:w="1129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right="168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县级预算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部门名称</w:t>
            </w:r>
          </w:p>
        </w:tc>
        <w:tc>
          <w:tcPr>
            <w:tcW w:w="919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17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华容县交通运输局（本级）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3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right="188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年度预算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362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62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39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375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6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65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执行数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76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47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执行率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68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33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年度资金总额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277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7144.50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7144.50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0"/>
              <w:jc w:val="both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按收入性质分：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val="en-US" w:eastAsia="zh-CN"/>
              </w:rPr>
              <w:t>7144.50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96"/>
              <w:jc w:val="both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按支出性质分：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val="en-US" w:eastAsia="zh-CN"/>
              </w:rPr>
              <w:t>7144.50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0"/>
              <w:jc w:val="both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其中：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>7144.50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96"/>
              <w:jc w:val="both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val="en-US" w:eastAsia="zh-CN"/>
              </w:rPr>
              <w:t>350.60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7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政府性基金拨款：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705"/>
              <w:jc w:val="both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项目支出：</w:t>
            </w:r>
            <w:r>
              <w:rPr>
                <w:rFonts w:hint="eastAsia" w:ascii="宋体" w:hAnsi="宋体" w:eastAsia="宋体" w:cs="宋体"/>
                <w:spacing w:val="20"/>
                <w:sz w:val="21"/>
                <w:szCs w:val="21"/>
                <w:lang w:val="en-US" w:eastAsia="zh-CN"/>
              </w:rPr>
              <w:t>6793.90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6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纳入专户管理的非税收入拨款：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35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其他资金：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21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6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1"/>
                <w:szCs w:val="21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210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</w:rPr>
              <w:t>总体目标</w:t>
            </w: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710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</w:rPr>
              <w:t>预期目标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705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1"/>
                <w:szCs w:val="21"/>
                <w:highlight w:val="none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108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2" w:firstLine="360" w:firstLineChars="200"/>
              <w:textAlignment w:val="baseline"/>
              <w:rPr>
                <w:rFonts w:ascii="Arial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/>
                <w:color w:val="auto"/>
                <w:sz w:val="18"/>
                <w:szCs w:val="18"/>
                <w:highlight w:val="none"/>
              </w:rPr>
              <w:t>按照县委、县政府总体部署，围绕人民满意交通目标为抓手</w:t>
            </w: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  <w:t>，争项争资，</w:t>
            </w:r>
            <w:r>
              <w:rPr>
                <w:rFonts w:hint="eastAsia" w:ascii="Arial"/>
                <w:color w:val="auto"/>
                <w:sz w:val="18"/>
                <w:szCs w:val="18"/>
                <w:highlight w:val="none"/>
              </w:rPr>
              <w:t>推进项目建设</w:t>
            </w: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  <w:t>，提升乡村振兴</w:t>
            </w:r>
            <w:r>
              <w:rPr>
                <w:rFonts w:hint="eastAsia" w:ascii="Arial"/>
                <w:color w:val="auto"/>
                <w:sz w:val="18"/>
                <w:szCs w:val="18"/>
                <w:highlight w:val="none"/>
              </w:rPr>
              <w:t>；</w:t>
            </w: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  <w:t>强化市场秩序管理，</w:t>
            </w:r>
            <w:r>
              <w:rPr>
                <w:rFonts w:hint="eastAsia" w:ascii="Arial"/>
                <w:color w:val="auto"/>
                <w:sz w:val="18"/>
                <w:szCs w:val="18"/>
                <w:highlight w:val="none"/>
              </w:rPr>
              <w:t>优化管理服务；强化基础保障</w:t>
            </w: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  <w:t>，严格预算管理，确保行政运行正常，队伍稳定</w:t>
            </w:r>
            <w:r>
              <w:rPr>
                <w:rFonts w:hint="eastAsia" w:ascii="Arial"/>
                <w:color w:val="auto"/>
                <w:sz w:val="18"/>
                <w:szCs w:val="18"/>
                <w:highlight w:val="none"/>
              </w:rPr>
              <w:t>。</w:t>
            </w:r>
          </w:p>
        </w:tc>
        <w:tc>
          <w:tcPr>
            <w:tcW w:w="47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2" w:firstLine="360" w:firstLineChars="200"/>
              <w:textAlignment w:val="baseline"/>
              <w:rPr>
                <w:rFonts w:hint="eastAsia" w:ascii="Arial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highlight w:val="none"/>
                <w:lang w:eastAsia="zh-CN"/>
              </w:rPr>
              <w:t>年度预算收支平衡，部门运转稳定；完成基本民生和重大项目交工通行，完成农村公路建设和养护任务；市场秩序良好，完成营商环境治理，完成春运等重点运输保障工作；公路管理进一步深入，完成路域环境整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080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2814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绩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标</w:t>
            </w:r>
          </w:p>
        </w:tc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271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21"/>
                <w:szCs w:val="21"/>
                <w:highlight w:val="none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71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exact"/>
              <w:ind w:left="261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position w:val="4"/>
                <w:sz w:val="21"/>
                <w:szCs w:val="21"/>
                <w:highlight w:val="none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61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362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1"/>
                <w:szCs w:val="21"/>
                <w:highlight w:val="none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62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393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1"/>
                <w:szCs w:val="21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3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指标值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exact"/>
              <w:ind w:left="375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position w:val="4"/>
                <w:sz w:val="21"/>
                <w:szCs w:val="21"/>
                <w:highlight w:val="none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65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完成值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76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分值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348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得分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457" w:right="152" w:hanging="309"/>
              <w:jc w:val="both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</w:rPr>
              <w:t>偏差原因分析及</w:t>
            </w:r>
            <w:r>
              <w:rPr>
                <w:rFonts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12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21"/>
                <w:szCs w:val="21"/>
                <w:highlight w:val="none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-6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6"/>
                <w:sz w:val="21"/>
                <w:szCs w:val="21"/>
                <w:highlight w:val="none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sz w:val="21"/>
                <w:szCs w:val="21"/>
                <w:highlight w:val="none"/>
              </w:rPr>
              <w:t>(50分)</w:t>
            </w:r>
          </w:p>
        </w:tc>
        <w:tc>
          <w:tcPr>
            <w:tcW w:w="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5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开展重点主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题宣传策划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安全生产、文明创建、市场维稳、行政执法主题宣传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4次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开展党风廉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政教育活动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2次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3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交通公共基础设施项目建设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农村公路管养、建设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2000公里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3" w:lineRule="exact"/>
              <w:ind w:left="322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重点项目建设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1座桥梁、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重启塔市码头建设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3" w:lineRule="exact"/>
              <w:ind w:left="322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规划编制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以花注公路前期为主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6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交工检测合格率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≧90%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41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学法考法合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格率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普通公路超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限超载率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两客一危车辆上传交通部数据覆盖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；水上交通安全视频监控信息处置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1"/>
                <w:szCs w:val="21"/>
                <w:highlight w:val="none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年度目标任务完成情况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预算执行率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资金使用效率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0" w:hRule="atLeast"/>
          <w:jc w:val="center"/>
        </w:trPr>
        <w:tc>
          <w:tcPr>
            <w:tcW w:w="1080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项目合约执行情况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>
      <w:pPr>
        <w:rPr>
          <w:color w:val="auto"/>
        </w:rPr>
      </w:pPr>
      <w:r>
        <w:rPr>
          <w:color w:val="auto"/>
        </w:rPr>
        <w:br w:type="page"/>
      </w:r>
    </w:p>
    <w:p>
      <w:pPr>
        <w:pStyle w:val="2"/>
        <w:ind w:left="0" w:leftChars="0" w:firstLine="0" w:firstLineChars="0"/>
      </w:pPr>
    </w:p>
    <w:tbl>
      <w:tblPr>
        <w:tblStyle w:val="6"/>
        <w:tblW w:w="102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89"/>
        <w:gridCol w:w="925"/>
        <w:gridCol w:w="1193"/>
        <w:gridCol w:w="1228"/>
        <w:gridCol w:w="1179"/>
        <w:gridCol w:w="659"/>
        <w:gridCol w:w="1119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4" w:hRule="atLeast"/>
          <w:jc w:val="center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99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7" w:line="217" w:lineRule="auto"/>
              <w:ind w:left="3643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绩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效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指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标</w:t>
            </w:r>
          </w:p>
        </w:tc>
        <w:tc>
          <w:tcPr>
            <w:tcW w:w="989" w:type="dxa"/>
            <w:vAlign w:val="top"/>
          </w:tcPr>
          <w:p>
            <w:pPr>
              <w:spacing w:before="147" w:line="231" w:lineRule="auto"/>
              <w:ind w:left="25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3"/>
                <w:szCs w:val="23"/>
              </w:rPr>
              <w:t>一级</w:t>
            </w:r>
          </w:p>
          <w:p>
            <w:pPr>
              <w:spacing w:line="220" w:lineRule="auto"/>
              <w:ind w:left="25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925" w:type="dxa"/>
            <w:vAlign w:val="top"/>
          </w:tcPr>
          <w:p>
            <w:pPr>
              <w:spacing w:before="167" w:line="207" w:lineRule="auto"/>
              <w:ind w:left="23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3"/>
                <w:szCs w:val="23"/>
              </w:rPr>
              <w:t>二级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193" w:type="dxa"/>
            <w:vAlign w:val="top"/>
          </w:tcPr>
          <w:p>
            <w:pPr>
              <w:spacing w:before="167" w:line="207" w:lineRule="auto"/>
              <w:ind w:left="343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3"/>
                <w:szCs w:val="23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228" w:type="dxa"/>
            <w:vAlign w:val="top"/>
          </w:tcPr>
          <w:p>
            <w:pPr>
              <w:spacing w:before="144" w:line="225" w:lineRule="auto"/>
              <w:ind w:left="374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3"/>
                <w:szCs w:val="23"/>
              </w:rPr>
              <w:t>年度</w:t>
            </w:r>
          </w:p>
          <w:p>
            <w:pPr>
              <w:spacing w:line="219" w:lineRule="auto"/>
              <w:ind w:left="263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指标值</w:t>
            </w:r>
          </w:p>
        </w:tc>
        <w:tc>
          <w:tcPr>
            <w:tcW w:w="1179" w:type="dxa"/>
            <w:vAlign w:val="top"/>
          </w:tcPr>
          <w:p>
            <w:pPr>
              <w:spacing w:before="145" w:line="232" w:lineRule="auto"/>
              <w:ind w:left="356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实际</w:t>
            </w:r>
          </w:p>
          <w:p>
            <w:pPr>
              <w:spacing w:line="219" w:lineRule="auto"/>
              <w:ind w:left="235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完成值</w:t>
            </w:r>
          </w:p>
        </w:tc>
        <w:tc>
          <w:tcPr>
            <w:tcW w:w="659" w:type="dxa"/>
            <w:vAlign w:val="top"/>
          </w:tcPr>
          <w:p>
            <w:pPr>
              <w:spacing w:before="314" w:line="219" w:lineRule="auto"/>
              <w:ind w:left="97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1119" w:type="dxa"/>
            <w:vAlign w:val="top"/>
          </w:tcPr>
          <w:p>
            <w:pPr>
              <w:spacing w:before="314" w:line="219" w:lineRule="auto"/>
              <w:ind w:left="328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得分</w:t>
            </w:r>
          </w:p>
        </w:tc>
        <w:tc>
          <w:tcPr>
            <w:tcW w:w="1753" w:type="dxa"/>
            <w:vAlign w:val="top"/>
          </w:tcPr>
          <w:p>
            <w:pPr>
              <w:spacing w:before="184" w:line="222" w:lineRule="auto"/>
              <w:ind w:left="408" w:right="51" w:hanging="339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3"/>
                <w:szCs w:val="23"/>
              </w:rPr>
              <w:t>偏差原因分析及</w:t>
            </w: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23"/>
                <w:szCs w:val="23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4" w:line="221" w:lineRule="auto"/>
              <w:ind w:left="140" w:right="97" w:firstLine="110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3"/>
                <w:szCs w:val="23"/>
              </w:rPr>
              <w:t>效益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spacing w:line="384" w:lineRule="auto"/>
              <w:jc w:val="center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214" w:lineRule="auto"/>
              <w:ind w:left="122" w:right="117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经济效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积极对接国省交通强国战略，促进我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经济发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展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争项争资完成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1.5亿元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1.5亿元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降低超限超载车辆对路面的损坏，保护路产路权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开展科技治超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培育、升级运输市场，打造良好营商环境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社会公众出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行成本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下降、安全指标提高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出行方式多元化、安全事故下降。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tcBorders>
              <w:bottom w:val="nil"/>
            </w:tcBorders>
            <w:vAlign w:val="center"/>
          </w:tcPr>
          <w:p>
            <w:pPr>
              <w:spacing w:before="75" w:line="219" w:lineRule="auto"/>
              <w:ind w:left="122" w:right="117"/>
              <w:jc w:val="center"/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交通项目建设投资成本下降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配合财政评审，严格控制项目变更、调差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实际成本有控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restart"/>
            <w:tcBorders>
              <w:bottom w:val="nil"/>
            </w:tcBorders>
            <w:vAlign w:val="center"/>
          </w:tcPr>
          <w:p>
            <w:pPr>
              <w:spacing w:before="75" w:line="219" w:lineRule="auto"/>
              <w:ind w:left="122" w:right="117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社会效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提高安全生产和应急管理水平，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维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护社会稳定，提高人民群众幸福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感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提高安全生产和应急管理水平，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维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护社会稳定，提高人民群众幸福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感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强化企业安全生产主体责任，排查整治安全隐患，维护安全形势的基本稳定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优化交通项目建设方案，提升项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目服务水平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优化交通项目建设方案，提升项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目服务水平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tcBorders>
              <w:bottom w:val="nil"/>
            </w:tcBorders>
            <w:vAlign w:val="center"/>
          </w:tcPr>
          <w:p>
            <w:pPr>
              <w:spacing w:before="75" w:line="230" w:lineRule="auto"/>
              <w:ind w:left="122" w:right="117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生态效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交通运输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领域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环境保护管理水平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提高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提高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restart"/>
            <w:tcBorders>
              <w:bottom w:val="nil"/>
            </w:tcBorders>
            <w:vAlign w:val="center"/>
          </w:tcPr>
          <w:p>
            <w:pPr>
              <w:spacing w:before="315" w:line="218" w:lineRule="auto"/>
              <w:ind w:left="122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可持续</w:t>
            </w:r>
          </w:p>
          <w:p>
            <w:pPr>
              <w:spacing w:before="1" w:line="215" w:lineRule="auto"/>
              <w:ind w:left="122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3"/>
                <w:szCs w:val="23"/>
              </w:rPr>
              <w:t>影响指</w:t>
            </w:r>
          </w:p>
          <w:p>
            <w:pPr>
              <w:spacing w:line="220" w:lineRule="auto"/>
              <w:ind w:left="351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标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交通运输行业安全稳定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服务乡村振兴，交通项目建设稳步推进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390" w:lineRule="auto"/>
              <w:rPr>
                <w:rFonts w:ascii="Arial"/>
                <w:color w:val="auto"/>
                <w:sz w:val="15"/>
                <w:szCs w:val="15"/>
              </w:rPr>
            </w:pPr>
          </w:p>
          <w:p>
            <w:pPr>
              <w:spacing w:before="75" w:line="223" w:lineRule="auto"/>
              <w:ind w:left="140" w:right="97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15"/>
                <w:szCs w:val="15"/>
              </w:rPr>
              <w:t>满意度</w:t>
            </w:r>
            <w:r>
              <w:rPr>
                <w:rFonts w:ascii="宋体" w:hAnsi="宋体" w:eastAsia="宋体" w:cs="宋体"/>
                <w:color w:val="auto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0"/>
                <w:w w:val="117"/>
                <w:sz w:val="15"/>
                <w:szCs w:val="15"/>
              </w:rPr>
              <w:t>指标</w:t>
            </w:r>
            <w:r>
              <w:rPr>
                <w:rFonts w:ascii="宋体" w:hAnsi="宋体" w:eastAsia="宋体" w:cs="宋体"/>
                <w:color w:val="auto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10"/>
                <w:sz w:val="15"/>
                <w:szCs w:val="15"/>
              </w:rPr>
              <w:t>(10分)</w:t>
            </w:r>
          </w:p>
        </w:tc>
        <w:tc>
          <w:tcPr>
            <w:tcW w:w="925" w:type="dxa"/>
            <w:vMerge w:val="restart"/>
            <w:tcBorders>
              <w:bottom w:val="nil"/>
            </w:tcBorders>
            <w:vAlign w:val="center"/>
          </w:tcPr>
          <w:p>
            <w:pPr>
              <w:spacing w:line="398" w:lineRule="auto"/>
              <w:jc w:val="center"/>
              <w:rPr>
                <w:rFonts w:ascii="Arial"/>
                <w:color w:val="auto"/>
                <w:sz w:val="15"/>
                <w:szCs w:val="15"/>
              </w:rPr>
            </w:pPr>
          </w:p>
          <w:p>
            <w:pPr>
              <w:spacing w:before="74" w:line="221" w:lineRule="auto"/>
              <w:ind w:left="122" w:right="111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15"/>
                <w:szCs w:val="15"/>
              </w:rPr>
              <w:t>服务对</w:t>
            </w:r>
            <w:r>
              <w:rPr>
                <w:rFonts w:ascii="宋体" w:hAnsi="宋体" w:eastAsia="宋体" w:cs="宋体"/>
                <w:color w:val="auto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5"/>
                <w:sz w:val="15"/>
                <w:szCs w:val="15"/>
              </w:rPr>
              <w:t>象满意</w:t>
            </w:r>
            <w:r>
              <w:rPr>
                <w:rFonts w:ascii="宋体" w:hAnsi="宋体" w:eastAsia="宋体" w:cs="宋体"/>
                <w:color w:val="auto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"/>
                <w:sz w:val="15"/>
                <w:szCs w:val="15"/>
              </w:rPr>
              <w:t>度指标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运输服务对象满意度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98%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项目建设受益群众满意度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≦100%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4" w:hRule="atLeast"/>
          <w:jc w:val="center"/>
        </w:trPr>
        <w:tc>
          <w:tcPr>
            <w:tcW w:w="6718" w:type="dxa"/>
            <w:gridSpan w:val="6"/>
            <w:vAlign w:val="top"/>
          </w:tcPr>
          <w:p>
            <w:pPr>
              <w:spacing w:before="139" w:line="220" w:lineRule="auto"/>
              <w:ind w:left="3124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659" w:type="dxa"/>
            <w:vAlign w:val="center"/>
          </w:tcPr>
          <w:p>
            <w:pPr>
              <w:spacing w:before="196" w:line="184" w:lineRule="auto"/>
              <w:ind w:left="146"/>
              <w:jc w:val="center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-6"/>
                <w:sz w:val="23"/>
                <w:szCs w:val="23"/>
              </w:rPr>
              <w:t>100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</w:tbl>
    <w:p>
      <w:pPr>
        <w:spacing w:before="34" w:line="219" w:lineRule="auto"/>
        <w:ind w:left="585"/>
        <w:rPr>
          <w:rFonts w:ascii="宋体" w:hAnsi="宋体" w:eastAsia="宋体" w:cs="宋体"/>
          <w:color w:val="auto"/>
          <w:sz w:val="23"/>
          <w:szCs w:val="23"/>
        </w:rPr>
      </w:pPr>
      <w:r>
        <w:rPr>
          <w:rFonts w:ascii="宋体" w:hAnsi="宋体" w:eastAsia="宋体" w:cs="宋体"/>
          <w:color w:val="auto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hAnsi="宋体" w:eastAsia="宋体" w:cs="宋体"/>
          <w:color w:val="auto"/>
          <w:spacing w:val="2"/>
          <w:sz w:val="23"/>
          <w:szCs w:val="23"/>
        </w:rPr>
        <w:t>决01表)。</w:t>
      </w:r>
    </w:p>
    <w:p>
      <w:pPr>
        <w:spacing w:before="63" w:line="221" w:lineRule="auto"/>
        <w:ind w:left="595"/>
        <w:rPr>
          <w:rFonts w:hint="eastAsia" w:ascii="仿宋" w:hAnsi="仿宋" w:eastAsia="仿宋" w:cs="仿宋"/>
          <w:color w:val="auto"/>
          <w:sz w:val="23"/>
          <w:szCs w:val="23"/>
          <w:lang w:val="en-US" w:eastAsia="zh-CN"/>
        </w:rPr>
      </w:pP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填表人：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吴丹</w:t>
      </w:r>
      <w:r>
        <w:rPr>
          <w:rFonts w:ascii="仿宋" w:hAnsi="仿宋" w:eastAsia="仿宋" w:cs="仿宋"/>
          <w:color w:val="auto"/>
          <w:spacing w:val="11"/>
          <w:sz w:val="23"/>
          <w:szCs w:val="23"/>
        </w:rPr>
        <w:t xml:space="preserve">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填报日期：</w:t>
      </w:r>
      <w:r>
        <w:rPr>
          <w:rFonts w:ascii="仿宋" w:hAnsi="仿宋" w:eastAsia="仿宋" w:cs="仿宋"/>
          <w:color w:val="auto"/>
          <w:spacing w:val="5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color w:val="auto"/>
          <w:spacing w:val="5"/>
          <w:sz w:val="23"/>
          <w:szCs w:val="23"/>
          <w:lang w:val="en-US" w:eastAsia="zh-CN"/>
        </w:rPr>
        <w:t>2023-7-6</w:t>
      </w:r>
      <w:r>
        <w:rPr>
          <w:rFonts w:ascii="仿宋" w:hAnsi="仿宋" w:eastAsia="仿宋" w:cs="仿宋"/>
          <w:color w:val="auto"/>
          <w:spacing w:val="5"/>
          <w:sz w:val="23"/>
          <w:szCs w:val="23"/>
        </w:rPr>
        <w:t xml:space="preserve">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联系电话：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4313157</w:t>
      </w:r>
      <w:r>
        <w:rPr>
          <w:rFonts w:ascii="仿宋" w:hAnsi="仿宋" w:eastAsia="仿宋" w:cs="仿宋"/>
          <w:color w:val="auto"/>
          <w:spacing w:val="2"/>
          <w:sz w:val="23"/>
          <w:szCs w:val="23"/>
        </w:rPr>
        <w:t xml:space="preserve">      </w:t>
      </w:r>
      <w:r>
        <w:rPr>
          <w:rFonts w:ascii="仿宋" w:hAnsi="仿宋" w:eastAsia="仿宋" w:cs="仿宋"/>
          <w:color w:val="auto"/>
          <w:spacing w:val="-26"/>
          <w:sz w:val="23"/>
          <w:szCs w:val="23"/>
        </w:rPr>
        <w:t>单位负责人签字：</w:t>
      </w:r>
      <w:r>
        <w:rPr>
          <w:rFonts w:hint="eastAsia" w:ascii="仿宋" w:hAnsi="仿宋" w:eastAsia="仿宋" w:cs="仿宋"/>
          <w:color w:val="auto"/>
          <w:spacing w:val="-26"/>
          <w:sz w:val="23"/>
          <w:szCs w:val="23"/>
          <w:lang w:val="en-US" w:eastAsia="zh-CN"/>
        </w:rPr>
        <w:t>唐龙</w:t>
      </w:r>
    </w:p>
    <w:p>
      <w:pPr>
        <w:sectPr>
          <w:footerReference r:id="rId5" w:type="default"/>
          <w:pgSz w:w="11900" w:h="16838"/>
          <w:pgMar w:top="1134" w:right="794" w:bottom="1134" w:left="794" w:header="0" w:footer="945" w:gutter="0"/>
          <w:cols w:space="720" w:num="1"/>
        </w:sectPr>
      </w:pPr>
    </w:p>
    <w:p>
      <w:pPr>
        <w:spacing w:line="402" w:lineRule="auto"/>
        <w:rPr>
          <w:rFonts w:ascii="Arial"/>
          <w:sz w:val="21"/>
        </w:rPr>
      </w:pPr>
    </w:p>
    <w:p>
      <w:pPr>
        <w:spacing w:before="108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附件3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3" w:line="917" w:lineRule="exact"/>
        <w:ind w:left="931"/>
        <w:jc w:val="center"/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</w:pP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val="en-US" w:eastAsia="zh-CN"/>
        </w:rPr>
        <w:t>华容县交通运输局</w:t>
      </w: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(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val="en-US" w:eastAsia="zh-CN"/>
        </w:rPr>
        <w:t>本级</w:t>
      </w: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)</w:t>
      </w:r>
    </w:p>
    <w:p>
      <w:pPr>
        <w:spacing w:before="143" w:line="917" w:lineRule="exact"/>
        <w:ind w:left="931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2"/>
          <w:sz w:val="44"/>
          <w:szCs w:val="44"/>
          <w:lang w:val="en-US" w:eastAsia="zh-CN"/>
        </w:rPr>
        <w:t>整体支出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绩效自评报告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326" w:lineRule="auto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4"/>
          <w:sz w:val="33"/>
          <w:szCs w:val="33"/>
          <w:u w:val="single" w:color="auto"/>
        </w:rPr>
        <w:t>(盖章)</w:t>
      </w:r>
    </w:p>
    <w:p>
      <w:pPr>
        <w:spacing w:line="222" w:lineRule="auto"/>
        <w:ind w:firstLine="3432" w:firstLineChars="1200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2023 </w:t>
      </w: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7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3"/>
          <w:sz w:val="33"/>
          <w:szCs w:val="33"/>
          <w:lang w:val="en-US" w:eastAsia="zh-CN"/>
        </w:rPr>
        <w:t>6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ectPr>
          <w:footerReference r:id="rId6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</w:rPr>
        <w:t>2022年度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  <w:t>华容县交通运输局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</w:rPr>
        <w:t>(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  <w:t>本级）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25"/>
          <w:sz w:val="44"/>
          <w:szCs w:val="44"/>
          <w:lang w:val="en-US" w:eastAsia="zh-CN"/>
        </w:rPr>
        <w:t>整体支出绩效自评报告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731" w:firstLineChars="200"/>
        <w:jc w:val="both"/>
        <w:textAlignment w:val="baseline"/>
        <w:rPr>
          <w:rFonts w:ascii="黑体" w:hAnsi="黑体" w:eastAsia="黑体" w:cs="黑体"/>
          <w:b/>
          <w:bCs/>
          <w:spacing w:val="22"/>
          <w:sz w:val="32"/>
          <w:szCs w:val="32"/>
        </w:rPr>
      </w:pPr>
      <w:r>
        <w:rPr>
          <w:rFonts w:ascii="黑体" w:hAnsi="黑体" w:eastAsia="黑体" w:cs="黑体"/>
          <w:b/>
          <w:bCs/>
          <w:spacing w:val="22"/>
          <w:sz w:val="32"/>
          <w:szCs w:val="32"/>
        </w:rPr>
        <w:t>部门(单位)基本情况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单位基本情况：</w:t>
      </w:r>
      <w:r>
        <w:rPr>
          <w:rFonts w:hint="eastAsia" w:ascii="仿宋" w:hAnsi="仿宋" w:eastAsia="仿宋"/>
          <w:sz w:val="28"/>
          <w:szCs w:val="28"/>
        </w:rPr>
        <w:t>华容县交通运输局系县财政全额预算拨款单位。202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年编制部门核实交通局人员编制17人，实有人数为2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</w:rPr>
        <w:t>人。该局本级内设机构8个：办公室、人事股、财务审计股、规划建养</w:t>
      </w:r>
      <w:r>
        <w:rPr>
          <w:rFonts w:ascii="仿宋" w:hAnsi="仿宋" w:eastAsia="仿宋"/>
          <w:sz w:val="28"/>
          <w:szCs w:val="28"/>
        </w:rPr>
        <w:t>股</w:t>
      </w:r>
      <w:r>
        <w:rPr>
          <w:rFonts w:hint="eastAsia" w:ascii="仿宋" w:hAnsi="仿宋" w:eastAsia="仿宋"/>
          <w:sz w:val="28"/>
          <w:szCs w:val="28"/>
        </w:rPr>
        <w:t>、法制</w:t>
      </w:r>
      <w:r>
        <w:rPr>
          <w:rFonts w:ascii="仿宋" w:hAnsi="仿宋" w:eastAsia="仿宋"/>
          <w:sz w:val="28"/>
          <w:szCs w:val="28"/>
        </w:rPr>
        <w:t>股</w:t>
      </w:r>
      <w:r>
        <w:rPr>
          <w:rFonts w:hint="eastAsia" w:ascii="仿宋" w:hAnsi="仿宋" w:eastAsia="仿宋"/>
          <w:sz w:val="28"/>
          <w:szCs w:val="28"/>
        </w:rPr>
        <w:t>、安全监督股、运输管理股、行政审批股。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部门主要职能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执行落实交通运输行业各项法规政策；组织拟订或参与拟订交通</w:t>
      </w:r>
      <w:r>
        <w:rPr>
          <w:rFonts w:hint="eastAsia" w:ascii="仿宋" w:hAnsi="仿宋" w:eastAsia="仿宋"/>
          <w:spacing w:val="-6"/>
          <w:sz w:val="28"/>
          <w:szCs w:val="28"/>
        </w:rPr>
        <w:t>运输规划、</w:t>
      </w:r>
      <w:r>
        <w:rPr>
          <w:rFonts w:hint="eastAsia" w:ascii="仿宋" w:hAnsi="仿宋" w:eastAsia="仿宋"/>
          <w:spacing w:val="-11"/>
          <w:sz w:val="28"/>
          <w:szCs w:val="28"/>
        </w:rPr>
        <w:t>计划并监督实施；负责交通基础设施项目建设、管理维护和行业监管协调；负责交通运输行业监管工作交通运输行业管理、农村公路管、建、养、运输市场</w:t>
      </w:r>
      <w:r>
        <w:rPr>
          <w:rFonts w:hint="eastAsia" w:ascii="仿宋" w:hAnsi="仿宋" w:eastAsia="仿宋"/>
          <w:spacing w:val="-6"/>
          <w:sz w:val="28"/>
          <w:szCs w:val="28"/>
        </w:rPr>
        <w:t>管理、交通建设</w:t>
      </w:r>
      <w:r>
        <w:rPr>
          <w:rFonts w:hint="eastAsia" w:ascii="仿宋" w:hAnsi="仿宋" w:eastAsia="仿宋"/>
          <w:sz w:val="28"/>
          <w:szCs w:val="28"/>
        </w:rPr>
        <w:t>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87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spacing w:val="-1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4"/>
          <w:sz w:val="32"/>
          <w:szCs w:val="32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spacing w:val="-14"/>
          <w:sz w:val="32"/>
          <w:szCs w:val="32"/>
        </w:rPr>
        <w:t>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2022年华容县交通运输局全年基本支出350.6万元，其中：工资福利支出287.48万元，商品和服务支出58.98万元，对个人和家庭的补助支出4.14万元。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2022年“三公”经费实际支出0.55万元，比2021年“三公”经费支出2.86万元减少2.31万元，减少80.7%，主要是根据中央八项规定，厉行节约压减机关运行经费。其中公务接待费0.55万元，无公务用车运维费。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75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spacing w:val="-17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7"/>
          <w:sz w:val="32"/>
          <w:szCs w:val="32"/>
          <w:lang w:val="en-US" w:eastAsia="zh-CN"/>
        </w:rPr>
        <w:t>三、</w:t>
      </w:r>
      <w:r>
        <w:rPr>
          <w:rFonts w:ascii="黑体" w:hAnsi="黑体" w:eastAsia="黑体" w:cs="黑体"/>
          <w:b/>
          <w:bCs/>
          <w:spacing w:val="-17"/>
          <w:sz w:val="32"/>
          <w:szCs w:val="32"/>
        </w:rPr>
        <w:t>项目支出情况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2022年华容县交通运输局全年项目支出6793.9万元，其中：其他巩固脱贫衔接乡村振兴支出3394.00万元，公路建设支出250.00万元，公路养护支出1188.00万元，其他公路水路运输支出1958.9万元，一般行政管理事务支出3.00万元。比2021年增加176.2万元，增长2.66%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99" w:firstLineChars="200"/>
        <w:jc w:val="both"/>
        <w:textAlignment w:val="baseline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四、</w:t>
      </w:r>
      <w:r>
        <w:rPr>
          <w:rFonts w:ascii="黑体" w:hAnsi="黑体" w:eastAsia="黑体" w:cs="黑体"/>
          <w:spacing w:val="-77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（一）严格预算支出管理。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在支出预算编制上，人员经费按照配置定额，逐人核定编制，公用经费分类分档，按定额编制；根据“总量控制、计划管理”的要求从严控制行政经费，压缩公务费开支，严格控制“三公”经费，资产的配置严格政府采购，按照预算科目和项目资金的规定使用财政资金，保障部门整体支出的规范化、制度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（二）财务管理上，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按照国家相关法律法规，制定了机关财务、公物购置使用、接待、会务、因公出国、车辆使用等管理制度，并严格按照制度管理和执行，防范风险，保证财政资金的安全和高效运行。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jc w:val="both"/>
        <w:textAlignment w:val="baseline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（三）整体支出绩效情况分析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2022年，根据该局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1、预算执行方面，该单位预算资金按规定管理使用。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2、预算管理方面，交通部门制定了切实有效的内部财务、资产内部管理制度，执行总体较为有效。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3、重大项目建设协调推进有力。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月12日，梅田湖大桥主桥顺利合龙，已完成建安投资1.2亿元，目前正在抓紧扫尾工作，旧历年前可交工通车。团州乡通三级公路11.51公里已全部完成，投资约2200万元；华一水库至桃花山旅游公路19公里已完工通车；注朝公路目前已完成路基土方和碎石垫层，预计元旦节前完成沥青路面施工、通车运行；梅田湖镇通三级公路2.777公里正在建设中，预计年前完工通车。塔市驿码头10月31日已与湖南省湘水集团签订了合作协议，完成了门座式起重机设备招标工作，正在抓紧设备定制，有望明年上半年投产使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常岳九高铁、荆岳铁路、华容至益阳铁路、利华公铁两用桥、监利至华容至汨罗高速公路已纳入国家、省“十四五”规划，华容将成为高铁、高速“双十字路口”；S218花注公路已完成工可编制及审查，10月17日完成勘察设计招标工作，确定了设计中标单位，启动了用地预审、规划选址、环评等专项技术编制工作；G234杨家桥至田家湖公路、新河至北景港公路已完成工程可行性研究报告审查。洪山头码头目前已完成全过程工程咨询招标、项目选址、现场测量和工程可行性研究报告编制工作，启动了前期专题报告，预计年内取得立项批复；华阳公交首末站作为2023年储备项目，正在开展相关前期工作，“一环二路三高四桥”规划蓝图正在逐步实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着力优化农村公路路网结构，助推乡村振兴发展。今年完成农村公路里程86公里，改建35条公路，涉及13个乡镇，总投资约1.3亿元；G234新河段大修工程已竣工通车，投资约1500万元；G240东山墟场至三封松木桥大修工程建设13.285公里，总投资约4154万元，计划春运前路面主体施工完成；完成铭心桥等20座危桥拆除、重建工作。中心车站提质改造工程于7月底正式完工，已投入使用；北景港运输服务站提质改造工程顺利推进，年内可交付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99" w:firstLineChars="200"/>
        <w:jc w:val="both"/>
        <w:textAlignment w:val="baseline"/>
        <w:outlineLvl w:val="1"/>
        <w:rPr>
          <w:rFonts w:ascii="黑体" w:hAnsi="黑体" w:eastAsia="黑体" w:cs="黑体"/>
          <w:b/>
          <w:bCs/>
          <w:spacing w:val="-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1"/>
          <w:sz w:val="32"/>
          <w:szCs w:val="32"/>
          <w:lang w:val="en-US" w:eastAsia="zh-CN"/>
        </w:rPr>
        <w:t>五、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存在的问题及原因分析</w:t>
      </w:r>
    </w:p>
    <w:p>
      <w:pPr>
        <w:keepNext w:val="0"/>
        <w:keepLines w:val="0"/>
        <w:pageBreakBefore w:val="0"/>
        <w:widowControl w:val="0"/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预算编制有待更严格执行，预算编制与实际支出项目有的存在差异。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79" w:firstLineChars="200"/>
        <w:jc w:val="both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16"/>
          <w:sz w:val="32"/>
          <w:szCs w:val="32"/>
          <w:lang w:val="en-US" w:eastAsia="zh-CN"/>
        </w:rPr>
        <w:t>六、</w:t>
      </w: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下一步改进措施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二是严格控制“三公”经费支出，杜绝挪用和挤占其他预算资金；进一步细化“三公”经费管理，压缩“三公”经费支出。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0" w:firstLineChars="200"/>
        <w:jc w:val="both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三是预算财务分析常态化，定期做好预算支出财务分析，做好部门整体支出预算评价工作。</w:t>
      </w:r>
    </w:p>
    <w:p>
      <w:pPr>
        <w:keepNext w:val="0"/>
        <w:keepLines w:val="0"/>
        <w:pageBreakBefore w:val="0"/>
        <w:widowControl w:val="0"/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2240" w:firstLineChars="800"/>
        <w:textAlignment w:val="baseline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2240" w:firstLineChars="800"/>
        <w:textAlignment w:val="baseline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752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2240" w:firstLineChars="800"/>
        <w:textAlignment w:val="baseline"/>
        <w:rPr>
          <w:rFonts w:hint="eastAsia" w:ascii="仿宋" w:hAnsi="仿宋" w:eastAsia="仿宋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840" w:firstLineChars="300"/>
        <w:jc w:val="right"/>
        <w:textAlignment w:val="baseline"/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>华容县交通运输局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840" w:firstLineChars="300"/>
        <w:jc w:val="center"/>
        <w:textAlignment w:val="baseline"/>
        <w:rPr>
          <w:rFonts w:ascii="Arial"/>
          <w:sz w:val="21"/>
        </w:rPr>
      </w:pPr>
      <w:r>
        <w:rPr>
          <w:rFonts w:hint="eastAsia" w:ascii="仿宋" w:hAnsi="仿宋" w:eastAsia="仿宋" w:cs="Arial"/>
          <w:snapToGrid w:val="0"/>
          <w:color w:val="000000"/>
          <w:kern w:val="0"/>
          <w:sz w:val="28"/>
          <w:szCs w:val="28"/>
          <w:lang w:val="en-US" w:eastAsia="zh-CN"/>
        </w:rPr>
        <w:t xml:space="preserve">                                         2023年7月</w:t>
      </w:r>
    </w:p>
    <w:p>
      <w:pPr>
        <w:spacing w:line="261" w:lineRule="auto"/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headerReference r:id="rId7" w:type="default"/>
      <w:footerReference r:id="rId8" w:type="default"/>
      <w:pgSz w:w="11900" w:h="16830"/>
      <w:pgMar w:top="1701" w:right="1701" w:bottom="1701" w:left="1701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5090ED"/>
    <w:multiLevelType w:val="singleLevel"/>
    <w:tmpl w:val="B95090E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B62288E"/>
    <w:multiLevelType w:val="singleLevel"/>
    <w:tmpl w:val="3B6228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IyOTRiNzkwZGM3N2JhZGFlZDc0Y2Y3N2I2YzFiNzMifQ=="/>
  </w:docVars>
  <w:rsids>
    <w:rsidRoot w:val="00000000"/>
    <w:rsid w:val="00824069"/>
    <w:rsid w:val="00B701B7"/>
    <w:rsid w:val="01695955"/>
    <w:rsid w:val="01F6718B"/>
    <w:rsid w:val="026B1259"/>
    <w:rsid w:val="02A97FD3"/>
    <w:rsid w:val="034026E5"/>
    <w:rsid w:val="03B1713F"/>
    <w:rsid w:val="03C63CBE"/>
    <w:rsid w:val="03DD1CE2"/>
    <w:rsid w:val="042E1D38"/>
    <w:rsid w:val="045A1585"/>
    <w:rsid w:val="05D830A9"/>
    <w:rsid w:val="060914B4"/>
    <w:rsid w:val="067D155B"/>
    <w:rsid w:val="06F5548C"/>
    <w:rsid w:val="07043A2A"/>
    <w:rsid w:val="0730481F"/>
    <w:rsid w:val="07C9726D"/>
    <w:rsid w:val="07E8334B"/>
    <w:rsid w:val="07ED2710"/>
    <w:rsid w:val="081952B3"/>
    <w:rsid w:val="08E91129"/>
    <w:rsid w:val="09594501"/>
    <w:rsid w:val="098109B2"/>
    <w:rsid w:val="0A161889"/>
    <w:rsid w:val="0A4725AB"/>
    <w:rsid w:val="0A5E16A3"/>
    <w:rsid w:val="0A943317"/>
    <w:rsid w:val="0AC263CD"/>
    <w:rsid w:val="0AEE2A27"/>
    <w:rsid w:val="0B7A075E"/>
    <w:rsid w:val="0BB215F7"/>
    <w:rsid w:val="0C9B098C"/>
    <w:rsid w:val="0CAD06C0"/>
    <w:rsid w:val="0CE546F8"/>
    <w:rsid w:val="0D132C19"/>
    <w:rsid w:val="0D2C3CDA"/>
    <w:rsid w:val="0D454F4B"/>
    <w:rsid w:val="0D705975"/>
    <w:rsid w:val="0DC54629"/>
    <w:rsid w:val="0E59465B"/>
    <w:rsid w:val="0EB83A78"/>
    <w:rsid w:val="0ECE3CAC"/>
    <w:rsid w:val="0F4672D5"/>
    <w:rsid w:val="0FD06B9F"/>
    <w:rsid w:val="106043C7"/>
    <w:rsid w:val="10E01064"/>
    <w:rsid w:val="11401B02"/>
    <w:rsid w:val="11472E91"/>
    <w:rsid w:val="11C12C43"/>
    <w:rsid w:val="12085128"/>
    <w:rsid w:val="12415B32"/>
    <w:rsid w:val="13070B2A"/>
    <w:rsid w:val="133302A9"/>
    <w:rsid w:val="134A0A16"/>
    <w:rsid w:val="13A75E69"/>
    <w:rsid w:val="13E96481"/>
    <w:rsid w:val="14011A1D"/>
    <w:rsid w:val="14ED1FA1"/>
    <w:rsid w:val="14F0383F"/>
    <w:rsid w:val="15A07014"/>
    <w:rsid w:val="15C2342E"/>
    <w:rsid w:val="15F66C34"/>
    <w:rsid w:val="16A305AF"/>
    <w:rsid w:val="16F13FCB"/>
    <w:rsid w:val="17365E81"/>
    <w:rsid w:val="187D188E"/>
    <w:rsid w:val="193E726F"/>
    <w:rsid w:val="198E3107"/>
    <w:rsid w:val="1A475CB0"/>
    <w:rsid w:val="1AA9696A"/>
    <w:rsid w:val="1BC51582"/>
    <w:rsid w:val="1C0A3439"/>
    <w:rsid w:val="1CF3211F"/>
    <w:rsid w:val="1EBA7398"/>
    <w:rsid w:val="1F572E39"/>
    <w:rsid w:val="20374989"/>
    <w:rsid w:val="203942EC"/>
    <w:rsid w:val="206C6470"/>
    <w:rsid w:val="21090163"/>
    <w:rsid w:val="213521D5"/>
    <w:rsid w:val="21A954A2"/>
    <w:rsid w:val="22AC6FF8"/>
    <w:rsid w:val="22C73E32"/>
    <w:rsid w:val="235B27CC"/>
    <w:rsid w:val="236B0C61"/>
    <w:rsid w:val="237F6C74"/>
    <w:rsid w:val="24376D95"/>
    <w:rsid w:val="247578BD"/>
    <w:rsid w:val="24E46F1D"/>
    <w:rsid w:val="25453733"/>
    <w:rsid w:val="257D111F"/>
    <w:rsid w:val="25B14925"/>
    <w:rsid w:val="25C44658"/>
    <w:rsid w:val="25F52A64"/>
    <w:rsid w:val="261A4BC0"/>
    <w:rsid w:val="27333CBA"/>
    <w:rsid w:val="273870AC"/>
    <w:rsid w:val="27C2106B"/>
    <w:rsid w:val="287C746C"/>
    <w:rsid w:val="2881002E"/>
    <w:rsid w:val="29053906"/>
    <w:rsid w:val="2996630C"/>
    <w:rsid w:val="2AA44A58"/>
    <w:rsid w:val="2ADB491E"/>
    <w:rsid w:val="2AE35581"/>
    <w:rsid w:val="2B9845BD"/>
    <w:rsid w:val="2C416A03"/>
    <w:rsid w:val="2C491D5B"/>
    <w:rsid w:val="2C5129BE"/>
    <w:rsid w:val="2C8C4B8D"/>
    <w:rsid w:val="2C9A6113"/>
    <w:rsid w:val="2CBF201D"/>
    <w:rsid w:val="2CEF46B1"/>
    <w:rsid w:val="2E075A2A"/>
    <w:rsid w:val="2E47276C"/>
    <w:rsid w:val="2F452CAE"/>
    <w:rsid w:val="2FEC137B"/>
    <w:rsid w:val="300D4E4E"/>
    <w:rsid w:val="30191A45"/>
    <w:rsid w:val="30F57DBC"/>
    <w:rsid w:val="31280191"/>
    <w:rsid w:val="3140197F"/>
    <w:rsid w:val="317E6003"/>
    <w:rsid w:val="31FD161E"/>
    <w:rsid w:val="32002EBC"/>
    <w:rsid w:val="32476D3D"/>
    <w:rsid w:val="339B7340"/>
    <w:rsid w:val="352E7D40"/>
    <w:rsid w:val="355754E9"/>
    <w:rsid w:val="355D23D3"/>
    <w:rsid w:val="3578720D"/>
    <w:rsid w:val="359C73A0"/>
    <w:rsid w:val="35BB49D0"/>
    <w:rsid w:val="35E11E09"/>
    <w:rsid w:val="3642059B"/>
    <w:rsid w:val="366E5795"/>
    <w:rsid w:val="37465815"/>
    <w:rsid w:val="37621F23"/>
    <w:rsid w:val="37751C56"/>
    <w:rsid w:val="37E64902"/>
    <w:rsid w:val="38B90269"/>
    <w:rsid w:val="38CE5AC2"/>
    <w:rsid w:val="38DC5B2C"/>
    <w:rsid w:val="38EE1CC0"/>
    <w:rsid w:val="38EF24A6"/>
    <w:rsid w:val="38F46820"/>
    <w:rsid w:val="39912B26"/>
    <w:rsid w:val="39A16D33"/>
    <w:rsid w:val="39D23390"/>
    <w:rsid w:val="39ED1F78"/>
    <w:rsid w:val="39F94DC1"/>
    <w:rsid w:val="3A0948D8"/>
    <w:rsid w:val="3A7C32FC"/>
    <w:rsid w:val="3A8D5509"/>
    <w:rsid w:val="3AA30888"/>
    <w:rsid w:val="3AED5FA8"/>
    <w:rsid w:val="3B135A0E"/>
    <w:rsid w:val="3B651FE2"/>
    <w:rsid w:val="3D6A38DF"/>
    <w:rsid w:val="3D965BA7"/>
    <w:rsid w:val="3DD1395F"/>
    <w:rsid w:val="3E99447C"/>
    <w:rsid w:val="3EBC016B"/>
    <w:rsid w:val="404B17A6"/>
    <w:rsid w:val="41027567"/>
    <w:rsid w:val="411E0E78"/>
    <w:rsid w:val="414D154E"/>
    <w:rsid w:val="41984EBF"/>
    <w:rsid w:val="42DC0DDB"/>
    <w:rsid w:val="43301127"/>
    <w:rsid w:val="435C016E"/>
    <w:rsid w:val="4391606A"/>
    <w:rsid w:val="4416031D"/>
    <w:rsid w:val="44A439A4"/>
    <w:rsid w:val="45E00BE3"/>
    <w:rsid w:val="46133233"/>
    <w:rsid w:val="463F7FFF"/>
    <w:rsid w:val="465F41FD"/>
    <w:rsid w:val="473C62ED"/>
    <w:rsid w:val="474433F3"/>
    <w:rsid w:val="47AC3472"/>
    <w:rsid w:val="484F2050"/>
    <w:rsid w:val="489D100D"/>
    <w:rsid w:val="48D27585"/>
    <w:rsid w:val="490177EE"/>
    <w:rsid w:val="49920446"/>
    <w:rsid w:val="49CE3543"/>
    <w:rsid w:val="4A0E7ADB"/>
    <w:rsid w:val="4AC97E97"/>
    <w:rsid w:val="4BDB2578"/>
    <w:rsid w:val="4C235CCD"/>
    <w:rsid w:val="4CB977FD"/>
    <w:rsid w:val="4D1D096E"/>
    <w:rsid w:val="4D250E2D"/>
    <w:rsid w:val="4D387556"/>
    <w:rsid w:val="4D477799"/>
    <w:rsid w:val="4D555F59"/>
    <w:rsid w:val="4D9C7AE5"/>
    <w:rsid w:val="4DA93FB0"/>
    <w:rsid w:val="4DAC2D37"/>
    <w:rsid w:val="4DF07E31"/>
    <w:rsid w:val="4F035942"/>
    <w:rsid w:val="4F4F0B87"/>
    <w:rsid w:val="503F0BFC"/>
    <w:rsid w:val="508A631B"/>
    <w:rsid w:val="50E81293"/>
    <w:rsid w:val="510460CD"/>
    <w:rsid w:val="51721459"/>
    <w:rsid w:val="521D4101"/>
    <w:rsid w:val="525E180D"/>
    <w:rsid w:val="538C05FC"/>
    <w:rsid w:val="53982AFD"/>
    <w:rsid w:val="53C75190"/>
    <w:rsid w:val="53DF697E"/>
    <w:rsid w:val="545A0401"/>
    <w:rsid w:val="549F7EBB"/>
    <w:rsid w:val="550A17D8"/>
    <w:rsid w:val="56513437"/>
    <w:rsid w:val="56C360E3"/>
    <w:rsid w:val="572F3778"/>
    <w:rsid w:val="58676F42"/>
    <w:rsid w:val="58E42340"/>
    <w:rsid w:val="58F05189"/>
    <w:rsid w:val="5903310E"/>
    <w:rsid w:val="59BD32BD"/>
    <w:rsid w:val="59E36918"/>
    <w:rsid w:val="59E45C04"/>
    <w:rsid w:val="5AC266B1"/>
    <w:rsid w:val="5B092876"/>
    <w:rsid w:val="5B6A7475"/>
    <w:rsid w:val="5C7D31D8"/>
    <w:rsid w:val="5C877B46"/>
    <w:rsid w:val="5CC606DB"/>
    <w:rsid w:val="5D7E7207"/>
    <w:rsid w:val="5D845EA0"/>
    <w:rsid w:val="5D973E25"/>
    <w:rsid w:val="5E401BF3"/>
    <w:rsid w:val="5E451AD3"/>
    <w:rsid w:val="5EB822A5"/>
    <w:rsid w:val="5EEC76C7"/>
    <w:rsid w:val="5EFD415C"/>
    <w:rsid w:val="5F092B01"/>
    <w:rsid w:val="5F2319B3"/>
    <w:rsid w:val="5F610B8F"/>
    <w:rsid w:val="6003562D"/>
    <w:rsid w:val="60210924"/>
    <w:rsid w:val="61142A0A"/>
    <w:rsid w:val="61642270"/>
    <w:rsid w:val="617526CF"/>
    <w:rsid w:val="61DA03D6"/>
    <w:rsid w:val="622D6B06"/>
    <w:rsid w:val="62650996"/>
    <w:rsid w:val="635307EE"/>
    <w:rsid w:val="63620A31"/>
    <w:rsid w:val="63A454EE"/>
    <w:rsid w:val="66391F1D"/>
    <w:rsid w:val="664E2757"/>
    <w:rsid w:val="66CA7019"/>
    <w:rsid w:val="66CF63DE"/>
    <w:rsid w:val="672F1572"/>
    <w:rsid w:val="673D77EB"/>
    <w:rsid w:val="678A0557"/>
    <w:rsid w:val="686139AD"/>
    <w:rsid w:val="69AB1384"/>
    <w:rsid w:val="69F04FE9"/>
    <w:rsid w:val="69F06D97"/>
    <w:rsid w:val="6A507835"/>
    <w:rsid w:val="6AFE54E3"/>
    <w:rsid w:val="6B5B46E4"/>
    <w:rsid w:val="6C635F46"/>
    <w:rsid w:val="6C661592"/>
    <w:rsid w:val="6CA34594"/>
    <w:rsid w:val="6CB00A5F"/>
    <w:rsid w:val="6D3433A6"/>
    <w:rsid w:val="6E7F4B8D"/>
    <w:rsid w:val="6F5C4ECE"/>
    <w:rsid w:val="6FBD1E09"/>
    <w:rsid w:val="6FD131C7"/>
    <w:rsid w:val="6FEC0000"/>
    <w:rsid w:val="70383EEB"/>
    <w:rsid w:val="71D15700"/>
    <w:rsid w:val="71FB41EE"/>
    <w:rsid w:val="7315161C"/>
    <w:rsid w:val="74E7348C"/>
    <w:rsid w:val="750B0F29"/>
    <w:rsid w:val="75BA46FD"/>
    <w:rsid w:val="75F714AD"/>
    <w:rsid w:val="76860C77"/>
    <w:rsid w:val="76C21ABB"/>
    <w:rsid w:val="770A5210"/>
    <w:rsid w:val="775F555C"/>
    <w:rsid w:val="77ED2B68"/>
    <w:rsid w:val="782B3690"/>
    <w:rsid w:val="795F1843"/>
    <w:rsid w:val="79F05FF4"/>
    <w:rsid w:val="7AF75AAB"/>
    <w:rsid w:val="7BB57E40"/>
    <w:rsid w:val="7BC57958"/>
    <w:rsid w:val="7BE67FFA"/>
    <w:rsid w:val="7CB41EA6"/>
    <w:rsid w:val="7CCD4D16"/>
    <w:rsid w:val="7DDB3462"/>
    <w:rsid w:val="7E5A6A7D"/>
    <w:rsid w:val="7E9E2E0E"/>
    <w:rsid w:val="7EC30AC6"/>
    <w:rsid w:val="7EFB0260"/>
    <w:rsid w:val="7F721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3597</Words>
  <Characters>4043</Characters>
  <TotalTime>28</TotalTime>
  <ScaleCrop>false</ScaleCrop>
  <LinksUpToDate>false</LinksUpToDate>
  <CharactersWithSpaces>4163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2023-07-03T08:28:00Z</dcterms:created>
  <dc:creator>Kingsoft-PDF</dc:creator>
  <cp:lastModifiedBy>吴丹</cp:lastModifiedBy>
  <dcterms:modified xsi:type="dcterms:W3CDTF">2023-07-06T08:12:21Z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2023-07-03T08:28:50Z</vt:filetime>
  </property>
  <property fmtid="{D5CDD505-2E9C-101B-9397-08002B2CF9AE}" pid="4" name="UsrData">
    <vt:lpwstr>64a2163bdaff7b001fdb57b9wl</vt:lpwstr>
  </property>
  <property fmtid="{D5CDD505-2E9C-101B-9397-08002B2CF9AE}" pid="5" name="KSOProductBuildVer">
    <vt:lpwstr>2052-11.1.0.12980</vt:lpwstr>
  </property>
  <property fmtid="{D5CDD505-2E9C-101B-9397-08002B2CF9AE}" pid="6" name="ICV">
    <vt:lpwstr>D8618E7B63414DD0B510AB7F093E3A0A</vt:lpwstr>
  </property>
</Properties>
</file>