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部门整体支出绩效评价基础数据表</w:t>
      </w:r>
    </w:p>
    <w:tbl>
      <w:tblPr>
        <w:tblStyle w:val="14"/>
        <w:tblW w:w="9284" w:type="dxa"/>
        <w:jc w:val="center"/>
        <w:tblLayout w:type="fixed"/>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32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32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269</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276</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102.6%</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4503.55</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3409</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15142.07</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16.47</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18.06</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17.54</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3.62</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2.01</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3.62</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2.01</w:t>
            </w:r>
          </w:p>
        </w:tc>
      </w:tr>
      <w:tr>
        <w:tblPrEx>
          <w:tblCellMar>
            <w:top w:w="0" w:type="dxa"/>
            <w:left w:w="108" w:type="dxa"/>
            <w:bottom w:w="0" w:type="dxa"/>
            <w:right w:w="108" w:type="dxa"/>
          </w:tblCellMar>
        </w:tblPrEx>
        <w:trPr>
          <w:trHeight w:val="554"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12.85</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15.92</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15.53</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28925.36</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21857.47</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.何长制工作</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r>
              <w:rPr>
                <w:rFonts w:hint="eastAsia" w:ascii="新宋体" w:hAnsi="新宋体" w:eastAsia="新宋体" w:cs="新宋体"/>
                <w:sz w:val="21"/>
                <w:szCs w:val="21"/>
                <w:lang w:val="en-US" w:eastAsia="zh-CN"/>
              </w:rPr>
              <w:t>100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rPr>
                <w:rFonts w:hint="eastAsia" w:ascii="新宋体" w:hAnsi="新宋体" w:eastAsia="新宋体" w:cs="新宋体"/>
                <w:kern w:val="2"/>
                <w:sz w:val="21"/>
                <w:szCs w:val="21"/>
                <w:lang w:val="en-US" w:eastAsia="zh-CN" w:bidi="ar-SA"/>
              </w:rPr>
            </w:pPr>
            <w:r>
              <w:rPr>
                <w:rFonts w:hint="eastAsia" w:ascii="新宋体" w:hAnsi="新宋体" w:eastAsia="新宋体" w:cs="新宋体"/>
                <w:szCs w:val="21"/>
                <w:lang w:val="en-US" w:eastAsia="zh-CN"/>
              </w:rPr>
              <w:t>3</w:t>
            </w:r>
            <w:r>
              <w:rPr>
                <w:rFonts w:hint="eastAsia" w:ascii="新宋体" w:hAnsi="新宋体" w:eastAsia="新宋体" w:cs="新宋体"/>
                <w:szCs w:val="21"/>
              </w:rPr>
              <w:t>.后扶基金专项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Cs w:val="21"/>
              </w:rPr>
              <w:t>257.06</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rPr>
                <w:rFonts w:hint="eastAsia" w:ascii="新宋体" w:hAnsi="新宋体" w:eastAsia="新宋体" w:cs="新宋体"/>
                <w:kern w:val="2"/>
                <w:sz w:val="21"/>
                <w:szCs w:val="21"/>
                <w:lang w:val="en-US" w:eastAsia="zh-CN" w:bidi="ar-SA"/>
              </w:rPr>
            </w:pPr>
            <w:r>
              <w:rPr>
                <w:rFonts w:hint="eastAsia" w:ascii="新宋体" w:hAnsi="新宋体" w:eastAsia="新宋体" w:cs="新宋体"/>
                <w:szCs w:val="21"/>
                <w:lang w:val="en-US" w:eastAsia="zh-CN"/>
              </w:rPr>
              <w:t>4.</w:t>
            </w:r>
            <w:r>
              <w:rPr>
                <w:rFonts w:hint="eastAsia" w:ascii="新宋体" w:hAnsi="新宋体" w:eastAsia="新宋体" w:cs="新宋体"/>
                <w:szCs w:val="21"/>
              </w:rPr>
              <w:t>后扶结余项目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Cs w:val="21"/>
              </w:rPr>
              <w:t>327.71</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rPr>
                <w:rFonts w:hint="default" w:ascii="新宋体" w:hAnsi="新宋体" w:eastAsia="新宋体" w:cs="新宋体"/>
                <w:szCs w:val="21"/>
                <w:lang w:val="en-US" w:eastAsia="zh-CN"/>
              </w:rPr>
            </w:pPr>
            <w:r>
              <w:rPr>
                <w:rFonts w:hint="eastAsia" w:ascii="新宋体" w:hAnsi="新宋体" w:eastAsia="新宋体" w:cs="新宋体"/>
                <w:szCs w:val="21"/>
                <w:lang w:val="en-US" w:eastAsia="zh-CN"/>
              </w:rPr>
              <w:t>5.</w:t>
            </w:r>
            <w:r>
              <w:rPr>
                <w:rFonts w:hint="eastAsia" w:ascii="新宋体" w:hAnsi="新宋体" w:eastAsia="新宋体" w:cs="新宋体"/>
                <w:sz w:val="21"/>
                <w:szCs w:val="21"/>
                <w:lang w:val="en-US" w:eastAsia="zh-CN"/>
              </w:rPr>
              <w:t>水利发展资金项目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kern w:val="2"/>
                <w:sz w:val="21"/>
                <w:szCs w:val="21"/>
                <w:lang w:val="en-US" w:eastAsia="zh-CN" w:bidi="ar-SA"/>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新宋体" w:hAnsi="新宋体" w:eastAsia="新宋体" w:cs="新宋体"/>
                <w:b/>
                <w:bCs/>
                <w:szCs w:val="21"/>
              </w:rPr>
            </w:pPr>
            <w:r>
              <w:rPr>
                <w:rFonts w:hint="eastAsia" w:ascii="新宋体" w:hAnsi="新宋体" w:eastAsia="新宋体" w:cs="新宋体"/>
                <w:sz w:val="21"/>
                <w:szCs w:val="21"/>
                <w:lang w:val="en-US" w:eastAsia="zh-CN"/>
              </w:rPr>
              <w:t>3679</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6.2021-2022年中型灌区续建配套与节水改造项目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760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宋体" w:hAnsi="宋体" w:cs="宋体"/>
                <w:szCs w:val="21"/>
                <w:lang w:val="en-US" w:eastAsia="zh-CN"/>
              </w:rPr>
              <w:t>7.</w:t>
            </w:r>
            <w:r>
              <w:rPr>
                <w:rFonts w:hint="eastAsia" w:ascii="宋体" w:hAnsi="宋体" w:cs="宋体"/>
                <w:szCs w:val="21"/>
              </w:rPr>
              <w:t>护城大垸沟渠捞草扫障工程</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宋体" w:hAnsi="宋体" w:cs="宋体"/>
                <w:szCs w:val="21"/>
              </w:rPr>
              <w:t>80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vAlign w:val="center"/>
          </w:tcPr>
          <w:p>
            <w:pPr>
              <w:keepNext w:val="0"/>
              <w:keepLines w:val="0"/>
              <w:widowControl/>
              <w:numPr>
                <w:ilvl w:val="0"/>
                <w:numId w:val="0"/>
              </w:numPr>
              <w:suppressLineNumbers w:val="0"/>
              <w:spacing w:before="0" w:beforeAutospacing="0" w:after="0" w:afterAutospacing="0" w:line="360" w:lineRule="exact"/>
              <w:ind w:left="0" w:leftChars="0" w:right="0" w:rightChars="0"/>
              <w:jc w:val="both"/>
              <w:rPr>
                <w:rFonts w:hint="eastAsia"/>
                <w:lang w:eastAsia="zh-CN"/>
              </w:rPr>
            </w:pPr>
            <w:r>
              <w:rPr>
                <w:rFonts w:hint="eastAsia"/>
                <w:lang w:val="en-US" w:eastAsia="zh-CN"/>
              </w:rPr>
              <w:t>1.</w:t>
            </w:r>
            <w:r>
              <w:rPr>
                <w:rFonts w:hint="eastAsia"/>
                <w:lang w:eastAsia="zh-CN"/>
              </w:rPr>
              <w:t>加强宣传教育，引导在职职工养成节约习惯，提高节约意识。</w:t>
            </w:r>
          </w:p>
          <w:p>
            <w:pPr>
              <w:pStyle w:val="2"/>
              <w:keepNext w:val="0"/>
              <w:keepLines w:val="0"/>
              <w:numPr>
                <w:ilvl w:val="0"/>
                <w:numId w:val="0"/>
              </w:numPr>
              <w:suppressLineNumbers w:val="0"/>
              <w:spacing w:before="0" w:beforeAutospacing="0" w:after="0" w:afterAutospacing="0"/>
              <w:ind w:left="0" w:right="0"/>
              <w:rPr>
                <w:rFonts w:hint="eastAsia"/>
                <w:lang w:eastAsia="zh-CN"/>
              </w:rPr>
            </w:pPr>
            <w:r>
              <w:rPr>
                <w:rFonts w:hint="eastAsia"/>
                <w:lang w:val="en-US" w:eastAsia="zh-CN"/>
              </w:rPr>
              <w:t>2.</w:t>
            </w:r>
            <w:r>
              <w:rPr>
                <w:rFonts w:hint="eastAsia"/>
                <w:lang w:eastAsia="zh-CN"/>
              </w:rPr>
              <w:t>加强对资源的管理和调配，实现资源的最优化配置。建立精细化管理体系，加强资源的有效利用，降低资源浪费和损失。</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吴涛</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2023.7.7</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15197065012</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部门整体支出</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绩效自评表</w:t>
      </w:r>
    </w:p>
    <w:tbl>
      <w:tblPr>
        <w:tblStyle w:val="14"/>
        <w:tblW w:w="9286" w:type="dxa"/>
        <w:jc w:val="center"/>
        <w:tblLayout w:type="fixed"/>
        <w:tblCellMar>
          <w:top w:w="0" w:type="dxa"/>
          <w:left w:w="108" w:type="dxa"/>
          <w:bottom w:w="0" w:type="dxa"/>
          <w:right w:w="108" w:type="dxa"/>
        </w:tblCellMar>
      </w:tblPr>
      <w:tblGrid>
        <w:gridCol w:w="1099"/>
        <w:gridCol w:w="881"/>
        <w:gridCol w:w="867"/>
        <w:gridCol w:w="1057"/>
        <w:gridCol w:w="1103"/>
        <w:gridCol w:w="1072"/>
        <w:gridCol w:w="589"/>
        <w:gridCol w:w="1024"/>
        <w:gridCol w:w="1594"/>
      </w:tblGrid>
      <w:tr>
        <w:tblPrEx>
          <w:tblCellMar>
            <w:top w:w="0" w:type="dxa"/>
            <w:left w:w="108" w:type="dxa"/>
            <w:bottom w:w="0" w:type="dxa"/>
            <w:right w:w="108" w:type="dxa"/>
          </w:tblCellMar>
        </w:tblPrEx>
        <w:trPr>
          <w:trHeight w:val="1003"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8187"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华容县水利局</w:t>
            </w:r>
          </w:p>
        </w:tc>
      </w:tr>
      <w:tr>
        <w:tblPrEx>
          <w:tblCellMar>
            <w:top w:w="0" w:type="dxa"/>
            <w:left w:w="108" w:type="dxa"/>
            <w:bottom w:w="0" w:type="dxa"/>
            <w:right w:w="108" w:type="dxa"/>
          </w:tblCellMar>
        </w:tblPrEx>
        <w:trPr>
          <w:trHeight w:val="863" w:hRule="atLeast"/>
          <w:jc w:val="center"/>
        </w:trPr>
        <w:tc>
          <w:tcPr>
            <w:tcW w:w="1099"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10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072"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3409</w:t>
            </w:r>
          </w:p>
        </w:tc>
        <w:tc>
          <w:tcPr>
            <w:tcW w:w="110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37062.36</w:t>
            </w:r>
          </w:p>
        </w:tc>
        <w:tc>
          <w:tcPr>
            <w:tcW w:w="1072"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rPr>
            </w:pPr>
            <w:r>
              <w:rPr>
                <w:rFonts w:hint="eastAsia" w:ascii="新宋体" w:hAnsi="新宋体" w:eastAsia="新宋体" w:cs="新宋体"/>
                <w:i w:val="0"/>
                <w:iCs w:val="0"/>
                <w:sz w:val="21"/>
                <w:szCs w:val="21"/>
                <w:lang w:val="en-US" w:eastAsia="zh-CN"/>
              </w:rPr>
              <w:t>36999.54</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99.8%</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23605.5</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i w:val="0"/>
                <w:iCs w:val="0"/>
                <w:color w:val="000000"/>
                <w:sz w:val="21"/>
                <w:szCs w:val="21"/>
                <w:lang w:val="en-US" w:eastAsia="zh-CN"/>
              </w:rPr>
              <w:t>15142.07</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12261.88</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rPr>
            </w:pPr>
            <w:r>
              <w:rPr>
                <w:rFonts w:hint="eastAsia" w:ascii="新宋体" w:hAnsi="新宋体" w:eastAsia="新宋体" w:cs="新宋体"/>
                <w:color w:val="000000"/>
                <w:sz w:val="21"/>
                <w:szCs w:val="21"/>
              </w:rPr>
              <w:t>项目支出：</w:t>
            </w:r>
            <w:r>
              <w:rPr>
                <w:rFonts w:hint="eastAsia" w:ascii="新宋体" w:hAnsi="新宋体" w:eastAsia="新宋体" w:cs="新宋体"/>
                <w:sz w:val="21"/>
                <w:szCs w:val="21"/>
                <w:lang w:val="en-US" w:eastAsia="zh-CN"/>
              </w:rPr>
              <w:t>21857.47</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1156.59</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390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4279"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90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rPr>
            </w:pPr>
            <w:r>
              <w:rPr>
                <w:rFonts w:hint="eastAsia" w:ascii="新宋体" w:hAnsi="新宋体" w:eastAsia="新宋体" w:cs="新宋体"/>
                <w:i w:val="0"/>
                <w:iCs w:val="0"/>
                <w:color w:val="000000"/>
                <w:sz w:val="18"/>
                <w:szCs w:val="18"/>
              </w:rPr>
              <w:t>目标1：</w:t>
            </w:r>
            <w:r>
              <w:rPr>
                <w:rFonts w:hint="eastAsia" w:ascii="新宋体" w:hAnsi="新宋体" w:eastAsia="新宋体" w:cs="新宋体"/>
                <w:i w:val="0"/>
                <w:iCs w:val="0"/>
                <w:color w:val="000000"/>
                <w:sz w:val="18"/>
                <w:szCs w:val="18"/>
                <w:lang w:eastAsia="zh-CN"/>
              </w:rPr>
              <w:t>做好防汛抗旱救灾等工作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lang w:eastAsia="zh-CN"/>
              </w:rPr>
            </w:pPr>
            <w:r>
              <w:rPr>
                <w:rFonts w:hint="eastAsia" w:ascii="新宋体" w:hAnsi="新宋体" w:eastAsia="新宋体" w:cs="新宋体"/>
                <w:i w:val="0"/>
                <w:iCs w:val="0"/>
                <w:color w:val="000000"/>
                <w:sz w:val="18"/>
                <w:szCs w:val="18"/>
              </w:rPr>
              <w:t>目标2：涉水事务执法与管理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rPr>
            </w:pPr>
            <w:r>
              <w:rPr>
                <w:rFonts w:hint="eastAsia" w:ascii="新宋体" w:hAnsi="新宋体" w:eastAsia="新宋体" w:cs="新宋体"/>
                <w:i w:val="0"/>
                <w:iCs w:val="0"/>
                <w:color w:val="000000"/>
                <w:sz w:val="18"/>
                <w:szCs w:val="18"/>
              </w:rPr>
              <w:t>目标3</w:t>
            </w:r>
            <w:r>
              <w:rPr>
                <w:rFonts w:hint="eastAsia" w:ascii="新宋体" w:hAnsi="新宋体" w:eastAsia="新宋体" w:cs="新宋体"/>
                <w:i w:val="0"/>
                <w:iCs w:val="0"/>
                <w:color w:val="000000"/>
                <w:sz w:val="18"/>
                <w:szCs w:val="18"/>
                <w:lang w:eastAsia="zh-CN"/>
              </w:rPr>
              <w:t>：水利水毁修复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lang w:eastAsia="zh-CN"/>
              </w:rPr>
            </w:pPr>
            <w:r>
              <w:rPr>
                <w:rFonts w:hint="eastAsia" w:ascii="新宋体" w:hAnsi="新宋体" w:eastAsia="新宋体" w:cs="新宋体"/>
                <w:i w:val="0"/>
                <w:iCs w:val="0"/>
                <w:color w:val="000000"/>
                <w:sz w:val="18"/>
                <w:szCs w:val="18"/>
              </w:rPr>
              <w:t>目标4：做好移民信访接待，维护库区社会稳定工作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i w:val="0"/>
                <w:iCs w:val="0"/>
                <w:color w:val="000000"/>
                <w:sz w:val="18"/>
                <w:szCs w:val="18"/>
              </w:rPr>
              <w:t>目标5</w:t>
            </w:r>
            <w:r>
              <w:rPr>
                <w:rFonts w:hint="eastAsia" w:ascii="新宋体" w:hAnsi="新宋体" w:eastAsia="新宋体" w:cs="新宋体"/>
                <w:i w:val="0"/>
                <w:iCs w:val="0"/>
                <w:color w:val="000000"/>
                <w:sz w:val="18"/>
                <w:szCs w:val="18"/>
                <w:lang w:eastAsia="zh-CN"/>
              </w:rPr>
              <w:t>：</w:t>
            </w:r>
            <w:r>
              <w:rPr>
                <w:rFonts w:hint="eastAsia" w:ascii="新宋体" w:hAnsi="新宋体" w:eastAsia="新宋体" w:cs="新宋体"/>
                <w:i w:val="0"/>
                <w:iCs w:val="0"/>
                <w:color w:val="000000"/>
                <w:sz w:val="18"/>
                <w:szCs w:val="18"/>
                <w:lang w:val="en-US" w:eastAsia="zh-CN"/>
              </w:rPr>
              <w:t>农村饮水安全巩固提升</w:t>
            </w:r>
          </w:p>
        </w:tc>
        <w:tc>
          <w:tcPr>
            <w:tcW w:w="4279"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i w:val="0"/>
                <w:iCs w:val="0"/>
                <w:color w:val="000000"/>
                <w:sz w:val="21"/>
                <w:szCs w:val="21"/>
              </w:rPr>
              <w:t>均已完成</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财政供养人员</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276</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276</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水利设施维修维护</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工程质量合格率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资金到位情况</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项目资金到位不及时</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人员费用金额</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3623.83</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3623.83</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公用费用金额</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11518.24</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11518.24</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公用经费不足</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项目费用</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21857.47</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年初未做项目预算</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提高检测预警能力，减少灾害发生时的财产损失</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提高水利服务能力，确保农村水利设施长效发挥作用，保证农业增收和农民增收</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00" w:hRule="atLeast"/>
          <w:jc w:val="center"/>
        </w:trPr>
        <w:tc>
          <w:tcPr>
            <w:tcW w:w="109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89" w:hRule="atLeast"/>
          <w:jc w:val="center"/>
        </w:trPr>
        <w:tc>
          <w:tcPr>
            <w:tcW w:w="6079"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96</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吴涛</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 xml:space="preserve">2023.7.7     </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15197065012</w:t>
      </w:r>
      <w:r>
        <w:rPr>
          <w:rFonts w:hint="eastAsia" w:ascii="Times New Roman" w:hAnsi="Times New Roman" w:eastAsia="仿宋_GB2312" w:cs="Times New Roman"/>
          <w:sz w:val="22"/>
          <w:szCs w:val="22"/>
          <w:lang w:val="en-US" w:eastAsia="zh-CN"/>
        </w:rPr>
        <w:t xml:space="preserve">    </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12</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numPr>
          <w:ilvl w:val="0"/>
          <w:numId w:val="2"/>
        </w:numPr>
        <w:spacing w:line="600" w:lineRule="exact"/>
        <w:ind w:firstLine="640" w:firstLineChars="20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职能职责：</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①负责保障水资源的合理开发利用。</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②指导饮用水水源保护有关工作。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③按规定组织开展水资源、水能资源调查评价和水资源承载能力监测预警工作。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④负责生活、生产经营和生态环境用水的统筹和保障。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⑤负责节约用水工作。拟订节约用水政策，组织编制节约用水规划并监督实施，组织制定有关标准。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⑥指导水利设施、水域及其岸线的管理、保护与综合利用。指导江河湖泊及河口的治理、开发和保护。</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⑦按规定制定水利工程建设和运行管理有关制度并组织实施，负责提出水利固定资产投资规模、方向、具体安排建议并组织指导实施，按县人民政府规定权限审批、核准规划内和年度计划规模内固定资产投资项目，提出水利资金安排建议并负责项目实施的监督管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⑧指导水利工程的组织与实施、监督与运行管理。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⑨负责水土保持工作。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⑩指导农村水利工作。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⑪负责水利建设和水库移民管理工作。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⑫指导协调重大涉水违法事件的查处，协调跨乡镇水事纠纷，负责县辖区范围内的水政监察和水行政执法。</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⑬开展水利科技和外事工作。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⑭负责落实综合防灾减灾规划相关要求，组织编制洪水干旱灾害防治规划和防护标准并指导实施。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⑮负责本行业、领域安全生产和应急工作。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⑯完成县委和县政府交办的其他事项。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rPr>
        <w:t>⑰职能转变。县水利局应切实加强水资源合理利用、优化配置和节约保护。</w:t>
      </w:r>
    </w:p>
    <w:p>
      <w:pPr>
        <w:snapToGrid w:val="0"/>
        <w:spacing w:line="520" w:lineRule="exact"/>
        <w:ind w:firstLine="640" w:firstLineChars="200"/>
        <w:rPr>
          <w:rFonts w:ascii="仿宋_GB2312" w:hAnsi="仿宋" w:eastAsia="仿宋_GB2312"/>
          <w:sz w:val="32"/>
          <w:szCs w:val="32"/>
        </w:rPr>
      </w:pPr>
      <w:r>
        <w:rPr>
          <w:rFonts w:hint="eastAsia" w:eastAsia="仿宋_GB2312" w:cs="Times New Roman"/>
          <w:color w:val="000000"/>
          <w:sz w:val="32"/>
          <w:szCs w:val="32"/>
          <w:lang w:val="en-US" w:eastAsia="zh-CN"/>
        </w:rPr>
        <w:t>2、机构设置：</w:t>
      </w:r>
      <w:r>
        <w:rPr>
          <w:rFonts w:hint="eastAsia" w:ascii="仿宋_GB2312" w:hAnsi="仿宋" w:eastAsia="仿宋_GB2312" w:cs="Times New Roman"/>
          <w:sz w:val="32"/>
          <w:szCs w:val="32"/>
          <w:lang w:val="zh-CN"/>
        </w:rPr>
        <w:t>华容县水利局部门单位构成分别为：包括</w:t>
      </w:r>
      <w:r>
        <w:rPr>
          <w:rFonts w:hint="eastAsia" w:ascii="仿宋_GB2312" w:hAnsi="仿宋" w:eastAsia="仿宋_GB2312" w:cs="Times New Roman"/>
          <w:sz w:val="32"/>
          <w:szCs w:val="32"/>
          <w:lang w:val="en-US" w:eastAsia="zh-CN"/>
        </w:rPr>
        <w:t>11个单位，分别为：水利局本级（包括水土保持站、水政监察大队）、库区移民事务中心、水旱灾害防御事务中心、长江洞庭湖水利事务中心、东山水库管理所、华一水库管理所、国营石山矶电力排灌站、花兰窖电力排灌站、沙河水库管理所、北汊水库管理所、城区排涝泵站。</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3、人员构成：</w:t>
      </w:r>
      <w:r>
        <w:rPr>
          <w:rFonts w:hint="eastAsia" w:ascii="Times New Roman" w:hAnsi="Times New Roman" w:eastAsia="仿宋_GB2312" w:cs="Times New Roman"/>
          <w:color w:val="000000"/>
          <w:sz w:val="32"/>
          <w:szCs w:val="32"/>
        </w:rPr>
        <w:t>华容县水利局</w:t>
      </w:r>
      <w:r>
        <w:rPr>
          <w:rFonts w:hint="eastAsia" w:eastAsia="仿宋_GB2312" w:cs="Times New Roman"/>
          <w:color w:val="000000"/>
          <w:sz w:val="32"/>
          <w:szCs w:val="32"/>
          <w:lang w:eastAsia="zh-CN"/>
        </w:rPr>
        <w:t>部门</w:t>
      </w:r>
      <w:r>
        <w:rPr>
          <w:rFonts w:hint="eastAsia" w:ascii="Times New Roman" w:hAnsi="Times New Roman" w:eastAsia="仿宋_GB2312" w:cs="Times New Roman"/>
          <w:color w:val="000000"/>
          <w:sz w:val="32"/>
          <w:szCs w:val="32"/>
        </w:rPr>
        <w:t>有人员编制</w:t>
      </w:r>
      <w:r>
        <w:rPr>
          <w:rFonts w:hint="eastAsia" w:eastAsia="仿宋_GB2312" w:cs="Times New Roman"/>
          <w:color w:val="000000"/>
          <w:sz w:val="32"/>
          <w:szCs w:val="32"/>
          <w:lang w:val="en-US" w:eastAsia="zh-CN"/>
        </w:rPr>
        <w:t>269</w:t>
      </w:r>
      <w:r>
        <w:rPr>
          <w:rFonts w:hint="eastAsia" w:ascii="Times New Roman" w:hAnsi="Times New Roman" w:eastAsia="仿宋_GB2312" w:cs="Times New Roman"/>
          <w:color w:val="000000"/>
          <w:sz w:val="32"/>
          <w:szCs w:val="32"/>
        </w:rPr>
        <w:t>名，（其中：行政编制</w:t>
      </w:r>
      <w:r>
        <w:rPr>
          <w:rFonts w:hint="eastAsia" w:eastAsia="仿宋_GB2312" w:cs="Times New Roman"/>
          <w:color w:val="000000"/>
          <w:sz w:val="32"/>
          <w:szCs w:val="32"/>
          <w:lang w:val="en-US" w:eastAsia="zh-CN"/>
        </w:rPr>
        <w:t>28</w:t>
      </w:r>
      <w:r>
        <w:rPr>
          <w:rFonts w:hint="eastAsia" w:ascii="Times New Roman" w:hAnsi="Times New Roman" w:eastAsia="仿宋_GB2312" w:cs="Times New Roman"/>
          <w:color w:val="000000"/>
          <w:sz w:val="32"/>
          <w:szCs w:val="32"/>
        </w:rPr>
        <w:t>名；全额事业编</w:t>
      </w:r>
      <w:r>
        <w:rPr>
          <w:rFonts w:hint="eastAsia" w:eastAsia="仿宋_GB2312" w:cs="Times New Roman"/>
          <w:color w:val="000000"/>
          <w:sz w:val="32"/>
          <w:szCs w:val="32"/>
          <w:lang w:val="en-US" w:eastAsia="zh-CN"/>
        </w:rPr>
        <w:t>238</w:t>
      </w:r>
      <w:r>
        <w:rPr>
          <w:rFonts w:hint="eastAsia" w:ascii="Times New Roman" w:hAnsi="Times New Roman" w:eastAsia="仿宋_GB2312" w:cs="Times New Roman"/>
          <w:color w:val="000000"/>
          <w:sz w:val="32"/>
          <w:szCs w:val="32"/>
        </w:rPr>
        <w:t>名；事业差额编制0名；自收自支编制0名；工勤编制3名）；实有人员</w:t>
      </w:r>
      <w:r>
        <w:rPr>
          <w:rFonts w:hint="eastAsia" w:eastAsia="仿宋_GB2312" w:cs="Times New Roman"/>
          <w:color w:val="000000"/>
          <w:sz w:val="32"/>
          <w:szCs w:val="32"/>
          <w:lang w:val="en-US" w:eastAsia="zh-CN"/>
        </w:rPr>
        <w:t>276</w:t>
      </w:r>
      <w:r>
        <w:rPr>
          <w:rFonts w:hint="eastAsia" w:ascii="Times New Roman" w:hAnsi="Times New Roman" w:eastAsia="仿宋_GB2312" w:cs="Times New Roman"/>
          <w:color w:val="000000"/>
          <w:sz w:val="32"/>
          <w:szCs w:val="32"/>
        </w:rPr>
        <w:t>人（其中：全额人员</w:t>
      </w:r>
      <w:r>
        <w:rPr>
          <w:rFonts w:hint="eastAsia" w:eastAsia="仿宋_GB2312" w:cs="Times New Roman"/>
          <w:color w:val="000000"/>
          <w:sz w:val="32"/>
          <w:szCs w:val="32"/>
          <w:lang w:val="en-US" w:eastAsia="zh-CN"/>
        </w:rPr>
        <w:t>276</w:t>
      </w:r>
      <w:r>
        <w:rPr>
          <w:rFonts w:hint="eastAsia" w:ascii="Times New Roman" w:hAnsi="Times New Roman" w:eastAsia="仿宋_GB2312" w:cs="Times New Roman"/>
          <w:color w:val="000000"/>
          <w:sz w:val="32"/>
          <w:szCs w:val="32"/>
        </w:rPr>
        <w:t>人；差额人员0人）。</w:t>
      </w:r>
    </w:p>
    <w:p>
      <w:pPr>
        <w:pStyle w:val="2"/>
        <w:numPr>
          <w:ilvl w:val="0"/>
          <w:numId w:val="0"/>
        </w:numPr>
        <w:rPr>
          <w:rFonts w:hint="default"/>
          <w:b/>
          <w:bCs/>
        </w:rPr>
      </w:pPr>
    </w:p>
    <w:p>
      <w:pPr>
        <w:pStyle w:val="20"/>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pStyle w:val="20"/>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我</w:t>
      </w:r>
      <w:r>
        <w:rPr>
          <w:rFonts w:hint="eastAsia" w:ascii="仿宋_GB2312" w:hAnsi="仿宋" w:eastAsia="仿宋_GB2312"/>
          <w:sz w:val="32"/>
          <w:szCs w:val="32"/>
          <w:lang w:eastAsia="zh-CN"/>
        </w:rPr>
        <w:t>部门</w:t>
      </w:r>
      <w:r>
        <w:rPr>
          <w:rFonts w:hint="eastAsia" w:ascii="Times New Roman" w:hAnsi="Times New Roman" w:eastAsia="仿宋_GB2312" w:cs="Times New Roman"/>
          <w:color w:val="000000"/>
          <w:kern w:val="2"/>
          <w:sz w:val="32"/>
          <w:szCs w:val="32"/>
          <w:lang w:val="en-US" w:eastAsia="zh-CN" w:bidi="ar-SA"/>
        </w:rPr>
        <w:t>2022年基本支出15142.07万元，其中：人员经费支出3623.83万元，公用经费支出11518.24万元。</w:t>
      </w:r>
    </w:p>
    <w:p>
      <w:pPr>
        <w:pStyle w:val="20"/>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p>
    <w:p>
      <w:pPr>
        <w:pStyle w:val="20"/>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pStyle w:val="20"/>
        <w:keepNext w:val="0"/>
        <w:keepLines w:val="0"/>
        <w:pageBreakBefore w:val="0"/>
        <w:widowControl/>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kern w:val="2"/>
          <w:sz w:val="32"/>
          <w:szCs w:val="32"/>
          <w:lang w:val="en-US" w:eastAsia="zh-CN" w:bidi="ar-SA"/>
        </w:rPr>
        <w:t>我</w:t>
      </w:r>
      <w:r>
        <w:rPr>
          <w:rFonts w:hint="eastAsia" w:ascii="仿宋_GB2312" w:hAnsi="仿宋" w:eastAsia="仿宋_GB2312"/>
          <w:sz w:val="32"/>
          <w:szCs w:val="32"/>
          <w:lang w:eastAsia="zh-CN"/>
        </w:rPr>
        <w:t>部门</w:t>
      </w:r>
      <w:r>
        <w:rPr>
          <w:rFonts w:hint="eastAsia" w:ascii="Times New Roman" w:hAnsi="Times New Roman" w:eastAsia="仿宋_GB2312" w:cs="Times New Roman"/>
          <w:color w:val="000000"/>
          <w:kern w:val="2"/>
          <w:sz w:val="32"/>
          <w:szCs w:val="32"/>
          <w:lang w:val="en-US" w:eastAsia="zh-CN" w:bidi="ar-SA"/>
        </w:rPr>
        <w:t>2022年项目支出21857.47万元，</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其中：专项资金574.39万元；项目资金21283.08万元。</w:t>
      </w:r>
    </w:p>
    <w:p>
      <w:pPr>
        <w:pStyle w:val="20"/>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2022年，</w:t>
      </w:r>
      <w:r>
        <w:rPr>
          <w:rFonts w:hint="eastAsia" w:ascii="仿宋_GB2312" w:hAnsi="仿宋" w:eastAsia="仿宋_GB2312"/>
          <w:sz w:val="32"/>
          <w:szCs w:val="32"/>
        </w:rPr>
        <w:t>我</w:t>
      </w:r>
      <w:r>
        <w:rPr>
          <w:rFonts w:hint="eastAsia" w:ascii="仿宋_GB2312" w:hAnsi="仿宋" w:eastAsia="仿宋_GB2312"/>
          <w:sz w:val="32"/>
          <w:szCs w:val="32"/>
          <w:lang w:eastAsia="zh-CN"/>
        </w:rPr>
        <w:t>部门</w:t>
      </w:r>
      <w:r>
        <w:rPr>
          <w:rFonts w:hint="eastAsia" w:ascii="仿宋_GB2312" w:hAnsi="仿宋" w:eastAsia="仿宋_GB2312"/>
          <w:sz w:val="32"/>
          <w:szCs w:val="32"/>
        </w:rPr>
        <w:t>收入年初预算为</w:t>
      </w:r>
      <w:r>
        <w:rPr>
          <w:rFonts w:hint="eastAsia" w:ascii="仿宋_GB2312" w:hAnsi="仿宋" w:eastAsia="仿宋_GB2312"/>
          <w:sz w:val="32"/>
          <w:szCs w:val="32"/>
          <w:lang w:val="en-US" w:eastAsia="zh-CN"/>
        </w:rPr>
        <w:t>3409</w:t>
      </w:r>
      <w:r>
        <w:rPr>
          <w:rFonts w:hint="eastAsia" w:ascii="仿宋_GB2312" w:hAnsi="仿宋" w:eastAsia="仿宋_GB2312"/>
          <w:sz w:val="32"/>
          <w:szCs w:val="32"/>
        </w:rPr>
        <w:t>万元，收入全年预算数为</w:t>
      </w:r>
      <w:r>
        <w:rPr>
          <w:rFonts w:hint="eastAsia" w:ascii="仿宋_GB2312" w:hAnsi="仿宋" w:eastAsia="仿宋_GB2312"/>
          <w:sz w:val="32"/>
          <w:szCs w:val="32"/>
          <w:lang w:val="en-US" w:eastAsia="zh-CN"/>
        </w:rPr>
        <w:t>37062.36万元，其中：一般公共预算拨款：23605.5万元，政府性基金拨款：12261.88万元，</w:t>
      </w:r>
      <w:r>
        <w:rPr>
          <w:rFonts w:hint="eastAsia" w:ascii="仿宋_GB2312" w:hAnsi="仿宋" w:eastAsia="仿宋_GB2312"/>
          <w:sz w:val="32"/>
          <w:szCs w:val="32"/>
        </w:rPr>
        <w:t>其他资金：</w:t>
      </w:r>
      <w:r>
        <w:rPr>
          <w:rFonts w:hint="eastAsia" w:ascii="仿宋_GB2312" w:hAnsi="仿宋" w:eastAsia="仿宋_GB2312"/>
          <w:sz w:val="32"/>
          <w:szCs w:val="32"/>
          <w:lang w:val="en-US" w:eastAsia="zh-CN"/>
        </w:rPr>
        <w:t>1156.59万元。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eastAsia="zh-CN"/>
        </w:rPr>
        <w:t>2022年我部门严格按照年初预算来执行本年收支，当年预、决算基本持平，我单位收入支出主要功能科目为201一般公共服务支出科目年初预算支出</w:t>
      </w:r>
      <w:r>
        <w:rPr>
          <w:rFonts w:hint="eastAsia" w:eastAsia="仿宋_GB2312" w:cs="Times New Roman"/>
          <w:color w:val="000000"/>
          <w:sz w:val="32"/>
          <w:szCs w:val="32"/>
          <w:lang w:val="en-US" w:eastAsia="zh-CN"/>
        </w:rPr>
        <w:t>0</w:t>
      </w:r>
      <w:r>
        <w:rPr>
          <w:rFonts w:hint="eastAsia" w:eastAsia="仿宋_GB2312" w:cs="Times New Roman"/>
          <w:color w:val="000000"/>
          <w:sz w:val="32"/>
          <w:szCs w:val="32"/>
          <w:lang w:eastAsia="zh-CN"/>
        </w:rPr>
        <w:t>万元，预算调整212.</w:t>
      </w:r>
      <w:r>
        <w:rPr>
          <w:rFonts w:hint="eastAsia" w:eastAsia="仿宋_GB2312" w:cs="Times New Roman"/>
          <w:color w:val="000000"/>
          <w:sz w:val="32"/>
          <w:szCs w:val="32"/>
          <w:lang w:val="en-US" w:eastAsia="zh-CN"/>
        </w:rPr>
        <w:t>9</w:t>
      </w:r>
      <w:r>
        <w:rPr>
          <w:rFonts w:hint="eastAsia" w:eastAsia="仿宋_GB2312" w:cs="Times New Roman"/>
          <w:color w:val="000000"/>
          <w:sz w:val="32"/>
          <w:szCs w:val="32"/>
          <w:lang w:eastAsia="zh-CN"/>
        </w:rPr>
        <w:t>万元，预算执行212.</w:t>
      </w:r>
      <w:r>
        <w:rPr>
          <w:rFonts w:hint="eastAsia" w:eastAsia="仿宋_GB2312" w:cs="Times New Roman"/>
          <w:color w:val="000000"/>
          <w:sz w:val="32"/>
          <w:szCs w:val="32"/>
          <w:lang w:val="en-US" w:eastAsia="zh-CN"/>
        </w:rPr>
        <w:t>9</w:t>
      </w:r>
      <w:r>
        <w:rPr>
          <w:rFonts w:hint="eastAsia" w:eastAsia="仿宋_GB2312" w:cs="Times New Roman"/>
          <w:color w:val="000000"/>
          <w:sz w:val="32"/>
          <w:szCs w:val="32"/>
          <w:lang w:eastAsia="zh-CN"/>
        </w:rPr>
        <w:t>万元；208社会保障和就业支出科目年初预算支出0万元，预算调整468万元，预算执行468万元；211节能环保支出科目年初预算支出</w:t>
      </w:r>
      <w:r>
        <w:rPr>
          <w:rFonts w:hint="eastAsia" w:eastAsia="仿宋_GB2312" w:cs="Times New Roman"/>
          <w:color w:val="000000"/>
          <w:sz w:val="32"/>
          <w:szCs w:val="32"/>
          <w:lang w:val="en-US" w:eastAsia="zh-CN"/>
        </w:rPr>
        <w:t>0</w:t>
      </w:r>
      <w:r>
        <w:rPr>
          <w:rFonts w:hint="eastAsia" w:eastAsia="仿宋_GB2312" w:cs="Times New Roman"/>
          <w:color w:val="000000"/>
          <w:sz w:val="32"/>
          <w:szCs w:val="32"/>
          <w:lang w:eastAsia="zh-CN"/>
        </w:rPr>
        <w:t>万元，预算调整582万元，预算执行582万元；212城乡社区支出科目年初预算支出</w:t>
      </w:r>
      <w:r>
        <w:rPr>
          <w:rFonts w:hint="eastAsia" w:eastAsia="仿宋_GB2312" w:cs="Times New Roman"/>
          <w:color w:val="000000"/>
          <w:sz w:val="32"/>
          <w:szCs w:val="32"/>
          <w:lang w:val="en-US" w:eastAsia="zh-CN"/>
        </w:rPr>
        <w:t>0</w:t>
      </w:r>
      <w:r>
        <w:rPr>
          <w:rFonts w:hint="eastAsia" w:eastAsia="仿宋_GB2312" w:cs="Times New Roman"/>
          <w:color w:val="000000"/>
          <w:sz w:val="32"/>
          <w:szCs w:val="32"/>
          <w:lang w:eastAsia="zh-CN"/>
        </w:rPr>
        <w:t>万元，预算调整10694万元，预算执行10694万元；213农林水支出科目年初预算支出</w:t>
      </w:r>
      <w:r>
        <w:rPr>
          <w:rFonts w:hint="eastAsia" w:eastAsia="仿宋_GB2312" w:cs="Times New Roman"/>
          <w:color w:val="000000"/>
          <w:sz w:val="32"/>
          <w:szCs w:val="32"/>
          <w:lang w:val="en-US" w:eastAsia="zh-CN"/>
        </w:rPr>
        <w:t>34090</w:t>
      </w:r>
      <w:r>
        <w:rPr>
          <w:rFonts w:hint="eastAsia" w:eastAsia="仿宋_GB2312" w:cs="Times New Roman"/>
          <w:color w:val="000000"/>
          <w:sz w:val="32"/>
          <w:szCs w:val="32"/>
          <w:lang w:eastAsia="zh-CN"/>
        </w:rPr>
        <w:t>万元，预算调整235</w:t>
      </w:r>
      <w:r>
        <w:rPr>
          <w:rFonts w:hint="eastAsia" w:eastAsia="仿宋_GB2312" w:cs="Times New Roman"/>
          <w:color w:val="000000"/>
          <w:sz w:val="32"/>
          <w:szCs w:val="32"/>
          <w:lang w:val="en-US" w:eastAsia="zh-CN"/>
        </w:rPr>
        <w:t>95</w:t>
      </w:r>
      <w:r>
        <w:rPr>
          <w:rFonts w:hint="eastAsia" w:eastAsia="仿宋_GB2312" w:cs="Times New Roman"/>
          <w:color w:val="000000"/>
          <w:sz w:val="32"/>
          <w:szCs w:val="32"/>
          <w:lang w:eastAsia="zh-CN"/>
        </w:rPr>
        <w:t>万元，预算执行2358</w:t>
      </w:r>
      <w:r>
        <w:rPr>
          <w:rFonts w:hint="eastAsia" w:eastAsia="仿宋_GB2312" w:cs="Times New Roman"/>
          <w:color w:val="000000"/>
          <w:sz w:val="32"/>
          <w:szCs w:val="32"/>
          <w:lang w:val="en-US" w:eastAsia="zh-CN"/>
        </w:rPr>
        <w:t>0</w:t>
      </w:r>
      <w:r>
        <w:rPr>
          <w:rFonts w:hint="eastAsia" w:eastAsia="仿宋_GB2312" w:cs="Times New Roman"/>
          <w:color w:val="000000"/>
          <w:sz w:val="32"/>
          <w:szCs w:val="32"/>
          <w:lang w:eastAsia="zh-CN"/>
        </w:rPr>
        <w:t>万元；222粮油物质事务支出科目年初预算支出0万元，预算调整323万元，预算执行323万元；224灾害防治及应急管理支出科目年初预算支出</w:t>
      </w:r>
      <w:r>
        <w:rPr>
          <w:rFonts w:hint="eastAsia" w:eastAsia="仿宋_GB2312" w:cs="Times New Roman"/>
          <w:color w:val="000000"/>
          <w:sz w:val="32"/>
          <w:szCs w:val="32"/>
          <w:lang w:val="en-US" w:eastAsia="zh-CN"/>
        </w:rPr>
        <w:t>0</w:t>
      </w:r>
      <w:r>
        <w:rPr>
          <w:rFonts w:hint="eastAsia" w:eastAsia="仿宋_GB2312" w:cs="Times New Roman"/>
          <w:color w:val="000000"/>
          <w:sz w:val="32"/>
          <w:szCs w:val="32"/>
          <w:lang w:eastAsia="zh-CN"/>
        </w:rPr>
        <w:t>万元，预算调整4万元，预算执行4万元。229其他支出科目年初预算支出0万元，预算调整11</w:t>
      </w:r>
      <w:r>
        <w:rPr>
          <w:rFonts w:hint="eastAsia" w:eastAsia="仿宋_GB2312" w:cs="Times New Roman"/>
          <w:color w:val="000000"/>
          <w:sz w:val="32"/>
          <w:szCs w:val="32"/>
          <w:lang w:val="en-US" w:eastAsia="zh-CN"/>
        </w:rPr>
        <w:t>83</w:t>
      </w:r>
      <w:r>
        <w:rPr>
          <w:rFonts w:hint="eastAsia" w:eastAsia="仿宋_GB2312" w:cs="Times New Roman"/>
          <w:color w:val="000000"/>
          <w:sz w:val="32"/>
          <w:szCs w:val="32"/>
          <w:lang w:eastAsia="zh-CN"/>
        </w:rPr>
        <w:t>万元，预算执行11</w:t>
      </w:r>
      <w:r>
        <w:rPr>
          <w:rFonts w:hint="eastAsia" w:eastAsia="仿宋_GB2312" w:cs="Times New Roman"/>
          <w:color w:val="000000"/>
          <w:sz w:val="32"/>
          <w:szCs w:val="32"/>
          <w:lang w:val="en-US" w:eastAsia="zh-CN"/>
        </w:rPr>
        <w:t>36</w:t>
      </w:r>
      <w:r>
        <w:rPr>
          <w:rFonts w:hint="eastAsia" w:eastAsia="仿宋_GB2312" w:cs="Times New Roman"/>
          <w:color w:val="000000"/>
          <w:sz w:val="32"/>
          <w:szCs w:val="32"/>
          <w:lang w:eastAsia="zh-CN"/>
        </w:rPr>
        <w:t>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我</w:t>
      </w:r>
      <w:r>
        <w:rPr>
          <w:rFonts w:hint="eastAsia" w:eastAsia="仿宋_GB2312" w:cs="Times New Roman"/>
          <w:color w:val="000000"/>
          <w:sz w:val="32"/>
          <w:szCs w:val="32"/>
          <w:lang w:eastAsia="zh-CN"/>
        </w:rPr>
        <w:t>部门积极履职，强化管理，较好地完成了年度工作目标。通过加强预算收支管理，不断建立健全内部管理制度，梳理内部管理流程，部门整体支出管理水平得到提升。根据部门整体支出绩效自评，我单位</w:t>
      </w:r>
      <w:r>
        <w:rPr>
          <w:rFonts w:hint="eastAsia" w:eastAsia="仿宋_GB2312" w:cs="Times New Roman"/>
          <w:color w:val="000000"/>
          <w:sz w:val="32"/>
          <w:szCs w:val="32"/>
          <w:lang w:val="en-US" w:eastAsia="zh-CN"/>
        </w:rPr>
        <w:t>2022年度绩效自评得分为96分。部门整体支出绩效情况详见附件2。</w:t>
      </w:r>
    </w:p>
    <w:p>
      <w:pPr>
        <w:pStyle w:val="7"/>
        <w:rPr>
          <w:rFonts w:hint="eastAsia"/>
          <w:lang w:eastAsia="zh-CN"/>
        </w:rPr>
      </w:pPr>
    </w:p>
    <w:p>
      <w:pPr>
        <w:pStyle w:val="20"/>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预算</w:t>
      </w:r>
      <w:r>
        <w:rPr>
          <w:rFonts w:hint="eastAsia" w:eastAsia="仿宋_GB2312" w:cs="Times New Roman"/>
          <w:color w:val="000000"/>
          <w:sz w:val="32"/>
          <w:szCs w:val="32"/>
          <w:lang w:val="en-US" w:eastAsia="zh-CN"/>
        </w:rPr>
        <w:t>编制的合理性需要提高，预算</w:t>
      </w:r>
      <w:r>
        <w:rPr>
          <w:rFonts w:hint="eastAsia" w:ascii="Times New Roman" w:hAnsi="Times New Roman" w:eastAsia="仿宋_GB2312" w:cs="Times New Roman"/>
          <w:color w:val="000000"/>
          <w:sz w:val="32"/>
          <w:szCs w:val="32"/>
          <w:lang w:val="en-US" w:eastAsia="zh-CN"/>
        </w:rPr>
        <w:t>执行力度</w:t>
      </w:r>
      <w:r>
        <w:rPr>
          <w:rFonts w:hint="eastAsia" w:eastAsia="仿宋_GB2312" w:cs="Times New Roman"/>
          <w:color w:val="000000"/>
          <w:sz w:val="32"/>
          <w:szCs w:val="32"/>
          <w:lang w:val="en-US" w:eastAsia="zh-CN"/>
        </w:rPr>
        <w:t>还要进一步加强。</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2.绩效管理制度体系薄弱。</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3.因单位日常公用经费不足，导致实际支出相差不足。</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4.公用经费控制有一定难度，基本为刚性支出。</w:t>
      </w:r>
    </w:p>
    <w:p>
      <w:pPr>
        <w:pStyle w:val="7"/>
        <w:rPr>
          <w:rFonts w:hint="default"/>
          <w:lang w:val="en-US" w:eastAsia="zh-CN"/>
        </w:rPr>
      </w:pPr>
    </w:p>
    <w:p>
      <w:pPr>
        <w:pStyle w:val="7"/>
        <w:rPr>
          <w:rFonts w:hint="default"/>
          <w:lang w:val="en-US" w:eastAsia="zh-CN"/>
        </w:rPr>
      </w:pPr>
    </w:p>
    <w:p>
      <w:pPr>
        <w:keepNext w:val="0"/>
        <w:keepLines w:val="0"/>
        <w:pageBreakBefore w:val="0"/>
        <w:widowControl/>
        <w:numPr>
          <w:ilvl w:val="0"/>
          <w:numId w:val="3"/>
        </w:numPr>
        <w:kinsoku/>
        <w:wordWrap/>
        <w:overflowPunct/>
        <w:topLinePunct w:val="0"/>
        <w:autoSpaceDE/>
        <w:autoSpaceDN/>
        <w:bidi w:val="0"/>
        <w:adjustRightInd/>
        <w:snapToGrid/>
        <w:spacing w:line="610" w:lineRule="exact"/>
        <w:ind w:left="210" w:leftChars="0" w:firstLine="64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针对上述存在的问题及对外整体支出绩效管理工作的需要，拟实施的改进措施如下：</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1.</w:t>
      </w:r>
      <w:r>
        <w:rPr>
          <w:rFonts w:hint="eastAsia" w:eastAsia="仿宋_GB2312" w:cs="Times New Roman"/>
          <w:spacing w:val="11"/>
          <w:sz w:val="32"/>
          <w:szCs w:val="32"/>
          <w:lang w:val="en-US" w:eastAsia="zh-CN"/>
        </w:rPr>
        <w:t>细化预算编制工作，编制范围尽可能全面、不漏项，</w:t>
      </w:r>
      <w:r>
        <w:rPr>
          <w:rFonts w:hint="eastAsia" w:ascii="Times New Roman" w:hAnsi="Times New Roman" w:eastAsia="仿宋_GB2312" w:cs="Times New Roman"/>
          <w:spacing w:val="11"/>
          <w:sz w:val="32"/>
          <w:szCs w:val="32"/>
          <w:lang w:val="en-US" w:eastAsia="zh-CN"/>
        </w:rPr>
        <w:t>进一步规范财务核算，加强预算执行情况的监管力度。</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2.进一步完善绩效管理制度，推进绩效管理制度落实。</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z w:val="32"/>
          <w:szCs w:val="32"/>
          <w:lang w:val="en-US" w:eastAsia="zh-CN"/>
        </w:rPr>
        <w:t>3.加强财务管理</w:t>
      </w:r>
      <w:r>
        <w:rPr>
          <w:rFonts w:hint="eastAsia" w:eastAsia="仿宋_GB2312" w:cs="Times New Roman"/>
          <w:sz w:val="32"/>
          <w:szCs w:val="32"/>
          <w:lang w:val="en-US" w:eastAsia="zh-CN"/>
        </w:rPr>
        <w:t>，严格财务审核。加强单位财务管理，健全单位财务管理制度体系，规范单位财务行为。在费用报账支付时，按照预算规定的费用项目和用途进行资金使用审核、列报</w:t>
      </w:r>
      <w:r>
        <w:rPr>
          <w:rFonts w:hint="eastAsia" w:ascii="Times New Roman" w:hAnsi="Times New Roman" w:eastAsia="仿宋_GB2312" w:cs="Times New Roman"/>
          <w:spacing w:val="11"/>
          <w:sz w:val="32"/>
          <w:szCs w:val="32"/>
          <w:lang w:val="en-US" w:eastAsia="zh-CN"/>
        </w:rPr>
        <w:t>支付、财务核算，杜绝超支现象的发生。</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4.</w:t>
      </w:r>
      <w:r>
        <w:rPr>
          <w:rFonts w:hint="eastAsia" w:eastAsia="仿宋_GB2312" w:cs="Times New Roman"/>
          <w:spacing w:val="11"/>
          <w:sz w:val="32"/>
          <w:szCs w:val="32"/>
          <w:lang w:val="en-US" w:eastAsia="zh-CN"/>
        </w:rPr>
        <w:t>对相关人员加强学习培训，切实提高部门预算收支管理水平。</w:t>
      </w:r>
    </w:p>
    <w:p>
      <w:pPr>
        <w:pStyle w:val="7"/>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60" w:lineRule="exact"/>
        <w:ind w:firstLine="1280" w:firstLineChars="40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华容县水利局</w:t>
      </w: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华容县水利局</w:t>
      </w: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4"/>
        <w:tblW w:w="9851" w:type="dxa"/>
        <w:jc w:val="center"/>
        <w:tblLayout w:type="fixed"/>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w:t>
            </w:r>
            <w:r>
              <w:rPr>
                <w:rFonts w:hint="eastAsia" w:eastAsia="仿宋_GB2312" w:cs="Times New Roman"/>
                <w:color w:val="000000"/>
                <w:sz w:val="20"/>
                <w:szCs w:val="20"/>
                <w:lang w:val="en-US" w:eastAsia="zh-CN"/>
              </w:rPr>
              <w:t>2022年度水利发展资金</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3679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3679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完成3座一般中型灌区续建与节水配套改造、5座小型水库处险加固、14座小型水库标准化建设、45座水库维修养护及32个农村供水工程维修养护</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完成了3座一般中型灌区续建与节水配套改造、5座小型水库处险加固、14座小型水库标准化建设、45座水库维修养护及32个农村供水工程维修养护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中型灌区节水配套改造面积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4.71</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4.71</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农村饮水工程维修养护数量</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小型水库工程维修养护座数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59</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截至2023年6月底，完工项目初步验收率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545" w:hRule="atLeast"/>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工程验收合格率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已建工程是否存在质量问题</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否</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b w:val="0"/>
                <w:bCs w:val="0"/>
                <w:color w:val="000000"/>
                <w:sz w:val="20"/>
                <w:szCs w:val="20"/>
              </w:rPr>
            </w:pPr>
            <w:r>
              <w:rPr>
                <w:rFonts w:hint="default" w:ascii="Times New Roman" w:hAnsi="Times New Roman" w:eastAsia="仿宋_GB2312" w:cs="Times New Roman"/>
                <w:b w:val="0"/>
                <w:bCs w:val="0"/>
                <w:color w:val="000000"/>
                <w:sz w:val="20"/>
                <w:szCs w:val="20"/>
              </w:rPr>
              <w:t>否</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截至2022年底，投资完成比例</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80%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单价是否控制在批复概算单价内</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是</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改</w:t>
            </w:r>
            <w:r>
              <w:rPr>
                <w:rFonts w:hint="default" w:ascii="Times New Roman" w:hAnsi="Times New Roman" w:eastAsia="仿宋_GB2312" w:cs="Times New Roman"/>
                <w:color w:val="000000"/>
                <w:sz w:val="20"/>
                <w:szCs w:val="20"/>
              </w:rPr>
              <w:t>善灌溉面积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2.47</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2.47</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新增粮食综合生产能力</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162</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162</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农村饮水工程维修养护覆盖服务人口</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27.54</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27.54</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新增年节水能力</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268</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268</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建工程是否良性运行</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工程是否达到设计使用年限</w:t>
            </w:r>
          </w:p>
        </w:tc>
        <w:tc>
          <w:tcPr>
            <w:tcW w:w="113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113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受益群众满意度</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吴涛</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2023年7月7日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15197065012 </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w:t>
      </w:r>
      <w:r>
        <w:rPr>
          <w:rFonts w:hint="eastAsia" w:ascii="方正小标宋简体" w:eastAsia="方正小标宋简体"/>
          <w:sz w:val="44"/>
          <w:szCs w:val="44"/>
          <w:lang w:val="en-US" w:eastAsia="zh-CN"/>
        </w:rPr>
        <w:t>水利发展资金</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12</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部门</w:t>
      </w:r>
      <w:r>
        <w:rPr>
          <w:rFonts w:hint="eastAsia" w:ascii="方正小标宋简体" w:eastAsia="方正小标宋简体"/>
          <w:sz w:val="44"/>
          <w:szCs w:val="44"/>
          <w:lang w:val="en-US" w:eastAsia="zh-CN"/>
        </w:rPr>
        <w:t>水利发展资金</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rPr>
        <w:t>(一)项目概况。2021年12月8日，湖南省财政厅下发《关于提前下达2022年第一批中央水利发展资金的通知》（湘财预〔2021〕276号）下达华容县第一批水利发展资金</w:t>
      </w:r>
      <w:r>
        <w:rPr>
          <w:rFonts w:hint="eastAsia" w:eastAsia="仿宋_GB2312"/>
          <w:sz w:val="30"/>
          <w:szCs w:val="30"/>
          <w:lang w:val="en-US" w:eastAsia="zh-CN"/>
        </w:rPr>
        <w:t>2699</w:t>
      </w:r>
      <w:r>
        <w:rPr>
          <w:rFonts w:hint="eastAsia" w:eastAsia="仿宋_GB2312"/>
          <w:sz w:val="30"/>
          <w:szCs w:val="30"/>
        </w:rPr>
        <w:t>万元，其中</w:t>
      </w:r>
      <w:r>
        <w:rPr>
          <w:rFonts w:hint="eastAsia" w:eastAsia="仿宋_GB2312"/>
          <w:sz w:val="30"/>
          <w:szCs w:val="30"/>
          <w:lang w:val="en-US" w:eastAsia="zh-CN"/>
        </w:rPr>
        <w:t>小型水库除险加固项目532万元；</w:t>
      </w:r>
      <w:r>
        <w:rPr>
          <w:rFonts w:hint="eastAsia" w:eastAsia="仿宋_GB2312"/>
          <w:sz w:val="30"/>
          <w:szCs w:val="30"/>
        </w:rPr>
        <w:t>中型灌区续建配套与节水改造项目</w:t>
      </w:r>
      <w:r>
        <w:rPr>
          <w:rFonts w:hint="eastAsia" w:eastAsia="仿宋_GB2312"/>
          <w:sz w:val="30"/>
          <w:szCs w:val="30"/>
          <w:lang w:val="en-US" w:eastAsia="zh-CN"/>
        </w:rPr>
        <w:t>1931</w:t>
      </w:r>
      <w:r>
        <w:rPr>
          <w:rFonts w:hint="eastAsia" w:eastAsia="仿宋_GB2312"/>
          <w:sz w:val="30"/>
          <w:szCs w:val="30"/>
        </w:rPr>
        <w:t>万元（华一水库灌区</w:t>
      </w:r>
      <w:r>
        <w:rPr>
          <w:rFonts w:hint="eastAsia" w:eastAsia="仿宋_GB2312"/>
          <w:sz w:val="30"/>
          <w:szCs w:val="30"/>
          <w:lang w:val="en-US" w:eastAsia="zh-CN"/>
        </w:rPr>
        <w:t>585</w:t>
      </w:r>
      <w:r>
        <w:rPr>
          <w:rFonts w:hint="eastAsia" w:eastAsia="仿宋_GB2312"/>
          <w:sz w:val="30"/>
          <w:szCs w:val="30"/>
        </w:rPr>
        <w:t>万元、新华垸灌区</w:t>
      </w:r>
      <w:r>
        <w:rPr>
          <w:rFonts w:hint="eastAsia" w:eastAsia="仿宋_GB2312"/>
          <w:sz w:val="30"/>
          <w:szCs w:val="30"/>
          <w:lang w:val="en-US" w:eastAsia="zh-CN"/>
        </w:rPr>
        <w:t>1075</w:t>
      </w:r>
      <w:r>
        <w:rPr>
          <w:rFonts w:hint="eastAsia" w:eastAsia="仿宋_GB2312"/>
          <w:sz w:val="30"/>
          <w:szCs w:val="30"/>
        </w:rPr>
        <w:t>万元、告丰灌区</w:t>
      </w:r>
      <w:r>
        <w:rPr>
          <w:rFonts w:hint="eastAsia" w:eastAsia="仿宋_GB2312"/>
          <w:sz w:val="30"/>
          <w:szCs w:val="30"/>
          <w:lang w:val="en-US" w:eastAsia="zh-CN"/>
        </w:rPr>
        <w:t>271</w:t>
      </w:r>
      <w:r>
        <w:rPr>
          <w:rFonts w:hint="eastAsia" w:eastAsia="仿宋_GB2312"/>
          <w:sz w:val="30"/>
          <w:szCs w:val="30"/>
        </w:rPr>
        <w:t>万元）</w:t>
      </w:r>
      <w:r>
        <w:rPr>
          <w:rFonts w:hint="eastAsia" w:eastAsia="仿宋_GB2312"/>
          <w:sz w:val="30"/>
          <w:szCs w:val="30"/>
          <w:lang w:eastAsia="zh-CN"/>
        </w:rPr>
        <w:t>；</w:t>
      </w:r>
      <w:r>
        <w:rPr>
          <w:rFonts w:hint="eastAsia" w:eastAsia="仿宋_GB2312"/>
          <w:sz w:val="30"/>
          <w:szCs w:val="30"/>
        </w:rPr>
        <w:t>水利工程维修养护项目2</w:t>
      </w:r>
      <w:r>
        <w:rPr>
          <w:rFonts w:hint="eastAsia" w:eastAsia="仿宋_GB2312"/>
          <w:sz w:val="30"/>
          <w:szCs w:val="30"/>
          <w:lang w:val="en-US" w:eastAsia="zh-CN"/>
        </w:rPr>
        <w:t>36</w:t>
      </w:r>
      <w:r>
        <w:rPr>
          <w:rFonts w:hint="eastAsia" w:eastAsia="仿宋_GB2312"/>
          <w:sz w:val="30"/>
          <w:szCs w:val="30"/>
        </w:rPr>
        <w:t>万元（小型水库</w:t>
      </w:r>
      <w:r>
        <w:rPr>
          <w:rFonts w:hint="eastAsia" w:eastAsia="仿宋_GB2312"/>
          <w:sz w:val="30"/>
          <w:szCs w:val="30"/>
          <w:lang w:val="en-US" w:eastAsia="zh-CN"/>
        </w:rPr>
        <w:t>工程80</w:t>
      </w:r>
      <w:r>
        <w:rPr>
          <w:rFonts w:hint="eastAsia" w:eastAsia="仿宋_GB2312"/>
          <w:sz w:val="30"/>
          <w:szCs w:val="30"/>
        </w:rPr>
        <w:t>万元、农村供水工程</w:t>
      </w:r>
      <w:r>
        <w:rPr>
          <w:rFonts w:hint="eastAsia" w:eastAsia="仿宋_GB2312"/>
          <w:sz w:val="30"/>
          <w:szCs w:val="30"/>
          <w:lang w:val="en-US" w:eastAsia="zh-CN"/>
        </w:rPr>
        <w:t>156</w:t>
      </w:r>
      <w:r>
        <w:rPr>
          <w:rFonts w:hint="eastAsia" w:eastAsia="仿宋_GB2312"/>
          <w:sz w:val="30"/>
          <w:szCs w:val="30"/>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default" w:eastAsia="仿宋_GB2312"/>
          <w:sz w:val="30"/>
          <w:szCs w:val="30"/>
          <w:lang w:val="en-US" w:eastAsia="zh-CN"/>
        </w:rPr>
      </w:pPr>
      <w:r>
        <w:rPr>
          <w:rFonts w:hint="eastAsia" w:eastAsia="仿宋_GB2312"/>
          <w:sz w:val="30"/>
          <w:szCs w:val="30"/>
          <w:lang w:eastAsia="zh-CN"/>
        </w:rPr>
        <w:t>2022年5月29日，湖南省财政厅下发《关于下达2022年第二批地方政府新增债务限额的通知》（湘财预〔2022〕61号）文件下达</w:t>
      </w:r>
      <w:r>
        <w:rPr>
          <w:rFonts w:hint="eastAsia" w:eastAsia="仿宋_GB2312"/>
          <w:sz w:val="30"/>
          <w:szCs w:val="30"/>
          <w:lang w:val="en-US" w:eastAsia="zh-CN"/>
        </w:rPr>
        <w:t>地方政府一般债务资金509万元（小型水库除险加固418万元，小型水库维修养护91万元）。</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eastAsia="zh-CN"/>
        </w:rPr>
        <w:t>2022年6月20日，湖南省财政厅下发《关于下达2022年度省级水利发展资金的通知》（湘财农指〔2022〕15号）文件下达</w:t>
      </w:r>
      <w:r>
        <w:rPr>
          <w:rFonts w:hint="eastAsia" w:eastAsia="仿宋_GB2312"/>
          <w:sz w:val="30"/>
          <w:szCs w:val="30"/>
        </w:rPr>
        <w:t>中型灌区续建配套与节水改造项目</w:t>
      </w:r>
      <w:r>
        <w:rPr>
          <w:rFonts w:hint="eastAsia" w:eastAsia="仿宋_GB2312"/>
          <w:sz w:val="30"/>
          <w:szCs w:val="30"/>
          <w:lang w:eastAsia="zh-CN"/>
        </w:rPr>
        <w:t>省级补助资金471万元</w:t>
      </w:r>
      <w:r>
        <w:rPr>
          <w:rFonts w:hint="eastAsia" w:eastAsia="仿宋_GB2312"/>
          <w:sz w:val="30"/>
          <w:szCs w:val="30"/>
        </w:rPr>
        <w:t>（华一水库灌区</w:t>
      </w:r>
      <w:r>
        <w:rPr>
          <w:rFonts w:hint="eastAsia" w:eastAsia="仿宋_GB2312"/>
          <w:sz w:val="30"/>
          <w:szCs w:val="30"/>
          <w:lang w:val="en-US" w:eastAsia="zh-CN"/>
        </w:rPr>
        <w:t>148</w:t>
      </w:r>
      <w:r>
        <w:rPr>
          <w:rFonts w:hint="eastAsia" w:eastAsia="仿宋_GB2312"/>
          <w:sz w:val="30"/>
          <w:szCs w:val="30"/>
        </w:rPr>
        <w:t>万元、新华垸灌区</w:t>
      </w:r>
      <w:r>
        <w:rPr>
          <w:rFonts w:hint="eastAsia" w:eastAsia="仿宋_GB2312"/>
          <w:sz w:val="30"/>
          <w:szCs w:val="30"/>
          <w:lang w:val="en-US" w:eastAsia="zh-CN"/>
        </w:rPr>
        <w:t>258</w:t>
      </w:r>
      <w:r>
        <w:rPr>
          <w:rFonts w:hint="eastAsia" w:eastAsia="仿宋_GB2312"/>
          <w:sz w:val="30"/>
          <w:szCs w:val="30"/>
        </w:rPr>
        <w:t>万元、告丰灌区</w:t>
      </w:r>
      <w:r>
        <w:rPr>
          <w:rFonts w:hint="eastAsia" w:eastAsia="仿宋_GB2312"/>
          <w:sz w:val="30"/>
          <w:szCs w:val="30"/>
          <w:lang w:val="en-US" w:eastAsia="zh-CN"/>
        </w:rPr>
        <w:t>65</w:t>
      </w:r>
      <w:r>
        <w:rPr>
          <w:rFonts w:hint="eastAsia" w:eastAsia="仿宋_GB2312"/>
          <w:sz w:val="30"/>
          <w:szCs w:val="30"/>
        </w:rPr>
        <w:t>万元）</w:t>
      </w:r>
      <w:r>
        <w:rPr>
          <w:rFonts w:hint="eastAsia" w:eastAsia="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rPr>
        <w:t>(二)项目绩效目标。包括总体目标和阶段性目标。</w:t>
      </w:r>
      <w:r>
        <w:rPr>
          <w:rFonts w:hint="eastAsia" w:eastAsia="仿宋_GB2312"/>
          <w:sz w:val="30"/>
          <w:szCs w:val="30"/>
          <w:lang w:val="en-US" w:eastAsia="zh-CN"/>
        </w:rPr>
        <w:t>1</w:t>
      </w:r>
      <w:r>
        <w:rPr>
          <w:rFonts w:hint="eastAsia" w:eastAsia="仿宋_GB2312"/>
          <w:sz w:val="30"/>
          <w:szCs w:val="30"/>
        </w:rPr>
        <w:t>.</w:t>
      </w:r>
      <w:r>
        <w:rPr>
          <w:rFonts w:hint="eastAsia" w:eastAsia="仿宋_GB2312"/>
          <w:sz w:val="30"/>
          <w:szCs w:val="30"/>
          <w:lang w:val="en-US" w:eastAsia="zh-CN"/>
        </w:rPr>
        <w:t>小型水库建设及除险加固</w:t>
      </w:r>
      <w:r>
        <w:rPr>
          <w:rFonts w:hint="eastAsia" w:eastAsia="仿宋_GB2312"/>
          <w:sz w:val="30"/>
          <w:szCs w:val="30"/>
        </w:rPr>
        <w:t>：本次绩效评价的</w:t>
      </w:r>
      <w:r>
        <w:rPr>
          <w:rFonts w:hint="eastAsia" w:eastAsia="仿宋_GB2312"/>
          <w:sz w:val="30"/>
          <w:szCs w:val="30"/>
          <w:lang w:val="en-US" w:eastAsia="zh-CN"/>
        </w:rPr>
        <w:t>小型水库除险加固为华容县5座小（2）型水库（易家湾、李家湾、燕子庵、烂泥湾、砖头湾）除险加固，涉及</w:t>
      </w:r>
      <w:r>
        <w:rPr>
          <w:rFonts w:hint="eastAsia" w:eastAsia="仿宋_GB2312"/>
          <w:sz w:val="30"/>
          <w:szCs w:val="30"/>
        </w:rPr>
        <w:t>资金为</w:t>
      </w:r>
      <w:r>
        <w:rPr>
          <w:rFonts w:hint="eastAsia" w:eastAsia="仿宋_GB2312"/>
          <w:sz w:val="30"/>
          <w:szCs w:val="30"/>
          <w:lang w:val="en-US" w:eastAsia="zh-CN"/>
        </w:rPr>
        <w:t>950</w:t>
      </w:r>
      <w:r>
        <w:rPr>
          <w:rFonts w:hint="eastAsia" w:eastAsia="仿宋_GB2312"/>
          <w:sz w:val="30"/>
          <w:szCs w:val="30"/>
        </w:rPr>
        <w:t>万元</w:t>
      </w:r>
      <w:r>
        <w:rPr>
          <w:rFonts w:hint="eastAsia" w:eastAsia="仿宋_GB2312"/>
          <w:sz w:val="30"/>
          <w:szCs w:val="30"/>
          <w:lang w:eastAsia="zh-CN"/>
        </w:rPr>
        <w:t>，</w:t>
      </w:r>
      <w:r>
        <w:rPr>
          <w:rFonts w:hint="eastAsia" w:eastAsia="仿宋_GB2312"/>
          <w:sz w:val="30"/>
          <w:szCs w:val="30"/>
          <w:lang w:val="en-US" w:eastAsia="zh-CN"/>
        </w:rPr>
        <w:t>其中中央水利发展资金532万元，地方政府一般债418万元，</w:t>
      </w:r>
      <w:r>
        <w:rPr>
          <w:rFonts w:hint="eastAsia" w:eastAsia="仿宋_GB2312"/>
          <w:sz w:val="30"/>
          <w:szCs w:val="30"/>
          <w:lang w:eastAsia="zh-CN"/>
        </w:rPr>
        <w:t>主要建设内容</w:t>
      </w:r>
      <w:r>
        <w:rPr>
          <w:rFonts w:hint="eastAsia" w:eastAsia="仿宋_GB2312"/>
          <w:sz w:val="30"/>
          <w:szCs w:val="30"/>
          <w:lang w:val="en-US" w:eastAsia="zh-CN"/>
        </w:rPr>
        <w:t>为</w:t>
      </w:r>
      <w:r>
        <w:rPr>
          <w:rFonts w:hint="eastAsia" w:eastAsia="仿宋_GB2312"/>
          <w:sz w:val="30"/>
          <w:szCs w:val="30"/>
          <w:lang w:eastAsia="zh-CN"/>
        </w:rPr>
        <w:t>大坝临水面砼六方块护坡、背水坡草皮护坡、贴坡排水、大坝防渗、溢洪道整治、放水设施整治、上坝公路及其它附属设施建设</w:t>
      </w:r>
      <w:r>
        <w:rPr>
          <w:rFonts w:hint="eastAsia" w:eastAsia="仿宋_GB2312"/>
          <w:sz w:val="30"/>
          <w:szCs w:val="30"/>
          <w:lang w:val="en-US" w:eastAsia="zh-CN"/>
        </w:rPr>
        <w:t>等</w:t>
      </w:r>
      <w:r>
        <w:rPr>
          <w:rFonts w:hint="eastAsia" w:eastAsia="仿宋_GB2312"/>
          <w:sz w:val="30"/>
          <w:szCs w:val="30"/>
          <w:lang w:eastAsia="zh-CN"/>
        </w:rPr>
        <w:t>，目前</w:t>
      </w:r>
      <w:r>
        <w:rPr>
          <w:rFonts w:hint="eastAsia" w:eastAsia="仿宋_GB2312"/>
          <w:sz w:val="30"/>
          <w:szCs w:val="30"/>
          <w:lang w:val="en-US" w:eastAsia="zh-CN"/>
        </w:rPr>
        <w:t>工程已于</w:t>
      </w:r>
      <w:r>
        <w:rPr>
          <w:rFonts w:hint="eastAsia" w:eastAsia="仿宋_GB2312"/>
          <w:sz w:val="30"/>
          <w:szCs w:val="30"/>
          <w:lang w:eastAsia="zh-CN"/>
        </w:rPr>
        <w:t>2022年</w:t>
      </w:r>
      <w:r>
        <w:rPr>
          <w:rFonts w:hint="eastAsia" w:eastAsia="仿宋_GB2312"/>
          <w:sz w:val="30"/>
          <w:szCs w:val="30"/>
          <w:lang w:val="en-US" w:eastAsia="zh-CN"/>
        </w:rPr>
        <w:t>9</w:t>
      </w:r>
      <w:r>
        <w:rPr>
          <w:rFonts w:hint="eastAsia" w:eastAsia="仿宋_GB2312"/>
          <w:sz w:val="30"/>
          <w:szCs w:val="30"/>
          <w:lang w:eastAsia="zh-CN"/>
        </w:rPr>
        <w:t>月</w:t>
      </w:r>
      <w:r>
        <w:rPr>
          <w:rFonts w:hint="eastAsia" w:eastAsia="仿宋_GB2312"/>
          <w:sz w:val="30"/>
          <w:szCs w:val="30"/>
          <w:lang w:val="en-US" w:eastAsia="zh-CN"/>
        </w:rPr>
        <w:t>开工，2022年12月完工</w:t>
      </w:r>
      <w:r>
        <w:rPr>
          <w:rFonts w:hint="eastAsia" w:eastAsia="仿宋_GB2312"/>
          <w:sz w:val="30"/>
          <w:szCs w:val="30"/>
          <w:lang w:eastAsia="zh-CN"/>
        </w:rPr>
        <w:t>，</w:t>
      </w:r>
      <w:r>
        <w:rPr>
          <w:rFonts w:hint="eastAsia" w:eastAsia="仿宋_GB2312"/>
          <w:sz w:val="30"/>
          <w:szCs w:val="30"/>
          <w:lang w:val="en-US" w:eastAsia="zh-CN"/>
        </w:rPr>
        <w:t>相关资金拨付也严格按照工程建设进度给予拨付</w:t>
      </w:r>
      <w:r>
        <w:rPr>
          <w:rFonts w:hint="eastAsia"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lang w:val="en-US" w:eastAsia="zh-CN"/>
        </w:rPr>
        <w:t>2.中型灌区续建配套与节水改造项目</w:t>
      </w:r>
      <w:r>
        <w:rPr>
          <w:rFonts w:hint="eastAsia" w:eastAsia="仿宋_GB2312"/>
          <w:sz w:val="30"/>
          <w:szCs w:val="30"/>
        </w:rPr>
        <w:t>：本次绩效评价的</w:t>
      </w:r>
      <w:r>
        <w:rPr>
          <w:rFonts w:hint="eastAsia" w:eastAsia="仿宋_GB2312"/>
          <w:sz w:val="30"/>
          <w:szCs w:val="30"/>
          <w:lang w:val="en-US" w:eastAsia="zh-CN"/>
        </w:rPr>
        <w:t>中型灌区续建配套与节水改造项目总体建设任务为完成3座灌区（华一水库灌区、新华垸灌区、告丰灌区）续建配套与节水改造，涉及资金为2402万元，其中中央资金1931万元，省级配套资金471万元，主要建设内容为灌溉渠道疏挖衬砌、小型机埠新建维修、小型涵闸新建及改造、标准信息化建设等，目前2022年度工程建设任务已于2022年12月份底全面完工，相关资金拨付也严格按照工程建设进度给予拨付</w:t>
      </w:r>
      <w:r>
        <w:rPr>
          <w:rFonts w:hint="eastAsia"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rPr>
        <w:t xml:space="preserve">. </w:t>
      </w:r>
      <w:r>
        <w:rPr>
          <w:rFonts w:hint="eastAsia" w:eastAsia="仿宋_GB2312"/>
          <w:sz w:val="30"/>
          <w:szCs w:val="30"/>
          <w:lang w:val="en-US" w:eastAsia="zh-CN"/>
        </w:rPr>
        <w:t>水利工程设施</w:t>
      </w:r>
      <w:r>
        <w:rPr>
          <w:rFonts w:hint="eastAsia" w:eastAsia="仿宋_GB2312"/>
          <w:sz w:val="30"/>
          <w:szCs w:val="30"/>
        </w:rPr>
        <w:t>维修养护：</w:t>
      </w:r>
      <w:r>
        <w:rPr>
          <w:rFonts w:hint="eastAsia" w:eastAsia="仿宋_GB2312"/>
          <w:sz w:val="30"/>
          <w:szCs w:val="30"/>
          <w:lang w:val="en-US" w:eastAsia="zh-CN"/>
        </w:rPr>
        <w:t>本次绩效评价的水利工程设施维修养护为14座小型水库管理标准化创建工作、45座小型水库维修养护工作及32处农村供水工程维修养护，涉及资金为327万元，其中中央资金236万元，地方政府一般债91万元，其中水库标准化建设主要内容为管理房新建及维修，大坝日常管养，大坝坝顶及上坝公路建设，护栏安装，溢洪道整治及大坝坡面整治等；水库维修养护主要建设内容为大坝坡面及溢洪道清基扫障、管理设施更新及相关附属建筑物维修养护等，工程于2022年11月已完工，总体形象进度为100%，32个农村供水工程维修养护主要建设内容为打水井、更换消毒设备、石英砂、管网维修等，工程于2022年10月已完工，目前总体形象进度为100%，相关资金拨付也严格按照工程建设进度给予拨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val="en-US" w:eastAsia="zh-CN"/>
        </w:rPr>
        <w:t>本次绩效自评工作以湖南省水利厅、财政厅下发的《关于开展2022年度水利发展资金绩效评价的通知》（湘水函〔2023〕221号）、2022 年度中央财政水利发展资金绩效自评报告大纲、2022 年度中央财政水利发展资金绩效自评表等相关文件资料为依据。</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绩效评价原则、评价指标体系(附表说明)、评价方法、 评价标准等。</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val="en-US" w:eastAsia="zh-CN"/>
        </w:rPr>
        <w:t>根据省财政厅、水利厅相关工作进展安排，我单位领导召集相关主管人员及项目执行单位召开专题会议，成立了绩效评价领导工作小组，领会精神，布置工作任务，统一自评标准，制定了工作方案，确保了绩效评价工作扎实开展。依据相关工作方案，项目单位积极组织本次绩效评价相关资料；深入项目区进行民意满意度测评；到项目区进行现场评价；根据综合意见形成自评报告。</w:t>
      </w:r>
    </w:p>
    <w:p>
      <w:pPr>
        <w:pStyle w:val="11"/>
        <w:numPr>
          <w:ilvl w:val="0"/>
          <w:numId w:val="0"/>
        </w:numPr>
        <w:ind w:leftChars="0"/>
        <w:rPr>
          <w:rFonts w:hint="eastAsia"/>
        </w:rPr>
      </w:pPr>
    </w:p>
    <w:p>
      <w:pPr>
        <w:keepNext w:val="0"/>
        <w:keepLines w:val="0"/>
        <w:pageBreakBefore w:val="0"/>
        <w:numPr>
          <w:ilvl w:val="0"/>
          <w:numId w:val="4"/>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b w:val="0"/>
          <w:bCs w:val="0"/>
          <w:sz w:val="30"/>
          <w:szCs w:val="30"/>
        </w:rPr>
      </w:pPr>
      <w:r>
        <w:rPr>
          <w:rFonts w:hint="eastAsia" w:eastAsia="仿宋_GB2312"/>
          <w:b w:val="0"/>
          <w:bCs w:val="0"/>
          <w:sz w:val="30"/>
          <w:szCs w:val="30"/>
        </w:rPr>
        <w:t>绩效评价工作过程。</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通过绩效评价，认真总结经验教训，查找存在问题，从而进一步提高资金使用效益。对于绩效评价的结果及时在公开栏和政府网站进行公开，接受群众监督。</w:t>
      </w:r>
    </w:p>
    <w:p>
      <w:pPr>
        <w:pStyle w:val="11"/>
        <w:numPr>
          <w:ilvl w:val="0"/>
          <w:numId w:val="0"/>
        </w:numPr>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根据本项目绩效目标完成和指标自评打分情况，综合结论：绩效自评总分为 98 分，绩效评价等级为优秀。</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项目总体执行情况：2022年我县中央财政水利发展资金项目按照实施方案如期开工，进展顺序按期完工，达到了的工程设计目标和建设时效。</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资金管理情况：做到专款专用，专账核算，审批控制合理有效，管理范围，无资金管理问题。</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项目实施成效情况：成效明显，各项目按期完工，工程质量初验合格，项目批复时设定的各项绩效目标完成得很好。</w:t>
      </w:r>
    </w:p>
    <w:p>
      <w:pPr>
        <w:pStyle w:val="11"/>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2" w:firstLineChars="200"/>
        <w:textAlignment w:val="auto"/>
        <w:rPr>
          <w:rFonts w:hint="eastAsia" w:eastAsia="仿宋_GB2312"/>
          <w:b/>
          <w:bCs/>
          <w:sz w:val="30"/>
          <w:szCs w:val="30"/>
        </w:rPr>
      </w:pPr>
      <w:r>
        <w:rPr>
          <w:rFonts w:hint="eastAsia" w:eastAsia="仿宋_GB2312"/>
          <w:b/>
          <w:bCs/>
          <w:sz w:val="30"/>
          <w:szCs w:val="30"/>
        </w:rPr>
        <w:t>(一)项目决策情况。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1．组织实施</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为了完成项目建设任务，由华容县水利局、华容县水利建设项目管理中心、华一水库管理所作为项目法人，全面负责项目建设，对项目进度、质量、安全、资金管理全面负责。工程建设实行了项目法人负责制、建设监理制、招标投标制、工程质量终身负责制和工程建设绩效考核制度等管理制度。按照工程建设要求组建了符合工程管理需要项目法人机构全面负责工程建设，工程采取公开招标形式选取资质高、信誉好的施工单位、监理单位和质量检测单位，实行工程质量终身负责制，提高了工程建设各参建单位和人员质量意识，建立了绩效考核制度，加快了工程建设进度。</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2．绩效管理</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严格执行《中共中央国务院关于全面实施预算绩效管理的意见》、《中央财政水利发展资金绩效管理暂行办法》（财农〔2017〕30号）、《财政部关于开展2022年度中央对地方转移支付预算执行情况绩效自评工作的通知》(财监〔2023〕1号)和《财政部办公厅水利部办公厅关于开展2022年度水利相关转移支付绩效评价工作的通知》(财办农〔2023〕14号)和湖南省水利厅、财政厅下发的《关于开展2022年度水利发展资金绩效评价的通知》（湘水函[2023]221号）有关规定，合理申报项目绩效目标，组织实施中注重绩效管理，确保了项目绩效目标的实现。自评材料填报质量情况、绩效目标及自评材料均在规定时限内及时报送，项目严格按照相关程序及流程完成。</w:t>
      </w:r>
    </w:p>
    <w:p>
      <w:pPr>
        <w:pStyle w:val="11"/>
        <w:rPr>
          <w:rFonts w:hint="eastAsia"/>
        </w:rPr>
      </w:pPr>
    </w:p>
    <w:p>
      <w:pPr>
        <w:keepNext w:val="0"/>
        <w:keepLines w:val="0"/>
        <w:pageBreakBefore w:val="0"/>
        <w:numPr>
          <w:ilvl w:val="0"/>
          <w:numId w:val="5"/>
        </w:numPr>
        <w:kinsoku/>
        <w:wordWrap/>
        <w:overflowPunct/>
        <w:topLinePunct w:val="0"/>
        <w:autoSpaceDE/>
        <w:autoSpaceDN/>
        <w:bidi w:val="0"/>
        <w:adjustRightInd/>
        <w:snapToGrid/>
        <w:spacing w:line="610" w:lineRule="exact"/>
        <w:ind w:firstLine="602" w:firstLineChars="200"/>
        <w:textAlignment w:val="auto"/>
        <w:rPr>
          <w:rFonts w:hint="eastAsia" w:eastAsia="仿宋_GB2312"/>
          <w:b/>
          <w:bCs/>
          <w:sz w:val="30"/>
          <w:szCs w:val="30"/>
        </w:rPr>
      </w:pPr>
      <w:r>
        <w:rPr>
          <w:rFonts w:hint="eastAsia" w:eastAsia="仿宋_GB2312"/>
          <w:b/>
          <w:bCs/>
          <w:sz w:val="30"/>
          <w:szCs w:val="30"/>
        </w:rPr>
        <w:t>项目过程情况。</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1．资金到位情况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华容县2022年中央财政水利发展资金项目共3大项，截止目前，共计下达中央专项资金2699万元，现已全部到位，资金到位率100%。</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表3-1 2022年度中央和省级财政资金到位情况表</w:t>
      </w:r>
    </w:p>
    <w:tbl>
      <w:tblPr>
        <w:tblStyle w:val="14"/>
        <w:tblW w:w="9517" w:type="dxa"/>
        <w:jc w:val="center"/>
        <w:tblLayout w:type="fixed"/>
        <w:tblCellMar>
          <w:top w:w="0" w:type="dxa"/>
          <w:left w:w="51" w:type="dxa"/>
          <w:bottom w:w="0" w:type="dxa"/>
          <w:right w:w="51" w:type="dxa"/>
        </w:tblCellMar>
      </w:tblPr>
      <w:tblGrid>
        <w:gridCol w:w="2771"/>
        <w:gridCol w:w="941"/>
        <w:gridCol w:w="736"/>
        <w:gridCol w:w="589"/>
        <w:gridCol w:w="737"/>
        <w:gridCol w:w="663"/>
        <w:gridCol w:w="884"/>
        <w:gridCol w:w="1018"/>
        <w:gridCol w:w="1178"/>
      </w:tblGrid>
      <w:tr>
        <w:tblPrEx>
          <w:tblCellMar>
            <w:top w:w="0" w:type="dxa"/>
            <w:left w:w="51" w:type="dxa"/>
            <w:bottom w:w="0" w:type="dxa"/>
            <w:right w:w="51" w:type="dxa"/>
          </w:tblCellMar>
        </w:tblPrEx>
        <w:trPr>
          <w:trHeight w:val="715" w:hRule="atLeast"/>
          <w:tblHeader/>
          <w:jc w:val="center"/>
        </w:trPr>
        <w:tc>
          <w:tcPr>
            <w:tcW w:w="277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分  类</w:t>
            </w:r>
          </w:p>
        </w:tc>
        <w:tc>
          <w:tcPr>
            <w:tcW w:w="94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预算数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（万元）</w:t>
            </w:r>
          </w:p>
        </w:tc>
        <w:tc>
          <w:tcPr>
            <w:tcW w:w="580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扣除国家级脱贫县资金后</w:t>
            </w:r>
          </w:p>
        </w:tc>
      </w:tr>
      <w:tr>
        <w:tblPrEx>
          <w:tblCellMar>
            <w:top w:w="0" w:type="dxa"/>
            <w:left w:w="51" w:type="dxa"/>
            <w:bottom w:w="0" w:type="dxa"/>
            <w:right w:w="51" w:type="dxa"/>
          </w:tblCellMar>
        </w:tblPrEx>
        <w:trPr>
          <w:trHeight w:val="715" w:hRule="atLeast"/>
          <w:tblHeader/>
          <w:jc w:val="center"/>
        </w:trPr>
        <w:tc>
          <w:tcPr>
            <w:tcW w:w="277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06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预算数（万元）</w:t>
            </w:r>
          </w:p>
        </w:tc>
        <w:tc>
          <w:tcPr>
            <w:tcW w:w="2565"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财政到位资金（万元）</w:t>
            </w:r>
          </w:p>
        </w:tc>
        <w:tc>
          <w:tcPr>
            <w:tcW w:w="117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中央和省级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财政资金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到位率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w:t>
            </w:r>
          </w:p>
        </w:tc>
      </w:tr>
      <w:tr>
        <w:tblPrEx>
          <w:tblCellMar>
            <w:top w:w="0" w:type="dxa"/>
            <w:left w:w="51" w:type="dxa"/>
            <w:bottom w:w="0" w:type="dxa"/>
            <w:right w:w="51" w:type="dxa"/>
          </w:tblCellMar>
        </w:tblPrEx>
        <w:trPr>
          <w:trHeight w:val="715" w:hRule="atLeast"/>
          <w:tblHeader/>
          <w:jc w:val="center"/>
        </w:trPr>
        <w:tc>
          <w:tcPr>
            <w:tcW w:w="277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总投资</w:t>
            </w:r>
          </w:p>
        </w:tc>
        <w:tc>
          <w:tcPr>
            <w:tcW w:w="13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其中</w:t>
            </w:r>
          </w:p>
        </w:tc>
        <w:tc>
          <w:tcPr>
            <w:tcW w:w="66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小计</w:t>
            </w:r>
          </w:p>
        </w:tc>
        <w:tc>
          <w:tcPr>
            <w:tcW w:w="19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其中</w:t>
            </w: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1560" w:hRule="atLeast"/>
          <w:tblHeader/>
          <w:jc w:val="center"/>
        </w:trPr>
        <w:tc>
          <w:tcPr>
            <w:tcW w:w="277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w:t>
            </w:r>
          </w:p>
        </w:tc>
        <w:tc>
          <w:tcPr>
            <w:tcW w:w="73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省级</w:t>
            </w:r>
          </w:p>
        </w:tc>
        <w:tc>
          <w:tcPr>
            <w:tcW w:w="66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省级</w:t>
            </w: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778"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小型水库建设及除险加固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532</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532</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883"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中型灌区续建配套与节水改造</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1931</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1931</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1003"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水利工程设施维修养护</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236</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236</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675"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小计</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2699</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2699</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bl>
    <w:p>
      <w:pPr>
        <w:keepNext w:val="0"/>
        <w:keepLines w:val="0"/>
        <w:pageBreakBefore w:val="0"/>
        <w:widowControl w:val="0"/>
        <w:kinsoku/>
        <w:wordWrap/>
        <w:overflowPunct/>
        <w:topLinePunct w:val="0"/>
        <w:autoSpaceDE/>
        <w:autoSpaceDN/>
        <w:bidi w:val="0"/>
        <w:adjustRightInd/>
        <w:snapToGrid/>
        <w:spacing w:line="600" w:lineRule="exact"/>
        <w:ind w:firstLine="0" w:firstLineChars="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注：财政资金到位率=(中央+省级财政到位资金)/（中央+省级资金预算数）</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2．资金执行情况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截至2022年12月底，合计完成投资3679万元，投资完成率100%。2023年6月底，合计完成投资3679万元，投资完成率100%。</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表3-2  2022年度水利发展资金执行情况表</w:t>
      </w:r>
    </w:p>
    <w:tbl>
      <w:tblPr>
        <w:tblStyle w:val="14"/>
        <w:tblW w:w="8210" w:type="dxa"/>
        <w:jc w:val="center"/>
        <w:tblLayout w:type="fixed"/>
        <w:tblCellMar>
          <w:top w:w="0" w:type="dxa"/>
          <w:left w:w="51" w:type="dxa"/>
          <w:bottom w:w="0" w:type="dxa"/>
          <w:right w:w="51" w:type="dxa"/>
        </w:tblCellMar>
      </w:tblPr>
      <w:tblGrid>
        <w:gridCol w:w="2867"/>
        <w:gridCol w:w="976"/>
        <w:gridCol w:w="1104"/>
        <w:gridCol w:w="1148"/>
        <w:gridCol w:w="1117"/>
        <w:gridCol w:w="998"/>
      </w:tblGrid>
      <w:tr>
        <w:tblPrEx>
          <w:tblCellMar>
            <w:top w:w="0" w:type="dxa"/>
            <w:left w:w="51" w:type="dxa"/>
            <w:bottom w:w="0" w:type="dxa"/>
            <w:right w:w="51" w:type="dxa"/>
          </w:tblCellMar>
        </w:tblPrEx>
        <w:trPr>
          <w:trHeight w:val="547" w:hRule="exact"/>
          <w:tblHeader/>
          <w:jc w:val="center"/>
        </w:trPr>
        <w:tc>
          <w:tcPr>
            <w:tcW w:w="28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分  类</w:t>
            </w:r>
          </w:p>
        </w:tc>
        <w:tc>
          <w:tcPr>
            <w:tcW w:w="97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投资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（万元）</w:t>
            </w:r>
          </w:p>
        </w:tc>
        <w:tc>
          <w:tcPr>
            <w:tcW w:w="225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完成投资（万元）</w:t>
            </w:r>
          </w:p>
        </w:tc>
        <w:tc>
          <w:tcPr>
            <w:tcW w:w="211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投资完成率（%）</w:t>
            </w:r>
          </w:p>
        </w:tc>
      </w:tr>
      <w:tr>
        <w:tblPrEx>
          <w:tblCellMar>
            <w:top w:w="0" w:type="dxa"/>
            <w:left w:w="51" w:type="dxa"/>
            <w:bottom w:w="0" w:type="dxa"/>
            <w:right w:w="51" w:type="dxa"/>
          </w:tblCellMar>
        </w:tblPrEx>
        <w:trPr>
          <w:trHeight w:val="260" w:hRule="atLeast"/>
          <w:tblHeader/>
          <w:jc w:val="center"/>
        </w:trPr>
        <w:tc>
          <w:tcPr>
            <w:tcW w:w="2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7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2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11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782" w:hRule="atLeast"/>
          <w:tblHeader/>
          <w:jc w:val="center"/>
        </w:trPr>
        <w:tc>
          <w:tcPr>
            <w:tcW w:w="2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7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1104"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截至2022年12月底</w:t>
            </w:r>
          </w:p>
        </w:tc>
        <w:tc>
          <w:tcPr>
            <w:tcW w:w="1148"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截至2023年6月底</w:t>
            </w:r>
          </w:p>
        </w:tc>
        <w:tc>
          <w:tcPr>
            <w:tcW w:w="1117"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截至2022年12月底</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截至2023年6月底</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小型水库建设及除险加固</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中型灌区续建配套与节水改造</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水利工程设施维修养护</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小计</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00" w:firstLineChars="200"/>
              <w:jc w:val="both"/>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00" w:firstLineChars="200"/>
              <w:jc w:val="both"/>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default"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default"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100%</w:t>
            </w:r>
          </w:p>
        </w:tc>
      </w:tr>
    </w:tbl>
    <w:p>
      <w:pPr>
        <w:keepNext w:val="0"/>
        <w:keepLines w:val="0"/>
        <w:pageBreakBefore w:val="0"/>
        <w:widowControl w:val="0"/>
        <w:kinsoku/>
        <w:wordWrap/>
        <w:overflowPunct/>
        <w:topLinePunct w:val="0"/>
        <w:autoSpaceDE/>
        <w:autoSpaceDN/>
        <w:bidi w:val="0"/>
        <w:adjustRightInd/>
        <w:snapToGrid/>
        <w:spacing w:line="600" w:lineRule="exact"/>
        <w:ind w:firstLine="40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注：1、根据扣除国家级贫困县资金后的投资（A）、完成投资（B）（包括中央财政资金、地方财政资金和其他资金）计算投资完成率（B/A）；2、表中数据不含国家级贫困县；3.脱贫县参照此表单独统计。</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3．资金管理情况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中央资金下达后，均由我县国库集中支付核算中心设立的专户，实行专户专账管理。项目法人在资金管理上严格做到专户专帐、专款专用，坚持多支笔签字，一支笔审签。一是严格按工程进度拨款，按照合同条款支付工程进度款，即不超前，也不无故拖后；二是严格工程款报批审核制度，按照监理签证——现场管理机构复核——县水利局批准的资金支付逐级申报审批程序，层层把关。工程完工后，由建设单位组织合同工程完工验收，再办理工程完工结算，然后聘请相关审计单位进行工程完工审计，并留5％的质量保证金，质保金期限为一年，一年内无质量问题或出现质量问题由施工单位负责维修后，质量保证金再退还给施工单位。无挤占、挪用、滞留等违规使用资金情况。</w:t>
      </w:r>
    </w:p>
    <w:p>
      <w:pPr>
        <w:pStyle w:val="11"/>
        <w:numPr>
          <w:ilvl w:val="0"/>
          <w:numId w:val="0"/>
        </w:numPr>
        <w:ind w:leftChars="0"/>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eastAsia="仿宋_GB2312"/>
          <w:b/>
          <w:bCs/>
          <w:sz w:val="30"/>
          <w:szCs w:val="30"/>
        </w:rPr>
      </w:pPr>
      <w:r>
        <w:rPr>
          <w:rFonts w:hint="eastAsia" w:eastAsia="仿宋_GB2312"/>
          <w:b/>
          <w:bCs/>
          <w:sz w:val="30"/>
          <w:szCs w:val="30"/>
        </w:rPr>
        <w:t>(三)项目产出情况。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1．项目数量指标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水利发展资金计划实施项目数量6个，实际完成项目6个，完成了3座一般中型灌区续建与节水配套改造（其中华一水库灌区项目法人为华一水库管理所）、5座小型水库处险加固、14座小型水库标准化建设、45座水库维修养护及32个农村供水工程维修养护。</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表3-3  2022年度水利发展资金项目数量指标情况表</w:t>
      </w:r>
    </w:p>
    <w:tbl>
      <w:tblPr>
        <w:tblStyle w:val="14"/>
        <w:tblW w:w="5313" w:type="pct"/>
        <w:jc w:val="center"/>
        <w:tblLayout w:type="autofit"/>
        <w:tblCellMar>
          <w:top w:w="0" w:type="dxa"/>
          <w:left w:w="10" w:type="dxa"/>
          <w:bottom w:w="0" w:type="dxa"/>
          <w:right w:w="10" w:type="dxa"/>
        </w:tblCellMar>
      </w:tblPr>
      <w:tblGrid>
        <w:gridCol w:w="2407"/>
        <w:gridCol w:w="3893"/>
        <w:gridCol w:w="1454"/>
        <w:gridCol w:w="870"/>
        <w:gridCol w:w="1037"/>
      </w:tblGrid>
      <w:tr>
        <w:tblPrEx>
          <w:tblCellMar>
            <w:top w:w="0" w:type="dxa"/>
            <w:left w:w="10" w:type="dxa"/>
            <w:bottom w:w="0" w:type="dxa"/>
            <w:right w:w="10" w:type="dxa"/>
          </w:tblCellMar>
        </w:tblPrEx>
        <w:trPr>
          <w:trHeight w:val="1196" w:hRule="exact"/>
          <w:jc w:val="center"/>
        </w:trPr>
        <w:tc>
          <w:tcPr>
            <w:tcW w:w="1246"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类别</w:t>
            </w:r>
          </w:p>
        </w:tc>
        <w:tc>
          <w:tcPr>
            <w:tcW w:w="2015"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数量指标</w:t>
            </w:r>
          </w:p>
        </w:tc>
        <w:tc>
          <w:tcPr>
            <w:tcW w:w="753"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448"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预期</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指标值</w:t>
            </w:r>
          </w:p>
        </w:tc>
        <w:tc>
          <w:tcPr>
            <w:tcW w:w="537" w:type="pc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实际完成</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指标值</w:t>
            </w:r>
          </w:p>
        </w:tc>
      </w:tr>
      <w:tr>
        <w:tblPrEx>
          <w:tblCellMar>
            <w:top w:w="0" w:type="dxa"/>
            <w:left w:w="10" w:type="dxa"/>
            <w:bottom w:w="0" w:type="dxa"/>
            <w:right w:w="10" w:type="dxa"/>
          </w:tblCellMar>
        </w:tblPrEx>
        <w:trPr>
          <w:trHeight w:val="593" w:hRule="exact"/>
          <w:jc w:val="center"/>
        </w:trPr>
        <w:tc>
          <w:tcPr>
            <w:tcW w:w="1246"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小型水库除险加固</w:t>
            </w:r>
          </w:p>
        </w:tc>
        <w:tc>
          <w:tcPr>
            <w:tcW w:w="2015"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小型病险水库除险加固座数</w:t>
            </w:r>
          </w:p>
        </w:tc>
        <w:tc>
          <w:tcPr>
            <w:tcW w:w="753"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w:t>
            </w:r>
          </w:p>
        </w:tc>
        <w:tc>
          <w:tcPr>
            <w:tcW w:w="537" w:type="pc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w:t>
            </w:r>
          </w:p>
        </w:tc>
      </w:tr>
      <w:tr>
        <w:tblPrEx>
          <w:tblCellMar>
            <w:top w:w="0" w:type="dxa"/>
            <w:left w:w="10" w:type="dxa"/>
            <w:bottom w:w="0" w:type="dxa"/>
            <w:right w:w="10" w:type="dxa"/>
          </w:tblCellMar>
        </w:tblPrEx>
        <w:trPr>
          <w:trHeight w:val="593" w:hRule="exact"/>
          <w:jc w:val="center"/>
        </w:trPr>
        <w:tc>
          <w:tcPr>
            <w:tcW w:w="1246"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中型灌区节水改造</w:t>
            </w:r>
          </w:p>
        </w:tc>
        <w:tc>
          <w:tcPr>
            <w:tcW w:w="2015"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重点中型灌区节水配套改造数量</w:t>
            </w:r>
          </w:p>
        </w:tc>
        <w:tc>
          <w:tcPr>
            <w:tcW w:w="753"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个</w:t>
            </w:r>
          </w:p>
        </w:tc>
        <w:tc>
          <w:tcPr>
            <w:tcW w:w="448"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w:t>
            </w:r>
          </w:p>
        </w:tc>
      </w:tr>
      <w:tr>
        <w:tblPrEx>
          <w:tblCellMar>
            <w:top w:w="0" w:type="dxa"/>
            <w:left w:w="10" w:type="dxa"/>
            <w:bottom w:w="0" w:type="dxa"/>
            <w:right w:w="10" w:type="dxa"/>
          </w:tblCellMar>
        </w:tblPrEx>
        <w:trPr>
          <w:trHeight w:val="593" w:hRule="exact"/>
          <w:jc w:val="center"/>
        </w:trPr>
        <w:tc>
          <w:tcPr>
            <w:tcW w:w="1246" w:type="pct"/>
            <w:vMerge w:val="restar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水利工程维修养护</w:t>
            </w:r>
          </w:p>
        </w:tc>
        <w:tc>
          <w:tcPr>
            <w:tcW w:w="2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小型水库标准化建设</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14</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14</w:t>
            </w:r>
          </w:p>
        </w:tc>
      </w:tr>
      <w:tr>
        <w:tblPrEx>
          <w:tblCellMar>
            <w:top w:w="0" w:type="dxa"/>
            <w:left w:w="10" w:type="dxa"/>
            <w:bottom w:w="0" w:type="dxa"/>
            <w:right w:w="10" w:type="dxa"/>
          </w:tblCellMar>
        </w:tblPrEx>
        <w:trPr>
          <w:trHeight w:val="626" w:hRule="exact"/>
          <w:jc w:val="center"/>
        </w:trPr>
        <w:tc>
          <w:tcPr>
            <w:tcW w:w="1246" w:type="pct"/>
            <w:vMerge w:val="continue"/>
            <w:tcBorders>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p>
        </w:tc>
        <w:tc>
          <w:tcPr>
            <w:tcW w:w="2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小型水库工程维修养护座数</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45</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45</w:t>
            </w:r>
          </w:p>
        </w:tc>
      </w:tr>
      <w:tr>
        <w:tblPrEx>
          <w:tblCellMar>
            <w:top w:w="0" w:type="dxa"/>
            <w:left w:w="10" w:type="dxa"/>
            <w:bottom w:w="0" w:type="dxa"/>
            <w:right w:w="10" w:type="dxa"/>
          </w:tblCellMar>
        </w:tblPrEx>
        <w:trPr>
          <w:trHeight w:val="626" w:hRule="exact"/>
          <w:jc w:val="center"/>
        </w:trPr>
        <w:tc>
          <w:tcPr>
            <w:tcW w:w="1246" w:type="pct"/>
            <w:vMerge w:val="continue"/>
            <w:tcBorders>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p>
        </w:tc>
        <w:tc>
          <w:tcPr>
            <w:tcW w:w="352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农村饮水工程维修养护数</w:t>
            </w:r>
          </w:p>
        </w:tc>
        <w:tc>
          <w:tcPr>
            <w:tcW w:w="13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处</w:t>
            </w:r>
          </w:p>
        </w:tc>
        <w:tc>
          <w:tcPr>
            <w:tcW w:w="78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w:t>
            </w:r>
          </w:p>
        </w:tc>
        <w:tc>
          <w:tcPr>
            <w:tcW w:w="9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注：表中数据不含国家级脱贫县，脱贫县参照此表单独统计</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2．项目质量指标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华容县2022年水利发展资金计划实施项目严格执行相关工程建设质量监督及管理相关规定，未出现相关单元工程质量不合格情况，整体工程质量合格率达到100%</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3．项目时效指标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小型水库除险加固：该项目于2022年9月正式开工建设，2022年12月底已全面完工，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中型灌区节水改造：华容县2021-2022年灌区续建配套与节水改造工程于2021年10月26日进场施工，2022年12月底建设任务已全部完工，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水利工程维修养护：14座小型水库标准化建设及45座小型水库维修养护工程于2022年12月全面完工；32个农村供水工程维修养护2022年12月份已全面完工，总体形象进度为100%。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表3-4 2022年度水利发展资金项目实施情况表</w:t>
      </w:r>
    </w:p>
    <w:tbl>
      <w:tblPr>
        <w:tblStyle w:val="14"/>
        <w:tblW w:w="8759" w:type="dxa"/>
        <w:tblInd w:w="-91" w:type="dxa"/>
        <w:tblLayout w:type="fixed"/>
        <w:tblCellMar>
          <w:top w:w="0" w:type="dxa"/>
          <w:left w:w="51" w:type="dxa"/>
          <w:bottom w:w="0" w:type="dxa"/>
          <w:right w:w="51" w:type="dxa"/>
        </w:tblCellMar>
      </w:tblPr>
      <w:tblGrid>
        <w:gridCol w:w="2720"/>
        <w:gridCol w:w="561"/>
        <w:gridCol w:w="983"/>
        <w:gridCol w:w="955"/>
        <w:gridCol w:w="730"/>
        <w:gridCol w:w="844"/>
        <w:gridCol w:w="983"/>
        <w:gridCol w:w="983"/>
      </w:tblGrid>
      <w:tr>
        <w:tblPrEx>
          <w:tblCellMar>
            <w:top w:w="0" w:type="dxa"/>
            <w:left w:w="51" w:type="dxa"/>
            <w:bottom w:w="0" w:type="dxa"/>
            <w:right w:w="51" w:type="dxa"/>
          </w:tblCellMar>
        </w:tblPrEx>
        <w:trPr>
          <w:trHeight w:val="1530" w:hRule="atLeast"/>
          <w:tblHeader/>
        </w:trPr>
        <w:tc>
          <w:tcPr>
            <w:tcW w:w="2720" w:type="dxa"/>
            <w:vMerge w:val="restart"/>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分  类</w:t>
            </w:r>
          </w:p>
        </w:tc>
        <w:tc>
          <w:tcPr>
            <w:tcW w:w="4073" w:type="dxa"/>
            <w:gridSpan w:val="5"/>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实施项目数（个）</w:t>
            </w:r>
          </w:p>
        </w:tc>
        <w:tc>
          <w:tcPr>
            <w:tcW w:w="983" w:type="dxa"/>
            <w:vMerge w:val="restart"/>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完工率</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w:t>
            </w:r>
          </w:p>
        </w:tc>
        <w:tc>
          <w:tcPr>
            <w:tcW w:w="983" w:type="dxa"/>
            <w:vMerge w:val="restart"/>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验收率</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w:t>
            </w:r>
          </w:p>
        </w:tc>
      </w:tr>
      <w:tr>
        <w:tblPrEx>
          <w:tblCellMar>
            <w:top w:w="0" w:type="dxa"/>
            <w:left w:w="51" w:type="dxa"/>
            <w:bottom w:w="0" w:type="dxa"/>
            <w:right w:w="51" w:type="dxa"/>
          </w:tblCellMar>
        </w:tblPrEx>
        <w:trPr>
          <w:trHeight w:val="1768" w:hRule="atLeast"/>
          <w:tblHeader/>
        </w:trPr>
        <w:tc>
          <w:tcPr>
            <w:tcW w:w="2720" w:type="dxa"/>
            <w:vMerge w:val="continue"/>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p>
        </w:tc>
        <w:tc>
          <w:tcPr>
            <w:tcW w:w="561"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总数</w:t>
            </w:r>
          </w:p>
        </w:tc>
        <w:tc>
          <w:tcPr>
            <w:tcW w:w="983"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项目开工</w:t>
            </w:r>
          </w:p>
        </w:tc>
        <w:tc>
          <w:tcPr>
            <w:tcW w:w="955"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项目完工</w:t>
            </w:r>
          </w:p>
        </w:tc>
        <w:tc>
          <w:tcPr>
            <w:tcW w:w="730"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完工</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w:t>
            </w:r>
          </w:p>
        </w:tc>
        <w:tc>
          <w:tcPr>
            <w:tcW w:w="844"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合格</w:t>
            </w:r>
          </w:p>
        </w:tc>
        <w:tc>
          <w:tcPr>
            <w:tcW w:w="983" w:type="dxa"/>
            <w:vMerge w:val="continue"/>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p>
        </w:tc>
        <w:tc>
          <w:tcPr>
            <w:tcW w:w="983" w:type="dxa"/>
            <w:vMerge w:val="continue"/>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小型水库建设及除险加固</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中型灌区续建配套与节水改造</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水利工程设施维修养护</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25"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小  计</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4．项目成本指标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所有项目总投资均控制在批复概算投资内。</w:t>
      </w:r>
    </w:p>
    <w:p>
      <w:pPr>
        <w:pStyle w:val="4"/>
        <w:keepNext w:val="0"/>
        <w:keepLines w:val="0"/>
        <w:pageBreakBefore w:val="0"/>
        <w:widowControl w:val="0"/>
        <w:kinsoku/>
        <w:wordWrap/>
        <w:overflowPunct/>
        <w:topLinePunct w:val="0"/>
        <w:autoSpaceDE/>
        <w:autoSpaceDN/>
        <w:bidi w:val="0"/>
        <w:adjustRightInd/>
        <w:snapToGrid/>
        <w:spacing w:line="600" w:lineRule="exact"/>
        <w:ind w:firstLine="643"/>
        <w:rPr>
          <w:rFonts w:ascii="仿宋_GB2312"/>
          <w:b/>
          <w:bCs w:val="0"/>
          <w:sz w:val="32"/>
        </w:rPr>
      </w:pPr>
      <w:r>
        <w:rPr>
          <w:rFonts w:hint="eastAsia" w:eastAsia="仿宋_GB2312"/>
          <w:b/>
          <w:bCs w:val="0"/>
          <w:sz w:val="30"/>
          <w:szCs w:val="30"/>
        </w:rPr>
        <w:t>(四)项目效益情况。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1．项目实施的经济效益分析</w:t>
      </w:r>
    </w:p>
    <w:tbl>
      <w:tblPr>
        <w:tblStyle w:val="14"/>
        <w:tblW w:w="5027" w:type="pct"/>
        <w:tblInd w:w="0" w:type="dxa"/>
        <w:tblLayout w:type="autofit"/>
        <w:tblCellMar>
          <w:top w:w="15" w:type="dxa"/>
          <w:left w:w="15" w:type="dxa"/>
          <w:bottom w:w="15" w:type="dxa"/>
          <w:right w:w="15" w:type="dxa"/>
        </w:tblCellMar>
      </w:tblPr>
      <w:tblGrid>
        <w:gridCol w:w="3039"/>
        <w:gridCol w:w="1710"/>
        <w:gridCol w:w="2424"/>
        <w:gridCol w:w="1978"/>
      </w:tblGrid>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经济效益指标</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10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全年完成值</w:t>
            </w:r>
          </w:p>
        </w:tc>
      </w:tr>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1.改善灌溉面积</w:t>
            </w:r>
          </w:p>
        </w:tc>
        <w:tc>
          <w:tcPr>
            <w:tcW w:w="9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万亩</w:t>
            </w:r>
          </w:p>
        </w:tc>
        <w:tc>
          <w:tcPr>
            <w:tcW w:w="132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2.47</w:t>
            </w:r>
          </w:p>
        </w:tc>
        <w:tc>
          <w:tcPr>
            <w:tcW w:w="1080"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2.47</w:t>
            </w:r>
          </w:p>
        </w:tc>
      </w:tr>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2、新增粮食综合生产能力</w:t>
            </w:r>
          </w:p>
        </w:tc>
        <w:tc>
          <w:tcPr>
            <w:tcW w:w="9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万公斤</w:t>
            </w:r>
          </w:p>
        </w:tc>
        <w:tc>
          <w:tcPr>
            <w:tcW w:w="132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162</w:t>
            </w:r>
          </w:p>
        </w:tc>
        <w:tc>
          <w:tcPr>
            <w:tcW w:w="1080"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162</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2．项目实施的社会效益分析</w:t>
      </w:r>
    </w:p>
    <w:tbl>
      <w:tblPr>
        <w:tblStyle w:val="14"/>
        <w:tblW w:w="5035" w:type="pct"/>
        <w:tblInd w:w="0" w:type="dxa"/>
        <w:tblLayout w:type="autofit"/>
        <w:tblCellMar>
          <w:top w:w="15" w:type="dxa"/>
          <w:left w:w="15" w:type="dxa"/>
          <w:bottom w:w="15" w:type="dxa"/>
          <w:right w:w="15" w:type="dxa"/>
        </w:tblCellMar>
      </w:tblPr>
      <w:tblGrid>
        <w:gridCol w:w="4641"/>
        <w:gridCol w:w="1157"/>
        <w:gridCol w:w="2169"/>
        <w:gridCol w:w="1199"/>
      </w:tblGrid>
      <w:tr>
        <w:tblPrEx>
          <w:tblCellMar>
            <w:top w:w="15" w:type="dxa"/>
            <w:left w:w="15" w:type="dxa"/>
            <w:bottom w:w="15" w:type="dxa"/>
            <w:right w:w="15" w:type="dxa"/>
          </w:tblCellMar>
        </w:tblPrEx>
        <w:trPr>
          <w:trHeight w:val="576" w:hRule="exact"/>
          <w:tblHeader/>
        </w:trPr>
        <w:tc>
          <w:tcPr>
            <w:tcW w:w="25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社会效益指标</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18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6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全年完成值</w:t>
            </w:r>
          </w:p>
        </w:tc>
      </w:tr>
      <w:tr>
        <w:tblPrEx>
          <w:tblCellMar>
            <w:top w:w="15" w:type="dxa"/>
            <w:left w:w="15" w:type="dxa"/>
            <w:bottom w:w="15" w:type="dxa"/>
            <w:right w:w="15" w:type="dxa"/>
          </w:tblCellMar>
        </w:tblPrEx>
        <w:trPr>
          <w:trHeight w:val="576" w:hRule="exact"/>
        </w:trPr>
        <w:tc>
          <w:tcPr>
            <w:tcW w:w="253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1.农村饮水工程维修养护覆盖服务人口</w:t>
            </w:r>
          </w:p>
        </w:tc>
        <w:tc>
          <w:tcPr>
            <w:tcW w:w="631"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万人</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27.54</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27.54</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3．项目实施的生态效益分析</w:t>
      </w:r>
    </w:p>
    <w:tbl>
      <w:tblPr>
        <w:tblStyle w:val="14"/>
        <w:tblW w:w="5038" w:type="pct"/>
        <w:tblInd w:w="0" w:type="dxa"/>
        <w:tblLayout w:type="autofit"/>
        <w:tblCellMar>
          <w:top w:w="15" w:type="dxa"/>
          <w:left w:w="15" w:type="dxa"/>
          <w:bottom w:w="15" w:type="dxa"/>
          <w:right w:w="15" w:type="dxa"/>
        </w:tblCellMar>
      </w:tblPr>
      <w:tblGrid>
        <w:gridCol w:w="4644"/>
        <w:gridCol w:w="1157"/>
        <w:gridCol w:w="2170"/>
        <w:gridCol w:w="1200"/>
      </w:tblGrid>
      <w:tr>
        <w:tblPrEx>
          <w:tblCellMar>
            <w:top w:w="15" w:type="dxa"/>
            <w:left w:w="15" w:type="dxa"/>
            <w:bottom w:w="15" w:type="dxa"/>
            <w:right w:w="15" w:type="dxa"/>
          </w:tblCellMar>
        </w:tblPrEx>
        <w:trPr>
          <w:trHeight w:val="1262" w:hRule="exact"/>
        </w:trPr>
        <w:tc>
          <w:tcPr>
            <w:tcW w:w="25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生态效益指标</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18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6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完成值</w:t>
            </w:r>
          </w:p>
        </w:tc>
      </w:tr>
      <w:tr>
        <w:tblPrEx>
          <w:tblCellMar>
            <w:top w:w="15" w:type="dxa"/>
            <w:left w:w="15" w:type="dxa"/>
            <w:bottom w:w="15" w:type="dxa"/>
            <w:right w:w="15" w:type="dxa"/>
          </w:tblCellMar>
        </w:tblPrEx>
        <w:trPr>
          <w:trHeight w:val="1066" w:hRule="exact"/>
        </w:trPr>
        <w:tc>
          <w:tcPr>
            <w:tcW w:w="253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1.中型灌区新增年节水能力</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万立方米</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left"/>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268</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268</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4．项目实施的可持续影响分析</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项目实施后，运行情况较好，促进了农业发展，实现了项目区域内的农业水资源的可持续利用，使农村灌溉水平得到了极大提高，生态环境得到了有效改善，从而促进农村社会、经济的可持续发。</w:t>
      </w:r>
    </w:p>
    <w:p>
      <w:pPr>
        <w:keepNext w:val="0"/>
        <w:keepLines w:val="0"/>
        <w:pageBreakBefore w:val="0"/>
        <w:numPr>
          <w:ilvl w:val="0"/>
          <w:numId w:val="6"/>
        </w:numPr>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00" w:firstLineChars="200"/>
        <w:jc w:val="both"/>
        <w:rPr>
          <w:rFonts w:ascii="仿宋_GB2312" w:hAnsi="Times New Roman" w:eastAsia="仿宋_GB2312" w:cs="Times New Roman"/>
          <w:kern w:val="2"/>
          <w:sz w:val="32"/>
          <w:szCs w:val="32"/>
        </w:rPr>
      </w:pPr>
      <w:r>
        <w:rPr>
          <w:rFonts w:hint="eastAsia" w:ascii="Times New Roman" w:hAnsi="Times New Roman" w:eastAsia="仿宋_GB2312" w:cs="Times New Roman"/>
          <w:bCs w:val="0"/>
          <w:kern w:val="2"/>
          <w:sz w:val="30"/>
          <w:szCs w:val="30"/>
          <w:lang w:val="en-US" w:eastAsia="zh-CN" w:bidi="ar-SA"/>
        </w:rPr>
        <w:t>本项目各项实际指标均达到绩效目标，项目将先进行分部工程完工验收，在一年质保期后再进行完工验收，相关其它各项指标未偏离绩效目标情况。</w:t>
      </w:r>
    </w:p>
    <w:p>
      <w:pPr>
        <w:pStyle w:val="11"/>
        <w:numPr>
          <w:ilvl w:val="0"/>
          <w:numId w:val="0"/>
        </w:numPr>
        <w:ind w:leftChars="0"/>
        <w:rPr>
          <w:rFonts w:hint="eastAsia"/>
        </w:rPr>
      </w:pP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widowControl/>
        <w:kinsoku/>
        <w:wordWrap/>
        <w:overflowPunct/>
        <w:topLinePunct w:val="0"/>
        <w:autoSpaceDE/>
        <w:autoSpaceDN/>
        <w:bidi w:val="0"/>
        <w:adjustRightInd/>
        <w:snapToGrid/>
        <w:spacing w:line="610" w:lineRule="exact"/>
        <w:ind w:firstLine="1200" w:firstLineChars="4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无</w:t>
      </w:r>
    </w:p>
    <w:p>
      <w:pPr>
        <w:pStyle w:val="11"/>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11"/>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11"/>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11"/>
        <w:rPr>
          <w:rFonts w:hint="eastAsia" w:ascii="黑体" w:hAnsi="黑体" w:eastAsia="黑体" w:cs="黑体"/>
          <w:sz w:val="30"/>
          <w:szCs w:val="30"/>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firstLine="240" w:firstLineChars="100"/>
              <w:jc w:val="left"/>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 xml:space="preserve"> 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4"/>
        <w:tblW w:w="9799" w:type="dxa"/>
        <w:jc w:val="center"/>
        <w:tblLayout w:type="autofit"/>
        <w:tblCellMar>
          <w:top w:w="0" w:type="dxa"/>
          <w:left w:w="108" w:type="dxa"/>
          <w:bottom w:w="0" w:type="dxa"/>
          <w:right w:w="108" w:type="dxa"/>
        </w:tblCellMar>
      </w:tblPr>
      <w:tblGrid>
        <w:gridCol w:w="1071"/>
        <w:gridCol w:w="1071"/>
        <w:gridCol w:w="1075"/>
        <w:gridCol w:w="1215"/>
        <w:gridCol w:w="1133"/>
        <w:gridCol w:w="1125"/>
        <w:gridCol w:w="820"/>
        <w:gridCol w:w="867"/>
        <w:gridCol w:w="1422"/>
      </w:tblGrid>
      <w:tr>
        <w:tblPrEx>
          <w:tblCellMar>
            <w:top w:w="0" w:type="dxa"/>
            <w:left w:w="108" w:type="dxa"/>
            <w:bottom w:w="0" w:type="dxa"/>
            <w:right w:w="108" w:type="dxa"/>
          </w:tblCellMar>
        </w:tblPrEx>
        <w:trPr>
          <w:trHeight w:val="452"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28"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河湖长制工作</w:t>
            </w:r>
          </w:p>
        </w:tc>
      </w:tr>
      <w:tr>
        <w:tblPrEx>
          <w:tblCellMar>
            <w:top w:w="0" w:type="dxa"/>
            <w:left w:w="108" w:type="dxa"/>
            <w:bottom w:w="0" w:type="dxa"/>
            <w:right w:w="108" w:type="dxa"/>
          </w:tblCellMar>
        </w:tblPrEx>
        <w:trPr>
          <w:trHeight w:val="231" w:hRule="atLeast"/>
          <w:jc w:val="center"/>
        </w:trPr>
        <w:tc>
          <w:tcPr>
            <w:tcW w:w="10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49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华容县河长制工作委员会办公室</w:t>
            </w:r>
          </w:p>
        </w:tc>
        <w:tc>
          <w:tcPr>
            <w:tcW w:w="1125"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0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52" w:hRule="atLeast"/>
          <w:jc w:val="center"/>
        </w:trPr>
        <w:tc>
          <w:tcPr>
            <w:tcW w:w="1071"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年度资金总额</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其中：当年财政拨款</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上年结转资金</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49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3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49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3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674" w:hRule="atLeast"/>
          <w:jc w:val="center"/>
        </w:trPr>
        <w:tc>
          <w:tcPr>
            <w:tcW w:w="1071"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7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200" w:right="0" w:hanging="200" w:hanging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通过验收合格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验收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合格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2022.12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2022.12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河畅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水清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lang w:eastAsia="zh-CN"/>
              </w:rPr>
            </w:pPr>
            <w:r>
              <w:rPr>
                <w:rFonts w:hint="eastAsia" w:eastAsia="仿宋_GB2312" w:cs="Times New Roman"/>
                <w:color w:val="000000"/>
                <w:sz w:val="20"/>
                <w:szCs w:val="20"/>
                <w:lang w:eastAsia="zh-CN"/>
              </w:rPr>
              <w:t>河湖管护效益明显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提高百姓幸福指数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河湖长制深入人心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435"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改善生态水环境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环境、水质、水体逐渐向好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435"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1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9" w:hRule="atLeast"/>
          <w:jc w:val="center"/>
        </w:trPr>
        <w:tc>
          <w:tcPr>
            <w:tcW w:w="6690"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度华容县水利局</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河湖长制工作项目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度华容县水利局</w:t>
      </w:r>
    </w:p>
    <w:p>
      <w:pPr>
        <w:jc w:val="center"/>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lang w:eastAsia="zh-CN"/>
        </w:rPr>
        <w:t>河湖长制工作项目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党中央国务院作出全面推行河长制、2018年作出全面实行湖长制的重大决策，通过实施“河长制”达到“河长治”，实现“水清、河畅、堤固、岸绿、景美”目标。我县是湖区大县、“洞庭水乡”，河长制湖长制任务繁重。华容县是典型的“洞庭水乡”，境内河流总长达202.5公里，长江干堤华容段32.7公里，大中型湖泊11个，500亩以上湖库31个，中小型水库61座，主干沟渠140条690公里，河湖长制工作任务繁重。全县16名县级河长、70名乡级河长、163名村级河长，分别按每季、按每月、按每周一次频次巡河，三级河湖长全年巡河巡湖上万次。180名民间河长、10169名护河志愿者共同参与河湖管护，开展河湖长制宣传3次，净河净滩净岸行动2次。县河长办组织开展的河湖保洁、河长制宣传、培训以及按市里统一要求制作河长制公示牌等基础性工作经费，支</w:t>
      </w:r>
      <w:r>
        <w:rPr>
          <w:rFonts w:hint="eastAsia" w:ascii="仿宋" w:hAnsi="仿宋" w:eastAsia="仿宋" w:cs="仿宋"/>
          <w:sz w:val="32"/>
          <w:szCs w:val="32"/>
          <w:highlight w:val="none"/>
          <w:lang w:val="en-US" w:eastAsia="zh-CN"/>
        </w:rPr>
        <w:t>出100</w:t>
      </w:r>
      <w:r>
        <w:rPr>
          <w:rFonts w:hint="eastAsia" w:ascii="仿宋" w:hAnsi="仿宋" w:eastAsia="仿宋" w:cs="仿宋"/>
          <w:sz w:val="32"/>
          <w:szCs w:val="32"/>
          <w:lang w:val="en-US" w:eastAsia="zh-CN"/>
        </w:rPr>
        <w:t>万元。县河长制办公室对财政专项经费使用高度重视，严格监管。从项目资金安排、项目实施情况到资金拨付，必须经过集体研究决定，严格履行报批手续，实行专款专用、专人负责、专账管理、及时拨付，充分发挥财政专项资金效益，确保项目实施效果。</w:t>
      </w:r>
    </w:p>
    <w:p>
      <w:pPr>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全县水生态环境显著改善，岸线逐渐变绿，秩序逐渐变好了，水质逐渐变净。河湖治理管护取得了阶段性成效。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lang w:eastAsia="zh-CN"/>
        </w:rPr>
        <w:t>二</w:t>
      </w:r>
      <w:r>
        <w:rPr>
          <w:rFonts w:hint="eastAsia" w:ascii="黑体" w:hAnsi="黑体" w:eastAsia="黑体" w:cs="黑体"/>
          <w:sz w:val="30"/>
          <w:szCs w:val="30"/>
        </w:rPr>
        <w:t xml:space="preserve">、综合评价情况及评价结论 </w:t>
      </w:r>
    </w:p>
    <w:p>
      <w:pPr>
        <w:pStyle w:val="2"/>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按照县财政局有关文件要求，我们对2022年河湖长制工作专项资金使用绩效进行了自评，填写了《华容县财政支出项目绩效评价自评报告》、《支出项目绩效自评表》。自评得分98分，考核等级为“优秀”。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、绩效评价指标分析</w:t>
      </w:r>
    </w:p>
    <w:p>
      <w:pPr>
        <w:pStyle w:val="12"/>
        <w:widowControl w:val="0"/>
        <w:spacing w:before="0" w:beforeAutospacing="0" w:after="0" w:afterAutospacing="0" w:line="540" w:lineRule="exact"/>
        <w:ind w:firstLine="602" w:firstLineChars="200"/>
        <w:jc w:val="both"/>
        <w:rPr>
          <w:rFonts w:hint="eastAsia" w:ascii="仿宋" w:hAnsi="仿宋" w:eastAsia="仿宋" w:cs="仿宋"/>
          <w:kern w:val="2"/>
          <w:sz w:val="32"/>
          <w:szCs w:val="32"/>
          <w:lang w:val="en-US" w:eastAsia="zh-CN" w:bidi="ar-SA"/>
        </w:rPr>
      </w:pPr>
      <w:r>
        <w:rPr>
          <w:rFonts w:hint="eastAsia" w:ascii="楷体_GB2312" w:hAnsi="仿宋" w:eastAsia="楷体_GB2312" w:cs="仿宋"/>
          <w:b/>
          <w:bCs/>
          <w:color w:val="231F20"/>
          <w:sz w:val="30"/>
          <w:szCs w:val="30"/>
        </w:rPr>
        <w:t>（一）</w:t>
      </w:r>
      <w:r>
        <w:rPr>
          <w:rFonts w:hint="eastAsia" w:ascii="楷体_GB2312" w:hAnsi="仿宋" w:eastAsia="楷体_GB2312" w:cs="仿宋"/>
          <w:b/>
          <w:bCs/>
          <w:color w:val="231F20"/>
          <w:sz w:val="30"/>
          <w:szCs w:val="30"/>
          <w:lang w:eastAsia="zh-CN"/>
        </w:rPr>
        <w:t>创建样板河湖</w:t>
      </w:r>
      <w:r>
        <w:rPr>
          <w:rFonts w:hint="eastAsia" w:ascii="楷体_GB2312" w:hAnsi="仿宋" w:eastAsia="楷体_GB2312" w:cs="仿宋"/>
          <w:b/>
          <w:bCs/>
          <w:color w:val="231F20"/>
          <w:sz w:val="30"/>
          <w:szCs w:val="30"/>
        </w:rPr>
        <w:t>。</w:t>
      </w:r>
      <w:r>
        <w:rPr>
          <w:rFonts w:hint="eastAsia" w:ascii="仿宋" w:hAnsi="仿宋" w:eastAsia="仿宋" w:cs="仿宋"/>
          <w:kern w:val="2"/>
          <w:sz w:val="32"/>
          <w:szCs w:val="32"/>
          <w:lang w:val="en-US" w:eastAsia="zh-CN" w:bidi="ar-SA"/>
        </w:rPr>
        <w:t>通过河湖水环境整治，河湖面貌明显改善和提升。全县各乡镇每年打造乡镇样板河湖，其中治河渡镇严家河获评湖南省美丽河湖、东山水库、华一水库获评岳阳市美丽河湖。长江岸线整治、华容河突出问题整治和东湖水系水环境综合整治取得了显著成效，“河畅、水清、岸绿、景美”画卷徐徐展开，增强了广大群众良好生态环境获得感、幸福感。</w:t>
      </w:r>
    </w:p>
    <w:p>
      <w:pPr>
        <w:pStyle w:val="12"/>
        <w:widowControl w:val="0"/>
        <w:spacing w:before="0" w:beforeAutospacing="0" w:after="0" w:afterAutospacing="0" w:line="540" w:lineRule="exact"/>
        <w:ind w:firstLine="602" w:firstLineChars="200"/>
        <w:jc w:val="both"/>
        <w:rPr>
          <w:rFonts w:hint="eastAsia" w:ascii="仿宋" w:hAnsi="仿宋" w:eastAsia="仿宋" w:cs="仿宋"/>
          <w:kern w:val="2"/>
          <w:sz w:val="32"/>
          <w:szCs w:val="32"/>
          <w:lang w:val="en-US" w:eastAsia="zh-CN" w:bidi="ar-SA"/>
        </w:rPr>
      </w:pPr>
      <w:r>
        <w:rPr>
          <w:rFonts w:hint="eastAsia" w:ascii="楷体_GB2312" w:hAnsi="仿宋" w:eastAsia="楷体_GB2312" w:cs="仿宋"/>
          <w:b/>
          <w:bCs/>
          <w:color w:val="231F20"/>
          <w:sz w:val="30"/>
          <w:szCs w:val="30"/>
        </w:rPr>
        <w:t>（</w:t>
      </w:r>
      <w:r>
        <w:rPr>
          <w:rFonts w:hint="eastAsia" w:ascii="楷体_GB2312" w:hAnsi="仿宋" w:eastAsia="楷体_GB2312" w:cs="仿宋"/>
          <w:b/>
          <w:bCs/>
          <w:color w:val="231F20"/>
          <w:sz w:val="30"/>
          <w:szCs w:val="30"/>
          <w:lang w:eastAsia="zh-CN"/>
        </w:rPr>
        <w:t>二</w:t>
      </w:r>
      <w:r>
        <w:rPr>
          <w:rFonts w:hint="eastAsia" w:ascii="楷体_GB2312" w:hAnsi="仿宋" w:eastAsia="楷体_GB2312" w:cs="仿宋"/>
          <w:b/>
          <w:bCs/>
          <w:color w:val="231F20"/>
          <w:sz w:val="30"/>
          <w:szCs w:val="30"/>
        </w:rPr>
        <w:t>）改善河湖水环境。</w:t>
      </w:r>
      <w:r>
        <w:rPr>
          <w:rFonts w:hint="eastAsia" w:ascii="仿宋" w:hAnsi="仿宋" w:eastAsia="仿宋" w:cs="仿宋"/>
          <w:kern w:val="2"/>
          <w:sz w:val="32"/>
          <w:szCs w:val="32"/>
          <w:lang w:val="en-US" w:eastAsia="zh-CN" w:bidi="ar-SA"/>
        </w:rPr>
        <w:t>通过开展河湖“清四乱”和常态保洁，清除了侵占河湖库渠岸线的违章违法建筑物、阻水物；清除了河道渠道网箱、拦网；清理了沟渠淤泥；及时清除沟渠水草杂物，增加了河湖库渠容量和水体流速，提高了排涝能力。</w:t>
      </w:r>
    </w:p>
    <w:p>
      <w:pPr>
        <w:spacing w:line="54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、主要经验及做法、存在的问题及原因分析</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履职尽责，河湖长制迈上新台阶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加强河湖长制组织领导，调整完善了县、乡、村三级河湖长体系，实行双总河长制，党政同责，由党政主要领导担任双总河长，全县河湖长共252名，辖区内4条省管、市管河湖，12条县管河湖由县级领导担任河湖长。</w:t>
      </w:r>
      <w:r>
        <w:rPr>
          <w:rFonts w:hint="eastAsia" w:ascii="仿宋_GB2312" w:eastAsia="仿宋_GB2312"/>
          <w:b/>
          <w:bCs/>
          <w:sz w:val="32"/>
          <w:szCs w:val="32"/>
        </w:rPr>
        <w:t>一是突出巡河抓履职。</w:t>
      </w:r>
      <w:r>
        <w:rPr>
          <w:rFonts w:hint="eastAsia" w:ascii="仿宋_GB2312" w:eastAsia="仿宋_GB2312"/>
          <w:sz w:val="32"/>
          <w:szCs w:val="32"/>
        </w:rPr>
        <w:t>今年，县委、县政府召开全县总河长会1次，县政府召开河湖长制工作推进会3次，发布县总河长令3个。落实水利部《河长湖长履职规范》，印发《关于务实巡河提升履职质效的通知》，压实河长管河治水职责。明确望、问、查、改“巡河四步法”和“五有”“六有”标准，做到脚踏实地尽责巡、水域岸上仔细查、问题交办闭环改。2022年，全县三级河湖长巡河湖8568次，县乡两级河湖长巡河湖APP打卡率100%。出台《华容县河长湖长履职评议办法》，组织县人大代表、政协委员、民间河长、社会人士，对乡级河湖长履职情况评议2次，开展了县级对乡级、乡级对村级河湖长工作评价，有效推动了河湖长履职尽责。</w:t>
      </w:r>
      <w:r>
        <w:rPr>
          <w:rFonts w:hint="eastAsia" w:ascii="仿宋_GB2312" w:eastAsia="仿宋_GB2312"/>
          <w:b/>
          <w:bCs/>
          <w:sz w:val="32"/>
          <w:szCs w:val="32"/>
        </w:rPr>
        <w:t>二是夯实基础抓能效。</w:t>
      </w:r>
      <w:r>
        <w:rPr>
          <w:rFonts w:hint="eastAsia" w:ascii="仿宋_GB2312" w:eastAsia="仿宋_GB2312"/>
          <w:sz w:val="32"/>
          <w:szCs w:val="32"/>
        </w:rPr>
        <w:t>加强河长办标准化建设，提升组织协调、督办落实能力。进一步健全了“一办两员”（河长办、办事员、保洁员）工作体系，提高了“六有”（有机构、有人员、有场所、有制度、有经费、有设备）标准，做到了乡镇河长办统一设在乡镇机关、河长办干事统一由乡镇政府行文明确、办公室内外统一宣传内容“三个统一”。各乡镇完善了河湖保洁制度，统筹农村人居环境河湖环境保洁工作，安排了专职保洁人员，各村将河湖长制纳入村规民约。组织乡镇和县河委会成员单位分管负责人、干事、联络员集中学习培训，“充电”赋能。我县乡镇河长办标准化建设工作在2022年全市总河长会议作了典型发言。</w:t>
      </w:r>
      <w:r>
        <w:rPr>
          <w:rFonts w:hint="eastAsia" w:ascii="仿宋_GB2312" w:eastAsia="仿宋_GB2312"/>
          <w:b/>
          <w:bCs/>
          <w:sz w:val="32"/>
          <w:szCs w:val="32"/>
        </w:rPr>
        <w:t>三是严格督查抓落实。</w:t>
      </w:r>
      <w:r>
        <w:rPr>
          <w:rFonts w:hint="eastAsia" w:ascii="仿宋_GB2312" w:eastAsia="仿宋_GB2312"/>
          <w:sz w:val="32"/>
          <w:szCs w:val="32"/>
        </w:rPr>
        <w:t>将河湖长制工作纳入县委、县政府绩效考核，制定并实施常态暗访督查、季度督查讲评、年度考核总评机制。今年，县河长办成立暗访督查专班，实行专人专职专设备、暗访全事项全覆盖全日制。暗访督查天天“在线”，发现问题“随手拍”，发到河湖长制工作微信群，及时通报。发现突出问题36个，摄制的暗访视频在全县总河长会上曝光，对问题整改不力的13名责任人员，县纪委监委进行了问责处理，有力推进了河湖长制走深走实。</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攻坚克难，河湖治理取得新成效</w:t>
      </w:r>
    </w:p>
    <w:p>
      <w:pPr>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一是碍洪问题严查严治。</w:t>
      </w:r>
      <w:r>
        <w:rPr>
          <w:rFonts w:hint="eastAsia" w:ascii="仿宋_GB2312" w:eastAsia="仿宋_GB2312"/>
          <w:sz w:val="32"/>
          <w:szCs w:val="32"/>
        </w:rPr>
        <w:t>落实省第8号市第13号总河长令，开展妨碍河道行洪突出问题排查整治，明确排查责任主体，排查做到横向到边、纵向到底、无死角、全覆盖。以“时时放心不下”的责任感，组织核查专班，全方位开展巡查，全县共排查出17个问题。组织相关职能部门和专家对碍洪问题逐个论证，存在行洪安全隐患的10个问题实行了立行立改，没有防洪安全隐患的2个问题落实管控措施，建立了问题、任务、责任“三个清单”，实行闭环管控。</w:t>
      </w:r>
      <w:r>
        <w:rPr>
          <w:rFonts w:hint="eastAsia" w:ascii="仿宋_GB2312" w:eastAsia="仿宋_GB2312"/>
          <w:b/>
          <w:bCs/>
          <w:sz w:val="32"/>
          <w:szCs w:val="32"/>
        </w:rPr>
        <w:t>二是“清河净滩”保洁有力有效。</w:t>
      </w:r>
      <w:r>
        <w:rPr>
          <w:rFonts w:hint="eastAsia" w:ascii="仿宋_GB2312" w:eastAsia="仿宋_GB2312"/>
          <w:sz w:val="32"/>
          <w:szCs w:val="32"/>
        </w:rPr>
        <w:t>以清理漂浮物、阻水物、垃圾、废弃物为重点，对河湖库渠塘全面开展“清河净滩”，全县组织志愿者宣传和开展“清河净滩”保洁行动32次。共投入劳动力23300多人次，出动车辆1900多台次，打捞漂浮物19600多吨，清理垃圾580多吨，清理淤泥8730多立方，清理河道渠道730多公里、大小湖泊29个。在治河渡辖区华容河重点堤段投入10多万元安装铁丝网，有效解决了牛羊上堤污染水质的问题。</w:t>
      </w:r>
      <w:r>
        <w:rPr>
          <w:rFonts w:hint="eastAsia" w:ascii="仿宋_GB2312" w:eastAsia="仿宋_GB2312"/>
          <w:b/>
          <w:bCs/>
          <w:sz w:val="32"/>
          <w:szCs w:val="32"/>
        </w:rPr>
        <w:t>三是小微水体全治群治。</w:t>
      </w:r>
      <w:r>
        <w:rPr>
          <w:rFonts w:hint="eastAsia" w:ascii="仿宋_GB2312" w:hAnsi="宋体" w:eastAsia="仿宋_GB2312"/>
          <w:sz w:val="32"/>
          <w:szCs w:val="32"/>
        </w:rPr>
        <w:t>印发《华容县全面推行“微河长”制实施方案》，招募“微河长”1898名，小微水体管护全覆盖，</w:t>
      </w:r>
      <w:r>
        <w:rPr>
          <w:rFonts w:hint="eastAsia" w:ascii="仿宋_GB2312" w:eastAsia="仿宋_GB2312"/>
          <w:sz w:val="32"/>
          <w:szCs w:val="32"/>
        </w:rPr>
        <w:t>综合施治“一乡一方案”。在全县全面开展小微水体排查摸底建档，制定方案列出整治任务、措施、时限、责任人四张清单。实施“一渠一策”，出台了《入河入湖渠道小微水体整治工作方案》《入河入湖渠道生态治理技术方案》。指导各乡镇连村成片打造1个小微水体整治示范片，为小微水体整治打标立样；</w:t>
      </w:r>
      <w:r>
        <w:rPr>
          <w:rFonts w:hint="eastAsia" w:ascii="仿宋_GB2312" w:hAnsi="宋体" w:eastAsia="仿宋_GB2312"/>
          <w:sz w:val="32"/>
          <w:szCs w:val="32"/>
        </w:rPr>
        <w:t>按照“自己的渠塘自己管护”原则，建立宅间渠塘跟宅走、田间渠塘跟田走、林间渠塘跟林走、其他渠塘跟村走的“四走”管护责任制，有效破解了小微水体管护难题。</w:t>
      </w:r>
      <w:r>
        <w:rPr>
          <w:rFonts w:hint="eastAsia" w:ascii="仿宋_GB2312" w:hAnsi="宋体" w:eastAsia="仿宋_GB2312"/>
          <w:b/>
          <w:bCs/>
          <w:sz w:val="32"/>
          <w:szCs w:val="32"/>
        </w:rPr>
        <w:t>四是</w:t>
      </w:r>
      <w:r>
        <w:rPr>
          <w:rFonts w:hint="eastAsia" w:ascii="仿宋_GB2312" w:eastAsia="仿宋_GB2312"/>
          <w:b/>
          <w:bCs/>
          <w:sz w:val="32"/>
          <w:szCs w:val="32"/>
        </w:rPr>
        <w:t>交办问题立行立改。</w:t>
      </w:r>
      <w:r>
        <w:rPr>
          <w:rFonts w:hint="eastAsia" w:ascii="仿宋_GB2312" w:eastAsia="仿宋_GB2312"/>
          <w:sz w:val="32"/>
          <w:szCs w:val="32"/>
        </w:rPr>
        <w:t>今年省市交办我县9个问题和县本级暗访发现的36个问题，均以县总河长令向相关乡镇和县直单位交办，县河长办跟踪督办，省市交办问题整改销号率100%。对水利部河湖长制检查组交办问题，立行立改，并举一反三，已按要求进行整改。</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真抓实干，河湖保护开创新局面</w:t>
      </w:r>
    </w:p>
    <w:p>
      <w:pPr>
        <w:spacing w:line="540" w:lineRule="exact"/>
        <w:ind w:firstLine="643" w:firstLineChars="200"/>
        <w:rPr>
          <w:rFonts w:hint="eastAsia" w:ascii="黑体" w:hAnsi="黑体" w:eastAsia="黑体" w:cs="黑体"/>
          <w:spacing w:val="-6"/>
          <w:sz w:val="30"/>
          <w:szCs w:val="30"/>
          <w:lang w:val="en-US" w:eastAsia="zh-CN"/>
        </w:rPr>
      </w:pPr>
      <w:r>
        <w:rPr>
          <w:rFonts w:hint="eastAsia" w:ascii="仿宋_GB2312" w:eastAsia="仿宋_GB2312"/>
          <w:b/>
          <w:bCs/>
          <w:sz w:val="32"/>
          <w:szCs w:val="32"/>
        </w:rPr>
        <w:t>一是推进跨省界河流联治。</w:t>
      </w:r>
      <w:r>
        <w:rPr>
          <w:rFonts w:hint="eastAsia" w:ascii="仿宋_GB2312" w:eastAsia="仿宋_GB2312"/>
          <w:sz w:val="32"/>
          <w:szCs w:val="32"/>
        </w:rPr>
        <w:t>今年，我们与华容河上游的湖北省石首市、下游的君山区对接协商，建立华容河联防联控联治机制，湖南湖北两省三县市区签订了协作协议，开启了华容河由“分段治”到“全域治”新局面，推动华容河河长制工作迈上新台阶。</w:t>
      </w:r>
      <w:r>
        <w:rPr>
          <w:rFonts w:hint="eastAsia" w:ascii="仿宋_GB2312" w:eastAsia="仿宋_GB2312"/>
          <w:b/>
          <w:bCs/>
          <w:sz w:val="32"/>
          <w:szCs w:val="32"/>
        </w:rPr>
        <w:t>二是深化部门协作联动。</w:t>
      </w:r>
      <w:r>
        <w:rPr>
          <w:rFonts w:hint="eastAsia" w:ascii="仿宋_GB2312" w:eastAsia="仿宋_GB2312"/>
          <w:sz w:val="32"/>
          <w:szCs w:val="32"/>
        </w:rPr>
        <w:t>深化“河长+检察长”“河长+警长”协作机制。县检察院在县河长办设立“生态环境检察室”，参与巡河或处理涉水问题的警长（员）158人次，检察长（官）与县级河长巡河64次，县检察院向有关乡镇发出生态环境保护检察建议4个，向县人民法院提起公益诉讼案件4起，促进了河湖长制法制化，提升了河湖管护司法效能。</w:t>
      </w:r>
      <w:r>
        <w:rPr>
          <w:rFonts w:hint="eastAsia" w:ascii="仿宋_GB2312" w:eastAsia="仿宋_GB2312"/>
          <w:b/>
          <w:bCs/>
          <w:spacing w:val="-6"/>
          <w:sz w:val="32"/>
          <w:szCs w:val="32"/>
        </w:rPr>
        <w:t>三是创建省级示范河流。</w:t>
      </w:r>
      <w:r>
        <w:rPr>
          <w:rFonts w:hint="eastAsia" w:ascii="仿宋_GB2312" w:eastAsia="仿宋_GB2312"/>
          <w:spacing w:val="-6"/>
          <w:sz w:val="32"/>
          <w:szCs w:val="32"/>
        </w:rPr>
        <w:t>结合华容河治理项目，实施五大工程，创建省级示范河。河道治理工程方面，治理河道总长41.6公里，治理堤防总长56.525公里，完成清基7.75万方，粘土还坡7.84万方，块石反压平台8.46万方，恢复并优化了河道岸线形态。景观绿化工程方面，县城区河段栽植观赏植物，草皮护坡18.5万平方米，硬化黑化堤面11000米，架设路灯181杆5430米。滨水休闲工程方面，打造居民亲水空间，在城区两岸各建有1个大型滨水广场，修建游步道栈道4300米。河长制文化工程方面，在示范河核心区修建了1个河长制文化广场和1个河长制主题公园，通过体现河长制元素的彩绘、涂鸦和宣传窗，使河长制潜移默化，深入人心。社会群治工程方面，建立示范河长效管护机制，示范河段各村党支部设立“党员河长”，各社区组织志愿者认领管护河段竖立管护责任牌，公示政府河长、党员河长和民间河长管护区段，落实管护责任。目前，华容河省级示范河流创建任务圆满完成。</w:t>
      </w:r>
      <w:r>
        <w:rPr>
          <w:rFonts w:hint="eastAsia" w:ascii="仿宋_GB2312" w:eastAsia="仿宋_GB2312"/>
          <w:b/>
          <w:bCs/>
          <w:spacing w:val="-6"/>
          <w:sz w:val="32"/>
          <w:szCs w:val="32"/>
        </w:rPr>
        <w:t>四是建设美丽河湖亮点。</w:t>
      </w:r>
      <w:r>
        <w:rPr>
          <w:rFonts w:hint="eastAsia" w:ascii="仿宋_GB2312" w:eastAsia="仿宋_GB2312"/>
          <w:spacing w:val="-6"/>
          <w:sz w:val="32"/>
          <w:szCs w:val="32"/>
        </w:rPr>
        <w:t>出台细则“立标”，县河长办制订美丽河湖创建标准，各乡镇编制详细的创建方案。推广典型“树标”，组织参观学习湖南省“美丽河湖”、治河渡镇严家河、东山水库，全县对标对表开展美丽河湖亮点建设。务实创建“达标”，全县美丽河湖亮点建设做到有方案、有措施、有经费、有成效“四有”。把美丽河湖亮点建设纳入乡镇河湖长制工作重点督查考核内容，年底组织验收，对验收不合格的，挂牌督办，限期达标。今年全县15个美丽河湖建设亮点纷呈，圆满完成了省、市部署安排的河湖长制各项工作任务。</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color w:val="000000"/>
          <w:sz w:val="44"/>
          <w:szCs w:val="44"/>
          <w:lang w:eastAsia="zh-CN"/>
        </w:rPr>
      </w:pP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both"/>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eastAsia="zh-CN"/>
        </w:rPr>
        <w:t>附件</w:t>
      </w:r>
      <w:r>
        <w:rPr>
          <w:rFonts w:hint="eastAsia" w:ascii="方正小标宋简体" w:hAnsi="方正小标宋简体" w:eastAsia="方正小标宋简体" w:cs="方正小标宋简体"/>
          <w:color w:val="000000"/>
          <w:sz w:val="44"/>
          <w:szCs w:val="44"/>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华容县库区移民事务中心</w:t>
      </w:r>
      <w:r>
        <w:rPr>
          <w:rFonts w:hint="eastAsia" w:ascii="方正小标宋简体" w:hAnsi="方正小标宋简体" w:eastAsia="方正小标宋简体" w:cs="方正小标宋简体"/>
          <w:color w:val="000000"/>
          <w:sz w:val="36"/>
          <w:szCs w:val="36"/>
        </w:rPr>
        <w:t>项目支出绩效评价</w:t>
      </w:r>
      <w:r>
        <w:rPr>
          <w:rFonts w:hint="eastAsia" w:ascii="方正小标宋简体" w:hAnsi="方正小标宋简体" w:eastAsia="方正小标宋简体" w:cs="方正小标宋简体"/>
          <w:color w:val="000000"/>
          <w:sz w:val="36"/>
          <w:szCs w:val="36"/>
          <w:lang w:eastAsia="zh-CN"/>
        </w:rPr>
        <w:t>评分表</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cs="宋体" w:eastAsiaTheme="minorEastAsia"/>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p>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ascii="黑体" w:hAnsi="黑体" w:eastAsia="黑体" w:cs="黑体"/>
          <w:sz w:val="32"/>
          <w:szCs w:val="32"/>
        </w:rPr>
      </w:pPr>
      <w:r>
        <w:rPr>
          <w:rFonts w:hint="eastAsia" w:ascii="仿宋_GB2312" w:eastAsia="仿宋_GB2312"/>
          <w:lang w:val="en-US" w:eastAsia="zh-CN"/>
        </w:rPr>
        <w:t>2、</w:t>
      </w:r>
      <w:r>
        <w:rPr>
          <w:rFonts w:hint="eastAsia" w:ascii="仿宋_GB2312" w:eastAsia="仿宋_GB2312"/>
          <w:lang w:eastAsia="zh-CN"/>
        </w:rPr>
        <w:t>一个一级项目一张表。</w:t>
      </w: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36"/>
          <w:szCs w:val="36"/>
          <w:lang w:eastAsia="zh-CN"/>
        </w:rPr>
        <w:t>华容县库区移民事务中心2022年度项目支出绩效自评表</w:t>
      </w:r>
    </w:p>
    <w:tbl>
      <w:tblPr>
        <w:tblStyle w:val="14"/>
        <w:tblW w:w="9851" w:type="dxa"/>
        <w:jc w:val="center"/>
        <w:tblLayout w:type="fixed"/>
        <w:tblCellMar>
          <w:top w:w="0" w:type="dxa"/>
          <w:left w:w="108" w:type="dxa"/>
          <w:bottom w:w="0" w:type="dxa"/>
          <w:right w:w="108" w:type="dxa"/>
        </w:tblCellMar>
      </w:tblPr>
      <w:tblGrid>
        <w:gridCol w:w="1061"/>
        <w:gridCol w:w="1099"/>
        <w:gridCol w:w="1080"/>
        <w:gridCol w:w="1224"/>
        <w:gridCol w:w="692"/>
        <w:gridCol w:w="885"/>
        <w:gridCol w:w="900"/>
        <w:gridCol w:w="619"/>
        <w:gridCol w:w="236"/>
        <w:gridCol w:w="637"/>
        <w:gridCol w:w="158"/>
        <w:gridCol w:w="1260"/>
      </w:tblGrid>
      <w:tr>
        <w:tblPrEx>
          <w:tblCellMar>
            <w:top w:w="0" w:type="dxa"/>
            <w:left w:w="108" w:type="dxa"/>
            <w:bottom w:w="0" w:type="dxa"/>
            <w:right w:w="108" w:type="dxa"/>
          </w:tblCellMar>
        </w:tblPrEx>
        <w:trPr>
          <w:trHeight w:val="603" w:hRule="atLeast"/>
          <w:jc w:val="center"/>
        </w:trPr>
        <w:tc>
          <w:tcPr>
            <w:tcW w:w="10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项目支</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出名称</w:t>
            </w:r>
          </w:p>
        </w:tc>
        <w:tc>
          <w:tcPr>
            <w:tcW w:w="8790" w:type="dxa"/>
            <w:gridSpan w:val="11"/>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仿宋_GB2312"/>
                <w:color w:val="000000"/>
                <w:sz w:val="20"/>
                <w:szCs w:val="20"/>
              </w:rPr>
              <w:t>后扶基金专项</w:t>
            </w:r>
          </w:p>
        </w:tc>
      </w:tr>
      <w:tr>
        <w:tblPrEx>
          <w:tblCellMar>
            <w:top w:w="0" w:type="dxa"/>
            <w:left w:w="108" w:type="dxa"/>
            <w:bottom w:w="0" w:type="dxa"/>
            <w:right w:w="108" w:type="dxa"/>
          </w:tblCellMar>
        </w:tblPrEx>
        <w:trPr>
          <w:trHeight w:val="556" w:hRule="atLeast"/>
          <w:jc w:val="center"/>
        </w:trPr>
        <w:tc>
          <w:tcPr>
            <w:tcW w:w="10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主管部门</w:t>
            </w:r>
          </w:p>
        </w:tc>
        <w:tc>
          <w:tcPr>
            <w:tcW w:w="4980"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仿宋_GB2312"/>
                <w:color w:val="000000"/>
                <w:sz w:val="20"/>
                <w:szCs w:val="20"/>
                <w:lang w:val="en-US" w:eastAsia="zh-CN"/>
              </w:rPr>
            </w:pPr>
            <w:r>
              <w:rPr>
                <w:rFonts w:hint="eastAsia" w:eastAsia="仿宋_GB2312"/>
                <w:color w:val="000000"/>
                <w:sz w:val="20"/>
                <w:szCs w:val="20"/>
                <w:lang w:val="en-US" w:eastAsia="zh-CN"/>
              </w:rPr>
              <w:t>库区移民中心</w:t>
            </w:r>
          </w:p>
        </w:tc>
        <w:tc>
          <w:tcPr>
            <w:tcW w:w="900"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实施单位</w:t>
            </w:r>
          </w:p>
        </w:tc>
        <w:tc>
          <w:tcPr>
            <w:tcW w:w="2910"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项目资金</w:t>
            </w:r>
            <w:r>
              <w:rPr>
                <w:rFonts w:hint="default" w:eastAsia="仿宋_GB2312"/>
                <w:color w:val="000000"/>
                <w:sz w:val="20"/>
                <w:szCs w:val="20"/>
              </w:rPr>
              <w:br w:type="textWrapping"/>
            </w:r>
            <w:r>
              <w:rPr>
                <w:rFonts w:hint="default" w:eastAsia="仿宋_GB2312"/>
                <w:color w:val="000000"/>
                <w:sz w:val="20"/>
                <w:szCs w:val="20"/>
              </w:rPr>
              <w:t>（万元）</w:t>
            </w: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年初</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预算数</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全年</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预算数</w:t>
            </w:r>
          </w:p>
        </w:tc>
        <w:tc>
          <w:tcPr>
            <w:tcW w:w="900"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全年</w:t>
            </w:r>
          </w:p>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执行数</w:t>
            </w:r>
          </w:p>
        </w:tc>
        <w:tc>
          <w:tcPr>
            <w:tcW w:w="619"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分值</w:t>
            </w:r>
          </w:p>
        </w:tc>
        <w:tc>
          <w:tcPr>
            <w:tcW w:w="873"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执行率</w:t>
            </w:r>
          </w:p>
        </w:tc>
        <w:tc>
          <w:tcPr>
            <w:tcW w:w="1418"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sz w:val="20"/>
                <w:szCs w:val="20"/>
              </w:rPr>
            </w:pPr>
            <w:r>
              <w:rPr>
                <w:rFonts w:hint="default" w:eastAsia="仿宋_GB2312"/>
                <w:sz w:val="20"/>
                <w:szCs w:val="20"/>
              </w:rPr>
              <w:t>得分</w:t>
            </w:r>
          </w:p>
        </w:tc>
      </w:tr>
      <w:tr>
        <w:tblPrEx>
          <w:tblCellMar>
            <w:top w:w="0" w:type="dxa"/>
            <w:left w:w="108" w:type="dxa"/>
            <w:bottom w:w="0" w:type="dxa"/>
            <w:right w:w="108" w:type="dxa"/>
          </w:tblCellMar>
        </w:tblPrEx>
        <w:trPr>
          <w:trHeight w:val="38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Theme="minorEastAsia"/>
                <w:color w:val="000000"/>
                <w:sz w:val="20"/>
                <w:szCs w:val="20"/>
              </w:rPr>
            </w:pPr>
            <w:r>
              <w:rPr>
                <w:rFonts w:hint="eastAsia" w:eastAsiaTheme="minorEastAsia"/>
                <w:color w:val="000000"/>
                <w:sz w:val="20"/>
                <w:szCs w:val="20"/>
              </w:rPr>
              <w:t>653.82</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10</w:t>
            </w: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r>
      <w:tr>
        <w:tblPrEx>
          <w:tblCellMar>
            <w:top w:w="0" w:type="dxa"/>
            <w:left w:w="108" w:type="dxa"/>
            <w:bottom w:w="0" w:type="dxa"/>
            <w:right w:w="108" w:type="dxa"/>
          </w:tblCellMar>
        </w:tblPrEx>
        <w:trPr>
          <w:trHeight w:val="409"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default" w:eastAsia="仿宋_GB2312"/>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0</w:t>
            </w: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257.06</w:t>
            </w: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仿宋_GB2312"/>
                <w:color w:val="000000"/>
                <w:sz w:val="20"/>
                <w:szCs w:val="20"/>
              </w:rPr>
              <w:t>100</w:t>
            </w: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eastAsiaTheme="minorEastAsia"/>
                <w:color w:val="000000"/>
                <w:sz w:val="20"/>
                <w:szCs w:val="20"/>
              </w:rPr>
            </w:pPr>
            <w:r>
              <w:rPr>
                <w:rFonts w:hint="eastAsia" w:eastAsiaTheme="minorEastAsia"/>
                <w:color w:val="000000"/>
                <w:sz w:val="20"/>
                <w:szCs w:val="20"/>
              </w:rPr>
              <w:t>10</w:t>
            </w:r>
          </w:p>
        </w:tc>
      </w:tr>
      <w:tr>
        <w:tblPrEx>
          <w:tblCellMar>
            <w:top w:w="0" w:type="dxa"/>
            <w:left w:w="108" w:type="dxa"/>
            <w:bottom w:w="0" w:type="dxa"/>
            <w:right w:w="108" w:type="dxa"/>
          </w:tblCellMar>
        </w:tblPrEx>
        <w:trPr>
          <w:trHeight w:val="415"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00" w:firstLineChars="300"/>
              <w:jc w:val="left"/>
              <w:rPr>
                <w:rFonts w:hint="default" w:eastAsia="仿宋_GB2312"/>
                <w:color w:val="000000"/>
                <w:sz w:val="20"/>
                <w:szCs w:val="20"/>
              </w:rPr>
            </w:pPr>
            <w:r>
              <w:rPr>
                <w:rFonts w:hint="default" w:eastAsia="仿宋_GB2312"/>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CellMar>
            <w:top w:w="0" w:type="dxa"/>
            <w:left w:w="108" w:type="dxa"/>
            <w:bottom w:w="0" w:type="dxa"/>
            <w:right w:w="108" w:type="dxa"/>
          </w:tblCellMar>
        </w:tblPrEx>
        <w:trPr>
          <w:trHeight w:val="440" w:hRule="atLeast"/>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2179"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00" w:firstLineChars="300"/>
              <w:jc w:val="left"/>
              <w:rPr>
                <w:rFonts w:hint="default" w:eastAsia="仿宋_GB2312"/>
                <w:color w:val="000000"/>
                <w:sz w:val="20"/>
                <w:szCs w:val="20"/>
              </w:rPr>
            </w:pPr>
            <w:r>
              <w:rPr>
                <w:rFonts w:hint="default" w:eastAsia="仿宋_GB2312"/>
                <w:color w:val="000000"/>
                <w:sz w:val="20"/>
                <w:szCs w:val="20"/>
              </w:rPr>
              <w:t>其他资金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577"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61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873"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141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CellMar>
            <w:top w:w="0" w:type="dxa"/>
            <w:left w:w="108" w:type="dxa"/>
            <w:bottom w:w="0" w:type="dxa"/>
            <w:right w:w="108" w:type="dxa"/>
          </w:tblCellMar>
        </w:tblPrEx>
        <w:trPr>
          <w:trHeight w:val="587" w:hRule="atLeast"/>
          <w:jc w:val="center"/>
        </w:trPr>
        <w:tc>
          <w:tcPr>
            <w:tcW w:w="106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年度总体目标</w:t>
            </w:r>
          </w:p>
        </w:tc>
        <w:tc>
          <w:tcPr>
            <w:tcW w:w="4980"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预期目标</w:t>
            </w:r>
          </w:p>
        </w:tc>
        <w:tc>
          <w:tcPr>
            <w:tcW w:w="3810" w:type="dxa"/>
            <w:gridSpan w:val="6"/>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实际完成情况　</w:t>
            </w:r>
          </w:p>
        </w:tc>
      </w:tr>
      <w:tr>
        <w:tblPrEx>
          <w:tblCellMar>
            <w:top w:w="0" w:type="dxa"/>
            <w:left w:w="108" w:type="dxa"/>
            <w:bottom w:w="0" w:type="dxa"/>
            <w:right w:w="108" w:type="dxa"/>
          </w:tblCellMar>
        </w:tblPrEx>
        <w:trPr>
          <w:jc w:val="center"/>
        </w:trPr>
        <w:tc>
          <w:tcPr>
            <w:tcW w:w="106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c>
          <w:tcPr>
            <w:tcW w:w="4980" w:type="dxa"/>
            <w:gridSpan w:val="5"/>
            <w:tcBorders>
              <w:top w:val="single" w:color="auto" w:sz="4" w:space="0"/>
              <w:left w:val="nil"/>
              <w:bottom w:val="single" w:color="auto" w:sz="4" w:space="0"/>
              <w:right w:val="single" w:color="000000" w:sz="4" w:space="0"/>
            </w:tcBorders>
            <w:vAlign w:val="center"/>
          </w:tcPr>
          <w:p>
            <w:pPr>
              <w:keepNext w:val="0"/>
              <w:keepLines w:val="0"/>
              <w:suppressLineNumbers w:val="0"/>
              <w:spacing w:before="0" w:beforeAutospacing="0" w:after="0" w:afterAutospacing="0"/>
              <w:ind w:left="0" w:right="0" w:firstLine="360" w:firstLineChars="200"/>
              <w:rPr>
                <w:rFonts w:hint="eastAsia" w:cs="仿宋" w:asciiTheme="minorEastAsia" w:hAnsiTheme="minorEastAsia"/>
                <w:color w:val="000000" w:themeColor="text1"/>
                <w:sz w:val="18"/>
                <w:szCs w:val="18"/>
                <w14:textFill>
                  <w14:solidFill>
                    <w14:schemeClr w14:val="tx1"/>
                  </w14:solidFill>
                </w14:textFill>
              </w:rPr>
            </w:pPr>
            <w:r>
              <w:rPr>
                <w:rFonts w:hint="eastAsia" w:asciiTheme="minorEastAsia" w:hAnsiTheme="minorEastAsia"/>
                <w:sz w:val="18"/>
                <w:szCs w:val="18"/>
              </w:rPr>
              <w:t>加强水库移民后期扶持资金支出管理，提高财政资金使用效益。</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3810" w:type="dxa"/>
            <w:gridSpan w:val="6"/>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360" w:firstLineChars="200"/>
              <w:rPr>
                <w:rFonts w:hint="eastAsia" w:cs="仿宋" w:asciiTheme="minorEastAsia" w:hAnsiTheme="minorEastAsia"/>
                <w:color w:val="000000" w:themeColor="text1"/>
                <w:sz w:val="18"/>
                <w:szCs w:val="18"/>
                <w14:textFill>
                  <w14:solidFill>
                    <w14:schemeClr w14:val="tx1"/>
                  </w14:solidFill>
                </w14:textFill>
              </w:rPr>
            </w:pPr>
            <w:r>
              <w:rPr>
                <w:rFonts w:hint="eastAsia" w:cs="仿宋" w:asciiTheme="minorEastAsia" w:hAnsiTheme="minorEastAsia"/>
                <w:color w:val="000000" w:themeColor="text1"/>
                <w:sz w:val="18"/>
                <w:szCs w:val="18"/>
                <w14:textFill>
                  <w14:solidFill>
                    <w14:schemeClr w14:val="tx1"/>
                  </w14:solidFill>
                </w14:textFill>
              </w:rPr>
              <w:t>完成2022年后扶基金专项</w:t>
            </w:r>
            <w:r>
              <w:rPr>
                <w:rFonts w:hint="eastAsia" w:cs="仿宋" w:asciiTheme="minorEastAsia" w:hAnsiTheme="minorEastAsia"/>
                <w:color w:val="000000" w:themeColor="text1"/>
                <w:sz w:val="18"/>
                <w:szCs w:val="18"/>
                <w:lang w:val="en-US" w:eastAsia="zh-CN"/>
                <w14:textFill>
                  <w14:solidFill>
                    <w14:schemeClr w14:val="tx1"/>
                  </w14:solidFill>
                </w14:textFill>
              </w:rPr>
              <w:t>257.06</w:t>
            </w:r>
            <w:r>
              <w:rPr>
                <w:rFonts w:hint="eastAsia" w:cs="仿宋" w:asciiTheme="minorEastAsia" w:hAnsiTheme="minorEastAsia"/>
                <w:color w:val="000000" w:themeColor="text1"/>
                <w:sz w:val="18"/>
                <w:szCs w:val="18"/>
                <w14:textFill>
                  <w14:solidFill>
                    <w14:schemeClr w14:val="tx1"/>
                  </w14:solidFill>
                </w14:textFill>
              </w:rPr>
              <w:t>万元</w:t>
            </w:r>
            <w:r>
              <w:rPr>
                <w:rFonts w:hint="eastAsia" w:cs="仿宋" w:asciiTheme="minorEastAsia" w:hAnsiTheme="minorEastAsia"/>
                <w:color w:val="000000" w:themeColor="text1"/>
                <w:sz w:val="18"/>
                <w:szCs w:val="18"/>
                <w:lang w:eastAsia="zh-CN"/>
                <w14:textFill>
                  <w14:solidFill>
                    <w14:schemeClr w14:val="tx1"/>
                  </w14:solidFill>
                </w14:textFill>
              </w:rPr>
              <w:t>，</w:t>
            </w:r>
            <w:r>
              <w:rPr>
                <w:rFonts w:hint="eastAsia" w:cs="仿宋" w:asciiTheme="minorEastAsia" w:hAnsiTheme="minorEastAsia"/>
                <w:color w:val="000000" w:themeColor="text1"/>
                <w:sz w:val="18"/>
                <w:szCs w:val="18"/>
                <w14:textFill>
                  <w14:solidFill>
                    <w14:schemeClr w14:val="tx1"/>
                  </w14:solidFill>
                </w14:textFill>
              </w:rPr>
              <w:t>资金完成率100%</w:t>
            </w:r>
            <w:r>
              <w:rPr>
                <w:rFonts w:hint="eastAsia" w:cs="仿宋" w:asciiTheme="minorEastAsia" w:hAnsiTheme="minorEastAsia"/>
                <w:color w:val="000000" w:themeColor="text1"/>
                <w:sz w:val="18"/>
                <w:szCs w:val="18"/>
                <w:lang w:eastAsia="zh-CN"/>
                <w14:textFill>
                  <w14:solidFill>
                    <w14:schemeClr w14:val="tx1"/>
                  </w14:solidFill>
                </w14:textFill>
              </w:rPr>
              <w:t>。</w:t>
            </w:r>
            <w:r>
              <w:rPr>
                <w:rFonts w:hint="eastAsia" w:cs="仿宋" w:asciiTheme="minorEastAsia" w:hAnsiTheme="minorEastAsia"/>
                <w:color w:val="000000" w:themeColor="text1"/>
                <w:sz w:val="18"/>
                <w:szCs w:val="18"/>
                <w14:textFill>
                  <w14:solidFill>
                    <w14:schemeClr w14:val="tx1"/>
                  </w14:solidFill>
                </w14:textFill>
              </w:rPr>
              <w:t>后期扶持受益移民人口3251人。</w:t>
            </w:r>
          </w:p>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p>
        </w:tc>
      </w:tr>
      <w:tr>
        <w:tblPrEx>
          <w:tblCellMar>
            <w:top w:w="0" w:type="dxa"/>
            <w:left w:w="108" w:type="dxa"/>
            <w:bottom w:w="0" w:type="dxa"/>
            <w:right w:w="108" w:type="dxa"/>
          </w:tblCellMar>
        </w:tblPrEx>
        <w:trPr>
          <w:trHeight w:val="702" w:hRule="atLeast"/>
          <w:jc w:val="center"/>
        </w:trPr>
        <w:tc>
          <w:tcPr>
            <w:tcW w:w="1061"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绩</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标</w:t>
            </w:r>
          </w:p>
        </w:tc>
        <w:tc>
          <w:tcPr>
            <w:tcW w:w="10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一级指标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二级指标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三级指标</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年度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指标值</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实际</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完成值</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分值</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得分</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rPr>
                <w:rFonts w:hint="default" w:eastAsia="仿宋_GB2312"/>
                <w:color w:val="000000"/>
                <w:sz w:val="20"/>
                <w:szCs w:val="20"/>
              </w:rPr>
            </w:pPr>
            <w:r>
              <w:rPr>
                <w:rFonts w:hint="default"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产出指标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(50分)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数量指标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后期扶持受益移民人口（人）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3251人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3251人</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78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移民</w:t>
            </w:r>
            <w:r>
              <w:rPr>
                <w:rFonts w:hint="eastAsia" w:ascii="宋体" w:hAnsi="宋体" w:cs="宋体"/>
                <w:color w:val="000000"/>
                <w:sz w:val="20"/>
                <w:szCs w:val="20"/>
              </w:rPr>
              <w:t>劳动</w:t>
            </w:r>
            <w:r>
              <w:rPr>
                <w:rFonts w:hint="eastAsia" w:ascii="MS Mincho" w:hAnsi="MS Mincho" w:eastAsia="MS Mincho" w:cs="MS Mincho"/>
                <w:color w:val="000000"/>
                <w:sz w:val="20"/>
                <w:szCs w:val="20"/>
              </w:rPr>
              <w:t>力（人次）</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531</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531</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61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其他</w:t>
            </w:r>
            <w:r>
              <w:rPr>
                <w:rFonts w:hint="eastAsia" w:ascii="宋体" w:hAnsi="宋体" w:cs="宋体"/>
                <w:color w:val="000000"/>
                <w:sz w:val="20"/>
                <w:szCs w:val="20"/>
              </w:rPr>
              <w:t>项</w:t>
            </w:r>
            <w:r>
              <w:rPr>
                <w:rFonts w:hint="eastAsia" w:ascii="MS Mincho" w:hAnsi="MS Mincho" w:eastAsia="MS Mincho" w:cs="MS Mincho"/>
                <w:color w:val="000000"/>
                <w:sz w:val="20"/>
                <w:szCs w:val="20"/>
              </w:rPr>
              <w:t>目（个）</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质量指标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培</w:t>
            </w:r>
            <w:r>
              <w:rPr>
                <w:rFonts w:hint="eastAsia" w:ascii="宋体" w:hAnsi="宋体" w:cs="宋体"/>
                <w:color w:val="000000"/>
                <w:sz w:val="20"/>
                <w:szCs w:val="20"/>
              </w:rPr>
              <w:t>训</w:t>
            </w:r>
            <w:r>
              <w:rPr>
                <w:rFonts w:hint="eastAsia" w:ascii="MS Mincho" w:hAnsi="MS Mincho" w:eastAsia="MS Mincho" w:cs="MS Mincho"/>
                <w:color w:val="000000"/>
                <w:sz w:val="20"/>
                <w:szCs w:val="20"/>
              </w:rPr>
              <w:t>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98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目（不含移民培</w:t>
            </w:r>
            <w:r>
              <w:rPr>
                <w:rFonts w:hint="eastAsia" w:ascii="宋体" w:hAnsi="宋体" w:cs="宋体"/>
                <w:color w:val="000000"/>
                <w:sz w:val="20"/>
                <w:szCs w:val="20"/>
              </w:rPr>
              <w:t>训</w:t>
            </w:r>
            <w:r>
              <w:rPr>
                <w:rFonts w:hint="eastAsia" w:ascii="MS Mincho" w:hAnsi="MS Mincho" w:eastAsia="MS Mincho" w:cs="MS Mincho"/>
                <w:color w:val="000000"/>
                <w:sz w:val="20"/>
                <w:szCs w:val="20"/>
              </w:rPr>
              <w:t>）</w:t>
            </w:r>
            <w:r>
              <w:rPr>
                <w:rFonts w:hint="eastAsia" w:ascii="宋体" w:hAnsi="宋体" w:cs="宋体"/>
                <w:color w:val="000000"/>
                <w:sz w:val="20"/>
                <w:szCs w:val="20"/>
              </w:rPr>
              <w:t>验</w:t>
            </w:r>
            <w:r>
              <w:rPr>
                <w:rFonts w:hint="eastAsia" w:ascii="MS Mincho" w:hAnsi="MS Mincho" w:eastAsia="MS Mincho" w:cs="MS Mincho"/>
                <w:color w:val="000000"/>
                <w:sz w:val="20"/>
                <w:szCs w:val="20"/>
              </w:rPr>
              <w:t>收合格率（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时效指标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金按</w:t>
            </w:r>
            <w:r>
              <w:rPr>
                <w:rFonts w:hint="eastAsia" w:ascii="宋体" w:hAnsi="宋体" w:cs="宋体"/>
                <w:color w:val="000000"/>
                <w:sz w:val="20"/>
                <w:szCs w:val="20"/>
              </w:rPr>
              <w:t>时发</w:t>
            </w:r>
            <w:r>
              <w:rPr>
                <w:rFonts w:hint="eastAsia" w:ascii="MS Mincho" w:hAnsi="MS Mincho" w:eastAsia="MS Mincho" w:cs="MS Mincho"/>
                <w:color w:val="000000"/>
                <w:sz w:val="20"/>
                <w:szCs w:val="20"/>
              </w:rPr>
              <w:t>放率（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105"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截至2022年底，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截至2023年3月底，</w:t>
            </w:r>
            <w:r>
              <w:rPr>
                <w:rFonts w:hint="eastAsia" w:ascii="宋体" w:hAnsi="宋体" w:cs="宋体"/>
                <w:color w:val="000000"/>
                <w:sz w:val="20"/>
                <w:szCs w:val="20"/>
              </w:rPr>
              <w:t>项</w:t>
            </w:r>
            <w:r>
              <w:rPr>
                <w:rFonts w:hint="eastAsia" w:ascii="MS Mincho" w:hAnsi="MS Mincho" w:eastAsia="MS Mincho" w:cs="MS Mincho"/>
                <w:color w:val="000000"/>
                <w:sz w:val="20"/>
                <w:szCs w:val="20"/>
              </w:rPr>
              <w:t>目</w:t>
            </w:r>
            <w:r>
              <w:rPr>
                <w:rFonts w:hint="eastAsia" w:ascii="宋体" w:hAnsi="宋体" w:cs="宋体"/>
                <w:color w:val="000000"/>
                <w:sz w:val="20"/>
                <w:szCs w:val="20"/>
              </w:rPr>
              <w:t>资</w:t>
            </w:r>
            <w:r>
              <w:rPr>
                <w:rFonts w:hint="eastAsia" w:ascii="MS Mincho" w:hAnsi="MS Mincho" w:eastAsia="MS Mincho" w:cs="MS Mincho"/>
                <w:color w:val="000000"/>
                <w:sz w:val="20"/>
                <w:szCs w:val="20"/>
              </w:rPr>
              <w:t>金完成率（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770"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成本指标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直</w:t>
            </w:r>
            <w:r>
              <w:rPr>
                <w:rFonts w:hint="eastAsia" w:ascii="宋体" w:hAnsi="宋体" w:cs="宋体"/>
                <w:color w:val="000000"/>
                <w:sz w:val="20"/>
                <w:szCs w:val="20"/>
              </w:rPr>
              <w:t>补资</w:t>
            </w:r>
            <w:r>
              <w:rPr>
                <w:rFonts w:hint="eastAsia" w:ascii="MS Mincho" w:hAnsi="MS Mincho" w:eastAsia="MS Mincho" w:cs="MS Mincho"/>
                <w:color w:val="000000"/>
                <w:sz w:val="20"/>
                <w:szCs w:val="20"/>
              </w:rPr>
              <w:t>金</w:t>
            </w:r>
            <w:r>
              <w:rPr>
                <w:rFonts w:hint="eastAsia" w:ascii="宋体" w:hAnsi="宋体" w:cs="宋体"/>
                <w:color w:val="000000"/>
                <w:sz w:val="20"/>
                <w:szCs w:val="20"/>
              </w:rPr>
              <w:t>标</w:t>
            </w:r>
            <w:r>
              <w:rPr>
                <w:rFonts w:hint="eastAsia" w:ascii="MS Mincho" w:hAnsi="MS Mincho" w:eastAsia="MS Mincho" w:cs="MS Mincho"/>
                <w:color w:val="000000"/>
                <w:sz w:val="20"/>
                <w:szCs w:val="20"/>
              </w:rPr>
              <w:t>准符合率（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ascii="宋体" w:hAnsi="宋体" w:cs="宋体"/>
                <w:color w:val="000000"/>
                <w:sz w:val="20"/>
                <w:szCs w:val="20"/>
              </w:rPr>
              <w:t>指标2:项</w:t>
            </w:r>
            <w:r>
              <w:rPr>
                <w:rFonts w:hint="eastAsia" w:ascii="MS Mincho" w:hAnsi="MS Mincho" w:eastAsia="MS Mincho" w:cs="MS Mincho"/>
                <w:color w:val="000000"/>
                <w:sz w:val="20"/>
                <w:szCs w:val="20"/>
              </w:rPr>
              <w:t>目支出控制在批复的</w:t>
            </w:r>
            <w:r>
              <w:rPr>
                <w:rFonts w:hint="eastAsia" w:ascii="宋体" w:hAnsi="宋体" w:cs="宋体"/>
                <w:color w:val="000000"/>
                <w:sz w:val="20"/>
                <w:szCs w:val="20"/>
              </w:rPr>
              <w:t>预</w:t>
            </w:r>
            <w:r>
              <w:rPr>
                <w:rFonts w:hint="eastAsia" w:ascii="MS Mincho" w:hAnsi="MS Mincho" w:eastAsia="MS Mincho" w:cs="MS Mincho"/>
                <w:color w:val="000000"/>
                <w:sz w:val="20"/>
                <w:szCs w:val="20"/>
              </w:rPr>
              <w:t>算范</w:t>
            </w:r>
            <w:r>
              <w:rPr>
                <w:rFonts w:hint="eastAsia" w:ascii="宋体" w:hAnsi="宋体" w:cs="宋体"/>
                <w:color w:val="000000"/>
                <w:sz w:val="20"/>
                <w:szCs w:val="20"/>
              </w:rPr>
              <w:t>围</w:t>
            </w:r>
            <w:r>
              <w:rPr>
                <w:rFonts w:hint="eastAsia" w:ascii="MS Mincho" w:hAnsi="MS Mincho" w:eastAsia="MS Mincho" w:cs="MS Mincho"/>
                <w:color w:val="000000"/>
                <w:sz w:val="20"/>
                <w:szCs w:val="20"/>
              </w:rPr>
              <w:t>内的</w:t>
            </w:r>
            <w:r>
              <w:rPr>
                <w:rFonts w:hint="eastAsia" w:ascii="宋体" w:hAnsi="宋体" w:cs="宋体"/>
                <w:color w:val="000000"/>
                <w:sz w:val="20"/>
                <w:szCs w:val="20"/>
              </w:rPr>
              <w:t>项</w:t>
            </w:r>
            <w:r>
              <w:rPr>
                <w:rFonts w:hint="eastAsia" w:ascii="MS Mincho" w:hAnsi="MS Mincho" w:eastAsia="MS Mincho" w:cs="MS Mincho"/>
                <w:color w:val="000000"/>
                <w:sz w:val="20"/>
                <w:szCs w:val="20"/>
              </w:rPr>
              <w:t>目比例（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259"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效益指标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（30分）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经济效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增加移民人均可支配收入（元）</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1773</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1955</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提高移民收入占当地</w:t>
            </w:r>
            <w:r>
              <w:rPr>
                <w:rFonts w:hint="eastAsia" w:ascii="宋体" w:hAnsi="宋体" w:cs="宋体"/>
                <w:color w:val="000000"/>
                <w:sz w:val="20"/>
                <w:szCs w:val="20"/>
              </w:rPr>
              <w:t>农</w:t>
            </w:r>
            <w:r>
              <w:rPr>
                <w:rFonts w:hint="eastAsia" w:ascii="MS Mincho" w:hAnsi="MS Mincho" w:eastAsia="MS Mincho" w:cs="MS Mincho"/>
                <w:color w:val="000000"/>
                <w:sz w:val="20"/>
                <w:szCs w:val="20"/>
              </w:rPr>
              <w:t>村居民收入比例（</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1.11%</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2.2%</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380"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社会效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增加达到当地</w:t>
            </w:r>
            <w:r>
              <w:rPr>
                <w:rFonts w:hint="eastAsia" w:ascii="宋体" w:hAnsi="宋体" w:cs="宋体"/>
                <w:color w:val="000000"/>
                <w:sz w:val="20"/>
                <w:szCs w:val="20"/>
              </w:rPr>
              <w:t>县农</w:t>
            </w:r>
            <w:r>
              <w:rPr>
                <w:rFonts w:hint="eastAsia" w:ascii="MS Mincho" w:hAnsi="MS Mincho" w:eastAsia="MS Mincho" w:cs="MS Mincho"/>
                <w:color w:val="000000"/>
                <w:sz w:val="20"/>
                <w:szCs w:val="20"/>
              </w:rPr>
              <w:t>村居民平均收入水平移民人口（人）</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267</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320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219"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生态效</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益指标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建成美</w:t>
            </w:r>
            <w:r>
              <w:rPr>
                <w:rFonts w:hint="eastAsia" w:ascii="宋体" w:hAnsi="宋体" w:cs="宋体"/>
                <w:color w:val="000000"/>
                <w:sz w:val="20"/>
                <w:szCs w:val="20"/>
              </w:rPr>
              <w:t>丽</w:t>
            </w:r>
            <w:r>
              <w:rPr>
                <w:rFonts w:hint="eastAsia" w:ascii="MS Mincho" w:hAnsi="MS Mincho" w:eastAsia="MS Mincho" w:cs="MS Mincho"/>
                <w:color w:val="000000"/>
                <w:sz w:val="20"/>
                <w:szCs w:val="20"/>
              </w:rPr>
              <w:t>移民村（个）</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2</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2</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015" w:hRule="atLeast"/>
          <w:jc w:val="center"/>
        </w:trPr>
        <w:tc>
          <w:tcPr>
            <w:tcW w:w="106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可持续</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影响指标</w:t>
            </w:r>
          </w:p>
        </w:tc>
        <w:tc>
          <w:tcPr>
            <w:tcW w:w="19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已建工程</w:t>
            </w:r>
            <w:r>
              <w:rPr>
                <w:rFonts w:hint="eastAsia" w:ascii="宋体" w:hAnsi="宋体" w:cs="宋体"/>
                <w:color w:val="000000"/>
                <w:sz w:val="20"/>
                <w:szCs w:val="20"/>
              </w:rPr>
              <w:t>项</w:t>
            </w:r>
            <w:r>
              <w:rPr>
                <w:rFonts w:hint="eastAsia" w:ascii="MS Mincho" w:hAnsi="MS Mincho" w:eastAsia="MS Mincho" w:cs="MS Mincho"/>
                <w:color w:val="000000"/>
                <w:sz w:val="20"/>
                <w:szCs w:val="20"/>
              </w:rPr>
              <w:t>目良性运行比例（</w:t>
            </w:r>
            <w:r>
              <w:rPr>
                <w:rFonts w:hint="eastAsia" w:eastAsia="仿宋_GB2312"/>
                <w:color w:val="000000"/>
                <w:sz w:val="20"/>
                <w:szCs w:val="20"/>
              </w:rPr>
              <w:t>%）</w:t>
            </w:r>
          </w:p>
        </w:tc>
        <w:tc>
          <w:tcPr>
            <w:tcW w:w="8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100%</w:t>
            </w:r>
          </w:p>
        </w:tc>
        <w:tc>
          <w:tcPr>
            <w:tcW w:w="85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79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5</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106"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满意度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服务对象满意度</w:t>
            </w:r>
          </w:p>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指标</w:t>
            </w: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指标1:</w:t>
            </w:r>
            <w:r>
              <w:rPr>
                <w:rFonts w:hint="eastAsia" w:eastAsia="仿宋_GB2312"/>
                <w:color w:val="000000"/>
                <w:sz w:val="20"/>
                <w:szCs w:val="20"/>
              </w:rPr>
              <w:t>移民</w:t>
            </w:r>
            <w:r>
              <w:rPr>
                <w:rFonts w:hint="eastAsia" w:ascii="宋体" w:hAnsi="宋体" w:cs="宋体"/>
                <w:color w:val="000000"/>
                <w:sz w:val="20"/>
                <w:szCs w:val="20"/>
              </w:rPr>
              <w:t>对</w:t>
            </w:r>
            <w:r>
              <w:rPr>
                <w:rFonts w:hint="eastAsia" w:ascii="MS Mincho" w:hAnsi="MS Mincho" w:eastAsia="MS Mincho" w:cs="MS Mincho"/>
                <w:color w:val="000000"/>
                <w:sz w:val="20"/>
                <w:szCs w:val="20"/>
              </w:rPr>
              <w:t>后期扶持政策</w:t>
            </w:r>
            <w:r>
              <w:rPr>
                <w:rFonts w:hint="eastAsia" w:ascii="宋体" w:hAnsi="宋体" w:cs="宋体"/>
                <w:color w:val="000000"/>
                <w:sz w:val="20"/>
                <w:szCs w:val="20"/>
              </w:rPr>
              <w:t>实</w:t>
            </w:r>
            <w:r>
              <w:rPr>
                <w:rFonts w:hint="eastAsia" w:ascii="MS Mincho" w:hAnsi="MS Mincho" w:eastAsia="MS Mincho" w:cs="MS Mincho"/>
                <w:color w:val="000000"/>
                <w:sz w:val="20"/>
                <w:szCs w:val="20"/>
              </w:rPr>
              <w:t>施</w:t>
            </w:r>
            <w:r>
              <w:rPr>
                <w:rFonts w:hint="eastAsia" w:ascii="宋体" w:hAnsi="宋体" w:cs="宋体"/>
                <w:color w:val="000000"/>
                <w:sz w:val="20"/>
                <w:szCs w:val="20"/>
              </w:rPr>
              <w:t>满</w:t>
            </w:r>
            <w:r>
              <w:rPr>
                <w:rFonts w:hint="eastAsia" w:ascii="MS Mincho" w:hAnsi="MS Mincho" w:eastAsia="MS Mincho" w:cs="MS Mincho"/>
                <w:color w:val="000000"/>
                <w:sz w:val="20"/>
                <w:szCs w:val="20"/>
              </w:rPr>
              <w:t>意度（</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85%</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4</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347" w:hRule="atLeast"/>
          <w:jc w:val="center"/>
        </w:trPr>
        <w:tc>
          <w:tcPr>
            <w:tcW w:w="1061"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指标2:</w:t>
            </w:r>
            <w:r>
              <w:rPr>
                <w:rFonts w:hint="eastAsia" w:eastAsia="仿宋_GB2312"/>
                <w:color w:val="000000"/>
                <w:sz w:val="20"/>
                <w:szCs w:val="20"/>
              </w:rPr>
              <w:t>与后期扶持有关的</w:t>
            </w:r>
            <w:r>
              <w:rPr>
                <w:rFonts w:hint="eastAsia" w:ascii="宋体" w:hAnsi="宋体" w:cs="宋体"/>
                <w:color w:val="000000"/>
                <w:sz w:val="20"/>
                <w:szCs w:val="20"/>
              </w:rPr>
              <w:t>进</w:t>
            </w:r>
            <w:r>
              <w:rPr>
                <w:rFonts w:hint="eastAsia" w:ascii="MS Mincho" w:hAnsi="MS Mincho" w:eastAsia="MS Mincho" w:cs="MS Mincho"/>
                <w:color w:val="000000"/>
                <w:sz w:val="20"/>
                <w:szCs w:val="20"/>
              </w:rPr>
              <w:t>京上</w:t>
            </w:r>
            <w:r>
              <w:rPr>
                <w:rFonts w:hint="eastAsia" w:ascii="宋体" w:hAnsi="宋体" w:cs="宋体"/>
                <w:color w:val="000000"/>
                <w:sz w:val="20"/>
                <w:szCs w:val="20"/>
              </w:rPr>
              <w:t>访</w:t>
            </w:r>
            <w:r>
              <w:rPr>
                <w:rFonts w:hint="eastAsia" w:ascii="MS Mincho" w:hAnsi="MS Mincho" w:eastAsia="MS Mincho" w:cs="MS Mincho"/>
                <w:color w:val="000000"/>
                <w:sz w:val="20"/>
                <w:szCs w:val="20"/>
              </w:rPr>
              <w:t>事件及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1265" w:hRule="atLeast"/>
          <w:jc w:val="center"/>
        </w:trPr>
        <w:tc>
          <w:tcPr>
            <w:tcW w:w="1061"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9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c>
          <w:tcPr>
            <w:tcW w:w="1916"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指标3:</w:t>
            </w:r>
            <w:r>
              <w:rPr>
                <w:rFonts w:hint="eastAsia" w:eastAsia="仿宋_GB2312"/>
                <w:color w:val="000000"/>
                <w:sz w:val="20"/>
                <w:szCs w:val="20"/>
              </w:rPr>
              <w:t>交</w:t>
            </w:r>
            <w:r>
              <w:rPr>
                <w:rFonts w:hint="eastAsia" w:ascii="宋体" w:hAnsi="宋体" w:cs="宋体"/>
                <w:color w:val="000000"/>
                <w:sz w:val="20"/>
                <w:szCs w:val="20"/>
              </w:rPr>
              <w:t>办</w:t>
            </w:r>
            <w:r>
              <w:rPr>
                <w:rFonts w:hint="eastAsia" w:ascii="MS Mincho" w:hAnsi="MS Mincho" w:eastAsia="MS Mincho" w:cs="MS Mincho"/>
                <w:color w:val="000000"/>
                <w:sz w:val="20"/>
                <w:szCs w:val="20"/>
              </w:rPr>
              <w:t>的信</w:t>
            </w:r>
            <w:r>
              <w:rPr>
                <w:rFonts w:hint="eastAsia" w:ascii="宋体" w:hAnsi="宋体" w:cs="宋体"/>
                <w:color w:val="000000"/>
                <w:sz w:val="20"/>
                <w:szCs w:val="20"/>
              </w:rPr>
              <w:t>访</w:t>
            </w:r>
            <w:r>
              <w:rPr>
                <w:rFonts w:hint="eastAsia" w:ascii="MS Mincho" w:hAnsi="MS Mincho" w:eastAsia="MS Mincho" w:cs="MS Mincho"/>
                <w:color w:val="000000"/>
                <w:sz w:val="20"/>
                <w:szCs w:val="20"/>
              </w:rPr>
              <w:t>事</w:t>
            </w:r>
            <w:r>
              <w:rPr>
                <w:rFonts w:hint="eastAsia" w:ascii="宋体" w:hAnsi="宋体" w:cs="宋体"/>
                <w:color w:val="000000"/>
                <w:sz w:val="20"/>
                <w:szCs w:val="20"/>
              </w:rPr>
              <w:t>项</w:t>
            </w:r>
            <w:r>
              <w:rPr>
                <w:rFonts w:hint="eastAsia" w:ascii="MS Mincho" w:hAnsi="MS Mincho" w:eastAsia="MS Mincho" w:cs="MS Mincho"/>
                <w:color w:val="000000"/>
                <w:sz w:val="20"/>
                <w:szCs w:val="20"/>
              </w:rPr>
              <w:t>及</w:t>
            </w:r>
            <w:r>
              <w:rPr>
                <w:rFonts w:hint="eastAsia" w:ascii="宋体" w:hAnsi="宋体" w:cs="宋体"/>
                <w:color w:val="000000"/>
                <w:sz w:val="20"/>
                <w:szCs w:val="20"/>
              </w:rPr>
              <w:t>时处</w:t>
            </w:r>
            <w:r>
              <w:rPr>
                <w:rFonts w:hint="eastAsia" w:ascii="MS Mincho" w:hAnsi="MS Mincho" w:eastAsia="MS Mincho" w:cs="MS Mincho"/>
                <w:color w:val="000000"/>
                <w:sz w:val="20"/>
                <w:szCs w:val="20"/>
              </w:rPr>
              <w:t>理率（</w:t>
            </w:r>
            <w:r>
              <w:rPr>
                <w:rFonts w:hint="eastAsia" w:eastAsia="仿宋_GB2312"/>
                <w:color w:val="000000"/>
                <w:sz w:val="20"/>
                <w:szCs w:val="20"/>
              </w:rPr>
              <w:t>%）</w:t>
            </w:r>
            <w:r>
              <w:rPr>
                <w:rFonts w:hint="default" w:eastAsia="仿宋_GB2312"/>
                <w:color w:val="000000"/>
                <w:sz w:val="20"/>
                <w:szCs w:val="20"/>
              </w:rPr>
              <w:t>…</w:t>
            </w:r>
          </w:p>
        </w:tc>
        <w:tc>
          <w:tcPr>
            <w:tcW w:w="88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eastAsia" w:eastAsiaTheme="minorEastAsia"/>
                <w:color w:val="000000"/>
                <w:sz w:val="20"/>
                <w:szCs w:val="20"/>
              </w:rPr>
              <w:t>100%</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3</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r>
        <w:tblPrEx>
          <w:tblCellMar>
            <w:top w:w="0" w:type="dxa"/>
            <w:left w:w="108" w:type="dxa"/>
            <w:bottom w:w="0" w:type="dxa"/>
            <w:right w:w="108" w:type="dxa"/>
          </w:tblCellMar>
        </w:tblPrEx>
        <w:trPr>
          <w:trHeight w:val="549" w:hRule="atLeast"/>
          <w:jc w:val="center"/>
        </w:trPr>
        <w:tc>
          <w:tcPr>
            <w:tcW w:w="6941" w:type="dxa"/>
            <w:gridSpan w:val="7"/>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总分</w:t>
            </w:r>
          </w:p>
        </w:tc>
        <w:tc>
          <w:tcPr>
            <w:tcW w:w="85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r>
              <w:rPr>
                <w:rFonts w:hint="default" w:eastAsia="仿宋_GB2312"/>
                <w:color w:val="000000"/>
                <w:sz w:val="20"/>
                <w:szCs w:val="20"/>
              </w:rPr>
              <w:t>100</w:t>
            </w:r>
          </w:p>
        </w:tc>
        <w:tc>
          <w:tcPr>
            <w:tcW w:w="795"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eastAsiaTheme="minorEastAsia"/>
                <w:color w:val="000000"/>
                <w:sz w:val="20"/>
                <w:szCs w:val="20"/>
              </w:rPr>
            </w:pPr>
            <w:r>
              <w:rPr>
                <w:rFonts w:hint="eastAsia" w:eastAsiaTheme="minorEastAsia"/>
                <w:color w:val="000000"/>
                <w:sz w:val="20"/>
                <w:szCs w:val="20"/>
              </w:rPr>
              <w:t>99</w:t>
            </w:r>
          </w:p>
        </w:tc>
        <w:tc>
          <w:tcPr>
            <w:tcW w:w="12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default" w:eastAsia="仿宋_GB2312"/>
                <w:color w:val="000000"/>
                <w:sz w:val="20"/>
                <w:szCs w:val="20"/>
              </w:rPr>
            </w:pPr>
          </w:p>
        </w:tc>
      </w:tr>
    </w:tbl>
    <w:p>
      <w:pPr>
        <w:jc w:val="both"/>
        <w:rPr>
          <w:rFonts w:hint="eastAsia" w:ascii="黑体" w:hAnsi="黑体" w:eastAsia="黑体" w:cs="黑体"/>
          <w:sz w:val="32"/>
          <w:szCs w:val="32"/>
        </w:rPr>
      </w:pPr>
      <w:r>
        <w:rPr>
          <w:rFonts w:hint="eastAsia" w:ascii="新宋体" w:hAnsi="新宋体" w:eastAsia="新宋体" w:cs="新宋体"/>
          <w:szCs w:val="21"/>
        </w:rPr>
        <w:t>备注：一个一级项目支出一张表。如，业务工作经费，运行维护经费，XX项目资金…各一张</w:t>
      </w:r>
    </w:p>
    <w:p>
      <w:pPr>
        <w:jc w:val="left"/>
        <w:outlineLvl w:val="0"/>
        <w:rPr>
          <w:rFonts w:hint="eastAsia" w:ascii="黑体" w:hAnsi="黑体" w:eastAsia="黑体" w:cs="黑体"/>
          <w:sz w:val="32"/>
          <w:szCs w:val="32"/>
        </w:rPr>
      </w:pPr>
    </w:p>
    <w:p>
      <w:pPr>
        <w:jc w:val="left"/>
        <w:outlineLvl w:val="0"/>
        <w:rPr>
          <w:rFonts w:hint="eastAsia" w:ascii="黑体" w:hAnsi="黑体" w:eastAsia="黑体" w:cs="黑体"/>
          <w:sz w:val="32"/>
          <w:szCs w:val="32"/>
        </w:r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华容县库区移民事务中心2022年度项目支出绩效自评表</w:t>
      </w:r>
    </w:p>
    <w:tbl>
      <w:tblPr>
        <w:tblStyle w:val="14"/>
        <w:tblW w:w="9851" w:type="dxa"/>
        <w:jc w:val="center"/>
        <w:tblLayout w:type="fixed"/>
        <w:tblCellMar>
          <w:top w:w="0" w:type="dxa"/>
          <w:left w:w="108" w:type="dxa"/>
          <w:bottom w:w="0" w:type="dxa"/>
          <w:right w:w="108" w:type="dxa"/>
        </w:tblCellMar>
      </w:tblPr>
      <w:tblGrid>
        <w:gridCol w:w="1080"/>
        <w:gridCol w:w="1080"/>
        <w:gridCol w:w="1080"/>
        <w:gridCol w:w="1224"/>
        <w:gridCol w:w="467"/>
        <w:gridCol w:w="975"/>
        <w:gridCol w:w="826"/>
        <w:gridCol w:w="162"/>
        <w:gridCol w:w="666"/>
        <w:gridCol w:w="873"/>
        <w:gridCol w:w="1418"/>
      </w:tblGrid>
      <w:tr>
        <w:tblPrEx>
          <w:tblCellMar>
            <w:top w:w="0" w:type="dxa"/>
            <w:left w:w="108" w:type="dxa"/>
            <w:bottom w:w="0" w:type="dxa"/>
            <w:right w:w="108" w:type="dxa"/>
          </w:tblCellMar>
        </w:tblPrEx>
        <w:trPr>
          <w:trHeight w:val="603"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项目支</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出名称</w:t>
            </w:r>
          </w:p>
        </w:tc>
        <w:tc>
          <w:tcPr>
            <w:tcW w:w="8771" w:type="dxa"/>
            <w:gridSpan w:val="10"/>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sz w:val="21"/>
                <w:szCs w:val="21"/>
              </w:rPr>
              <w:t>后扶结余项目</w:t>
            </w:r>
          </w:p>
        </w:tc>
      </w:tr>
      <w:tr>
        <w:tblPrEx>
          <w:tblCellMar>
            <w:top w:w="0" w:type="dxa"/>
            <w:left w:w="108" w:type="dxa"/>
            <w:bottom w:w="0" w:type="dxa"/>
            <w:right w:w="108" w:type="dxa"/>
          </w:tblCellMar>
        </w:tblPrEx>
        <w:trPr>
          <w:trHeight w:val="556" w:hRule="atLeast"/>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主管部门</w:t>
            </w:r>
          </w:p>
        </w:tc>
        <w:tc>
          <w:tcPr>
            <w:tcW w:w="4826"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库区移民中心</w:t>
            </w:r>
          </w:p>
        </w:tc>
        <w:tc>
          <w:tcPr>
            <w:tcW w:w="988" w:type="dxa"/>
            <w:gridSpan w:val="2"/>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实施单位</w:t>
            </w:r>
          </w:p>
        </w:tc>
        <w:tc>
          <w:tcPr>
            <w:tcW w:w="2957"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项目资金</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（万元）</w:t>
            </w: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年初</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全年</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预算数</w:t>
            </w:r>
          </w:p>
        </w:tc>
        <w:tc>
          <w:tcPr>
            <w:tcW w:w="988" w:type="dxa"/>
            <w:gridSpan w:val="2"/>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全年</w:t>
            </w:r>
          </w:p>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执行数</w:t>
            </w:r>
          </w:p>
        </w:tc>
        <w:tc>
          <w:tcPr>
            <w:tcW w:w="666"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分值</w:t>
            </w:r>
          </w:p>
        </w:tc>
        <w:tc>
          <w:tcPr>
            <w:tcW w:w="873"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执行率</w:t>
            </w:r>
          </w:p>
        </w:tc>
        <w:tc>
          <w:tcPr>
            <w:tcW w:w="1418"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sz w:val="21"/>
                <w:szCs w:val="21"/>
              </w:rPr>
            </w:pPr>
            <w:r>
              <w:rPr>
                <w:rFonts w:hint="eastAsia" w:ascii="宋体" w:hAnsi="宋体" w:eastAsia="宋体" w:cs="宋体"/>
                <w:sz w:val="21"/>
                <w:szCs w:val="21"/>
              </w:rPr>
              <w:t>得分</w:t>
            </w:r>
          </w:p>
        </w:tc>
      </w:tr>
      <w:tr>
        <w:tblPrEx>
          <w:tblCellMar>
            <w:top w:w="0" w:type="dxa"/>
            <w:left w:w="108" w:type="dxa"/>
            <w:bottom w:w="0" w:type="dxa"/>
            <w:right w:w="108" w:type="dxa"/>
          </w:tblCellMar>
        </w:tblPrEx>
        <w:trPr>
          <w:trHeight w:val="38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年度资金总额</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420</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CellMar>
            <w:top w:w="0" w:type="dxa"/>
            <w:left w:w="108" w:type="dxa"/>
            <w:bottom w:w="0" w:type="dxa"/>
            <w:right w:w="108" w:type="dxa"/>
          </w:tblCellMar>
        </w:tblPrEx>
        <w:trPr>
          <w:trHeight w:val="409"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其中：当年财政拨款</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0</w:t>
            </w: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327.71</w:t>
            </w: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tblPrEx>
          <w:tblCellMar>
            <w:top w:w="0" w:type="dxa"/>
            <w:left w:w="108" w:type="dxa"/>
            <w:bottom w:w="0" w:type="dxa"/>
            <w:right w:w="108" w:type="dxa"/>
          </w:tblCellMar>
        </w:tblPrEx>
        <w:trPr>
          <w:trHeight w:val="415"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上年结转资金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2160"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630" w:firstLineChars="300"/>
              <w:jc w:val="left"/>
              <w:rPr>
                <w:rFonts w:hint="eastAsia" w:ascii="宋体" w:hAnsi="宋体" w:eastAsia="宋体" w:cs="宋体"/>
                <w:color w:val="000000"/>
                <w:sz w:val="21"/>
                <w:szCs w:val="21"/>
              </w:rPr>
            </w:pPr>
            <w:r>
              <w:rPr>
                <w:rFonts w:hint="eastAsia" w:ascii="宋体" w:hAnsi="宋体" w:eastAsia="宋体" w:cs="宋体"/>
                <w:color w:val="000000"/>
                <w:sz w:val="21"/>
                <w:szCs w:val="21"/>
              </w:rPr>
              <w:t>其他资金</w:t>
            </w:r>
          </w:p>
        </w:tc>
        <w:tc>
          <w:tcPr>
            <w:tcW w:w="122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442"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98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66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437"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年度总体目标</w:t>
            </w:r>
          </w:p>
        </w:tc>
        <w:tc>
          <w:tcPr>
            <w:tcW w:w="4826"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预期目标</w:t>
            </w:r>
          </w:p>
        </w:tc>
        <w:tc>
          <w:tcPr>
            <w:tcW w:w="3945" w:type="dxa"/>
            <w:gridSpan w:val="5"/>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4826" w:type="dxa"/>
            <w:gridSpan w:val="5"/>
            <w:tcBorders>
              <w:top w:val="single" w:color="auto" w:sz="4" w:space="0"/>
              <w:left w:val="nil"/>
              <w:bottom w:val="single" w:color="auto" w:sz="4" w:space="0"/>
              <w:right w:val="single" w:color="000000" w:sz="4" w:space="0"/>
            </w:tcBorders>
            <w:vAlign w:val="center"/>
          </w:tcPr>
          <w:p>
            <w:pPr>
              <w:keepNext w:val="0"/>
              <w:keepLines w:val="0"/>
              <w:suppressLineNumbers w:val="0"/>
              <w:spacing w:before="0" w:beforeAutospacing="0" w:after="0" w:afterAutospacing="0"/>
              <w:ind w:left="0" w:righ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加强水库移民后期扶持资金支出管理，提高财政资金使用效益。</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3945" w:type="dxa"/>
            <w:gridSpan w:val="5"/>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完成2022年后扶基金专项</w:t>
            </w:r>
            <w:r>
              <w:rPr>
                <w:rFonts w:hint="eastAsia" w:ascii="宋体" w:hAnsi="宋体" w:eastAsia="宋体" w:cs="宋体"/>
                <w:color w:val="000000" w:themeColor="text1"/>
                <w:sz w:val="21"/>
                <w:szCs w:val="21"/>
                <w:lang w:val="en-US" w:eastAsia="zh-CN"/>
                <w14:textFill>
                  <w14:solidFill>
                    <w14:schemeClr w14:val="tx1"/>
                  </w14:solidFill>
                </w14:textFill>
              </w:rPr>
              <w:t>327.71</w:t>
            </w:r>
            <w:r>
              <w:rPr>
                <w:rFonts w:hint="eastAsia" w:ascii="宋体" w:hAnsi="宋体" w:eastAsia="宋体" w:cs="宋体"/>
                <w:color w:val="000000" w:themeColor="text1"/>
                <w:sz w:val="21"/>
                <w:szCs w:val="21"/>
                <w14:textFill>
                  <w14:solidFill>
                    <w14:schemeClr w14:val="tx1"/>
                  </w14:solidFill>
                </w14:textFill>
              </w:rPr>
              <w:t>万元</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资金完成率100%</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后期扶持受益移民人口3251人。</w:t>
            </w:r>
          </w:p>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702" w:hRule="atLeast"/>
          <w:jc w:val="center"/>
        </w:trPr>
        <w:tc>
          <w:tcPr>
            <w:tcW w:w="1080"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绩</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一级指标</w:t>
            </w:r>
          </w:p>
        </w:tc>
        <w:tc>
          <w:tcPr>
            <w:tcW w:w="10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二级指标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三级指标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年度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指标值</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实际</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完成值</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分值</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得分</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产出指标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trHeight w:val="89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社会事业基础设施（个）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trHeight w:val="62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质量指标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指标1:基础设施建设项目（100%））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trHeight w:val="71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w:t>
            </w:r>
            <w:r>
              <w:rPr>
                <w:rFonts w:hint="eastAsia" w:ascii="宋体" w:hAnsi="宋体" w:eastAsia="宋体" w:cs="宋体"/>
                <w:sz w:val="21"/>
                <w:szCs w:val="21"/>
              </w:rPr>
              <w:t xml:space="preserve"> </w:t>
            </w:r>
            <w:r>
              <w:rPr>
                <w:rFonts w:hint="eastAsia" w:ascii="宋体" w:hAnsi="宋体" w:eastAsia="宋体" w:cs="宋体"/>
                <w:color w:val="000000"/>
                <w:sz w:val="21"/>
                <w:szCs w:val="21"/>
              </w:rPr>
              <w:t>社会事业基础设（100%）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trHeight w:val="86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w:t>
            </w:r>
            <w:r>
              <w:rPr>
                <w:rFonts w:hint="eastAsia" w:ascii="宋体" w:hAnsi="宋体" w:eastAsia="宋体" w:cs="宋体"/>
                <w:sz w:val="21"/>
                <w:szCs w:val="21"/>
              </w:rPr>
              <w:t xml:space="preserve"> </w:t>
            </w:r>
            <w:r>
              <w:rPr>
                <w:rFonts w:hint="eastAsia" w:ascii="宋体" w:hAnsi="宋体" w:eastAsia="宋体" w:cs="宋体"/>
                <w:color w:val="000000"/>
                <w:sz w:val="21"/>
                <w:szCs w:val="21"/>
              </w:rPr>
              <w:t>生产开发项目（100%）</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时效指标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指标1:项目资金按时拨付率（%）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指标2:截至2022年底，项目资金完成率（%）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指标3:截至2023年3月底，项目资金完成率（%）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　</w:t>
            </w:r>
          </w:p>
        </w:tc>
      </w:tr>
      <w:tr>
        <w:tblPrEx>
          <w:tblCellMar>
            <w:top w:w="0" w:type="dxa"/>
            <w:left w:w="108" w:type="dxa"/>
            <w:bottom w:w="0" w:type="dxa"/>
            <w:right w:w="108" w:type="dxa"/>
          </w:tblCellMar>
        </w:tblPrEx>
        <w:trPr>
          <w:trHeight w:val="770"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成本指标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指标1:项目资金标准符合率（%）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firstLine="210" w:firstLineChars="10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指标2:项目支出控制在批复的预算范围内的项目比例（%）</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1259"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效益指标</w:t>
            </w:r>
          </w:p>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r>
              <w:rPr>
                <w:rFonts w:hint="eastAsia" w:ascii="宋体" w:hAnsi="宋体" w:eastAsia="宋体" w:cs="宋体"/>
                <w:color w:val="000000"/>
                <w:sz w:val="21"/>
                <w:szCs w:val="21"/>
              </w:rPr>
              <w:t>（30分）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经济效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指标1:增加移民人均可支配收入（元）</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1773</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1955</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指标2:提高移民收入占当地农村居民收入比例（%）</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1.11%</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社会效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指标1:增加达到当地县农村居民平均收入水平移民人口（人）</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267</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1003"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生态效</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益指标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指标1:建成美丽移民村（个）</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可持续</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影响指标</w:t>
            </w:r>
          </w:p>
        </w:tc>
        <w:tc>
          <w:tcPr>
            <w:tcW w:w="16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指标1:已建工程项目良性运行比例（%）</w:t>
            </w:r>
          </w:p>
        </w:tc>
        <w:tc>
          <w:tcPr>
            <w:tcW w:w="9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936"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满意度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（10分）</w:t>
            </w:r>
          </w:p>
        </w:tc>
        <w:tc>
          <w:tcPr>
            <w:tcW w:w="1080" w:type="dxa"/>
            <w:vMerge w:val="restart"/>
            <w:tcBorders>
              <w:top w:val="nil"/>
              <w:left w:val="nil"/>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服务对象满意度</w:t>
            </w:r>
          </w:p>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指标1:移民对后期扶持政策实施满意度（%）</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85%</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1109" w:hRule="atLeast"/>
          <w:jc w:val="center"/>
        </w:trPr>
        <w:tc>
          <w:tcPr>
            <w:tcW w:w="108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right w:val="single" w:color="auto" w:sz="4" w:space="0"/>
            </w:tcBorders>
            <w:vAlign w:val="center"/>
          </w:tcPr>
          <w:p>
            <w:pPr>
              <w:keepNext w:val="0"/>
              <w:keepLines w:val="0"/>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指标2:与后期扶持有关的进京上访事件及时处理率（%）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922"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left"/>
              <w:rPr>
                <w:rFonts w:hint="eastAsia" w:ascii="宋体" w:hAnsi="宋体" w:eastAsia="宋体" w:cs="宋体"/>
                <w:color w:val="000000"/>
                <w:sz w:val="21"/>
                <w:szCs w:val="21"/>
              </w:rPr>
            </w:pPr>
          </w:p>
        </w:tc>
        <w:tc>
          <w:tcPr>
            <w:tcW w:w="108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c>
          <w:tcPr>
            <w:tcW w:w="1691"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指标3:交办的信访事项及时处理率（%）…</w:t>
            </w:r>
          </w:p>
        </w:tc>
        <w:tc>
          <w:tcPr>
            <w:tcW w:w="97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549" w:hRule="atLeast"/>
          <w:jc w:val="center"/>
        </w:trPr>
        <w:tc>
          <w:tcPr>
            <w:tcW w:w="6732" w:type="dxa"/>
            <w:gridSpan w:val="7"/>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总分</w:t>
            </w:r>
          </w:p>
        </w:tc>
        <w:tc>
          <w:tcPr>
            <w:tcW w:w="828"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c>
          <w:tcPr>
            <w:tcW w:w="87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99</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60" w:lineRule="exact"/>
              <w:ind w:left="0" w:right="0"/>
              <w:jc w:val="center"/>
              <w:rPr>
                <w:rFonts w:hint="eastAsia" w:ascii="宋体" w:hAnsi="宋体" w:eastAsia="宋体" w:cs="宋体"/>
                <w:color w:val="000000"/>
                <w:sz w:val="21"/>
                <w:szCs w:val="21"/>
              </w:rPr>
            </w:pPr>
          </w:p>
        </w:tc>
      </w:tr>
    </w:tbl>
    <w:p>
      <w:pPr>
        <w:rPr>
          <w:rFonts w:hint="eastAsia" w:ascii="宋体" w:hAnsi="宋体" w:eastAsia="宋体" w:cs="宋体"/>
          <w:sz w:val="21"/>
          <w:szCs w:val="21"/>
        </w:rPr>
      </w:pPr>
      <w:r>
        <w:rPr>
          <w:rFonts w:hint="eastAsia" w:ascii="宋体" w:hAnsi="宋体" w:eastAsia="宋体" w:cs="宋体"/>
          <w:sz w:val="21"/>
          <w:szCs w:val="21"/>
        </w:rPr>
        <w:t>备注：一个一级项目支出一张表。如，业务工作经费，运行维护经费，XX项目资金…各一张表。</w:t>
      </w:r>
    </w:p>
    <w:p>
      <w:pPr>
        <w:rPr>
          <w:rFonts w:hint="eastAsia"/>
          <w:lang w:val="en-US" w:eastAsia="zh-CN"/>
        </w:rPr>
      </w:pPr>
    </w:p>
    <w:p/>
    <w:p>
      <w:pPr>
        <w:pStyle w:val="2"/>
        <w:rPr>
          <w:rFonts w:hint="default"/>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方正小标宋简体" w:hAnsi="方正小标宋简体" w:eastAsia="方正小标宋简体" w:cs="方正小标宋简体"/>
          <w:sz w:val="44"/>
          <w:szCs w:val="44"/>
        </w:rPr>
      </w:pPr>
      <w:r>
        <w:rPr>
          <w:rFonts w:hint="eastAsia" w:ascii="宋体" w:hAnsi="宋体" w:eastAsia="宋体" w:cs="宋体"/>
          <w:sz w:val="44"/>
          <w:szCs w:val="44"/>
        </w:rPr>
        <w:t>附件</w:t>
      </w:r>
      <w:r>
        <w:rPr>
          <w:rFonts w:hint="eastAsia" w:ascii="宋体" w:hAnsi="宋体" w:eastAsia="宋体" w:cs="宋体"/>
          <w:sz w:val="44"/>
          <w:szCs w:val="44"/>
          <w:lang w:val="en-US" w:eastAsia="zh-CN"/>
        </w:rPr>
        <w:t>6</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库区移民中心</w:t>
      </w:r>
      <w:r>
        <w:rPr>
          <w:rFonts w:hint="eastAsia" w:ascii="方正小标宋简体" w:hAnsi="方正小标宋简体" w:eastAsia="方正小标宋简体" w:cs="方正小标宋简体"/>
          <w:sz w:val="44"/>
          <w:szCs w:val="44"/>
        </w:rPr>
        <w:t>（单位）</w:t>
      </w:r>
      <w:r>
        <w:rPr>
          <w:rFonts w:hint="eastAsia" w:ascii="方正小标宋简体" w:hAnsi="方正小标宋简体" w:eastAsia="方正小标宋简体" w:cs="方正小标宋简体"/>
          <w:sz w:val="44"/>
          <w:szCs w:val="44"/>
          <w:lang w:val="en-US" w:eastAsia="zh-CN"/>
        </w:rPr>
        <w:t>后扶基金、后扶结余</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asciiTheme="minorEastAsia" w:hAnsiTheme="minorEastAsia"/>
          <w:b/>
          <w:sz w:val="36"/>
          <w:szCs w:val="36"/>
        </w:rPr>
      </w:pPr>
      <w:r>
        <w:rPr>
          <w:rFonts w:hint="default" w:ascii="Times New Roman" w:hAnsi="Times New Roman" w:eastAsia="仿宋_GB2312" w:cs="Times New Roman"/>
          <w:sz w:val="32"/>
          <w:szCs w:val="32"/>
        </w:rPr>
        <w:br w:type="page"/>
      </w:r>
      <w:r>
        <w:rPr>
          <w:rFonts w:hint="eastAsia" w:asciiTheme="minorEastAsia" w:hAnsiTheme="minorEastAsia"/>
          <w:b/>
          <w:sz w:val="36"/>
          <w:szCs w:val="36"/>
        </w:rPr>
        <w:t>华容县2022年水库移民</w:t>
      </w:r>
    </w:p>
    <w:p>
      <w:pPr>
        <w:spacing w:line="700" w:lineRule="exact"/>
        <w:ind w:firstLine="641"/>
        <w:jc w:val="center"/>
        <w:rPr>
          <w:rFonts w:cs="仿宋" w:asciiTheme="minorEastAsia" w:hAnsiTheme="minorEastAsia"/>
          <w:b/>
          <w:color w:val="000000" w:themeColor="text1"/>
          <w:sz w:val="36"/>
          <w:szCs w:val="36"/>
          <w14:textFill>
            <w14:solidFill>
              <w14:schemeClr w14:val="tx1"/>
            </w14:solidFill>
          </w14:textFill>
        </w:rPr>
      </w:pPr>
      <w:r>
        <w:rPr>
          <w:rFonts w:hint="eastAsia" w:asciiTheme="minorEastAsia" w:hAnsiTheme="minorEastAsia"/>
          <w:b/>
          <w:sz w:val="36"/>
          <w:szCs w:val="36"/>
        </w:rPr>
        <w:t>后扶基金、后扶结余移民资金</w:t>
      </w:r>
      <w:r>
        <w:rPr>
          <w:rFonts w:hint="eastAsia" w:asciiTheme="minorEastAsia" w:hAnsiTheme="minorEastAsia" w:cstheme="majorEastAsia"/>
          <w:b/>
          <w:bCs/>
          <w:color w:val="000000" w:themeColor="text1"/>
          <w:sz w:val="36"/>
          <w:szCs w:val="36"/>
          <w14:textFill>
            <w14:solidFill>
              <w14:schemeClr w14:val="tx1"/>
            </w14:solidFill>
          </w14:textFill>
        </w:rPr>
        <w:t>绩效自评报告</w:t>
      </w:r>
    </w:p>
    <w:p>
      <w:pPr>
        <w:ind w:firstLine="600" w:firstLineChars="200"/>
        <w:rPr>
          <w:rFonts w:hint="eastAsia" w:ascii="仿宋" w:hAnsi="仿宋" w:eastAsia="仿宋" w:cs="仿宋"/>
          <w:color w:val="000000" w:themeColor="text1"/>
          <w:sz w:val="30"/>
          <w:szCs w:val="30"/>
          <w14:textFill>
            <w14:solidFill>
              <w14:schemeClr w14:val="tx1"/>
            </w14:solidFill>
          </w14:textFill>
        </w:rPr>
      </w:pPr>
    </w:p>
    <w:p>
      <w:pPr>
        <w:ind w:firstLine="600" w:firstLineChars="200"/>
        <w:rPr>
          <w:rFonts w:hint="eastAsia" w:cs="仿宋" w:asciiTheme="minorEastAsia" w:hAnsiTheme="minorEastAsia"/>
          <w:color w:val="000000" w:themeColor="text1"/>
          <w:kern w:val="0"/>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华容县位于湖南北陲，北倚长江，南濒洞庭，全县总面积</w:t>
      </w:r>
      <w:r>
        <w:rPr>
          <w:rFonts w:cs="仿宋" w:asciiTheme="minorEastAsia" w:hAnsiTheme="minorEastAsia"/>
          <w:color w:val="000000" w:themeColor="text1"/>
          <w:sz w:val="30"/>
          <w:szCs w:val="30"/>
          <w14:textFill>
            <w14:solidFill>
              <w14:schemeClr w14:val="tx1"/>
            </w14:solidFill>
          </w14:textFill>
        </w:rPr>
        <w:t>1642</w:t>
      </w:r>
      <w:r>
        <w:rPr>
          <w:rFonts w:hint="eastAsia" w:cs="仿宋" w:asciiTheme="minorEastAsia" w:hAnsiTheme="minorEastAsia"/>
          <w:color w:val="000000" w:themeColor="text1"/>
          <w:sz w:val="30"/>
          <w:szCs w:val="30"/>
          <w14:textFill>
            <w14:solidFill>
              <w14:schemeClr w14:val="tx1"/>
            </w14:solidFill>
          </w14:textFill>
        </w:rPr>
        <w:t>平方公里，辖</w:t>
      </w:r>
      <w:r>
        <w:rPr>
          <w:rFonts w:cs="仿宋" w:asciiTheme="minorEastAsia" w:hAnsiTheme="minorEastAsia"/>
          <w:color w:val="000000" w:themeColor="text1"/>
          <w:sz w:val="30"/>
          <w:szCs w:val="30"/>
          <w14:textFill>
            <w14:solidFill>
              <w14:schemeClr w14:val="tx1"/>
            </w14:solidFill>
          </w14:textFill>
        </w:rPr>
        <w:t>14</w:t>
      </w:r>
      <w:r>
        <w:rPr>
          <w:rFonts w:hint="eastAsia" w:cs="仿宋" w:asciiTheme="minorEastAsia" w:hAnsiTheme="minorEastAsia"/>
          <w:color w:val="000000" w:themeColor="text1"/>
          <w:sz w:val="30"/>
          <w:szCs w:val="30"/>
          <w14:textFill>
            <w14:solidFill>
              <w14:schemeClr w14:val="tx1"/>
            </w14:solidFill>
          </w14:textFill>
        </w:rPr>
        <w:t>个乡镇。境内现有华一水库、东山水库和北汊水库等中型水库3座。截至20</w:t>
      </w:r>
      <w:r>
        <w:rPr>
          <w:rFonts w:cs="仿宋" w:asciiTheme="minorEastAsia" w:hAnsiTheme="minorEastAsia"/>
          <w:color w:val="000000" w:themeColor="text1"/>
          <w:sz w:val="30"/>
          <w:szCs w:val="30"/>
          <w14:textFill>
            <w14:solidFill>
              <w14:schemeClr w14:val="tx1"/>
            </w14:solidFill>
          </w14:textFill>
        </w:rPr>
        <w:t>2</w:t>
      </w:r>
      <w:r>
        <w:rPr>
          <w:rFonts w:hint="eastAsia" w:cs="仿宋" w:asciiTheme="minorEastAsia" w:hAnsiTheme="minorEastAsia"/>
          <w:color w:val="000000" w:themeColor="text1"/>
          <w:sz w:val="30"/>
          <w:szCs w:val="30"/>
          <w14:textFill>
            <w14:solidFill>
              <w14:schemeClr w14:val="tx1"/>
            </w14:solidFill>
          </w14:textFill>
        </w:rPr>
        <w:t>2年底，华容县核定的后扶人口指标为</w:t>
      </w:r>
      <w:r>
        <w:rPr>
          <w:rFonts w:cs="仿宋" w:asciiTheme="minorEastAsia" w:hAnsiTheme="minorEastAsia"/>
          <w:color w:val="000000" w:themeColor="text1"/>
          <w:sz w:val="30"/>
          <w:szCs w:val="30"/>
          <w14:textFill>
            <w14:solidFill>
              <w14:schemeClr w14:val="tx1"/>
            </w14:solidFill>
          </w14:textFill>
        </w:rPr>
        <w:t>10897</w:t>
      </w:r>
      <w:r>
        <w:rPr>
          <w:rFonts w:hint="eastAsia" w:cs="仿宋" w:asciiTheme="minorEastAsia" w:hAnsiTheme="minorEastAsia"/>
          <w:color w:val="000000" w:themeColor="text1"/>
          <w:sz w:val="30"/>
          <w:szCs w:val="30"/>
          <w14:textFill>
            <w14:solidFill>
              <w14:schemeClr w14:val="tx1"/>
            </w14:solidFill>
          </w14:textFill>
        </w:rPr>
        <w:t>人，其中：三峡库区外迁移民617人，自主迁入我县大中型水库移民496人，本县3座中型水库移民9784人；移民分布在全县14个乡镇、115个村场。</w:t>
      </w:r>
    </w:p>
    <w:p>
      <w:pPr>
        <w:ind w:firstLine="602" w:firstLineChars="200"/>
        <w:rPr>
          <w:rFonts w:cs="宋体" w:asciiTheme="minorEastAsia" w:hAnsiTheme="minorEastAsia"/>
          <w:b/>
          <w:bCs/>
          <w:color w:val="000000" w:themeColor="text1"/>
          <w:sz w:val="30"/>
          <w:szCs w:val="30"/>
          <w14:textFill>
            <w14:solidFill>
              <w14:schemeClr w14:val="tx1"/>
            </w14:solidFill>
          </w14:textFill>
        </w:rPr>
      </w:pPr>
      <w:r>
        <w:rPr>
          <w:rFonts w:hint="eastAsia" w:cs="宋体" w:asciiTheme="minorEastAsia" w:hAnsiTheme="minorEastAsia"/>
          <w:b/>
          <w:bCs/>
          <w:color w:val="000000" w:themeColor="text1"/>
          <w:sz w:val="30"/>
          <w:szCs w:val="30"/>
          <w14:textFill>
            <w14:solidFill>
              <w14:schemeClr w14:val="tx1"/>
            </w14:solidFill>
          </w14:textFill>
        </w:rPr>
        <w:t>一、基本情况</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（一）项目概况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2022年上级共下达我县水库移民资金584.77万元，其中：后扶基金专项257.06万元、后扶结余项目327.71万元。主要建设内容:</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一是后扶基金专项计划13个，资金270.86万元。①移民直补资金195.06万元，项目1个，发放移民直补人口3251人；②移民劳动力培训项目8个，资金40.8万元，培训移民531人次；③其他项目4个，资金35</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水库移民应急处理10万元、移民困难救助8万元、移民升学奖励3万元、</w:t>
      </w:r>
      <w:r>
        <w:rPr>
          <w:rFonts w:cs="仿宋" w:asciiTheme="minorEastAsia" w:hAnsiTheme="minorEastAsia"/>
          <w:color w:val="000000" w:themeColor="text1"/>
          <w:sz w:val="30"/>
          <w:szCs w:val="30"/>
          <w14:textFill>
            <w14:solidFill>
              <w14:schemeClr w14:val="tx1"/>
            </w14:solidFill>
          </w14:textFill>
        </w:rPr>
        <w:t>监测评估费</w:t>
      </w:r>
      <w:r>
        <w:rPr>
          <w:rFonts w:hint="eastAsia" w:cs="仿宋" w:asciiTheme="minorEastAsia" w:hAnsiTheme="minorEastAsia"/>
          <w:color w:val="000000" w:themeColor="text1"/>
          <w:sz w:val="30"/>
          <w:szCs w:val="30"/>
          <w14:textFill>
            <w14:solidFill>
              <w14:schemeClr w14:val="tx1"/>
            </w14:solidFill>
          </w14:textFill>
        </w:rPr>
        <w:t>14</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二是后扶结余项目计划12个，资金420万元。①</w:t>
      </w:r>
      <w:r>
        <w:rPr>
          <w:rFonts w:hint="eastAsia" w:cs="Times New Roman" w:asciiTheme="minorEastAsia" w:hAnsiTheme="minorEastAsia"/>
          <w:sz w:val="30"/>
          <w:szCs w:val="30"/>
        </w:rPr>
        <w:t>基础设施建设项目6个，资金162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②</w:t>
      </w:r>
      <w:r>
        <w:rPr>
          <w:rFonts w:hint="eastAsia" w:cs="Times New Roman" w:asciiTheme="minorEastAsia" w:hAnsiTheme="minorEastAsia"/>
          <w:sz w:val="30"/>
          <w:szCs w:val="30"/>
        </w:rPr>
        <w:t>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asciiTheme="minorEastAsia" w:hAnsiTheme="minorEastAsia"/>
          <w:sz w:val="30"/>
          <w:szCs w:val="30"/>
        </w:rPr>
        <w:t>；</w:t>
      </w:r>
      <w:r>
        <w:rPr>
          <w:rFonts w:hint="eastAsia" w:cs="仿宋" w:asciiTheme="minorEastAsia" w:hAnsiTheme="minorEastAsia"/>
          <w:color w:val="000000" w:themeColor="text1"/>
          <w:sz w:val="30"/>
          <w:szCs w:val="30"/>
          <w14:textFill>
            <w14:solidFill>
              <w14:schemeClr w14:val="tx1"/>
            </w14:solidFill>
          </w14:textFill>
        </w:rPr>
        <w:t>③</w:t>
      </w:r>
      <w:r>
        <w:rPr>
          <w:rFonts w:hint="eastAsia" w:cs="Times New Roman" w:asciiTheme="minorEastAsia" w:hAnsiTheme="minorEastAsia"/>
          <w:sz w:val="30"/>
          <w:szCs w:val="30"/>
        </w:rPr>
        <w:t>移民产业发展项目4个，资金212.00万元。</w:t>
      </w:r>
    </w:p>
    <w:p>
      <w:pPr>
        <w:spacing w:beforeLines="100"/>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2、绩效目标</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我县2022年中央水库移民扶持基金绩效目标任务584.77万元。其中：后扶基金专项257.06万元、后扶结余项目327.71万元。</w:t>
      </w:r>
    </w:p>
    <w:p>
      <w:pPr>
        <w:spacing w:beforeLines="100"/>
        <w:ind w:firstLine="602" w:firstLineChars="200"/>
        <w:rPr>
          <w:rFonts w:cs="宋体" w:asciiTheme="minorEastAsia" w:hAnsiTheme="minorEastAsia"/>
          <w:b/>
          <w:bCs/>
          <w:color w:val="000000" w:themeColor="text1"/>
          <w:sz w:val="30"/>
          <w:szCs w:val="30"/>
          <w14:textFill>
            <w14:solidFill>
              <w14:schemeClr w14:val="tx1"/>
            </w14:solidFill>
          </w14:textFill>
        </w:rPr>
      </w:pPr>
      <w:r>
        <w:rPr>
          <w:rFonts w:hint="eastAsia" w:cs="宋体" w:asciiTheme="minorEastAsia" w:hAnsiTheme="minorEastAsia"/>
          <w:b/>
          <w:bCs/>
          <w:color w:val="000000" w:themeColor="text1"/>
          <w:sz w:val="30"/>
          <w:szCs w:val="30"/>
          <w14:textFill>
            <w14:solidFill>
              <w14:schemeClr w14:val="tx1"/>
            </w14:solidFill>
          </w14:textFill>
        </w:rPr>
        <w:t>二、绩效管理工作开展情况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（一）绩效评价的目的、对象和范围</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绩效评价</w:t>
      </w:r>
      <w:r>
        <w:rPr>
          <w:rFonts w:hint="eastAsia" w:asciiTheme="minorEastAsia" w:hAnsiTheme="minorEastAsia"/>
          <w:sz w:val="30"/>
          <w:szCs w:val="30"/>
        </w:rPr>
        <w:t>目的是为了加强水库移民后期扶持资金支出管理，提高财政资金使用效益。</w:t>
      </w:r>
    </w:p>
    <w:p>
      <w:pPr>
        <w:ind w:firstLine="602" w:firstLineChars="200"/>
        <w:rPr>
          <w:rFonts w:cs="仿宋" w:asciiTheme="minorEastAsia" w:hAnsiTheme="minorEastAsia"/>
          <w:b/>
          <w:color w:val="000000" w:themeColor="text1"/>
          <w:sz w:val="30"/>
          <w:szCs w:val="30"/>
          <w14:textFill>
            <w14:solidFill>
              <w14:schemeClr w14:val="tx1"/>
            </w14:solidFill>
          </w14:textFill>
        </w:rPr>
      </w:pPr>
      <w:r>
        <w:rPr>
          <w:rFonts w:hint="eastAsia" w:cs="仿宋" w:asciiTheme="minorEastAsia" w:hAnsiTheme="minorEastAsia"/>
          <w:b/>
          <w:color w:val="000000" w:themeColor="text1"/>
          <w:sz w:val="30"/>
          <w:szCs w:val="30"/>
          <w14:textFill>
            <w14:solidFill>
              <w14:schemeClr w14:val="tx1"/>
            </w14:solidFill>
          </w14:textFill>
        </w:rPr>
        <w:t>三、综合评价情况</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截至2</w:t>
      </w:r>
      <w:r>
        <w:rPr>
          <w:rFonts w:cs="仿宋" w:asciiTheme="minorEastAsia" w:hAnsiTheme="minorEastAsia"/>
          <w:color w:val="000000" w:themeColor="text1"/>
          <w:sz w:val="30"/>
          <w:szCs w:val="30"/>
          <w14:textFill>
            <w14:solidFill>
              <w14:schemeClr w14:val="tx1"/>
            </w14:solidFill>
          </w14:textFill>
        </w:rPr>
        <w:t>022年</w:t>
      </w:r>
      <w:r>
        <w:rPr>
          <w:rFonts w:hint="eastAsia" w:cs="仿宋" w:asciiTheme="minorEastAsia" w:hAnsiTheme="minorEastAsia"/>
          <w:color w:val="000000" w:themeColor="text1"/>
          <w:sz w:val="30"/>
          <w:szCs w:val="30"/>
          <w14:textFill>
            <w14:solidFill>
              <w14:schemeClr w14:val="tx1"/>
            </w14:solidFill>
          </w14:textFill>
        </w:rPr>
        <w:t>3月3</w:t>
      </w:r>
      <w:r>
        <w:rPr>
          <w:rFonts w:cs="仿宋" w:asciiTheme="minorEastAsia" w:hAnsiTheme="minorEastAsia"/>
          <w:color w:val="000000" w:themeColor="text1"/>
          <w:sz w:val="30"/>
          <w:szCs w:val="30"/>
          <w14:textFill>
            <w14:solidFill>
              <w14:schemeClr w14:val="tx1"/>
            </w14:solidFill>
          </w14:textFill>
        </w:rPr>
        <w:t>1日，</w:t>
      </w:r>
      <w:r>
        <w:rPr>
          <w:rFonts w:hint="eastAsia" w:cs="仿宋" w:asciiTheme="minorEastAsia" w:hAnsiTheme="minorEastAsia"/>
          <w:color w:val="000000" w:themeColor="text1"/>
          <w:sz w:val="30"/>
          <w:szCs w:val="30"/>
          <w14:textFill>
            <w14:solidFill>
              <w14:schemeClr w14:val="tx1"/>
            </w14:solidFill>
          </w14:textFill>
        </w:rPr>
        <w:t>我县共完成2022年中央水库移民扶持基金拨付584.77万元（其中：后扶基金专项257.06万元、后扶结余项目327.71万元），资金完成率100%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项目支出控制在批复预算范围内的项目比例为1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后期扶持受益移民人口3251人。</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（一）后扶基金专项综合评价：</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一是累计发放移民直补资金195.06万元，人口3251人，项目1个，直补资金按时发放率为100%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直补资金标准符合率为1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二是累计完成①移民劳动力培训项目8个，拨付资金40.8万元，资金拨付率为100%</w:t>
      </w:r>
      <w:r>
        <w:rPr>
          <w:rFonts w:cs="仿宋" w:asciiTheme="minorEastAsia" w:hAnsiTheme="minorEastAsia"/>
          <w:color w:val="000000" w:themeColor="text1"/>
          <w:sz w:val="30"/>
          <w:szCs w:val="30"/>
          <w14:textFill>
            <w14:solidFill>
              <w14:schemeClr w14:val="tx1"/>
            </w14:solidFill>
          </w14:textFill>
        </w:rPr>
        <w:t>，</w:t>
      </w:r>
      <w:r>
        <w:rPr>
          <w:rFonts w:hint="eastAsia" w:cs="仿宋" w:asciiTheme="minorEastAsia" w:hAnsiTheme="minorEastAsia"/>
          <w:color w:val="000000" w:themeColor="text1"/>
          <w:sz w:val="30"/>
          <w:szCs w:val="30"/>
          <w14:textFill>
            <w14:solidFill>
              <w14:schemeClr w14:val="tx1"/>
            </w14:solidFill>
          </w14:textFill>
        </w:rPr>
        <w:t>培训移民531人次，培训合格率为1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；②其他项目4个，拨付资金35</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水库移民应急处理10万元、移民困难救助8万元、移民升学奖励3万元、</w:t>
      </w:r>
      <w:r>
        <w:rPr>
          <w:rFonts w:cs="仿宋" w:asciiTheme="minorEastAsia" w:hAnsiTheme="minorEastAsia"/>
          <w:color w:val="000000" w:themeColor="text1"/>
          <w:sz w:val="30"/>
          <w:szCs w:val="30"/>
          <w14:textFill>
            <w14:solidFill>
              <w14:schemeClr w14:val="tx1"/>
            </w14:solidFill>
          </w14:textFill>
        </w:rPr>
        <w:t>监测评估费</w:t>
      </w:r>
      <w:r>
        <w:rPr>
          <w:rFonts w:hint="eastAsia" w:cs="仿宋" w:asciiTheme="minorEastAsia" w:hAnsiTheme="minorEastAsia"/>
          <w:color w:val="000000" w:themeColor="text1"/>
          <w:sz w:val="30"/>
          <w:szCs w:val="30"/>
          <w14:textFill>
            <w14:solidFill>
              <w14:schemeClr w14:val="tx1"/>
            </w14:solidFill>
          </w14:textFill>
        </w:rPr>
        <w:t>14</w:t>
      </w:r>
      <w:r>
        <w:rPr>
          <w:rFonts w:cs="仿宋"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（二）后扶结余项目综合评价</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一是基础设施建设项目6个，拨付资金162</w:t>
      </w:r>
      <w:r>
        <w:rPr>
          <w:rFonts w:hint="eastAsia"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二是社会事业基础设施建设项目2个，资金</w:t>
      </w:r>
      <w:r>
        <w:rPr>
          <w:rFonts w:hint="eastAsia" w:asciiTheme="minorEastAsia" w:hAnsiTheme="minorEastAsia"/>
          <w:sz w:val="30"/>
          <w:szCs w:val="30"/>
        </w:rPr>
        <w:t>46</w:t>
      </w:r>
      <w:r>
        <w:rPr>
          <w:rFonts w:hint="eastAsia" w:cs="Times New Roman" w:asciiTheme="minorEastAsia" w:hAnsiTheme="minorEastAsia"/>
          <w:sz w:val="30"/>
          <w:szCs w:val="30"/>
        </w:rPr>
        <w:t>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hint="eastAsia" w:cs="仿宋" w:asciiTheme="minorEastAsia" w:hAnsiTheme="minorEastAsia"/>
          <w:color w:val="000000" w:themeColor="text1"/>
          <w:sz w:val="30"/>
          <w:szCs w:val="30"/>
          <w14:textFill>
            <w14:solidFill>
              <w14:schemeClr w14:val="tx1"/>
            </w14:solidFill>
          </w14:textFill>
        </w:rPr>
      </w:pPr>
      <w:r>
        <w:rPr>
          <w:rFonts w:hint="eastAsia" w:cs="Times New Roman" w:asciiTheme="minorEastAsia" w:hAnsiTheme="minorEastAsia"/>
          <w:sz w:val="30"/>
          <w:szCs w:val="30"/>
        </w:rPr>
        <w:t>三是移民产业发展项目4个，资金212.00万元</w:t>
      </w:r>
      <w:r>
        <w:rPr>
          <w:rFonts w:hint="eastAsia" w:cs="仿宋" w:asciiTheme="minorEastAsia" w:hAnsiTheme="minorEastAsia"/>
          <w:color w:val="000000" w:themeColor="text1"/>
          <w:sz w:val="30"/>
          <w:szCs w:val="30"/>
          <w14:textFill>
            <w14:solidFill>
              <w14:schemeClr w14:val="tx1"/>
            </w14:solidFill>
          </w14:textFill>
        </w:rPr>
        <w:t>，资金拨付率为100%；</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四是移民对后期扶持政策实施满意度为85%，无与后期扶持有关的非正常进京越级上访事件，交办的信访事项及时处理率达1</w:t>
      </w:r>
      <w:r>
        <w:rPr>
          <w:rFonts w:cs="仿宋" w:asciiTheme="minorEastAsia" w:hAnsiTheme="minorEastAsia"/>
          <w:color w:val="000000" w:themeColor="text1"/>
          <w:sz w:val="30"/>
          <w:szCs w:val="30"/>
          <w14:textFill>
            <w14:solidFill>
              <w14:schemeClr w14:val="tx1"/>
            </w14:solidFill>
          </w14:textFill>
        </w:rPr>
        <w:t>00%</w:t>
      </w:r>
      <w:r>
        <w:rPr>
          <w:rFonts w:hint="eastAsia" w:cs="仿宋" w:asciiTheme="minorEastAsia" w:hAnsiTheme="minorEastAsia"/>
          <w:color w:val="000000" w:themeColor="text1"/>
          <w:sz w:val="30"/>
          <w:szCs w:val="30"/>
          <w14:textFill>
            <w14:solidFill>
              <w14:schemeClr w14:val="tx1"/>
            </w14:solidFill>
          </w14:textFill>
        </w:rPr>
        <w:t>。</w:t>
      </w:r>
    </w:p>
    <w:p>
      <w:pPr>
        <w:ind w:firstLine="600" w:firstLineChars="200"/>
        <w:rPr>
          <w:rFonts w:cs="仿宋" w:asciiTheme="minorEastAsia" w:hAnsiTheme="minorEastAsia"/>
          <w:color w:val="000000" w:themeColor="text1"/>
          <w:sz w:val="30"/>
          <w:szCs w:val="30"/>
          <w14:textFill>
            <w14:solidFill>
              <w14:schemeClr w14:val="tx1"/>
            </w14:solidFill>
          </w14:textFill>
        </w:rPr>
      </w:pPr>
      <w:r>
        <w:rPr>
          <w:rFonts w:hint="eastAsia" w:cs="仿宋" w:asciiTheme="minorEastAsia" w:hAnsiTheme="minorEastAsia"/>
          <w:color w:val="000000" w:themeColor="text1"/>
          <w:sz w:val="30"/>
          <w:szCs w:val="30"/>
          <w14:textFill>
            <w14:solidFill>
              <w14:schemeClr w14:val="tx1"/>
            </w14:solidFill>
          </w14:textFill>
        </w:rPr>
        <w:t>经综合研判，我县2</w:t>
      </w:r>
      <w:r>
        <w:rPr>
          <w:rFonts w:cs="仿宋" w:asciiTheme="minorEastAsia" w:hAnsiTheme="minorEastAsia"/>
          <w:color w:val="000000" w:themeColor="text1"/>
          <w:sz w:val="30"/>
          <w:szCs w:val="30"/>
          <w14:textFill>
            <w14:solidFill>
              <w14:schemeClr w14:val="tx1"/>
            </w14:solidFill>
          </w14:textFill>
        </w:rPr>
        <w:t>02</w:t>
      </w:r>
      <w:r>
        <w:rPr>
          <w:rFonts w:hint="eastAsia" w:cs="仿宋" w:asciiTheme="minorEastAsia" w:hAnsiTheme="minorEastAsia"/>
          <w:color w:val="000000" w:themeColor="text1"/>
          <w:sz w:val="30"/>
          <w:szCs w:val="30"/>
          <w14:textFill>
            <w14:solidFill>
              <w14:schemeClr w14:val="tx1"/>
            </w14:solidFill>
          </w14:textFill>
        </w:rPr>
        <w:t>2</w:t>
      </w:r>
      <w:r>
        <w:rPr>
          <w:rFonts w:cs="仿宋" w:asciiTheme="minorEastAsia" w:hAnsiTheme="minorEastAsia"/>
          <w:color w:val="000000" w:themeColor="text1"/>
          <w:sz w:val="30"/>
          <w:szCs w:val="30"/>
          <w14:textFill>
            <w14:solidFill>
              <w14:schemeClr w14:val="tx1"/>
            </w14:solidFill>
          </w14:textFill>
        </w:rPr>
        <w:t>年度</w:t>
      </w:r>
      <w:r>
        <w:rPr>
          <w:rFonts w:hint="eastAsia" w:cs="仿宋" w:asciiTheme="minorEastAsia" w:hAnsiTheme="minorEastAsia"/>
          <w:color w:val="000000" w:themeColor="text1"/>
          <w:sz w:val="30"/>
          <w:szCs w:val="30"/>
          <w14:textFill>
            <w14:solidFill>
              <w14:schemeClr w14:val="tx1"/>
            </w14:solidFill>
          </w14:textFill>
        </w:rPr>
        <w:t>中央水库移民扶持基金项目安排、资金投向基本合理，项目与资金管理制度较健全、实施管理较规范，项目产出符合预期，经济、社会和生态效益较明显，移民满意度高，总体达成预期绩效目标，绩效自评得分为</w:t>
      </w:r>
      <w:r>
        <w:rPr>
          <w:rFonts w:hint="eastAsia" w:asciiTheme="minorEastAsia" w:hAnsiTheme="minorEastAsia"/>
          <w:color w:val="000000" w:themeColor="text1"/>
          <w:sz w:val="30"/>
          <w:szCs w:val="30"/>
          <w14:textFill>
            <w14:solidFill>
              <w14:schemeClr w14:val="tx1"/>
            </w14:solidFill>
          </w14:textFill>
        </w:rPr>
        <w:t>99</w:t>
      </w:r>
      <w:r>
        <w:rPr>
          <w:rFonts w:asciiTheme="minorEastAsia" w:hAnsiTheme="minorEastAsia"/>
          <w:color w:val="000000" w:themeColor="text1"/>
          <w:sz w:val="30"/>
          <w:szCs w:val="30"/>
          <w14:textFill>
            <w14:solidFill>
              <w14:schemeClr w14:val="tx1"/>
            </w14:solidFill>
          </w14:textFill>
        </w:rPr>
        <w:t>分</w:t>
      </w:r>
      <w:r>
        <w:rPr>
          <w:rFonts w:hint="eastAsia" w:cs="仿宋" w:asciiTheme="minorEastAsia" w:hAnsiTheme="minorEastAsia"/>
          <w:color w:val="000000" w:themeColor="text1"/>
          <w:sz w:val="30"/>
          <w:szCs w:val="30"/>
          <w14:textFill>
            <w14:solidFill>
              <w14:schemeClr w14:val="tx1"/>
            </w14:solidFill>
          </w14:textFill>
        </w:rPr>
        <w:t>。</w:t>
      </w:r>
    </w:p>
    <w:p>
      <w:pPr>
        <w:ind w:firstLine="590" w:firstLineChars="196"/>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四、绩效评价指标分析</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（一）项目决策情况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按照《华容县大中型水库移民后期扶持“十四五”规划》，保证了项目的可行性、效益性和前瞻性。编报的年度规划计划充分尊重移民意愿，听取村组群众的意见，规划目标明确，并通过县政府审核及省、市移民主管部门审查、备案；规划需调整变更的及时进行报批。在编制年度计划时，严格扶助对象和范围。在资金投向方面，突出产业扶持为重点，优先安排整村推进、饮水安全和道路交通等民生项目。</w:t>
      </w:r>
    </w:p>
    <w:p>
      <w:pPr>
        <w:ind w:firstLine="588" w:firstLineChars="196"/>
        <w:rPr>
          <w:rFonts w:hint="eastAsia"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（二）项目过程情况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2022年我县共收到中央水库移民扶持基金</w:t>
      </w:r>
      <w:r>
        <w:rPr>
          <w:rFonts w:hint="eastAsia" w:cs="仿宋" w:asciiTheme="minorEastAsia" w:hAnsiTheme="minorEastAsia"/>
          <w:color w:val="000000" w:themeColor="text1"/>
          <w:sz w:val="30"/>
          <w:szCs w:val="30"/>
          <w14:textFill>
            <w14:solidFill>
              <w14:schemeClr w14:val="tx1"/>
            </w14:solidFill>
          </w14:textFill>
        </w:rPr>
        <w:t>584.77</w:t>
      </w:r>
      <w:r>
        <w:rPr>
          <w:rFonts w:hint="eastAsia" w:asciiTheme="minorEastAsia" w:hAnsiTheme="minorEastAsia"/>
          <w:color w:val="000000" w:themeColor="text1"/>
          <w:sz w:val="30"/>
          <w:szCs w:val="30"/>
          <w14:textFill>
            <w14:solidFill>
              <w14:schemeClr w14:val="tx1"/>
            </w14:solidFill>
          </w14:textFill>
        </w:rPr>
        <w:t>万元。我县属于省财政直管县（市），县财政局收到省财政厅的指标文后，资金即视同到位，因此资金到位及时。截至2023年6月30日，我县累计拨付2</w:t>
      </w:r>
      <w:r>
        <w:rPr>
          <w:rFonts w:asciiTheme="minorEastAsia" w:hAnsiTheme="minorEastAsia"/>
          <w:color w:val="000000" w:themeColor="text1"/>
          <w:sz w:val="30"/>
          <w:szCs w:val="30"/>
          <w14:textFill>
            <w14:solidFill>
              <w14:schemeClr w14:val="tx1"/>
            </w14:solidFill>
          </w14:textFill>
        </w:rPr>
        <w:t>02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年</w:t>
      </w:r>
      <w:r>
        <w:rPr>
          <w:rFonts w:hint="eastAsia" w:cs="仿宋" w:asciiTheme="minorEastAsia" w:hAnsiTheme="minorEastAsia"/>
          <w:color w:val="000000" w:themeColor="text1"/>
          <w:sz w:val="30"/>
          <w:szCs w:val="30"/>
          <w14:textFill>
            <w14:solidFill>
              <w14:schemeClr w14:val="tx1"/>
            </w14:solidFill>
          </w14:textFill>
        </w:rPr>
        <w:t>水库移民资金584.77万元，资金拨付率为100%。其中：后扶基金专项257.06万元、后扶结余项目327.71万元。</w:t>
      </w:r>
    </w:p>
    <w:p>
      <w:pPr>
        <w:ind w:firstLine="588" w:firstLineChars="196"/>
        <w:rPr>
          <w:rFonts w:hint="eastAsia"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（三）项目产出情况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（1）数量指标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经调查统计，本年度我县共完成</w:t>
      </w:r>
      <w:r>
        <w:rPr>
          <w:rFonts w:hint="eastAsia" w:cs="仿宋" w:asciiTheme="minorEastAsia" w:hAnsiTheme="minorEastAsia"/>
          <w:color w:val="000000" w:themeColor="text1"/>
          <w:sz w:val="30"/>
          <w:szCs w:val="30"/>
          <w14:textFill>
            <w14:solidFill>
              <w14:schemeClr w14:val="tx1"/>
            </w14:solidFill>
          </w14:textFill>
        </w:rPr>
        <w:t>水库移民</w:t>
      </w:r>
      <w:r>
        <w:rPr>
          <w:rFonts w:hint="eastAsia" w:asciiTheme="minorEastAsia" w:hAnsiTheme="minorEastAsia"/>
          <w:color w:val="000000" w:themeColor="text1"/>
          <w:sz w:val="30"/>
          <w:szCs w:val="30"/>
          <w14:textFill>
            <w14:solidFill>
              <w14:schemeClr w14:val="tx1"/>
            </w14:solidFill>
          </w14:textFill>
        </w:rPr>
        <w:t>项目建设25个。其中：移民直补项目1个，发放移民直补人口3251人，发放直补资金195.06万元；完成移民培训项目8个，培训移民劳动力531人次，拨付培训资金40.8万元；完成其他项目4个，拨付资金35万元；完成</w:t>
      </w:r>
      <w:r>
        <w:rPr>
          <w:rFonts w:hint="eastAsia" w:cs="Times New Roman" w:asciiTheme="minorEastAsia" w:hAnsiTheme="minorEastAsia"/>
          <w:sz w:val="30"/>
          <w:szCs w:val="30"/>
        </w:rPr>
        <w:t>基础设施建设项目6个，拨付资金162</w:t>
      </w:r>
      <w:r>
        <w:rPr>
          <w:rFonts w:hint="eastAsia" w:asciiTheme="minorEastAsia" w:hAnsiTheme="minorEastAsia"/>
          <w:sz w:val="30"/>
          <w:szCs w:val="30"/>
        </w:rPr>
        <w:t>万元；完成</w:t>
      </w:r>
      <w:r>
        <w:rPr>
          <w:rFonts w:hint="eastAsia" w:cs="Times New Roman" w:asciiTheme="minorEastAsia" w:hAnsiTheme="minorEastAsia"/>
          <w:sz w:val="30"/>
          <w:szCs w:val="30"/>
        </w:rPr>
        <w:t>社会事业基础设施建设项目2个，拨付资金</w:t>
      </w:r>
      <w:r>
        <w:rPr>
          <w:rFonts w:hint="eastAsia" w:asciiTheme="minorEastAsia" w:hAnsiTheme="minorEastAsia"/>
          <w:sz w:val="30"/>
          <w:szCs w:val="30"/>
        </w:rPr>
        <w:t>46</w:t>
      </w:r>
      <w:r>
        <w:rPr>
          <w:rFonts w:hint="eastAsia" w:cs="Times New Roman" w:asciiTheme="minorEastAsia" w:hAnsiTheme="minorEastAsia"/>
          <w:sz w:val="30"/>
          <w:szCs w:val="30"/>
        </w:rPr>
        <w:t>万元；完成移民产业发展项目4个，拨付资金212.00万元。全县</w:t>
      </w:r>
      <w:r>
        <w:rPr>
          <w:rFonts w:hint="eastAsia" w:asciiTheme="minorEastAsia" w:hAnsiTheme="minorEastAsia"/>
          <w:color w:val="000000" w:themeColor="text1"/>
          <w:sz w:val="30"/>
          <w:szCs w:val="30"/>
          <w14:textFill>
            <w14:solidFill>
              <w14:schemeClr w14:val="tx1"/>
            </w14:solidFill>
          </w14:textFill>
        </w:rPr>
        <w:t>后期扶持受益移民人口10897人。</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（2）质量指标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经调查统计，本年度我县共完成移民培训项目8个，培训移民531人次，移民培训合格率为1</w:t>
      </w:r>
      <w:r>
        <w:rPr>
          <w:rFonts w:asciiTheme="minorEastAsia" w:hAnsiTheme="minorEastAsia"/>
          <w:color w:val="000000" w:themeColor="text1"/>
          <w:sz w:val="30"/>
          <w:szCs w:val="30"/>
          <w14:textFill>
            <w14:solidFill>
              <w14:schemeClr w14:val="tx1"/>
            </w14:solidFill>
          </w14:textFill>
        </w:rPr>
        <w:t>00%</w:t>
      </w:r>
      <w:r>
        <w:rPr>
          <w:rFonts w:hint="eastAsia" w:asciiTheme="minorEastAsia" w:hAnsiTheme="minorEastAsia"/>
          <w:color w:val="000000" w:themeColor="text1"/>
          <w:sz w:val="30"/>
          <w:szCs w:val="30"/>
          <w14:textFill>
            <w14:solidFill>
              <w14:schemeClr w14:val="tx1"/>
            </w14:solidFill>
          </w14:textFill>
        </w:rPr>
        <w:t>；共完成项目（不含移民直补、移民培训）16个</w:t>
      </w:r>
      <w:r>
        <w:rPr>
          <w:rFonts w:asciiTheme="minorEastAsia" w:hAnsiTheme="minorEastAsia"/>
          <w:color w:val="000000" w:themeColor="text1"/>
          <w:sz w:val="30"/>
          <w:szCs w:val="30"/>
          <w14:textFill>
            <w14:solidFill>
              <w14:schemeClr w14:val="tx1"/>
            </w14:solidFill>
          </w14:textFill>
        </w:rPr>
        <w:t>，其中已验收合格项目</w:t>
      </w:r>
      <w:r>
        <w:rPr>
          <w:rFonts w:hint="eastAsia" w:asciiTheme="minorEastAsia" w:hAnsiTheme="minorEastAsia"/>
          <w:color w:val="000000" w:themeColor="text1"/>
          <w:sz w:val="30"/>
          <w:szCs w:val="30"/>
          <w14:textFill>
            <w14:solidFill>
              <w14:schemeClr w14:val="tx1"/>
            </w14:solidFill>
          </w14:textFill>
        </w:rPr>
        <w:t>16个</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项目验收合格率为100%。</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（3）时效指标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经调查统计，本年度我县直补资金于2</w:t>
      </w:r>
      <w:r>
        <w:rPr>
          <w:rFonts w:asciiTheme="minorEastAsia" w:hAnsiTheme="minorEastAsia"/>
          <w:color w:val="000000" w:themeColor="text1"/>
          <w:sz w:val="30"/>
          <w:szCs w:val="30"/>
          <w14:textFill>
            <w14:solidFill>
              <w14:schemeClr w14:val="tx1"/>
            </w14:solidFill>
          </w14:textFill>
        </w:rPr>
        <w:t>02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年</w:t>
      </w:r>
      <w:r>
        <w:rPr>
          <w:rFonts w:hint="eastAsia" w:asciiTheme="minorEastAsia" w:hAnsiTheme="minorEastAsia"/>
          <w:color w:val="000000" w:themeColor="text1"/>
          <w:sz w:val="30"/>
          <w:szCs w:val="30"/>
          <w14:textFill>
            <w14:solidFill>
              <w14:schemeClr w14:val="tx1"/>
            </w14:solidFill>
          </w14:textFill>
        </w:rPr>
        <w:t>3月30</w:t>
      </w:r>
      <w:r>
        <w:rPr>
          <w:rFonts w:asciiTheme="minorEastAsia" w:hAnsiTheme="minorEastAsia"/>
          <w:color w:val="000000" w:themeColor="text1"/>
          <w:sz w:val="30"/>
          <w:szCs w:val="30"/>
          <w14:textFill>
            <w14:solidFill>
              <w14:schemeClr w14:val="tx1"/>
            </w14:solidFill>
          </w14:textFill>
        </w:rPr>
        <w:t>日一次</w:t>
      </w:r>
      <w:r>
        <w:rPr>
          <w:rFonts w:hint="eastAsia" w:asciiTheme="minorEastAsia" w:hAnsiTheme="minorEastAsia"/>
          <w:color w:val="000000" w:themeColor="text1"/>
          <w:sz w:val="30"/>
          <w:szCs w:val="30"/>
          <w14:textFill>
            <w14:solidFill>
              <w14:schemeClr w14:val="tx1"/>
            </w14:solidFill>
          </w14:textFill>
        </w:rPr>
        <w:t>打卡发放到移民手中，直补资金按时发放率为100%。截至2023年6月30</w:t>
      </w:r>
      <w:r>
        <w:rPr>
          <w:rFonts w:asciiTheme="minorEastAsia" w:hAnsiTheme="minorEastAsia"/>
          <w:color w:val="000000" w:themeColor="text1"/>
          <w:sz w:val="30"/>
          <w:szCs w:val="30"/>
          <w14:textFill>
            <w14:solidFill>
              <w14:schemeClr w14:val="tx1"/>
            </w14:solidFill>
          </w14:textFill>
        </w:rPr>
        <w:t>日</w:t>
      </w:r>
      <w:r>
        <w:rPr>
          <w:rFonts w:hint="eastAsia" w:asciiTheme="minorEastAsia" w:hAnsiTheme="minorEastAsia"/>
          <w:color w:val="000000" w:themeColor="text1"/>
          <w:sz w:val="30"/>
          <w:szCs w:val="30"/>
          <w14:textFill>
            <w14:solidFill>
              <w14:schemeClr w14:val="tx1"/>
            </w14:solidFill>
          </w14:textFill>
        </w:rPr>
        <w:t>，拨付项目资金</w:t>
      </w:r>
      <w:r>
        <w:rPr>
          <w:rFonts w:hint="eastAsia" w:cs="仿宋" w:asciiTheme="minorEastAsia" w:hAnsiTheme="minorEastAsia"/>
          <w:color w:val="000000" w:themeColor="text1"/>
          <w:sz w:val="30"/>
          <w:szCs w:val="30"/>
          <w14:textFill>
            <w14:solidFill>
              <w14:schemeClr w14:val="tx1"/>
            </w14:solidFill>
          </w14:textFill>
        </w:rPr>
        <w:t>584.77</w:t>
      </w:r>
      <w:r>
        <w:rPr>
          <w:rFonts w:hint="eastAsia" w:asciiTheme="minorEastAsia" w:hAnsiTheme="minorEastAsia"/>
          <w:color w:val="000000" w:themeColor="text1"/>
          <w:sz w:val="30"/>
          <w:szCs w:val="30"/>
          <w14:textFill>
            <w14:solidFill>
              <w14:schemeClr w14:val="tx1"/>
            </w14:solidFill>
          </w14:textFill>
        </w:rPr>
        <w:t>万元（</w:t>
      </w:r>
      <w:r>
        <w:rPr>
          <w:rFonts w:hint="eastAsia" w:cs="仿宋" w:asciiTheme="minorEastAsia" w:hAnsiTheme="minorEastAsia"/>
          <w:color w:val="000000" w:themeColor="text1"/>
          <w:sz w:val="30"/>
          <w:szCs w:val="30"/>
          <w14:textFill>
            <w14:solidFill>
              <w14:schemeClr w14:val="tx1"/>
            </w14:solidFill>
          </w14:textFill>
        </w:rPr>
        <w:t>扶基金专项257.06万元、后扶结余项目327.71万元</w:t>
      </w:r>
      <w:r>
        <w:rPr>
          <w:rFonts w:hint="eastAsia" w:asciiTheme="minorEastAsia" w:hAnsiTheme="minorEastAsia"/>
          <w:color w:val="000000" w:themeColor="text1"/>
          <w:sz w:val="30"/>
          <w:szCs w:val="30"/>
          <w14:textFill>
            <w14:solidFill>
              <w14:schemeClr w14:val="tx1"/>
            </w14:solidFill>
          </w14:textFill>
        </w:rPr>
        <w:t>），项目资金完成率为100</w:t>
      </w:r>
      <w:r>
        <w:rPr>
          <w:rFonts w:asciiTheme="minorEastAsia" w:hAnsiTheme="minorEastAsia"/>
          <w:color w:val="000000" w:themeColor="text1"/>
          <w:sz w:val="30"/>
          <w:szCs w:val="30"/>
          <w14:textFill>
            <w14:solidFill>
              <w14:schemeClr w14:val="tx1"/>
            </w14:solidFill>
          </w14:textFill>
        </w:rPr>
        <w:t>%。</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（4）成本指标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直补发放到人的标准为每人每年600元，符合《国务院关于完善大中型水库移民后期扶持政策的意见》（国发〔2006〕17号）文件规定，全县直补资金标准符合率为100%；全县已完成中央水库移民扶持基金项目25个，其中已完成支付的预算项目总个数25个</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项目支出金额均在计划额度内，没有超预算项目，项目支出控制在批复预算内的项目比例为100%。</w:t>
      </w:r>
    </w:p>
    <w:p>
      <w:pPr>
        <w:ind w:firstLine="590" w:firstLineChars="196"/>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（四）项目效益情况</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（1）经济效益指标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本年度中央水库移民扶持基金项目的实施，为我县移民增收提供了有力保障。经调查统计，全县移民人均可支配收入增加1955元，超过目标值；提高移民收入占当地农村居民收入比例</w:t>
      </w:r>
      <w:r>
        <w:rPr>
          <w:rFonts w:asciiTheme="minorEastAsia" w:hAnsiTheme="minorEastAsia"/>
          <w:color w:val="000000" w:themeColor="text1"/>
          <w:sz w:val="30"/>
          <w:szCs w:val="30"/>
          <w14:textFill>
            <w14:solidFill>
              <w14:schemeClr w14:val="tx1"/>
            </w14:solidFill>
          </w14:textFill>
        </w:rPr>
        <w:t>2.</w:t>
      </w:r>
      <w:r>
        <w:rPr>
          <w:rFonts w:hint="eastAsia" w:asciiTheme="minorEastAsia" w:hAnsiTheme="minorEastAsia"/>
          <w:color w:val="000000" w:themeColor="text1"/>
          <w:sz w:val="30"/>
          <w:szCs w:val="30"/>
          <w14:textFill>
            <w14:solidFill>
              <w14:schemeClr w14:val="tx1"/>
            </w14:solidFill>
          </w14:textFill>
        </w:rPr>
        <w:t>2</w:t>
      </w: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，超过目标值。</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（2）社会效益指标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经调查统计，本年度中央水库移民扶持基金项目实施后，增加达到当地农村居民平均收入水平移民人口320人，超过目标值。</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（3）生态效益指标</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经调查统计，本年度我县计划建设美丽移民村2个，即禹山镇青山村和章华镇栗树村，实际建成禹山镇青山村和章华镇栗树村美丽移民村</w:t>
      </w:r>
      <w:r>
        <w:rPr>
          <w:rFonts w:asciiTheme="minorEastAsia" w:hAnsiTheme="minorEastAsia"/>
          <w:color w:val="000000" w:themeColor="text1"/>
          <w:sz w:val="30"/>
          <w:szCs w:val="30"/>
          <w14:textFill>
            <w14:solidFill>
              <w14:schemeClr w14:val="tx1"/>
            </w14:solidFill>
          </w14:textFill>
        </w:rPr>
        <w:t>2</w:t>
      </w:r>
      <w:r>
        <w:rPr>
          <w:rFonts w:hint="eastAsia" w:asciiTheme="minorEastAsia" w:hAnsiTheme="minorEastAsia"/>
          <w:color w:val="000000" w:themeColor="text1"/>
          <w:sz w:val="30"/>
          <w:szCs w:val="30"/>
          <w14:textFill>
            <w14:solidFill>
              <w14:schemeClr w14:val="tx1"/>
            </w14:solidFill>
          </w14:textFill>
        </w:rPr>
        <w:t>个，完成率为</w:t>
      </w:r>
      <w:r>
        <w:rPr>
          <w:rFonts w:asciiTheme="minorEastAsia" w:hAnsiTheme="minorEastAsia"/>
          <w:color w:val="000000" w:themeColor="text1"/>
          <w:sz w:val="30"/>
          <w:szCs w:val="30"/>
          <w14:textFill>
            <w14:solidFill>
              <w14:schemeClr w14:val="tx1"/>
            </w14:solidFill>
          </w14:textFill>
        </w:rPr>
        <w:t>100</w:t>
      </w:r>
      <w:r>
        <w:rPr>
          <w:rFonts w:hint="eastAsia" w:asciiTheme="minorEastAsia" w:hAnsiTheme="minorEastAsia"/>
          <w:color w:val="000000" w:themeColor="text1"/>
          <w:sz w:val="30"/>
          <w:szCs w:val="30"/>
          <w14:textFill>
            <w14:solidFill>
              <w14:schemeClr w14:val="tx1"/>
            </w14:solidFill>
          </w14:textFill>
        </w:rPr>
        <w:t>%，达到目标值。当地生态环境进一步改善，村容村貌大幅改观，产业和集体经济取得发展，移民生活水平获得提升，移民安居乐业，幸福指数明显提高。</w:t>
      </w:r>
    </w:p>
    <w:p>
      <w:pPr>
        <w:ind w:firstLine="588" w:firstLineChars="196"/>
        <w:rPr>
          <w:rFonts w:asciiTheme="minorEastAsia" w:hAnsiTheme="minorEastAsia"/>
          <w:color w:val="000000" w:themeColor="text1"/>
          <w:sz w:val="30"/>
          <w:szCs w:val="30"/>
          <w14:textFill>
            <w14:solidFill>
              <w14:schemeClr w14:val="tx1"/>
            </w14:solidFill>
          </w14:textFill>
        </w:rPr>
      </w:pPr>
      <w:r>
        <w:rPr>
          <w:rFonts w:asciiTheme="minorEastAsia" w:hAnsiTheme="minorEastAsia"/>
          <w:color w:val="000000" w:themeColor="text1"/>
          <w:sz w:val="30"/>
          <w:szCs w:val="30"/>
          <w14:textFill>
            <w14:solidFill>
              <w14:schemeClr w14:val="tx1"/>
            </w14:solidFill>
          </w14:textFill>
        </w:rPr>
        <w:t>（</w:t>
      </w:r>
      <w:r>
        <w:rPr>
          <w:rFonts w:hint="eastAsia" w:asciiTheme="minorEastAsia" w:hAnsiTheme="minorEastAsia"/>
          <w:color w:val="000000" w:themeColor="text1"/>
          <w:sz w:val="30"/>
          <w:szCs w:val="30"/>
          <w14:textFill>
            <w14:solidFill>
              <w14:schemeClr w14:val="tx1"/>
            </w14:solidFill>
          </w14:textFill>
        </w:rPr>
        <w:t>4）可持续影响</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 xml:space="preserve"> 经调查统计，本年度我县下达中央水库移民扶持基金项目25个，其中：完成移民直补资金项目1个；完成移民培训项目8个；完成其他项目4个；完成工程项目12</w:t>
      </w:r>
      <w:r>
        <w:rPr>
          <w:rFonts w:asciiTheme="minorEastAsia" w:hAnsiTheme="minorEastAsia"/>
          <w:color w:val="000000" w:themeColor="text1"/>
          <w:sz w:val="30"/>
          <w:szCs w:val="30"/>
          <w14:textFill>
            <w14:solidFill>
              <w14:schemeClr w14:val="tx1"/>
            </w14:solidFill>
          </w14:textFill>
        </w:rPr>
        <w:t>个，</w:t>
      </w:r>
      <w:r>
        <w:rPr>
          <w:rFonts w:hint="eastAsia" w:asciiTheme="minorEastAsia" w:hAnsiTheme="minorEastAsia"/>
          <w:color w:val="000000" w:themeColor="text1"/>
          <w:sz w:val="30"/>
          <w:szCs w:val="30"/>
          <w14:textFill>
            <w14:solidFill>
              <w14:schemeClr w14:val="tx1"/>
            </w14:solidFill>
          </w14:textFill>
        </w:rPr>
        <w:t xml:space="preserve"> 12个工程项目已验收合格并移交管护，已建工程项目良性运行比例为1</w:t>
      </w:r>
      <w:r>
        <w:rPr>
          <w:rFonts w:asciiTheme="minorEastAsia" w:hAnsiTheme="minorEastAsia"/>
          <w:color w:val="000000" w:themeColor="text1"/>
          <w:sz w:val="30"/>
          <w:szCs w:val="30"/>
          <w14:textFill>
            <w14:solidFill>
              <w14:schemeClr w14:val="tx1"/>
            </w14:solidFill>
          </w14:textFill>
        </w:rPr>
        <w:t>00</w:t>
      </w:r>
      <w:r>
        <w:rPr>
          <w:rFonts w:hint="eastAsia" w:asciiTheme="minorEastAsia" w:hAnsiTheme="minorEastAsia"/>
          <w:color w:val="000000" w:themeColor="text1"/>
          <w:sz w:val="30"/>
          <w:szCs w:val="30"/>
          <w14:textFill>
            <w14:solidFill>
              <w14:schemeClr w14:val="tx1"/>
            </w14:solidFill>
          </w14:textFill>
        </w:rPr>
        <w:t>%。</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五、存在问题及原因分析</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时效指标。截至2022年3月底项目资金完成率93.72%，但未达到</w:t>
      </w:r>
      <w:r>
        <w:rPr>
          <w:rFonts w:asciiTheme="minorEastAsia" w:hAnsiTheme="minorEastAsia"/>
          <w:color w:val="000000" w:themeColor="text1"/>
          <w:sz w:val="30"/>
          <w:szCs w:val="30"/>
          <w14:textFill>
            <w14:solidFill>
              <w14:schemeClr w14:val="tx1"/>
            </w14:solidFill>
          </w14:textFill>
        </w:rPr>
        <w:t>95%。其主要原因</w:t>
      </w:r>
      <w:r>
        <w:rPr>
          <w:rFonts w:hint="eastAsia" w:asciiTheme="minorEastAsia" w:hAnsiTheme="minorEastAsia"/>
          <w:color w:val="000000" w:themeColor="text1"/>
          <w:sz w:val="30"/>
          <w:szCs w:val="30"/>
          <w14:textFill>
            <w14:solidFill>
              <w14:schemeClr w14:val="tx1"/>
            </w14:solidFill>
          </w14:textFill>
        </w:rPr>
        <w:t>是</w:t>
      </w:r>
      <w:r>
        <w:rPr>
          <w:rFonts w:asciiTheme="minorEastAsia" w:hAnsiTheme="minorEastAsia"/>
          <w:color w:val="000000" w:themeColor="text1"/>
          <w:sz w:val="30"/>
          <w:szCs w:val="30"/>
          <w14:textFill>
            <w14:solidFill>
              <w14:schemeClr w14:val="tx1"/>
            </w14:solidFill>
          </w14:textFill>
        </w:rPr>
        <w:t>：</w:t>
      </w:r>
      <w:r>
        <w:rPr>
          <w:rFonts w:asciiTheme="minorEastAsia" w:hAnsiTheme="minorEastAsia"/>
          <w:b/>
          <w:color w:val="000000" w:themeColor="text1"/>
          <w:sz w:val="30"/>
          <w:szCs w:val="30"/>
          <w14:textFill>
            <w14:solidFill>
              <w14:schemeClr w14:val="tx1"/>
            </w14:solidFill>
          </w14:textFill>
        </w:rPr>
        <w:t>一是</w:t>
      </w:r>
      <w:r>
        <w:rPr>
          <w:rFonts w:hint="eastAsia" w:asciiTheme="minorEastAsia" w:hAnsiTheme="minorEastAsia"/>
          <w:color w:val="000000" w:themeColor="text1"/>
          <w:sz w:val="30"/>
          <w:szCs w:val="30"/>
          <w14:textFill>
            <w14:solidFill>
              <w14:schemeClr w14:val="tx1"/>
            </w14:solidFill>
          </w14:textFill>
        </w:rPr>
        <w:t>1个项目未完工，未结算；</w:t>
      </w:r>
      <w:r>
        <w:rPr>
          <w:rFonts w:hint="eastAsia" w:asciiTheme="minorEastAsia" w:hAnsiTheme="minorEastAsia"/>
          <w:b/>
          <w:color w:val="000000" w:themeColor="text1"/>
          <w:sz w:val="30"/>
          <w:szCs w:val="30"/>
          <w14:textFill>
            <w14:solidFill>
              <w14:schemeClr w14:val="tx1"/>
            </w14:solidFill>
          </w14:textFill>
        </w:rPr>
        <w:t>二是</w:t>
      </w:r>
      <w:r>
        <w:rPr>
          <w:rFonts w:hint="eastAsia" w:asciiTheme="minorEastAsia" w:hAnsiTheme="minorEastAsia"/>
          <w:color w:val="000000" w:themeColor="text1"/>
          <w:sz w:val="30"/>
          <w:szCs w:val="30"/>
          <w14:textFill>
            <w14:solidFill>
              <w14:schemeClr w14:val="tx1"/>
            </w14:solidFill>
          </w14:textFill>
        </w:rPr>
        <w:t>2个重点移民村建设项目已完工未经审计，未完成结算；</w:t>
      </w:r>
      <w:r>
        <w:rPr>
          <w:rFonts w:hint="eastAsia" w:asciiTheme="minorEastAsia" w:hAnsiTheme="minorEastAsia"/>
          <w:b/>
          <w:color w:val="000000" w:themeColor="text1"/>
          <w:sz w:val="30"/>
          <w:szCs w:val="30"/>
          <w14:textFill>
            <w14:solidFill>
              <w14:schemeClr w14:val="tx1"/>
            </w14:solidFill>
          </w14:textFill>
        </w:rPr>
        <w:t>三是</w:t>
      </w:r>
      <w:r>
        <w:rPr>
          <w:rFonts w:hint="eastAsia" w:asciiTheme="minorEastAsia" w:hAnsiTheme="minorEastAsia"/>
          <w:color w:val="000000" w:themeColor="text1"/>
          <w:sz w:val="30"/>
          <w:szCs w:val="30"/>
          <w14:textFill>
            <w14:solidFill>
              <w14:schemeClr w14:val="tx1"/>
            </w14:solidFill>
          </w14:textFill>
        </w:rPr>
        <w:t>监测评估费未完工，未结算。</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六、相关建议和意见</w:t>
      </w:r>
    </w:p>
    <w:p>
      <w:pPr>
        <w:ind w:firstLine="588" w:firstLineChars="196"/>
        <w:rPr>
          <w:rFonts w:asciiTheme="minorEastAsia" w:hAnsiTheme="minorEastAsia"/>
          <w:color w:val="000000" w:themeColor="text1"/>
          <w:sz w:val="30"/>
          <w:szCs w:val="30"/>
          <w14:textFill>
            <w14:solidFill>
              <w14:schemeClr w14:val="tx1"/>
            </w14:solidFill>
          </w14:textFill>
        </w:rPr>
      </w:pPr>
      <w:r>
        <w:rPr>
          <w:rFonts w:hint="eastAsia" w:asciiTheme="minorEastAsia" w:hAnsiTheme="minorEastAsia"/>
          <w:color w:val="000000" w:themeColor="text1"/>
          <w:sz w:val="30"/>
          <w:szCs w:val="30"/>
          <w14:textFill>
            <w14:solidFill>
              <w14:schemeClr w14:val="tx1"/>
            </w14:solidFill>
          </w14:textFill>
        </w:rPr>
        <w:t>适当加大基础设施投入。当前，库区和移民安置区基础设施仍然相对落后，建议上级移民主管部门适当放宽基础设施特别是生产配套设施投入比例限制，允许各地结合当地实际，合理调整移民资金安排结构，适当增加基础设施类项目投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eastAsia="zh-CN"/>
        </w:rPr>
        <w:t>华容县华一水库</w:t>
      </w:r>
      <w:r>
        <w:rPr>
          <w:rFonts w:hint="eastAsia" w:ascii="方正小标宋简体" w:hAnsi="方正小标宋简体" w:eastAsia="方正小标宋简体" w:cs="方正小标宋简体"/>
          <w:color w:val="000000"/>
          <w:sz w:val="36"/>
          <w:szCs w:val="36"/>
        </w:rPr>
        <w:t>项目支出绩效评价</w:t>
      </w:r>
      <w:r>
        <w:rPr>
          <w:rFonts w:hint="eastAsia" w:ascii="方正小标宋简体" w:hAnsi="方正小标宋简体" w:eastAsia="方正小标宋简体" w:cs="方正小标宋简体"/>
          <w:color w:val="000000"/>
          <w:sz w:val="36"/>
          <w:szCs w:val="36"/>
          <w:lang w:eastAsia="zh-CN"/>
        </w:rPr>
        <w:t>评分表</w:t>
      </w:r>
      <w:r>
        <w:rPr>
          <w:rFonts w:hint="eastAsia" w:ascii="方正小标宋简体" w:hAnsi="方正小标宋简体" w:eastAsia="方正小标宋简体" w:cs="方正小标宋简体"/>
          <w:color w:val="000000"/>
          <w:sz w:val="36"/>
          <w:szCs w:val="36"/>
        </w:rPr>
        <w:t>（</w:t>
      </w:r>
      <w:r>
        <w:rPr>
          <w:rFonts w:hint="eastAsia" w:ascii="方正小标宋简体" w:hAnsi="方正小标宋简体" w:eastAsia="方正小标宋简体" w:cs="方正小标宋简体"/>
          <w:color w:val="000000"/>
          <w:sz w:val="36"/>
          <w:szCs w:val="36"/>
          <w:lang w:eastAsia="zh-CN"/>
        </w:rPr>
        <w:t>共性</w:t>
      </w:r>
      <w:r>
        <w:rPr>
          <w:rFonts w:hint="eastAsia" w:ascii="方正小标宋简体" w:hAnsi="方正小标宋简体" w:eastAsia="方正小标宋简体" w:cs="方正小标宋简体"/>
          <w:color w:val="000000"/>
          <w:sz w:val="36"/>
          <w:szCs w:val="36"/>
        </w:rPr>
        <w:t>）</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9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77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6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90</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华容县华一水库202</w:t>
      </w:r>
      <w:r>
        <w:rPr>
          <w:rFonts w:hint="eastAsia" w:ascii="方正小标宋简体" w:hAnsi="方正小标宋简体" w:eastAsia="方正小标宋简体" w:cs="方正小标宋简体"/>
          <w:color w:val="000000"/>
          <w:sz w:val="36"/>
          <w:szCs w:val="36"/>
          <w:lang w:val="en-US" w:eastAsia="zh-CN"/>
        </w:rPr>
        <w:t>2</w:t>
      </w:r>
      <w:r>
        <w:rPr>
          <w:rFonts w:hint="eastAsia" w:ascii="方正小标宋简体" w:hAnsi="方正小标宋简体" w:eastAsia="方正小标宋简体" w:cs="方正小标宋简体"/>
          <w:color w:val="000000"/>
          <w:sz w:val="36"/>
          <w:szCs w:val="36"/>
          <w:lang w:eastAsia="zh-CN"/>
        </w:rPr>
        <w:t>年度项目支出绩效自评表</w:t>
      </w:r>
    </w:p>
    <w:tbl>
      <w:tblPr>
        <w:tblStyle w:val="1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w:t>
            </w:r>
            <w:r>
              <w:rPr>
                <w:rFonts w:hint="eastAsia" w:eastAsia="仿宋_GB2312" w:cs="Times New Roman"/>
                <w:color w:val="000000"/>
                <w:sz w:val="20"/>
                <w:szCs w:val="20"/>
                <w:lang w:val="en-US" w:eastAsia="zh-CN"/>
              </w:rPr>
              <w:t>2021年-2022年度中型灌区（华一水库灌区）续建配套与节水改造工程</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坚持国家法律法规，以服务人民为宗旨，保证两大工业园的工业用水及农民农田旱涝保收。</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已完成施工金额</w:t>
            </w:r>
            <w:r>
              <w:rPr>
                <w:rFonts w:hint="eastAsia" w:eastAsia="仿宋_GB2312" w:cs="Times New Roman"/>
                <w:color w:val="000000"/>
                <w:sz w:val="20"/>
                <w:szCs w:val="20"/>
                <w:lang w:val="en-US" w:eastAsia="zh-CN"/>
              </w:rPr>
              <w:t>760万元。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东干渠</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3450米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3450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支渠清淤工程</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1761米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1761</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机埠工程</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4座</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4座</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服务质量合格率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完成时间</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年底</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已完成施工金额</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成本</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农民农田粮食增产</w:t>
            </w:r>
            <w:r>
              <w:rPr>
                <w:rFonts w:hint="eastAsia" w:eastAsia="仿宋_GB2312" w:cs="Times New Roman"/>
                <w:color w:val="000000"/>
                <w:sz w:val="20"/>
                <w:szCs w:val="20"/>
                <w:lang w:val="en-US" w:eastAsia="zh-CN"/>
              </w:rPr>
              <w:t>10%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改善水库水质，优化环境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550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项目对于社会持续效果良好程度</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80%</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项目预期服务对象对项目实施的满意程度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水库周边群众满</w:t>
            </w:r>
            <w:r>
              <w:rPr>
                <w:rFonts w:hint="eastAsia" w:eastAsia="仿宋_GB2312" w:cs="Times New Roman"/>
                <w:color w:val="000000"/>
                <w:sz w:val="20"/>
                <w:szCs w:val="20"/>
                <w:lang w:val="en-US" w:eastAsia="zh-CN"/>
              </w:rPr>
              <w:t>度90%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石小芳</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2023.07.10</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13974075336</w:t>
      </w:r>
      <w:r>
        <w:rPr>
          <w:rFonts w:hint="eastAsia" w:ascii="新宋体" w:hAnsi="新宋体" w:eastAsia="新宋体" w:cs="新宋体"/>
          <w:sz w:val="21"/>
          <w:szCs w:val="21"/>
        </w:rPr>
        <w:t xml:space="preserve"> 单位负责人签字：</w:t>
      </w:r>
      <w:r>
        <w:rPr>
          <w:rFonts w:hint="eastAsia" w:ascii="新宋体" w:hAnsi="新宋体" w:eastAsia="新宋体" w:cs="新宋体"/>
          <w:sz w:val="21"/>
          <w:szCs w:val="21"/>
          <w:lang w:eastAsia="zh-CN"/>
        </w:rPr>
        <w:t>汪志</w:t>
      </w: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华容县2021-2022年中型灌区（</w:t>
      </w:r>
      <w:r>
        <w:rPr>
          <w:rFonts w:hint="eastAsia" w:ascii="方正小标宋简体" w:hAnsi="方正小标宋简体" w:eastAsia="方正小标宋简体" w:cs="方正小标宋简体"/>
          <w:sz w:val="44"/>
          <w:szCs w:val="44"/>
          <w:lang w:eastAsia="zh-CN"/>
        </w:rPr>
        <w:t>华一水库灌区）续建配套与节水改造</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lang w:eastAsia="zh-CN"/>
        </w:rPr>
        <w:t>华容县华一水库管理所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07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华一水库灌区续建配套与节水改造项目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pStyle w:val="13"/>
        <w:rPr>
          <w:rFonts w:hint="eastAsia" w:eastAsia="仿宋_GB2312"/>
          <w:sz w:val="30"/>
          <w:szCs w:val="30"/>
          <w:lang w:val="en-US" w:eastAsia="zh-CN"/>
        </w:rPr>
      </w:pPr>
      <w:r>
        <w:rPr>
          <w:rFonts w:hint="eastAsia" w:eastAsia="仿宋_GB2312"/>
          <w:sz w:val="30"/>
          <w:szCs w:val="30"/>
          <w:lang w:eastAsia="zh-CN"/>
        </w:rPr>
        <w:t>项目名称：华容县</w:t>
      </w:r>
      <w:r>
        <w:rPr>
          <w:rFonts w:hint="eastAsia" w:eastAsia="仿宋_GB2312"/>
          <w:sz w:val="30"/>
          <w:szCs w:val="30"/>
          <w:lang w:val="en-US" w:eastAsia="zh-CN"/>
        </w:rPr>
        <w:t>2021-2022年度中型灌区续建配套与节水改造工程。</w:t>
      </w:r>
    </w:p>
    <w:p>
      <w:pPr>
        <w:pStyle w:val="13"/>
        <w:rPr>
          <w:rFonts w:hint="eastAsia" w:ascii="宋体" w:hAnsi="宋体" w:eastAsia="宋体" w:cs="宋体"/>
          <w:sz w:val="30"/>
          <w:szCs w:val="30"/>
          <w:lang w:val="en-US" w:eastAsia="zh-CN"/>
        </w:rPr>
      </w:pPr>
      <w:r>
        <w:rPr>
          <w:rFonts w:hint="eastAsia" w:eastAsia="仿宋_GB2312"/>
          <w:sz w:val="30"/>
          <w:szCs w:val="30"/>
          <w:lang w:val="en-US" w:eastAsia="zh-CN"/>
        </w:rPr>
        <w:t>建设地点：华一水库灌区</w:t>
      </w:r>
    </w:p>
    <w:p>
      <w:pPr>
        <w:pStyle w:val="13"/>
        <w:rPr>
          <w:rFonts w:hint="eastAsia" w:eastAsia="仿宋_GB2312"/>
          <w:sz w:val="30"/>
          <w:szCs w:val="30"/>
          <w:lang w:val="en-US" w:eastAsia="zh-CN"/>
        </w:rPr>
      </w:pPr>
      <w:r>
        <w:rPr>
          <w:rFonts w:hint="eastAsia" w:eastAsia="仿宋_GB2312"/>
          <w:sz w:val="30"/>
          <w:szCs w:val="30"/>
          <w:lang w:val="en-US" w:eastAsia="zh-CN"/>
        </w:rPr>
        <w:t>计划开工：570日历天，其中设计30日历天，施工540日历天。实际开工日期：2021年12月16日，完工日期：2022年12月20日。</w:t>
      </w:r>
    </w:p>
    <w:p>
      <w:pPr>
        <w:pStyle w:val="13"/>
        <w:rPr>
          <w:rFonts w:hint="eastAsia" w:eastAsia="仿宋_GB2312"/>
          <w:sz w:val="30"/>
          <w:szCs w:val="30"/>
          <w:lang w:val="en-US" w:eastAsia="zh-CN"/>
        </w:rPr>
      </w:pPr>
      <w:r>
        <w:rPr>
          <w:rFonts w:hint="eastAsia" w:eastAsia="仿宋_GB2312"/>
          <w:sz w:val="30"/>
          <w:szCs w:val="30"/>
          <w:lang w:val="en-US" w:eastAsia="zh-CN"/>
        </w:rPr>
        <w:t>工程建设内容</w:t>
      </w:r>
    </w:p>
    <w:p>
      <w:pPr>
        <w:pStyle w:val="13"/>
        <w:numPr>
          <w:ilvl w:val="0"/>
          <w:numId w:val="7"/>
        </w:numPr>
        <w:rPr>
          <w:rFonts w:hint="eastAsia" w:eastAsia="仿宋_GB2312"/>
          <w:sz w:val="30"/>
          <w:szCs w:val="30"/>
          <w:lang w:val="en-US" w:eastAsia="zh-CN"/>
        </w:rPr>
      </w:pPr>
      <w:r>
        <w:rPr>
          <w:rFonts w:hint="eastAsia" w:eastAsia="仿宋_GB2312"/>
          <w:sz w:val="30"/>
          <w:szCs w:val="30"/>
          <w:lang w:val="en-US" w:eastAsia="zh-CN"/>
        </w:rPr>
        <w:t>灌溉面积2.5万亩，衬砌渠道21条总长21.708公里，清淤1条长1.498公里，新建32千瓦复兴六组机埠。32公里新铺2号机埠。更新1号机埠，32公里新铺11组机埠，加固改造山塘1处，新建或改造渠系及附属建筑物243处，信息中心站1处，量测水设施23处，配套水利工程标识牌47处，设置警示牌38处。</w:t>
      </w:r>
    </w:p>
    <w:p>
      <w:pPr>
        <w:pStyle w:val="13"/>
        <w:numPr>
          <w:ilvl w:val="0"/>
          <w:numId w:val="7"/>
        </w:numPr>
        <w:rPr>
          <w:rFonts w:hint="default" w:eastAsia="仿宋_GB2312"/>
          <w:sz w:val="30"/>
          <w:szCs w:val="30"/>
          <w:lang w:val="en-US" w:eastAsia="zh-CN"/>
        </w:rPr>
      </w:pPr>
      <w:r>
        <w:rPr>
          <w:rFonts w:hint="eastAsia" w:eastAsia="仿宋_GB2312"/>
          <w:sz w:val="30"/>
          <w:szCs w:val="30"/>
          <w:lang w:val="en-US" w:eastAsia="zh-CN"/>
        </w:rPr>
        <w:t>主要建设内容：原有建筑物拆除，清淤，土方开挖，填筑，浆砌石，实心水泥砖护坡，房屋建筑，闸门安装，启闭机安装，管道安装，拍门安装，闸阀及附件安装，水泵安装，电动机安装，电气电缆安装，计算机监控系统安装等。</w:t>
      </w:r>
    </w:p>
    <w:p>
      <w:pPr>
        <w:pStyle w:val="13"/>
        <w:numPr>
          <w:ilvl w:val="0"/>
          <w:numId w:val="7"/>
        </w:numPr>
        <w:rPr>
          <w:rFonts w:hint="default" w:eastAsia="仿宋_GB2312"/>
          <w:sz w:val="30"/>
          <w:szCs w:val="30"/>
          <w:lang w:val="en-US" w:eastAsia="zh-CN"/>
        </w:rPr>
      </w:pPr>
      <w:r>
        <w:rPr>
          <w:rFonts w:hint="eastAsia" w:eastAsia="仿宋_GB2312"/>
          <w:sz w:val="30"/>
          <w:szCs w:val="30"/>
          <w:lang w:val="en-US" w:eastAsia="zh-CN"/>
        </w:rPr>
        <w:t>项目资金使用情况：项目总投资1220万元，到目前为止已根据进度支付项目资金760万元，（含监理费，检测费及管理费）剩余资金460万元。</w:t>
      </w:r>
    </w:p>
    <w:p>
      <w:pPr>
        <w:keepNext w:val="0"/>
        <w:keepLines w:val="0"/>
        <w:pageBreakBefore w:val="0"/>
        <w:numPr>
          <w:ilvl w:val="0"/>
          <w:numId w:val="8"/>
        </w:numPr>
        <w:kinsoku/>
        <w:wordWrap/>
        <w:overflowPunct/>
        <w:topLinePunct w:val="0"/>
        <w:autoSpaceDE/>
        <w:autoSpaceDN/>
        <w:bidi w:val="0"/>
        <w:adjustRightInd/>
        <w:snapToGrid/>
        <w:spacing w:line="610" w:lineRule="exact"/>
        <w:ind w:firstLine="600" w:firstLineChars="200"/>
        <w:textAlignment w:val="auto"/>
        <w:rPr>
          <w:rFonts w:hint="eastAsia" w:eastAsia="仿宋_GB2312"/>
          <w:lang w:eastAsia="zh-CN"/>
        </w:rPr>
      </w:pPr>
      <w:r>
        <w:rPr>
          <w:rFonts w:hint="eastAsia" w:eastAsia="仿宋_GB2312"/>
          <w:sz w:val="30"/>
          <w:szCs w:val="30"/>
        </w:rPr>
        <w:t>项目绩效目标。</w:t>
      </w:r>
    </w:p>
    <w:p>
      <w:pPr>
        <w:pStyle w:val="13"/>
        <w:rPr>
          <w:rFonts w:hint="eastAsia" w:eastAsia="仿宋_GB2312"/>
          <w:sz w:val="32"/>
          <w:szCs w:val="32"/>
          <w:lang w:val="en-US" w:eastAsia="zh-CN"/>
        </w:rPr>
      </w:pPr>
      <w:r>
        <w:rPr>
          <w:rFonts w:hint="eastAsia" w:eastAsia="仿宋_GB2312"/>
          <w:sz w:val="32"/>
          <w:szCs w:val="32"/>
          <w:lang w:val="en-US" w:eastAsia="zh-CN"/>
        </w:rPr>
        <w:t>质量目标：项目符合施工要求进行渠道清淤，砖砌，抹面，机埠改造及新建等项目。</w:t>
      </w:r>
    </w:p>
    <w:p>
      <w:pPr>
        <w:pStyle w:val="13"/>
        <w:rPr>
          <w:rFonts w:hint="default" w:eastAsia="仿宋_GB2312"/>
          <w:sz w:val="32"/>
          <w:szCs w:val="32"/>
          <w:lang w:val="en-US" w:eastAsia="zh-CN"/>
        </w:rPr>
      </w:pPr>
      <w:r>
        <w:rPr>
          <w:rFonts w:hint="eastAsia" w:eastAsia="仿宋_GB2312"/>
          <w:sz w:val="32"/>
          <w:szCs w:val="32"/>
          <w:lang w:val="en-US" w:eastAsia="zh-CN"/>
        </w:rPr>
        <w:t>进度目标：根据合同要求已完成项目的95%。</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default" w:eastAsia="仿宋_GB2312"/>
          <w:sz w:val="30"/>
          <w:szCs w:val="30"/>
          <w:lang w:val="en-US" w:eastAsia="zh-CN"/>
        </w:rPr>
      </w:pPr>
      <w:r>
        <w:rPr>
          <w:rFonts w:hint="eastAsia" w:eastAsia="仿宋_GB2312"/>
          <w:sz w:val="30"/>
          <w:szCs w:val="30"/>
        </w:rPr>
        <w:t>总体目标</w:t>
      </w:r>
      <w:r>
        <w:rPr>
          <w:rFonts w:hint="eastAsia" w:eastAsia="仿宋_GB2312"/>
          <w:sz w:val="30"/>
          <w:szCs w:val="30"/>
          <w:lang w:eastAsia="zh-CN"/>
        </w:rPr>
        <w:t>：</w:t>
      </w:r>
      <w:r>
        <w:rPr>
          <w:rFonts w:hint="eastAsia" w:eastAsia="仿宋_GB2312"/>
          <w:sz w:val="30"/>
          <w:szCs w:val="30"/>
          <w:lang w:val="en-US" w:eastAsia="zh-CN"/>
        </w:rPr>
        <w:t>2022年12月20日要求全部完工，2023年投入使用。</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eastAsia" w:eastAsia="仿宋_GB2312"/>
          <w:sz w:val="30"/>
          <w:szCs w:val="30"/>
          <w:lang w:eastAsia="zh-CN"/>
        </w:rPr>
      </w:pPr>
      <w:r>
        <w:rPr>
          <w:rFonts w:hint="eastAsia" w:eastAsia="仿宋_GB2312"/>
          <w:sz w:val="30"/>
          <w:szCs w:val="30"/>
        </w:rPr>
        <w:t>阶段性目标</w:t>
      </w:r>
      <w:r>
        <w:rPr>
          <w:rFonts w:hint="eastAsia" w:eastAsia="仿宋_GB2312"/>
          <w:sz w:val="30"/>
          <w:szCs w:val="30"/>
          <w:lang w:eastAsia="zh-CN"/>
        </w:rPr>
        <w:t>：续建配套及节水改造完成了主干渠清淤，砖砌，抹面，支渠工程清淤，砖砌，抹面以及机埠工程的新建与改造等项目。</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eastAsia" w:eastAsia="仿宋_GB2312"/>
          <w:sz w:val="30"/>
          <w:szCs w:val="30"/>
          <w:lang w:eastAsia="zh-CN"/>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eastAsia="仿宋_GB2312"/>
          <w:sz w:val="30"/>
          <w:szCs w:val="30"/>
        </w:rPr>
      </w:pPr>
      <w:r>
        <w:rPr>
          <w:rFonts w:hint="eastAsia" w:eastAsia="仿宋_GB2312"/>
          <w:sz w:val="30"/>
          <w:szCs w:val="30"/>
        </w:rPr>
        <w:t>(一)绩效评价目的、对象和范围。</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color w:val="333333"/>
          <w:sz w:val="30"/>
          <w:szCs w:val="30"/>
        </w:rPr>
      </w:pPr>
      <w:r>
        <w:rPr>
          <w:color w:val="333333"/>
          <w:sz w:val="30"/>
          <w:szCs w:val="30"/>
        </w:rPr>
        <w:t>绩效评价的对象包括纳入政府预算管理的资金和纳入部门预算管理的资金。</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eastAsia="宋体"/>
          <w:color w:val="333333"/>
          <w:sz w:val="30"/>
          <w:szCs w:val="30"/>
          <w:lang w:val="en-US" w:eastAsia="zh-CN"/>
        </w:rPr>
      </w:pPr>
      <w:r>
        <w:rPr>
          <w:rFonts w:hint="eastAsia"/>
          <w:color w:val="333333"/>
          <w:sz w:val="30"/>
          <w:szCs w:val="30"/>
          <w:lang w:val="en-US" w:eastAsia="zh-CN"/>
        </w:rPr>
        <w:t>绩效评价的范围：</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ascii="Arial" w:hAnsi="Arial" w:cs="Arial"/>
          <w:i w:val="0"/>
          <w:iCs w:val="0"/>
          <w:caps w:val="0"/>
          <w:color w:val="333333"/>
          <w:spacing w:val="0"/>
          <w:sz w:val="30"/>
          <w:szCs w:val="30"/>
        </w:rPr>
      </w:pPr>
      <w:bookmarkStart w:id="0" w:name="2024905-2142724-4_1"/>
      <w:bookmarkEnd w:id="0"/>
      <w:r>
        <w:rPr>
          <w:rFonts w:hint="default" w:ascii="Arial" w:hAnsi="Arial" w:cs="Arial"/>
          <w:i w:val="0"/>
          <w:iCs w:val="0"/>
          <w:caps w:val="0"/>
          <w:color w:val="333333"/>
          <w:spacing w:val="0"/>
          <w:sz w:val="30"/>
          <w:szCs w:val="30"/>
          <w:shd w:val="clear" w:fill="FFFFFF"/>
        </w:rPr>
        <w:t>(1)预期产出，包括</w:t>
      </w:r>
      <w:r>
        <w:rPr>
          <w:rFonts w:hint="eastAsia" w:ascii="Arial" w:hAnsi="Arial" w:cs="Arial"/>
          <w:i w:val="0"/>
          <w:iCs w:val="0"/>
          <w:caps w:val="0"/>
          <w:color w:val="333333"/>
          <w:spacing w:val="0"/>
          <w:sz w:val="30"/>
          <w:szCs w:val="30"/>
          <w:shd w:val="clear" w:fill="FFFFFF"/>
          <w:lang w:eastAsia="zh-CN"/>
        </w:rPr>
        <w:t>项目的工程量</w:t>
      </w:r>
      <w:r>
        <w:rPr>
          <w:rFonts w:hint="default" w:ascii="Arial" w:hAnsi="Arial" w:cs="Arial"/>
          <w:i w:val="0"/>
          <w:iCs w:val="0"/>
          <w:caps w:val="0"/>
          <w:color w:val="333333"/>
          <w:spacing w:val="0"/>
          <w:sz w:val="30"/>
          <w:szCs w:val="30"/>
          <w:shd w:val="clear" w:fill="FFFFFF"/>
        </w:rPr>
        <w:t>和服务的数量;</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(2)预期效果，包括经济效益、社会效益、环境效益和可持续影响等;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(3)服务对象满意程度;</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(4)达到预期产出所需要的成本资源;</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2"/>
          <w:szCs w:val="32"/>
        </w:rPr>
      </w:pPr>
      <w:r>
        <w:rPr>
          <w:rFonts w:hint="default" w:ascii="Arial" w:hAnsi="Arial" w:cs="Arial"/>
          <w:i w:val="0"/>
          <w:iCs w:val="0"/>
          <w:caps w:val="0"/>
          <w:color w:val="333333"/>
          <w:spacing w:val="0"/>
          <w:sz w:val="32"/>
          <w:szCs w:val="32"/>
          <w:shd w:val="clear" w:fill="FFFFFF"/>
        </w:rPr>
        <w:t>(5)衡量预期产出、预期效果和服务对象满意程度的绩效指标;</w:t>
      </w:r>
    </w:p>
    <w:p>
      <w:pPr>
        <w:pStyle w:val="5"/>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180" w:afterAutospacing="0" w:line="270" w:lineRule="atLeast"/>
        <w:ind w:left="0" w:right="0"/>
        <w:rPr>
          <w:rFonts w:ascii="微软雅黑" w:hAnsi="微软雅黑" w:eastAsia="微软雅黑" w:cs="微软雅黑"/>
          <w:sz w:val="32"/>
          <w:szCs w:val="32"/>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p>
    <w:p>
      <w:pPr>
        <w:pStyle w:val="13"/>
        <w:rPr>
          <w:rFonts w:hint="eastAsia"/>
        </w:rPr>
      </w:pPr>
    </w:p>
    <w:p>
      <w:pPr>
        <w:keepNext w:val="0"/>
        <w:keepLines w:val="0"/>
        <w:pageBreakBefore w:val="0"/>
        <w:numPr>
          <w:ilvl w:val="0"/>
          <w:numId w:val="9"/>
        </w:numPr>
        <w:kinsoku/>
        <w:wordWrap/>
        <w:overflowPunct/>
        <w:topLinePunct w:val="0"/>
        <w:autoSpaceDE/>
        <w:autoSpaceDN/>
        <w:bidi w:val="0"/>
        <w:adjustRightInd/>
        <w:snapToGrid/>
        <w:spacing w:line="610" w:lineRule="exact"/>
        <w:ind w:firstLine="600" w:firstLineChars="200"/>
        <w:textAlignment w:val="auto"/>
        <w:rPr>
          <w:rFonts w:hint="eastAsia"/>
          <w:sz w:val="32"/>
          <w:szCs w:val="32"/>
          <w:lang w:eastAsia="zh-CN"/>
        </w:rPr>
      </w:pPr>
      <w:r>
        <w:rPr>
          <w:rFonts w:hint="eastAsia" w:eastAsia="仿宋_GB2312"/>
          <w:sz w:val="30"/>
          <w:szCs w:val="30"/>
        </w:rPr>
        <w:t>绩效评价原则、评价指标体系(附表说明)、评价方法、 评价标准等</w:t>
      </w:r>
      <w:r>
        <w:rPr>
          <w:rFonts w:hint="eastAsia" w:eastAsia="仿宋_GB2312"/>
          <w:sz w:val="30"/>
          <w:szCs w:val="30"/>
          <w:lang w:eastAsia="zh-CN"/>
        </w:rPr>
        <w:t>。</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60" w:firstLineChars="300"/>
        <w:textAlignment w:val="auto"/>
        <w:rPr>
          <w:rFonts w:hint="eastAsia"/>
          <w:sz w:val="32"/>
          <w:szCs w:val="32"/>
          <w:lang w:eastAsia="zh-CN"/>
        </w:rPr>
      </w:pPr>
      <w:r>
        <w:rPr>
          <w:rFonts w:hint="eastAsia"/>
          <w:sz w:val="32"/>
          <w:szCs w:val="32"/>
          <w:lang w:eastAsia="zh-CN"/>
        </w:rPr>
        <w:t>结合项目具体情况，本次绩效评价采用成本效益分析法，比较法及因素分析法等方法从项目决策，项目过程，项目产出以及项目效益四个方面开展评价。</w:t>
      </w:r>
    </w:p>
    <w:p>
      <w:pPr>
        <w:pStyle w:val="12"/>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leftChars="0" w:right="0" w:firstLine="600" w:firstLineChars="200"/>
        <w:rPr>
          <w:rFonts w:hint="eastAsia" w:eastAsia="仿宋_GB2312"/>
          <w:sz w:val="30"/>
          <w:szCs w:val="30"/>
        </w:rPr>
      </w:pPr>
      <w:r>
        <w:rPr>
          <w:rFonts w:hint="eastAsia" w:eastAsia="仿宋_GB2312"/>
          <w:sz w:val="30"/>
          <w:szCs w:val="30"/>
        </w:rPr>
        <w:t>绩效评价工作过程。</w:t>
      </w:r>
    </w:p>
    <w:p>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Chars="200" w:right="0" w:rightChars="0"/>
        <w:rPr>
          <w:rFonts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(1)绩效目标的设定情况;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(2)资金投入和使用情况;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(3)为实现绩效目标制定的制度、采取的措施等;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(4)绩效目标的实现程度及效果;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eastAsia"/>
        </w:rPr>
      </w:pPr>
      <w:r>
        <w:rPr>
          <w:rFonts w:hint="default" w:ascii="Arial" w:hAnsi="Arial" w:cs="Arial"/>
          <w:i w:val="0"/>
          <w:iCs w:val="0"/>
          <w:caps w:val="0"/>
          <w:color w:val="333333"/>
          <w:spacing w:val="0"/>
          <w:sz w:val="30"/>
          <w:szCs w:val="30"/>
          <w:shd w:val="clear" w:fill="FFFFFF"/>
        </w:rPr>
        <w:t>(5)绩效评价的其他内容。</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三、综合评价情况及评价结论</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eastAsia="宋体"/>
          <w:sz w:val="32"/>
          <w:szCs w:val="32"/>
          <w:lang w:eastAsia="zh-CN"/>
        </w:rPr>
      </w:pPr>
      <w:r>
        <w:rPr>
          <w:rFonts w:hint="eastAsia"/>
          <w:sz w:val="32"/>
          <w:szCs w:val="32"/>
          <w:lang w:eastAsia="zh-CN"/>
        </w:rPr>
        <w:t>根据《华容财政局预算支出绩效评价工作的通知》》要求，精心组织，保证质量。一是制定财政支出绩效评价计划，明确评价组织实施要求，二是确保自评结果真实，准确，客观，禁止弄虚作假，成立了绩效自评工作组，明确任务分工，压实工作责任，围绕项目目标，深入客观分析评价，高质量地完成项自评工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13"/>
        <w:rPr>
          <w:rFonts w:hint="eastAsia" w:eastAsia="仿宋_GB2312"/>
          <w:sz w:val="32"/>
          <w:szCs w:val="32"/>
          <w:lang w:eastAsia="zh-CN"/>
        </w:rPr>
      </w:pPr>
      <w:r>
        <w:rPr>
          <w:rFonts w:hint="eastAsia" w:eastAsia="仿宋_GB2312"/>
          <w:sz w:val="32"/>
          <w:szCs w:val="32"/>
          <w:lang w:eastAsia="zh-CN"/>
        </w:rPr>
        <w:t>项目根据法律法规的明确规定，通过公开招标方式签订施工合同。</w:t>
      </w:r>
    </w:p>
    <w:p>
      <w:pPr>
        <w:keepNext w:val="0"/>
        <w:keepLines w:val="0"/>
        <w:pageBreakBefore w:val="0"/>
        <w:numPr>
          <w:ilvl w:val="0"/>
          <w:numId w:val="1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项目过程情况。</w:t>
      </w:r>
    </w:p>
    <w:p>
      <w:pPr>
        <w:pStyle w:val="13"/>
        <w:numPr>
          <w:ilvl w:val="0"/>
          <w:numId w:val="0"/>
        </w:numPr>
        <w:ind w:leftChars="400"/>
        <w:rPr>
          <w:rFonts w:hint="eastAsia" w:eastAsia="宋体"/>
          <w:sz w:val="30"/>
          <w:szCs w:val="30"/>
          <w:lang w:eastAsia="zh-CN"/>
        </w:rPr>
      </w:pPr>
      <w:r>
        <w:rPr>
          <w:rFonts w:hint="eastAsia"/>
          <w:sz w:val="30"/>
          <w:szCs w:val="30"/>
          <w:lang w:eastAsia="zh-CN"/>
        </w:rPr>
        <w:t>项目符合申报条件，申报批复程序符合相关管理办法。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pStyle w:val="13"/>
        <w:rPr>
          <w:rFonts w:hint="default" w:eastAsia="仿宋_GB2312"/>
          <w:sz w:val="32"/>
          <w:szCs w:val="32"/>
          <w:lang w:val="en-US" w:eastAsia="zh-CN"/>
        </w:rPr>
      </w:pPr>
      <w:r>
        <w:rPr>
          <w:rFonts w:hint="eastAsia" w:eastAsia="仿宋_GB2312"/>
          <w:sz w:val="32"/>
          <w:szCs w:val="32"/>
          <w:lang w:eastAsia="zh-CN"/>
        </w:rPr>
        <w:t>项目实施阶段目标完成率达到</w:t>
      </w:r>
      <w:r>
        <w:rPr>
          <w:rFonts w:hint="eastAsia" w:eastAsia="仿宋_GB2312"/>
          <w:sz w:val="32"/>
          <w:szCs w:val="32"/>
          <w:lang w:val="en-US" w:eastAsia="zh-CN"/>
        </w:rPr>
        <w:t>95%</w:t>
      </w:r>
    </w:p>
    <w:p>
      <w:pPr>
        <w:keepNext w:val="0"/>
        <w:keepLines w:val="0"/>
        <w:pageBreakBefore w:val="0"/>
        <w:numPr>
          <w:ilvl w:val="0"/>
          <w:numId w:val="10"/>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项目效益情况。</w:t>
      </w:r>
    </w:p>
    <w:p>
      <w:pPr>
        <w:pStyle w:val="13"/>
        <w:numPr>
          <w:ilvl w:val="0"/>
          <w:numId w:val="0"/>
        </w:numPr>
        <w:ind w:leftChars="200" w:firstLine="640" w:firstLineChars="200"/>
        <w:rPr>
          <w:rFonts w:hint="default" w:eastAsia="宋体"/>
          <w:sz w:val="32"/>
          <w:szCs w:val="32"/>
          <w:lang w:val="en-US" w:eastAsia="zh-CN"/>
        </w:rPr>
      </w:pPr>
      <w:r>
        <w:rPr>
          <w:rFonts w:hint="eastAsia"/>
          <w:sz w:val="32"/>
          <w:szCs w:val="32"/>
          <w:lang w:eastAsia="zh-CN"/>
        </w:rPr>
        <w:t>项目实施提高水利服务能力，确保两大工业园工业用水及水利设施长效发挥作用，保证并</w:t>
      </w:r>
      <w:r>
        <w:rPr>
          <w:rFonts w:hint="eastAsia"/>
          <w:sz w:val="32"/>
          <w:szCs w:val="32"/>
          <w:lang w:val="en-US" w:eastAsia="zh-CN"/>
        </w:rPr>
        <w:t>农业增收和农民增产。</w:t>
      </w:r>
    </w:p>
    <w:p>
      <w:pPr>
        <w:keepNext w:val="0"/>
        <w:keepLines w:val="0"/>
        <w:pageBreakBefore w:val="0"/>
        <w:numPr>
          <w:ilvl w:val="0"/>
          <w:numId w:val="11"/>
        </w:numPr>
        <w:kinsoku/>
        <w:wordWrap/>
        <w:overflowPunct/>
        <w:topLinePunct w:val="0"/>
        <w:autoSpaceDE/>
        <w:autoSpaceDN/>
        <w:bidi w:val="0"/>
        <w:adjustRightInd/>
        <w:snapToGrid/>
        <w:spacing w:line="61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pStyle w:val="13"/>
        <w:numPr>
          <w:ilvl w:val="0"/>
          <w:numId w:val="0"/>
        </w:numPr>
        <w:ind w:leftChars="200" w:firstLine="600" w:firstLineChars="200"/>
        <w:rPr>
          <w:rFonts w:hint="eastAsia"/>
          <w:sz w:val="30"/>
          <w:szCs w:val="30"/>
          <w:lang w:eastAsia="zh-CN"/>
        </w:rPr>
      </w:pPr>
      <w:r>
        <w:rPr>
          <w:rFonts w:hint="eastAsia"/>
          <w:sz w:val="30"/>
          <w:szCs w:val="30"/>
          <w:lang w:eastAsia="zh-CN"/>
        </w:rPr>
        <w:t>为做好项目实施的跟踪检查工作，我所对项目实施情况和经费使用情况跟踪检查，对能实现预期绩效目标的项目予以充分肯定，对进展缓慢，预期绩效较差的项目，及时进行协调和提出整改措施，确保项目实施工作正常运行，达到预期绩效目标。</w:t>
      </w:r>
    </w:p>
    <w:p>
      <w:pPr>
        <w:pStyle w:val="13"/>
        <w:numPr>
          <w:ilvl w:val="0"/>
          <w:numId w:val="0"/>
        </w:numPr>
        <w:ind w:leftChars="200" w:firstLine="600" w:firstLineChars="200"/>
        <w:rPr>
          <w:rFonts w:hint="eastAsia"/>
          <w:sz w:val="30"/>
          <w:szCs w:val="30"/>
          <w:lang w:eastAsia="zh-CN"/>
        </w:rPr>
      </w:pPr>
      <w:r>
        <w:rPr>
          <w:rFonts w:hint="eastAsia"/>
          <w:sz w:val="30"/>
          <w:szCs w:val="30"/>
          <w:lang w:eastAsia="zh-CN"/>
        </w:rPr>
        <w:t>存在的问题：建议把项目资金纳入财政预算当中，保证资金根据合同，施工进度资金按时到位，以确保项目的顺利进行。</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pStyle w:val="13"/>
        <w:ind w:left="0" w:leftChars="0" w:firstLine="0" w:firstLineChars="0"/>
        <w:rPr>
          <w:rFonts w:hint="eastAsia"/>
          <w:lang w:val="en-US" w:eastAsia="zh-CN"/>
        </w:rPr>
      </w:pPr>
    </w:p>
    <w:p>
      <w:pPr>
        <w:pStyle w:val="13"/>
        <w:ind w:left="0" w:leftChars="0" w:firstLine="0" w:firstLineChars="0"/>
        <w:rPr>
          <w:rFonts w:hint="eastAsia"/>
          <w:lang w:val="en-US" w:eastAsia="zh-CN"/>
        </w:rPr>
      </w:pP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Lines="50" w:afterLines="100"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项目支出绩效评价评分表（共性）</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一级</w:t>
            </w:r>
          </w:p>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二级</w:t>
            </w:r>
          </w:p>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三级</w:t>
            </w:r>
          </w:p>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自评</w:t>
            </w:r>
          </w:p>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宋体" w:hAnsi="宋体" w:cs="宋体"/>
                <w:kern w:val="0"/>
                <w:sz w:val="18"/>
                <w:szCs w:val="18"/>
              </w:rPr>
            </w:pPr>
            <w:r>
              <w:rPr>
                <w:rFonts w:hint="eastAsia" w:ascii="宋体" w:hAnsi="宋体"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目标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①设有目标（1分）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②目标明确（1分）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③目标细化（1分）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tabs>
                <w:tab w:val="left" w:pos="575"/>
              </w:tabs>
              <w:spacing w:line="240" w:lineRule="exact"/>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决策</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①符合法律法规（1分）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②符合经济社会发展规划（1分）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③部门年度工作计划（1分）</w:t>
            </w:r>
          </w:p>
          <w:p>
            <w:pPr>
              <w:widowControl/>
              <w:spacing w:line="240" w:lineRule="exact"/>
              <w:jc w:val="left"/>
              <w:rPr>
                <w:rFonts w:ascii="宋体" w:hAnsi="宋体" w:cs="宋体"/>
                <w:spacing w:val="-6"/>
                <w:kern w:val="0"/>
                <w:sz w:val="18"/>
                <w:szCs w:val="18"/>
              </w:rPr>
            </w:pPr>
            <w:r>
              <w:rPr>
                <w:rFonts w:hint="eastAsia" w:ascii="宋体" w:hAnsi="宋体" w:cs="宋体"/>
                <w:spacing w:val="-6"/>
                <w:kern w:val="0"/>
                <w:sz w:val="18"/>
                <w:szCs w:val="18"/>
              </w:rPr>
              <w:t>④针对某一实际问题和需求（1分）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决策</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①符合申报条件（2分）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②项目申报、批复程序符合管理办法（1分）</w:t>
            </w:r>
          </w:p>
          <w:p>
            <w:pPr>
              <w:widowControl/>
              <w:spacing w:line="240" w:lineRule="exact"/>
              <w:jc w:val="left"/>
              <w:rPr>
                <w:rFonts w:ascii="宋体" w:hAnsi="宋体" w:cs="宋体"/>
                <w:kern w:val="0"/>
                <w:sz w:val="18"/>
                <w:szCs w:val="18"/>
              </w:rPr>
            </w:pPr>
            <w:r>
              <w:rPr>
                <w:rFonts w:hint="eastAsia" w:ascii="宋体" w:hAnsi="宋体"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分配</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①有相应的资金管理办法（1分）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②办法健全、规范（1分）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③因素全面合理（1分）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分配</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①符合分配办法（2分）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②分配公平合理（3分）</w:t>
            </w:r>
          </w:p>
          <w:p>
            <w:pPr>
              <w:widowControl/>
              <w:spacing w:line="240" w:lineRule="exact"/>
              <w:jc w:val="left"/>
              <w:rPr>
                <w:rFonts w:ascii="宋体" w:hAnsi="宋体" w:cs="宋体"/>
                <w:kern w:val="0"/>
                <w:sz w:val="18"/>
                <w:szCs w:val="18"/>
              </w:rPr>
            </w:pPr>
            <w:r>
              <w:rPr>
                <w:rFonts w:hint="eastAsia" w:ascii="宋体" w:hAnsi="宋体"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宋体" w:hAnsi="宋体" w:cs="宋体"/>
                <w:kern w:val="0"/>
                <w:sz w:val="18"/>
                <w:szCs w:val="18"/>
              </w:rPr>
            </w:pPr>
            <w:r>
              <w:rPr>
                <w:rFonts w:hint="eastAsia" w:ascii="宋体" w:hAnsi="宋体"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25</w:t>
            </w:r>
          </w:p>
          <w:p>
            <w:pPr>
              <w:rPr>
                <w:rFonts w:ascii="宋体" w:hAnsi="宋体" w:cs="宋体"/>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到位</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①到位及时（2分）</w:t>
            </w:r>
          </w:p>
          <w:p>
            <w:pPr>
              <w:widowControl/>
              <w:spacing w:line="240" w:lineRule="exact"/>
              <w:jc w:val="left"/>
              <w:rPr>
                <w:rFonts w:ascii="宋体" w:hAnsi="宋体" w:cs="宋体"/>
                <w:spacing w:val="-10"/>
                <w:kern w:val="0"/>
                <w:sz w:val="18"/>
                <w:szCs w:val="18"/>
              </w:rPr>
            </w:pPr>
            <w:r>
              <w:rPr>
                <w:rFonts w:hint="eastAsia" w:ascii="宋体" w:hAnsi="宋体" w:cs="宋体"/>
                <w:spacing w:val="-10"/>
                <w:kern w:val="0"/>
                <w:sz w:val="18"/>
                <w:szCs w:val="18"/>
              </w:rPr>
              <w:t>②不及时但未影响项目进度 （1分）</w:t>
            </w:r>
          </w:p>
          <w:p>
            <w:pPr>
              <w:widowControl/>
              <w:spacing w:line="240" w:lineRule="exact"/>
              <w:jc w:val="left"/>
              <w:rPr>
                <w:rFonts w:ascii="宋体" w:hAnsi="宋体" w:cs="宋体"/>
                <w:kern w:val="0"/>
                <w:sz w:val="18"/>
                <w:szCs w:val="18"/>
              </w:rPr>
            </w:pPr>
            <w:r>
              <w:rPr>
                <w:rFonts w:hint="eastAsia" w:ascii="宋体" w:hAnsi="宋体"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资金</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 xml:space="preserve">①虚列套取扣4-7分 </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②依据不合规扣2分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③截留、挤占、挪用扣3-6分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④超标准开支扣2-5分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财务</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①财务制度健全（1分）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②严格执行制度（1分）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③会计核算规范（1分）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宋体" w:hAnsi="宋体"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rPr>
                <w:rFonts w:ascii="宋体" w:hAnsi="宋体" w:cs="宋体"/>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组织</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支撑</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①按计划开工（1分）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②按计划开展（1分）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管理</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①管理制度健全（2分）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②制度执行严格（3分）</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产出</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经济</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社会</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生态</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8可持续</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服务</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对象</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宋体" w:hAnsi="宋体"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宋体" w:hAnsi="宋体"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18"/>
                <w:szCs w:val="18"/>
              </w:rPr>
            </w:pPr>
            <w:r>
              <w:rPr>
                <w:rFonts w:hint="eastAsia" w:ascii="宋体" w:hAnsi="宋体" w:cs="宋体"/>
                <w:b/>
                <w:bCs/>
                <w:kern w:val="0"/>
                <w:sz w:val="18"/>
                <w:szCs w:val="18"/>
              </w:rPr>
              <w:t>100</w:t>
            </w:r>
          </w:p>
        </w:tc>
      </w:tr>
    </w:tbl>
    <w:p>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Lines="50"/>
        <w:ind w:firstLine="630" w:firstLineChars="300"/>
        <w:contextualSpacing/>
        <w:rPr>
          <w:rFonts w:eastAsia="仿宋_GB2312"/>
          <w:sz w:val="32"/>
        </w:rPr>
      </w:pPr>
      <w:r>
        <w:rPr>
          <w:rFonts w:hint="eastAsia" w:ascii="仿宋_GB2312" w:eastAsia="仿宋_GB2312"/>
        </w:rPr>
        <w:t>2、一个一级项目一张表。</w:t>
      </w:r>
    </w:p>
    <w:p/>
    <w:p>
      <w:pPr>
        <w:pStyle w:val="2"/>
        <w:sectPr>
          <w:pgSz w:w="11906" w:h="16838"/>
          <w:pgMar w:top="1701" w:right="1417" w:bottom="1417" w:left="1417" w:header="851" w:footer="992" w:gutter="0"/>
          <w:cols w:space="0" w:num="1"/>
          <w:docGrid w:type="lines" w:linePitch="312" w:charSpace="0"/>
        </w:sect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1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项目支</w:t>
            </w:r>
          </w:p>
          <w:p>
            <w:pPr>
              <w:widowControl/>
              <w:spacing w:line="260" w:lineRule="exact"/>
              <w:jc w:val="center"/>
              <w:rPr>
                <w:rFonts w:ascii="宋体" w:hAnsi="宋体" w:cs="宋体"/>
                <w:color w:val="000000"/>
                <w:szCs w:val="21"/>
              </w:rPr>
            </w:pPr>
            <w:r>
              <w:rPr>
                <w:rFonts w:hint="eastAsia" w:ascii="宋体" w:hAnsi="宋体" w:cs="宋体"/>
                <w:color w:val="000000"/>
                <w:szCs w:val="21"/>
              </w:rPr>
              <w:t>出名称</w:t>
            </w:r>
          </w:p>
        </w:tc>
        <w:tc>
          <w:tcPr>
            <w:tcW w:w="8771" w:type="dxa"/>
            <w:gridSpan w:val="8"/>
            <w:tcBorders>
              <w:top w:val="single" w:color="auto" w:sz="4" w:space="0"/>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华容县护城大垸沟渠捞草扫障工程</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主管部门</w:t>
            </w:r>
          </w:p>
        </w:tc>
        <w:tc>
          <w:tcPr>
            <w:tcW w:w="4518" w:type="dxa"/>
            <w:gridSpan w:val="4"/>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single" w:color="auto" w:sz="4" w:space="0"/>
              <w:left w:val="nil"/>
              <w:bottom w:val="single" w:color="auto" w:sz="4" w:space="0"/>
              <w:right w:val="single" w:color="000000"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实施单位</w:t>
            </w:r>
          </w:p>
        </w:tc>
        <w:tc>
          <w:tcPr>
            <w:tcW w:w="3119" w:type="dxa"/>
            <w:gridSpan w:val="3"/>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项目资金</w:t>
            </w:r>
            <w:r>
              <w:rPr>
                <w:rFonts w:hint="eastAsia" w:ascii="宋体" w:hAnsi="宋体" w:cs="宋体"/>
                <w:color w:val="000000"/>
                <w:szCs w:val="21"/>
              </w:rPr>
              <w:br w:type="textWrapping"/>
            </w:r>
            <w:r>
              <w:rPr>
                <w:rFonts w:hint="eastAsia" w:ascii="宋体" w:hAnsi="宋体" w:cs="宋体"/>
                <w:color w:val="000000"/>
                <w:szCs w:val="21"/>
              </w:rPr>
              <w:t>（万元）</w:t>
            </w: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年初</w:t>
            </w:r>
          </w:p>
          <w:p>
            <w:pPr>
              <w:widowControl/>
              <w:spacing w:line="260" w:lineRule="exact"/>
              <w:jc w:val="center"/>
              <w:rPr>
                <w:rFonts w:ascii="宋体" w:hAnsi="宋体" w:cs="宋体"/>
                <w:color w:val="000000"/>
                <w:szCs w:val="21"/>
              </w:rPr>
            </w:pPr>
            <w:r>
              <w:rPr>
                <w:rFonts w:hint="eastAsia" w:ascii="宋体" w:hAnsi="宋体" w:cs="宋体"/>
                <w:color w:val="000000"/>
                <w:szCs w:val="21"/>
              </w:rPr>
              <w:t>预算数</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全年</w:t>
            </w:r>
          </w:p>
          <w:p>
            <w:pPr>
              <w:widowControl/>
              <w:spacing w:line="260" w:lineRule="exact"/>
              <w:jc w:val="center"/>
              <w:rPr>
                <w:rFonts w:ascii="宋体" w:hAnsi="宋体" w:cs="宋体"/>
                <w:color w:val="000000"/>
                <w:szCs w:val="21"/>
              </w:rPr>
            </w:pPr>
            <w:r>
              <w:rPr>
                <w:rFonts w:hint="eastAsia" w:ascii="宋体" w:hAnsi="宋体" w:cs="宋体"/>
                <w:color w:val="000000"/>
                <w:szCs w:val="21"/>
              </w:rPr>
              <w:t>预算数</w:t>
            </w:r>
          </w:p>
        </w:tc>
        <w:tc>
          <w:tcPr>
            <w:tcW w:w="1134" w:type="dxa"/>
            <w:tcBorders>
              <w:top w:val="nil"/>
              <w:left w:val="nil"/>
              <w:bottom w:val="single" w:color="auto" w:sz="4" w:space="0"/>
              <w:right w:val="single" w:color="auto" w:sz="4" w:space="0"/>
            </w:tcBorders>
            <w:vAlign w:val="center"/>
          </w:tcPr>
          <w:p>
            <w:pPr>
              <w:spacing w:line="260" w:lineRule="exact"/>
              <w:jc w:val="center"/>
              <w:rPr>
                <w:rFonts w:ascii="宋体" w:hAnsi="宋体" w:cs="宋体"/>
                <w:szCs w:val="21"/>
              </w:rPr>
            </w:pPr>
            <w:r>
              <w:rPr>
                <w:rFonts w:hint="eastAsia" w:ascii="宋体" w:hAnsi="宋体" w:cs="宋体"/>
                <w:szCs w:val="21"/>
              </w:rPr>
              <w:t>全年</w:t>
            </w:r>
          </w:p>
          <w:p>
            <w:pPr>
              <w:spacing w:line="260" w:lineRule="exact"/>
              <w:jc w:val="center"/>
              <w:rPr>
                <w:rFonts w:ascii="宋体" w:hAnsi="宋体" w:cs="宋体"/>
                <w:szCs w:val="21"/>
              </w:rPr>
            </w:pPr>
            <w:r>
              <w:rPr>
                <w:rFonts w:hint="eastAsia" w:ascii="宋体" w:hAnsi="宋体" w:cs="宋体"/>
                <w:szCs w:val="21"/>
              </w:rPr>
              <w:t>执行数</w:t>
            </w:r>
          </w:p>
        </w:tc>
        <w:tc>
          <w:tcPr>
            <w:tcW w:w="828" w:type="dxa"/>
            <w:tcBorders>
              <w:top w:val="nil"/>
              <w:left w:val="nil"/>
              <w:bottom w:val="single" w:color="auto" w:sz="4" w:space="0"/>
              <w:right w:val="single" w:color="auto" w:sz="4" w:space="0"/>
            </w:tcBorders>
            <w:vAlign w:val="center"/>
          </w:tcPr>
          <w:p>
            <w:pPr>
              <w:spacing w:line="260" w:lineRule="exact"/>
              <w:jc w:val="center"/>
              <w:rPr>
                <w:rFonts w:ascii="宋体" w:hAnsi="宋体" w:cs="宋体"/>
                <w:szCs w:val="21"/>
              </w:rPr>
            </w:pPr>
            <w:r>
              <w:rPr>
                <w:rFonts w:hint="eastAsia" w:ascii="宋体" w:hAnsi="宋体" w:cs="宋体"/>
                <w:szCs w:val="21"/>
              </w:rPr>
              <w:t>分值</w:t>
            </w:r>
          </w:p>
        </w:tc>
        <w:tc>
          <w:tcPr>
            <w:tcW w:w="873" w:type="dxa"/>
            <w:tcBorders>
              <w:top w:val="nil"/>
              <w:left w:val="nil"/>
              <w:bottom w:val="single" w:color="auto" w:sz="4" w:space="0"/>
              <w:right w:val="single" w:color="auto" w:sz="4" w:space="0"/>
            </w:tcBorders>
            <w:vAlign w:val="center"/>
          </w:tcPr>
          <w:p>
            <w:pPr>
              <w:spacing w:line="260" w:lineRule="exact"/>
              <w:jc w:val="center"/>
              <w:rPr>
                <w:rFonts w:ascii="宋体" w:hAnsi="宋体" w:cs="宋体"/>
                <w:szCs w:val="21"/>
              </w:rPr>
            </w:pPr>
            <w:r>
              <w:rPr>
                <w:rFonts w:hint="eastAsia" w:ascii="宋体" w:hAnsi="宋体" w:cs="宋体"/>
                <w:szCs w:val="21"/>
              </w:rPr>
              <w:t>执行率</w:t>
            </w:r>
          </w:p>
        </w:tc>
        <w:tc>
          <w:tcPr>
            <w:tcW w:w="1418" w:type="dxa"/>
            <w:tcBorders>
              <w:top w:val="nil"/>
              <w:left w:val="nil"/>
              <w:bottom w:val="single" w:color="auto" w:sz="4" w:space="0"/>
              <w:right w:val="single" w:color="auto" w:sz="4" w:space="0"/>
            </w:tcBorders>
            <w:vAlign w:val="center"/>
          </w:tcPr>
          <w:p>
            <w:pPr>
              <w:spacing w:line="260" w:lineRule="exact"/>
              <w:jc w:val="center"/>
              <w:rPr>
                <w:rFonts w:ascii="宋体" w:hAnsi="宋体" w:cs="宋体"/>
                <w:szCs w:val="21"/>
              </w:rPr>
            </w:pPr>
            <w:r>
              <w:rPr>
                <w:rFonts w:hint="eastAsia" w:ascii="宋体" w:hAnsi="宋体" w:cs="宋体"/>
                <w:szCs w:val="21"/>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ascii="宋体" w:hAnsi="宋体" w:cs="宋体"/>
                <w:color w:val="000000"/>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年度资金总额</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80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80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100%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ascii="宋体" w:hAnsi="宋体" w:cs="宋体"/>
                <w:color w:val="000000"/>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其中：当年财政拨款</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80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ascii="宋体" w:hAnsi="宋体" w:cs="宋体"/>
                <w:color w:val="000000"/>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30" w:firstLineChars="300"/>
              <w:jc w:val="left"/>
              <w:rPr>
                <w:rFonts w:ascii="宋体" w:hAnsi="宋体" w:cs="宋体"/>
                <w:color w:val="000000"/>
                <w:szCs w:val="21"/>
              </w:rPr>
            </w:pPr>
            <w:r>
              <w:rPr>
                <w:rFonts w:hint="eastAsia" w:ascii="宋体" w:hAnsi="宋体" w:cs="宋体"/>
                <w:color w:val="000000"/>
                <w:szCs w:val="21"/>
              </w:rPr>
              <w:t>上年结转资金</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ascii="宋体" w:hAnsi="宋体" w:cs="宋体"/>
                <w:color w:val="000000"/>
                <w:szCs w:val="21"/>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30" w:firstLineChars="300"/>
              <w:jc w:val="left"/>
              <w:rPr>
                <w:rFonts w:ascii="宋体" w:hAnsi="宋体" w:cs="宋体"/>
                <w:color w:val="000000"/>
                <w:szCs w:val="21"/>
              </w:rPr>
            </w:pPr>
            <w:r>
              <w:rPr>
                <w:rFonts w:hint="eastAsia" w:ascii="宋体" w:hAnsi="宋体" w:cs="宋体"/>
                <w:color w:val="000000"/>
                <w:szCs w:val="21"/>
              </w:rPr>
              <w:t>其他资金</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r>
      <w:tr>
        <w:tblPrEx>
          <w:tblCellMar>
            <w:top w:w="0" w:type="dxa"/>
            <w:left w:w="108" w:type="dxa"/>
            <w:bottom w:w="0" w:type="dxa"/>
            <w:right w:w="108" w:type="dxa"/>
          </w:tblCellMar>
        </w:tblPrEx>
        <w:trPr>
          <w:trHeight w:val="275"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预期目标</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ascii="宋体" w:hAnsi="宋体" w:cs="宋体"/>
                <w:color w:val="000000"/>
                <w:szCs w:val="21"/>
              </w:rPr>
            </w:pP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完成护城大垸沟渠捞草</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已全部完成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绩</w:t>
            </w:r>
          </w:p>
          <w:p>
            <w:pPr>
              <w:widowControl/>
              <w:spacing w:line="260" w:lineRule="exact"/>
              <w:jc w:val="center"/>
              <w:rPr>
                <w:rFonts w:ascii="宋体" w:hAnsi="宋体" w:cs="宋体"/>
                <w:color w:val="000000"/>
                <w:szCs w:val="21"/>
              </w:rPr>
            </w:pPr>
            <w:r>
              <w:rPr>
                <w:rFonts w:hint="eastAsia" w:ascii="宋体" w:hAnsi="宋体" w:cs="宋体"/>
                <w:color w:val="000000"/>
                <w:szCs w:val="21"/>
              </w:rPr>
              <w:t>效</w:t>
            </w:r>
          </w:p>
          <w:p>
            <w:pPr>
              <w:widowControl/>
              <w:spacing w:line="260" w:lineRule="exact"/>
              <w:jc w:val="center"/>
              <w:rPr>
                <w:rFonts w:ascii="宋体" w:hAnsi="宋体" w:cs="宋体"/>
                <w:color w:val="000000"/>
                <w:szCs w:val="21"/>
              </w:rPr>
            </w:pPr>
            <w:r>
              <w:rPr>
                <w:rFonts w:hint="eastAsia" w:ascii="宋体" w:hAnsi="宋体" w:cs="宋体"/>
                <w:color w:val="000000"/>
                <w:szCs w:val="21"/>
              </w:rPr>
              <w:t>指</w:t>
            </w:r>
          </w:p>
          <w:p>
            <w:pPr>
              <w:widowControl/>
              <w:spacing w:line="260" w:lineRule="exact"/>
              <w:jc w:val="center"/>
              <w:rPr>
                <w:rFonts w:ascii="宋体" w:hAnsi="宋体" w:cs="宋体"/>
                <w:color w:val="000000"/>
                <w:szCs w:val="21"/>
              </w:rPr>
            </w:pPr>
            <w:r>
              <w:rPr>
                <w:rFonts w:hint="eastAsia" w:ascii="宋体" w:hAnsi="宋体" w:cs="宋体"/>
                <w:color w:val="000000"/>
                <w:szCs w:val="21"/>
              </w:rPr>
              <w:t>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二级指标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三级指标</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年度</w:t>
            </w:r>
          </w:p>
          <w:p>
            <w:pPr>
              <w:widowControl/>
              <w:spacing w:line="260" w:lineRule="exact"/>
              <w:jc w:val="center"/>
              <w:rPr>
                <w:rFonts w:ascii="宋体" w:hAnsi="宋体" w:cs="宋体"/>
                <w:color w:val="000000"/>
                <w:szCs w:val="21"/>
              </w:rPr>
            </w:pPr>
            <w:r>
              <w:rPr>
                <w:rFonts w:hint="eastAsia" w:ascii="宋体" w:hAnsi="宋体" w:cs="宋体"/>
                <w:color w:val="000000"/>
                <w:szCs w:val="21"/>
              </w:rPr>
              <w:t>指标值</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实际</w:t>
            </w:r>
          </w:p>
          <w:p>
            <w:pPr>
              <w:widowControl/>
              <w:spacing w:line="260" w:lineRule="exact"/>
              <w:jc w:val="center"/>
              <w:rPr>
                <w:rFonts w:ascii="宋体" w:hAnsi="宋体" w:cs="宋体"/>
                <w:color w:val="000000"/>
                <w:szCs w:val="21"/>
              </w:rPr>
            </w:pPr>
            <w:r>
              <w:rPr>
                <w:rFonts w:hint="eastAsia" w:ascii="宋体" w:hAnsi="宋体" w:cs="宋体"/>
                <w:color w:val="000000"/>
                <w:szCs w:val="21"/>
              </w:rPr>
              <w:t>完成值</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分值</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得分</w:t>
            </w:r>
          </w:p>
        </w:tc>
        <w:tc>
          <w:tcPr>
            <w:tcW w:w="1418" w:type="dxa"/>
            <w:tcBorders>
              <w:top w:val="nil"/>
              <w:left w:val="nil"/>
              <w:bottom w:val="single" w:color="auto" w:sz="4" w:space="0"/>
              <w:right w:val="single" w:color="auto" w:sz="4" w:space="0"/>
            </w:tcBorders>
            <w:vAlign w:val="center"/>
          </w:tcPr>
          <w:p>
            <w:pPr>
              <w:widowControl/>
              <w:spacing w:line="260" w:lineRule="exact"/>
              <w:rPr>
                <w:rFonts w:ascii="宋体" w:hAnsi="宋体" w:cs="宋体"/>
                <w:color w:val="000000"/>
                <w:szCs w:val="21"/>
              </w:rPr>
            </w:pPr>
            <w:r>
              <w:rPr>
                <w:rFonts w:hint="eastAsia" w:ascii="宋体" w:hAnsi="宋体" w:cs="宋体"/>
                <w:color w:val="000000"/>
                <w:szCs w:val="21"/>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产出指标</w:t>
            </w:r>
          </w:p>
          <w:p>
            <w:pPr>
              <w:widowControl/>
              <w:spacing w:line="260" w:lineRule="exact"/>
              <w:jc w:val="center"/>
              <w:rPr>
                <w:rFonts w:ascii="宋体" w:hAnsi="宋体" w:cs="宋体"/>
                <w:color w:val="000000"/>
                <w:szCs w:val="21"/>
              </w:rPr>
            </w:pPr>
            <w:r>
              <w:rPr>
                <w:rFonts w:hint="eastAsia" w:ascii="宋体" w:hAnsi="宋体" w:cs="宋体"/>
                <w:color w:val="000000"/>
                <w:szCs w:val="21"/>
              </w:rPr>
              <w:t>(50分)</w:t>
            </w: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数量指标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质量指标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时效指标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成本指标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效益指标</w:t>
            </w:r>
          </w:p>
          <w:p>
            <w:pPr>
              <w:widowControl/>
              <w:spacing w:line="260" w:lineRule="exact"/>
              <w:jc w:val="left"/>
              <w:rPr>
                <w:rFonts w:ascii="宋体" w:hAnsi="宋体" w:cs="宋体"/>
                <w:color w:val="000000"/>
                <w:szCs w:val="21"/>
              </w:rPr>
            </w:pPr>
            <w:r>
              <w:rPr>
                <w:rFonts w:hint="eastAsia" w:ascii="宋体" w:hAnsi="宋体" w:cs="宋体"/>
                <w:color w:val="000000"/>
                <w:szCs w:val="21"/>
              </w:rPr>
              <w:t>（30分）</w:t>
            </w: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经济效</w:t>
            </w:r>
          </w:p>
          <w:p>
            <w:pPr>
              <w:widowControl/>
              <w:spacing w:line="260" w:lineRule="exact"/>
              <w:jc w:val="center"/>
              <w:rPr>
                <w:rFonts w:ascii="宋体" w:hAnsi="宋体" w:cs="宋体"/>
                <w:color w:val="000000"/>
                <w:szCs w:val="21"/>
              </w:rPr>
            </w:pPr>
            <w:r>
              <w:rPr>
                <w:rFonts w:hint="eastAsia" w:ascii="宋体" w:hAnsi="宋体" w:cs="宋体"/>
                <w:color w:val="000000"/>
                <w:szCs w:val="21"/>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社会效</w:t>
            </w:r>
          </w:p>
          <w:p>
            <w:pPr>
              <w:widowControl/>
              <w:spacing w:line="260" w:lineRule="exact"/>
              <w:jc w:val="center"/>
              <w:rPr>
                <w:rFonts w:ascii="宋体" w:hAnsi="宋体" w:cs="宋体"/>
                <w:color w:val="000000"/>
                <w:szCs w:val="21"/>
              </w:rPr>
            </w:pPr>
            <w:r>
              <w:rPr>
                <w:rFonts w:hint="eastAsia" w:ascii="宋体" w:hAnsi="宋体" w:cs="宋体"/>
                <w:color w:val="000000"/>
                <w:szCs w:val="21"/>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生态效</w:t>
            </w:r>
          </w:p>
          <w:p>
            <w:pPr>
              <w:widowControl/>
              <w:spacing w:line="260" w:lineRule="exact"/>
              <w:jc w:val="center"/>
              <w:rPr>
                <w:rFonts w:ascii="宋体" w:hAnsi="宋体" w:cs="宋体"/>
                <w:color w:val="000000"/>
                <w:szCs w:val="21"/>
              </w:rPr>
            </w:pPr>
            <w:r>
              <w:rPr>
                <w:rFonts w:hint="eastAsia" w:ascii="宋体" w:hAnsi="宋体" w:cs="宋体"/>
                <w:color w:val="000000"/>
                <w:szCs w:val="21"/>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ascii="宋体" w:hAnsi="宋体" w:cs="宋体"/>
                <w:color w:val="000000"/>
                <w:szCs w:val="21"/>
              </w:rPr>
            </w:pPr>
          </w:p>
        </w:tc>
        <w:tc>
          <w:tcPr>
            <w:tcW w:w="1080" w:type="dxa"/>
            <w:vMerge w:val="continue"/>
            <w:tcBorders>
              <w:left w:val="nil"/>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restart"/>
            <w:tcBorders>
              <w:top w:val="single" w:color="auto" w:sz="4" w:space="0"/>
              <w:left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可持续</w:t>
            </w:r>
          </w:p>
          <w:p>
            <w:pPr>
              <w:widowControl/>
              <w:spacing w:line="260" w:lineRule="exact"/>
              <w:jc w:val="center"/>
              <w:rPr>
                <w:rFonts w:ascii="宋体" w:hAnsi="宋体" w:cs="宋体"/>
                <w:color w:val="000000"/>
                <w:szCs w:val="21"/>
              </w:rPr>
            </w:pPr>
            <w:r>
              <w:rPr>
                <w:rFonts w:hint="eastAsia" w:ascii="宋体" w:hAnsi="宋体" w:cs="宋体"/>
                <w:color w:val="000000"/>
                <w:szCs w:val="21"/>
              </w:rPr>
              <w:t>影响指标</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224"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满意度</w:t>
            </w:r>
          </w:p>
          <w:p>
            <w:pPr>
              <w:widowControl/>
              <w:spacing w:line="260" w:lineRule="exact"/>
              <w:jc w:val="center"/>
              <w:rPr>
                <w:rFonts w:ascii="宋体" w:hAnsi="宋体" w:cs="宋体"/>
                <w:color w:val="000000"/>
                <w:szCs w:val="21"/>
              </w:rPr>
            </w:pPr>
            <w:r>
              <w:rPr>
                <w:rFonts w:hint="eastAsia" w:ascii="宋体" w:hAnsi="宋体" w:cs="宋体"/>
                <w:color w:val="000000"/>
                <w:szCs w:val="21"/>
              </w:rPr>
              <w:t>指标</w:t>
            </w:r>
          </w:p>
          <w:p>
            <w:pPr>
              <w:widowControl/>
              <w:spacing w:line="260" w:lineRule="exact"/>
              <w:jc w:val="center"/>
              <w:rPr>
                <w:rFonts w:ascii="宋体" w:hAnsi="宋体" w:cs="宋体"/>
                <w:color w:val="000000"/>
                <w:szCs w:val="21"/>
              </w:rPr>
            </w:pPr>
            <w:r>
              <w:rPr>
                <w:rFonts w:hint="eastAsia" w:ascii="宋体" w:hAnsi="宋体" w:cs="宋体"/>
                <w:color w:val="000000"/>
                <w:szCs w:val="21"/>
              </w:rPr>
              <w:t>（10分）</w:t>
            </w:r>
          </w:p>
        </w:tc>
        <w:tc>
          <w:tcPr>
            <w:tcW w:w="1080" w:type="dxa"/>
            <w:vMerge w:val="restart"/>
            <w:tcBorders>
              <w:top w:val="nil"/>
              <w:left w:val="nil"/>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服务对象满意度</w:t>
            </w:r>
          </w:p>
          <w:p>
            <w:pPr>
              <w:widowControl/>
              <w:spacing w:line="260" w:lineRule="exact"/>
              <w:jc w:val="center"/>
              <w:rPr>
                <w:rFonts w:ascii="宋体" w:hAnsi="宋体" w:cs="宋体"/>
                <w:color w:val="000000"/>
                <w:szCs w:val="21"/>
              </w:rPr>
            </w:pPr>
            <w:r>
              <w:rPr>
                <w:rFonts w:hint="eastAsia" w:ascii="宋体" w:hAnsi="宋体" w:cs="宋体"/>
                <w:color w:val="000000"/>
                <w:szCs w:val="21"/>
              </w:rPr>
              <w:t>指标</w:t>
            </w: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080" w:type="dxa"/>
            <w:vMerge w:val="continue"/>
            <w:tcBorders>
              <w:left w:val="nil"/>
              <w:right w:val="single" w:color="auto" w:sz="4" w:space="0"/>
            </w:tcBorders>
            <w:vAlign w:val="center"/>
          </w:tcPr>
          <w:p>
            <w:pPr>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p>
        </w:tc>
        <w:tc>
          <w:tcPr>
            <w:tcW w:w="122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134"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2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总分</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宋体" w:hAnsi="宋体" w:cs="宋体"/>
                <w:color w:val="000000"/>
                <w:szCs w:val="21"/>
              </w:rPr>
            </w:pPr>
            <w:r>
              <w:rPr>
                <w:rFonts w:hint="eastAsia" w:ascii="宋体" w:hAnsi="宋体" w:cs="宋体"/>
                <w:color w:val="000000"/>
                <w:szCs w:val="21"/>
              </w:rPr>
              <w:t>100</w:t>
            </w:r>
          </w:p>
        </w:tc>
        <w:tc>
          <w:tcPr>
            <w:tcW w:w="87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100</w:t>
            </w:r>
          </w:p>
        </w:tc>
        <w:tc>
          <w:tcPr>
            <w:tcW w:w="1418"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color w:val="000000"/>
                <w:szCs w:val="21"/>
              </w:rPr>
            </w:pPr>
            <w:r>
              <w:rPr>
                <w:rFonts w:hint="eastAsia" w:ascii="宋体" w:hAnsi="宋体" w:cs="宋体"/>
                <w:color w:val="000000"/>
                <w:szCs w:val="21"/>
              </w:rPr>
              <w:t>　</w:t>
            </w:r>
          </w:p>
        </w:tc>
      </w:tr>
    </w:tbl>
    <w:p>
      <w:pPr>
        <w:rPr>
          <w:rFonts w:ascii="新宋体" w:hAnsi="新宋体" w:eastAsia="新宋体" w:cs="新宋体"/>
          <w:szCs w:val="21"/>
        </w:rPr>
      </w:pPr>
      <w:r>
        <w:rPr>
          <w:rFonts w:hint="eastAsia" w:ascii="仿宋_GB2312" w:hAnsi="仿宋_GB2312" w:eastAsia="仿宋_GB2312" w:cs="仿宋_GB2312"/>
          <w:szCs w:val="21"/>
        </w:rPr>
        <w:t>备注：一个一级项目支出一张表。如，业务工作经费，运行维护经费，XX项目资金…各一张表。</w:t>
      </w:r>
    </w:p>
    <w:p>
      <w:pPr>
        <w:pStyle w:val="2"/>
        <w:rPr>
          <w:rFonts w:ascii="仿宋_GB2312" w:hAnsi="仿宋_GB2312" w:eastAsia="仿宋_GB2312" w:cs="仿宋_GB2312"/>
          <w:sz w:val="28"/>
          <w:szCs w:val="28"/>
        </w:rPr>
      </w:pPr>
    </w:p>
    <w:p>
      <w:pPr>
        <w:jc w:val="left"/>
        <w:rPr>
          <w:rFonts w:ascii="新宋体" w:hAnsi="新宋体" w:eastAsia="新宋体" w:cs="新宋体"/>
          <w:szCs w:val="21"/>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u w:val="single"/>
        </w:rPr>
        <w:t>张琼</w:t>
      </w:r>
      <w:r>
        <w:rPr>
          <w:rFonts w:hint="eastAsia" w:ascii="仿宋_GB2312" w:hAnsi="仿宋_GB2312" w:eastAsia="仿宋_GB2312" w:cs="仿宋_GB2312"/>
          <w:sz w:val="22"/>
          <w:szCs w:val="22"/>
        </w:rPr>
        <w:t xml:space="preserve">  填报日期：</w:t>
      </w:r>
      <w:r>
        <w:rPr>
          <w:rFonts w:hint="eastAsia" w:ascii="仿宋_GB2312" w:hAnsi="仿宋_GB2312" w:eastAsia="仿宋_GB2312" w:cs="仿宋_GB2312"/>
          <w:sz w:val="22"/>
          <w:szCs w:val="22"/>
          <w:u w:val="single"/>
        </w:rPr>
        <w:t>2023.07.16</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u w:val="single"/>
        </w:rPr>
        <w:t>13787842533</w:t>
      </w:r>
      <w:r>
        <w:rPr>
          <w:rFonts w:hint="eastAsia" w:ascii="仿宋_GB2312" w:hAnsi="仿宋_GB2312" w:eastAsia="仿宋_GB2312" w:cs="仿宋_GB2312"/>
          <w:sz w:val="22"/>
          <w:szCs w:val="22"/>
        </w:rPr>
        <w:t xml:space="preserve">  单位负责人签字：</w:t>
      </w:r>
      <w:r>
        <w:rPr>
          <w:rFonts w:hint="eastAsia" w:ascii="仿宋_GB2312" w:hAnsi="仿宋_GB2312" w:eastAsia="仿宋_GB2312" w:cs="仿宋_GB2312"/>
          <w:sz w:val="22"/>
          <w:szCs w:val="22"/>
          <w:u w:val="single"/>
        </w:rPr>
        <w:t xml:space="preserve">     </w:t>
      </w:r>
    </w:p>
    <w:p>
      <w:pPr>
        <w:jc w:val="left"/>
        <w:outlineLvl w:val="0"/>
        <w:rPr>
          <w:rFonts w:ascii="新宋体" w:hAnsi="新宋体" w:eastAsia="新宋体" w:cs="新宋体"/>
          <w:szCs w:val="21"/>
        </w:rPr>
        <w:sectPr>
          <w:pgSz w:w="11906" w:h="16838"/>
          <w:pgMar w:top="1701" w:right="1417" w:bottom="1417" w:left="1417" w:header="851" w:footer="992" w:gutter="0"/>
          <w:cols w:space="0" w:num="1"/>
          <w:docGrid w:type="lines" w:linePitch="312" w:charSpace="0"/>
        </w:sectPr>
      </w:pP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2022年度水旱灾害防御事务中心护城大垸沟渠捞草扫障项目支出</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560" w:lineRule="exact"/>
        <w:jc w:val="center"/>
        <w:rPr>
          <w:rFonts w:eastAsia="仿宋_GB2312"/>
          <w:sz w:val="30"/>
          <w:szCs w:val="30"/>
        </w:rPr>
      </w:pPr>
      <w:r>
        <w:rPr>
          <w:rFonts w:hint="eastAsia" w:eastAsia="仿宋_GB2312"/>
          <w:sz w:val="30"/>
          <w:szCs w:val="30"/>
        </w:rPr>
        <w:t>部门（单位）名称：（盖章）</w:t>
      </w:r>
    </w:p>
    <w:p>
      <w:pPr>
        <w:spacing w:line="560" w:lineRule="exact"/>
        <w:jc w:val="center"/>
        <w:rPr>
          <w:rFonts w:eastAsia="仿宋_GB2312"/>
          <w:sz w:val="30"/>
          <w:szCs w:val="30"/>
        </w:rPr>
      </w:pPr>
      <w:r>
        <w:rPr>
          <w:rFonts w:hint="eastAsia" w:eastAsia="仿宋_GB2312"/>
          <w:sz w:val="30"/>
          <w:szCs w:val="30"/>
        </w:rPr>
        <w:t>2023年  07月  16日</w:t>
      </w:r>
    </w:p>
    <w:p>
      <w:pPr>
        <w:spacing w:line="560" w:lineRule="exact"/>
        <w:jc w:val="center"/>
        <w:rPr>
          <w:rFonts w:eastAsia="仿宋_GB2312"/>
          <w:sz w:val="30"/>
          <w:szCs w:val="30"/>
        </w:rPr>
      </w:pPr>
      <w:r>
        <w:rPr>
          <w:rFonts w:hint="eastAsia" w:eastAsia="仿宋_GB2312"/>
          <w:sz w:val="30"/>
          <w:szCs w:val="30"/>
        </w:rPr>
        <w:t>（此页为封面）</w:t>
      </w:r>
    </w:p>
    <w:p>
      <w:pPr>
        <w:spacing w:line="610" w:lineRule="exact"/>
        <w:jc w:val="center"/>
        <w:rPr>
          <w:rFonts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2022年度水旱灾害防御事务中心护城大垸沟渠捞草扫障项目支出</w:t>
      </w:r>
    </w:p>
    <w:p>
      <w:pPr>
        <w:spacing w:line="610" w:lineRule="exact"/>
        <w:jc w:val="center"/>
        <w:rPr>
          <w:rFonts w:eastAsia="仿宋_GB2312"/>
          <w:sz w:val="32"/>
          <w:szCs w:val="32"/>
        </w:rPr>
      </w:pPr>
      <w:r>
        <w:rPr>
          <w:rFonts w:hint="eastAsia" w:ascii="方正小标宋简体" w:hAnsi="方正小标宋简体" w:eastAsia="方正小标宋简体" w:cs="方正小标宋简体"/>
          <w:sz w:val="44"/>
          <w:szCs w:val="44"/>
        </w:rPr>
        <w:t>绩效自评报告</w:t>
      </w:r>
    </w:p>
    <w:p>
      <w:pPr>
        <w:spacing w:line="610" w:lineRule="exact"/>
        <w:ind w:firstLine="600" w:firstLineChars="200"/>
        <w:rPr>
          <w:rFonts w:ascii="黑体" w:hAnsi="黑体" w:eastAsia="黑体" w:cs="黑体"/>
          <w:sz w:val="30"/>
          <w:szCs w:val="30"/>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pPr>
        <w:spacing w:line="560" w:lineRule="exact"/>
        <w:ind w:firstLine="640" w:firstLineChars="200"/>
        <w:rPr>
          <w:rFonts w:eastAsia="仿宋_GB2312"/>
          <w:sz w:val="32"/>
          <w:szCs w:val="32"/>
        </w:rPr>
      </w:pPr>
      <w:r>
        <w:rPr>
          <w:rFonts w:hint="eastAsia" w:eastAsia="仿宋_GB2312"/>
          <w:sz w:val="32"/>
          <w:szCs w:val="32"/>
        </w:rPr>
        <w:t>（一)项目概况。包括项目背景、主要内容及实施情况、资金投入和使用情况等。</w:t>
      </w:r>
    </w:p>
    <w:p>
      <w:pPr>
        <w:pStyle w:val="12"/>
        <w:widowControl/>
        <w:spacing w:before="0" w:beforeAutospacing="0" w:after="0" w:afterAutospacing="0" w:line="240" w:lineRule="atLeast"/>
        <w:ind w:firstLine="640" w:firstLineChars="200"/>
        <w:jc w:val="both"/>
        <w:rPr>
          <w:rFonts w:eastAsia="仿宋_GB2312"/>
          <w:kern w:val="2"/>
          <w:sz w:val="32"/>
          <w:szCs w:val="32"/>
        </w:rPr>
      </w:pPr>
      <w:r>
        <w:rPr>
          <w:rFonts w:hint="eastAsia" w:eastAsia="仿宋_GB2312"/>
          <w:kern w:val="2"/>
          <w:sz w:val="32"/>
          <w:szCs w:val="32"/>
        </w:rPr>
        <w:t>2022年下达捞草扫障经费80万元。</w:t>
      </w:r>
    </w:p>
    <w:p>
      <w:pPr>
        <w:spacing w:line="560" w:lineRule="exact"/>
        <w:ind w:firstLine="640" w:firstLineChars="200"/>
        <w:rPr>
          <w:rFonts w:eastAsia="仿宋_GB2312"/>
          <w:sz w:val="32"/>
          <w:szCs w:val="32"/>
        </w:rPr>
      </w:pPr>
      <w:r>
        <w:rPr>
          <w:rFonts w:hint="eastAsia" w:eastAsia="仿宋_GB2312"/>
          <w:sz w:val="32"/>
          <w:szCs w:val="32"/>
        </w:rPr>
        <w:t>(二)项目绩效目标。包括总体目标和阶段性目标。</w:t>
      </w:r>
    </w:p>
    <w:p>
      <w:pPr>
        <w:pStyle w:val="12"/>
        <w:widowControl/>
        <w:spacing w:before="0" w:beforeAutospacing="0" w:after="0" w:afterAutospacing="0" w:line="240" w:lineRule="atLeast"/>
        <w:ind w:firstLine="640" w:firstLineChars="200"/>
        <w:jc w:val="both"/>
        <w:rPr>
          <w:rFonts w:eastAsia="仿宋_GB2312"/>
          <w:kern w:val="2"/>
          <w:sz w:val="32"/>
          <w:szCs w:val="32"/>
        </w:rPr>
      </w:pPr>
      <w:r>
        <w:rPr>
          <w:rFonts w:hint="eastAsia" w:eastAsia="仿宋_GB2312"/>
          <w:kern w:val="2"/>
          <w:sz w:val="32"/>
          <w:szCs w:val="32"/>
        </w:rPr>
        <w:t>2022年批复下达县水旱灾害防御事务中心资金80万元。</w:t>
      </w:r>
    </w:p>
    <w:p>
      <w:pPr>
        <w:spacing w:line="560" w:lineRule="exact"/>
        <w:rPr>
          <w:rFonts w:eastAsia="仿宋_GB2312"/>
          <w:sz w:val="30"/>
          <w:szCs w:val="30"/>
        </w:rPr>
      </w:pPr>
      <w:r>
        <w:rPr>
          <w:rFonts w:hint="eastAsia" w:ascii="黑体" w:hAnsi="黑体" w:eastAsia="黑体" w:cs="黑体"/>
          <w:sz w:val="32"/>
          <w:szCs w:val="32"/>
        </w:rPr>
        <w:t>二．绩效评价工作开展情况：</w:t>
      </w:r>
    </w:p>
    <w:p>
      <w:pPr>
        <w:spacing w:line="560" w:lineRule="exact"/>
        <w:ind w:left="640"/>
        <w:rPr>
          <w:rFonts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eastAsia="仿宋_GB2312"/>
          <w:sz w:val="30"/>
          <w:szCs w:val="30"/>
        </w:rPr>
      </w:pPr>
      <w:r>
        <w:rPr>
          <w:rFonts w:hint="eastAsia" w:ascii="仿宋" w:hAnsi="仿宋" w:eastAsia="仿宋" w:cs="仿宋"/>
          <w:sz w:val="30"/>
          <w:szCs w:val="30"/>
        </w:rPr>
        <w:t>捞草扫障专项经费，是用于主汛期三大主排渠水葫芦革命草等水草地的扫捞，以确保排捞涝抗灾的顺利进行，根据县防指2022年第一次全体会议意见，由石山矶电排站，花兰窖电排，城排组织实施。</w:t>
      </w:r>
    </w:p>
    <w:p>
      <w:pPr>
        <w:spacing w:line="56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pStyle w:val="12"/>
        <w:widowControl/>
        <w:spacing w:before="0" w:beforeAutospacing="0" w:after="0" w:afterAutospacing="0" w:line="240" w:lineRule="atLeast"/>
        <w:ind w:firstLine="600" w:firstLineChars="200"/>
        <w:jc w:val="both"/>
        <w:rPr>
          <w:rFonts w:ascii="仿宋" w:hAnsi="仿宋" w:eastAsia="仿宋" w:cs="仿宋"/>
          <w:kern w:val="2"/>
          <w:sz w:val="30"/>
          <w:szCs w:val="30"/>
        </w:rPr>
      </w:pPr>
      <w:r>
        <w:rPr>
          <w:rFonts w:hint="eastAsia" w:ascii="仿宋" w:hAnsi="仿宋" w:eastAsia="仿宋" w:cs="仿宋"/>
          <w:kern w:val="2"/>
          <w:sz w:val="30"/>
          <w:szCs w:val="30"/>
        </w:rPr>
        <w:t>严格按照相应的业务管理制度，规范各项经费的开支。资金使用规范，符合国家财经法规和财务管理以及有关专项资金管理办法的规定；资金的拨付有完整的审批程序和手续；不存在截留、挤占、挪用、虚列支出等情况。会计核算准确、财务资料完整。</w:t>
      </w:r>
    </w:p>
    <w:p>
      <w:pPr>
        <w:pStyle w:val="12"/>
        <w:widowControl/>
        <w:spacing w:before="0" w:beforeAutospacing="0" w:after="0" w:afterAutospacing="0" w:line="240" w:lineRule="atLeast"/>
        <w:ind w:firstLine="600" w:firstLineChars="200"/>
        <w:jc w:val="both"/>
        <w:rPr>
          <w:rFonts w:eastAsia="仿宋_GB2312"/>
          <w:sz w:val="30"/>
          <w:szCs w:val="30"/>
        </w:rPr>
      </w:pPr>
      <w:r>
        <w:rPr>
          <w:rFonts w:hint="eastAsia" w:eastAsia="仿宋_GB2312"/>
          <w:kern w:val="2"/>
          <w:sz w:val="30"/>
          <w:szCs w:val="30"/>
        </w:rPr>
        <w:t>(三)</w:t>
      </w:r>
      <w:r>
        <w:rPr>
          <w:rFonts w:hint="eastAsia" w:eastAsia="仿宋_GB2312"/>
          <w:sz w:val="30"/>
          <w:szCs w:val="30"/>
        </w:rPr>
        <w:t>绩效评价工作过程。</w:t>
      </w:r>
    </w:p>
    <w:p>
      <w:pPr>
        <w:numPr>
          <w:ilvl w:val="0"/>
          <w:numId w:val="12"/>
        </w:num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综合评价情况及价结论 (附相关评分表)</w:t>
      </w:r>
    </w:p>
    <w:p>
      <w:pPr>
        <w:pStyle w:val="12"/>
        <w:widowControl/>
        <w:spacing w:before="0" w:beforeAutospacing="0" w:after="0" w:afterAutospacing="0" w:line="240" w:lineRule="atLeast"/>
        <w:ind w:firstLine="600" w:firstLineChars="200"/>
        <w:jc w:val="both"/>
        <w:rPr>
          <w:rFonts w:ascii="仿宋" w:hAnsi="仿宋" w:eastAsia="仿宋" w:cs="仿宋"/>
          <w:kern w:val="2"/>
          <w:sz w:val="30"/>
          <w:szCs w:val="30"/>
        </w:rPr>
      </w:pPr>
      <w:r>
        <w:rPr>
          <w:rFonts w:hint="eastAsia" w:ascii="仿宋" w:hAnsi="仿宋" w:eastAsia="仿宋" w:cs="仿宋"/>
          <w:kern w:val="2"/>
          <w:sz w:val="30"/>
          <w:szCs w:val="30"/>
        </w:rPr>
        <w:t>1、我单位根据专项绩效评定指标对各项目量化评价，自评指标得分100分。</w:t>
      </w:r>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2、将项目支出后的实际状况与项目申报的绩效目标进行对比分析。按项目实际支出和项目申报绩效目标进行对比分析自评得分100分，项目均与批复下达相符。</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eastAsia="仿宋_GB2312"/>
          <w:sz w:val="30"/>
          <w:szCs w:val="30"/>
        </w:rPr>
      </w:pPr>
      <w:r>
        <w:rPr>
          <w:rFonts w:hint="eastAsia" w:eastAsia="仿宋_GB2312"/>
          <w:sz w:val="30"/>
          <w:szCs w:val="30"/>
        </w:rPr>
        <w:t>(一)项目决策情况。</w:t>
      </w:r>
    </w:p>
    <w:p>
      <w:pPr>
        <w:pStyle w:val="12"/>
        <w:widowControl/>
        <w:spacing w:before="0" w:beforeAutospacing="0" w:after="0" w:afterAutospacing="0" w:line="240" w:lineRule="atLeast"/>
        <w:ind w:firstLine="600" w:firstLineChars="200"/>
        <w:jc w:val="both"/>
        <w:rPr>
          <w:rFonts w:ascii="仿宋" w:hAnsi="仿宋" w:eastAsia="仿宋" w:cs="仿宋"/>
          <w:kern w:val="2"/>
          <w:sz w:val="30"/>
          <w:szCs w:val="30"/>
        </w:rPr>
      </w:pPr>
      <w:r>
        <w:rPr>
          <w:rFonts w:hint="eastAsia" w:ascii="仿宋" w:hAnsi="仿宋" w:eastAsia="仿宋" w:cs="仿宋"/>
          <w:kern w:val="2"/>
          <w:sz w:val="30"/>
          <w:szCs w:val="30"/>
        </w:rPr>
        <w:t>所有资金都已经全部及时安排到位，并按项目落实要求和进度全部执行到位。截止目前实际总支出为80万元。</w:t>
      </w:r>
    </w:p>
    <w:p>
      <w:pPr>
        <w:spacing w:line="560" w:lineRule="exact"/>
        <w:ind w:firstLine="600" w:firstLineChars="200"/>
        <w:rPr>
          <w:rFonts w:eastAsia="仿宋_GB2312"/>
          <w:sz w:val="30"/>
          <w:szCs w:val="30"/>
        </w:rPr>
      </w:pPr>
      <w:r>
        <w:rPr>
          <w:rFonts w:hint="eastAsia" w:eastAsia="仿宋_GB2312"/>
          <w:sz w:val="30"/>
          <w:szCs w:val="30"/>
        </w:rPr>
        <w:t>(二)项目过程情况。</w:t>
      </w:r>
    </w:p>
    <w:p>
      <w:pPr>
        <w:spacing w:line="56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pPr>
      <w:r>
        <w:rPr>
          <w:rFonts w:hint="eastAsia" w:eastAsia="仿宋_GB2312"/>
          <w:sz w:val="30"/>
          <w:szCs w:val="30"/>
        </w:rPr>
        <w:t>(四)项目效益情况。</w:t>
      </w:r>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1、效益指标完成情况分析。我单位较好地完成了2022年初设定的工作任务，各项项目得到有序开展。到年底完成全部项目的100%，资金拨付达到100%，完成项目验收率达到100%。</w:t>
      </w:r>
    </w:p>
    <w:p>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2、满意度指标完成情况分析。自2022年以来，我单位对全部资金实施和整体社会效益及满意度等各项指标调查，基本情况是群众对项目实施满意度达98%。项目社会效益和经济效益明显，达到了预期效果。</w:t>
      </w:r>
    </w:p>
    <w:p>
      <w:pPr>
        <w:spacing w:line="560" w:lineRule="exact"/>
        <w:ind w:firstLine="600" w:firstLineChars="200"/>
        <w:rPr>
          <w:rFonts w:eastAsia="仿宋_GB2312"/>
          <w:sz w:val="30"/>
          <w:szCs w:val="30"/>
        </w:rPr>
      </w:pPr>
    </w:p>
    <w:tbl>
      <w:tblPr>
        <w:tblStyle w:val="1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1" w:hRule="atLeast"/>
          <w:jc w:val="center"/>
        </w:trPr>
        <w:tc>
          <w:tcPr>
            <w:tcW w:w="9360" w:type="dxa"/>
            <w:tcBorders>
              <w:top w:val="nil"/>
              <w:left w:val="nil"/>
              <w:bottom w:val="nil"/>
              <w:right w:val="nil"/>
            </w:tcBorders>
          </w:tcPr>
          <w:p>
            <w:pPr>
              <w:spacing w:line="560" w:lineRule="exact"/>
              <w:rPr>
                <w:rFonts w:ascii="黑体" w:hAnsi="黑体" w:eastAsia="黑体" w:cs="黑体"/>
                <w:sz w:val="30"/>
                <w:szCs w:val="30"/>
              </w:rPr>
            </w:pPr>
            <w:bookmarkStart w:id="1" w:name="_GoBack"/>
            <w:bookmarkEnd w:id="1"/>
          </w:p>
          <w:p>
            <w:pPr>
              <w:pStyle w:val="12"/>
              <w:widowControl/>
              <w:spacing w:before="0" w:beforeAutospacing="0" w:after="0" w:afterAutospacing="0" w:line="240" w:lineRule="atLeast"/>
              <w:ind w:firstLine="600" w:firstLineChars="200"/>
              <w:jc w:val="both"/>
              <w:rPr>
                <w:rFonts w:ascii="黑体" w:hAnsi="黑体" w:eastAsia="黑体" w:cs="黑体"/>
                <w:sz w:val="30"/>
                <w:szCs w:val="30"/>
              </w:rPr>
            </w:pPr>
            <w:r>
              <w:rPr>
                <w:rFonts w:hint="eastAsia" w:ascii="仿宋" w:hAnsi="仿宋" w:eastAsia="仿宋" w:cs="仿宋"/>
                <w:kern w:val="2"/>
                <w:sz w:val="30"/>
                <w:szCs w:val="30"/>
              </w:rPr>
              <w:t>规定和各行业财务会计制度。根据自身实际，相应制订了资金分配、拨付、使用、管理、监督等规范性制度，做到了用制度管人，用制度办事。严格开展自清自查。每年都组织成立专门工作组，到捞草区域，采取走访群众、检查资料等方式，对到资金进行自清自查，通过检查，对存在的问题进行限期整改。</w:t>
            </w:r>
          </w:p>
          <w:p>
            <w:pPr>
              <w:spacing w:line="60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12"/>
              <w:widowControl/>
              <w:spacing w:before="0" w:beforeAutospacing="0" w:after="0" w:afterAutospacing="0" w:line="240" w:lineRule="atLeast"/>
              <w:ind w:firstLine="602" w:firstLineChars="200"/>
              <w:jc w:val="both"/>
              <w:rPr>
                <w:rFonts w:ascii="仿宋" w:hAnsi="仿宋" w:eastAsia="仿宋" w:cs="仿宋"/>
                <w:sz w:val="30"/>
                <w:szCs w:val="30"/>
              </w:rPr>
            </w:pPr>
            <w:r>
              <w:rPr>
                <w:rFonts w:hint="eastAsia" w:ascii="仿宋" w:hAnsi="仿宋" w:eastAsia="仿宋" w:cs="仿宋"/>
                <w:b/>
                <w:bCs/>
                <w:sz w:val="30"/>
                <w:szCs w:val="30"/>
              </w:rPr>
              <w:t>一是领导重视。</w:t>
            </w:r>
            <w:r>
              <w:rPr>
                <w:rFonts w:hint="eastAsia" w:ascii="仿宋" w:hAnsi="仿宋" w:eastAsia="仿宋" w:cs="仿宋"/>
                <w:kern w:val="2"/>
                <w:sz w:val="30"/>
                <w:szCs w:val="30"/>
              </w:rPr>
              <w:t>专项资金预算下拨后，中心领导和分管领导高度重视，落实责任分工，确保项目顺利进行。</w:t>
            </w:r>
            <w:r>
              <w:rPr>
                <w:rFonts w:hint="eastAsia" w:ascii="仿宋" w:hAnsi="仿宋" w:eastAsia="仿宋" w:cs="仿宋"/>
                <w:b/>
                <w:bCs/>
                <w:sz w:val="30"/>
                <w:szCs w:val="30"/>
              </w:rPr>
              <w:t>二是编制规划。</w:t>
            </w:r>
            <w:r>
              <w:rPr>
                <w:rFonts w:hint="eastAsia" w:ascii="仿宋" w:hAnsi="仿宋" w:eastAsia="仿宋" w:cs="仿宋"/>
                <w:kern w:val="2"/>
                <w:sz w:val="30"/>
                <w:szCs w:val="30"/>
              </w:rPr>
              <w:t>领会文件实质，确定规划编制思路。</w:t>
            </w:r>
            <w:r>
              <w:rPr>
                <w:rFonts w:hint="eastAsia" w:ascii="仿宋" w:hAnsi="仿宋" w:eastAsia="仿宋" w:cs="仿宋"/>
                <w:b/>
                <w:bCs/>
                <w:sz w:val="30"/>
                <w:szCs w:val="30"/>
              </w:rPr>
              <w:t>三是用好资金。</w:t>
            </w:r>
            <w:r>
              <w:rPr>
                <w:rFonts w:hint="eastAsia" w:ascii="仿宋" w:hAnsi="仿宋" w:eastAsia="仿宋" w:cs="仿宋"/>
                <w:kern w:val="2"/>
                <w:sz w:val="30"/>
                <w:szCs w:val="30"/>
              </w:rPr>
              <w:t>建立了严格的资金管理制度。实行制度化管理。规范了资金拨付程序。项目资金实行专款专用。管理模式是县财政局监管，实行国库统一支付。在资金支付上，一律实行转帐支付。</w:t>
            </w:r>
            <w:r>
              <w:rPr>
                <w:rFonts w:hint="eastAsia" w:ascii="仿宋" w:hAnsi="仿宋" w:eastAsia="仿宋" w:cs="仿宋"/>
                <w:b/>
                <w:bCs/>
                <w:sz w:val="30"/>
                <w:szCs w:val="30"/>
              </w:rPr>
              <w:t>四是建立了规范的管理体系。</w:t>
            </w:r>
            <w:r>
              <w:rPr>
                <w:rFonts w:hint="eastAsia" w:ascii="仿宋" w:hAnsi="仿宋" w:eastAsia="仿宋" w:cs="仿宋"/>
                <w:kern w:val="2"/>
                <w:sz w:val="30"/>
                <w:szCs w:val="30"/>
              </w:rPr>
              <w:t>根据《预算法》《财政部关于印发财政支出绩效评价管理暂行办法的通知》.</w:t>
            </w:r>
            <w:r>
              <w:rPr>
                <w:rFonts w:hint="eastAsia" w:ascii="仿宋" w:hAnsi="仿宋" w:eastAsia="仿宋" w:cs="仿宋"/>
                <w:sz w:val="30"/>
                <w:szCs w:val="30"/>
              </w:rPr>
              <w:t>以及省市县有关政策规定和各行业财务会计制度。根据自身实际，相应制订了资金分配、拨付、使用、管理、监督等规范性制度，做到了用制度管人，用制度办事。严格开展自清自查。每年都组织成立专门工作组，到捞草区域，采取走访群众、检查资料等方式，对到资金进行自清自查，通过检查，对存在的问题进行限期整改。</w:t>
            </w:r>
          </w:p>
          <w:p>
            <w:pPr>
              <w:pStyle w:val="2"/>
              <w:spacing w:line="600" w:lineRule="exact"/>
              <w:rPr>
                <w:rFonts w:ascii="黑体" w:hAnsi="黑体" w:eastAsia="黑体" w:cs="黑体"/>
                <w:sz w:val="30"/>
                <w:szCs w:val="30"/>
              </w:rPr>
            </w:pPr>
          </w:p>
          <w:p>
            <w:pPr>
              <w:ind w:firstLine="600" w:firstLineChars="200"/>
              <w:rPr>
                <w:rFonts w:ascii="仿宋" w:hAnsi="仿宋" w:eastAsia="仿宋" w:cs="仿宋"/>
                <w:sz w:val="30"/>
                <w:szCs w:val="30"/>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六、其他需要说明的问题</w:t>
            </w:r>
          </w:p>
          <w:p>
            <w:pPr>
              <w:spacing w:line="560" w:lineRule="exact"/>
              <w:ind w:firstLine="560" w:firstLineChars="200"/>
              <w:rPr>
                <w:rFonts w:eastAsia="楷体_GB2312"/>
                <w:bCs/>
                <w:sz w:val="28"/>
                <w:szCs w:val="28"/>
              </w:rPr>
            </w:pPr>
          </w:p>
        </w:tc>
      </w:tr>
    </w:tbl>
    <w:p>
      <w:pPr>
        <w:pStyle w:val="13"/>
        <w:ind w:left="0" w:leftChars="0" w:firstLine="0" w:firstLineChars="0"/>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5B860C7-7A28-4C21-ADF8-E31D26C6A309}"/>
  </w:font>
  <w:font w:name="Arial">
    <w:panose1 w:val="020B0604020202020204"/>
    <w:charset w:val="01"/>
    <w:family w:val="swiss"/>
    <w:pitch w:val="default"/>
    <w:sig w:usb0="E0002AFF" w:usb1="C0007843" w:usb2="00000009" w:usb3="00000000" w:csb0="400001FF" w:csb1="FFFF0000"/>
    <w:embedRegular r:id="rId2" w:fontKey="{92DC4B63-DD59-4FF8-B54E-75683CCC11CB}"/>
  </w:font>
  <w:font w:name="黑体">
    <w:panose1 w:val="02010609060101010101"/>
    <w:charset w:val="86"/>
    <w:family w:val="auto"/>
    <w:pitch w:val="default"/>
    <w:sig w:usb0="800002BF" w:usb1="38CF7CFA" w:usb2="00000016" w:usb3="00000000" w:csb0="00040001" w:csb1="00000000"/>
    <w:embedRegular r:id="rId3" w:fontKey="{8D80F173-A2F1-4F5D-84EB-9266C101E370}"/>
  </w:font>
  <w:font w:name="Courier New">
    <w:panose1 w:val="02070309020205020404"/>
    <w:charset w:val="01"/>
    <w:family w:val="modern"/>
    <w:pitch w:val="default"/>
    <w:sig w:usb0="E0002AFF" w:usb1="C0007843" w:usb2="00000009" w:usb3="00000000" w:csb0="400001FF" w:csb1="FFFF0000"/>
    <w:embedRegular r:id="rId4" w:fontKey="{54397E13-B575-42BC-9F54-D7F5F2351834}"/>
  </w:font>
  <w:font w:name="Symbol">
    <w:panose1 w:val="05050102010706020507"/>
    <w:charset w:val="02"/>
    <w:family w:val="roman"/>
    <w:pitch w:val="default"/>
    <w:sig w:usb0="00000000" w:usb1="00000000" w:usb2="00000000" w:usb3="00000000" w:csb0="80000000" w:csb1="00000000"/>
    <w:embedRegular r:id="rId5" w:fontKey="{6771F2AB-54E0-4FA6-890E-6AF1D38FAF41}"/>
  </w:font>
  <w:font w:name="Calibri">
    <w:panose1 w:val="020F0502020204030204"/>
    <w:charset w:val="00"/>
    <w:family w:val="swiss"/>
    <w:pitch w:val="default"/>
    <w:sig w:usb0="E00002FF" w:usb1="4000ACFF" w:usb2="00000001" w:usb3="00000000" w:csb0="2000019F" w:csb1="00000000"/>
    <w:embedRegular r:id="rId6" w:fontKey="{3AEE2161-1466-4FC6-9BB6-FB07C09C64CD}"/>
  </w:font>
  <w:font w:name="方正小标宋简体">
    <w:altName w:val="仿宋_GB2312"/>
    <w:panose1 w:val="03000509000000000000"/>
    <w:charset w:val="86"/>
    <w:family w:val="auto"/>
    <w:pitch w:val="default"/>
    <w:sig w:usb0="00000000" w:usb1="00000000" w:usb2="00000000" w:usb3="00000000" w:csb0="00040000" w:csb1="00000000"/>
    <w:embedRegular r:id="rId7" w:fontKey="{8F9D0277-F718-4BAB-85EB-3E2882BCFB10}"/>
  </w:font>
  <w:font w:name="新宋体">
    <w:panose1 w:val="02010609030101010101"/>
    <w:charset w:val="86"/>
    <w:family w:val="auto"/>
    <w:pitch w:val="default"/>
    <w:sig w:usb0="00000003" w:usb1="288F0000" w:usb2="00000006" w:usb3="00000000" w:csb0="00040001" w:csb1="00000000"/>
    <w:embedRegular r:id="rId8" w:fontKey="{510979B3-62FA-4BC1-8697-84F00F281AAA}"/>
  </w:font>
  <w:font w:name="仿宋_GB2312">
    <w:panose1 w:val="02010609030101010101"/>
    <w:charset w:val="86"/>
    <w:family w:val="auto"/>
    <w:pitch w:val="default"/>
    <w:sig w:usb0="00000001" w:usb1="080E0000" w:usb2="00000000" w:usb3="00000000" w:csb0="00040000" w:csb1="00000000"/>
    <w:embedRegular r:id="rId9" w:fontKey="{05907411-5357-4DEF-BCA2-31E4AA3B1FF2}"/>
  </w:font>
  <w:font w:name="仿宋">
    <w:panose1 w:val="02010609060101010101"/>
    <w:charset w:val="86"/>
    <w:family w:val="modern"/>
    <w:pitch w:val="default"/>
    <w:sig w:usb0="800002BF" w:usb1="38CF7CFA" w:usb2="00000016" w:usb3="00000000" w:csb0="00040001" w:csb1="00000000"/>
    <w:embedRegular r:id="rId10" w:fontKey="{861F37E9-8A2D-43B8-A274-5F31D38F82E2}"/>
  </w:font>
  <w:font w:name="方正小标宋_GBK">
    <w:altName w:val="微软雅黑"/>
    <w:panose1 w:val="03000509000000000000"/>
    <w:charset w:val="86"/>
    <w:family w:val="script"/>
    <w:pitch w:val="default"/>
    <w:sig w:usb0="00000000" w:usb1="00000000" w:usb2="00000000" w:usb3="00000000" w:csb0="00040000" w:csb1="00000000"/>
    <w:embedRegular r:id="rId11" w:fontKey="{EB94B5F0-7FBE-49A1-8B6E-24F2EE5067F3}"/>
  </w:font>
  <w:font w:name="楷体_GB2312">
    <w:panose1 w:val="02010609030101010101"/>
    <w:charset w:val="86"/>
    <w:family w:val="auto"/>
    <w:pitch w:val="default"/>
    <w:sig w:usb0="00000001" w:usb1="080E0000" w:usb2="00000000" w:usb3="00000000" w:csb0="00040000" w:csb1="00000000"/>
    <w:embedRegular r:id="rId12" w:fontKey="{9800D626-6466-4C62-9F6E-6C1926D234CE}"/>
  </w:font>
  <w:font w:name="MS Mincho">
    <w:panose1 w:val="02020609040205080304"/>
    <w:charset w:val="80"/>
    <w:family w:val="swiss"/>
    <w:pitch w:val="default"/>
    <w:sig w:usb0="E00002FF" w:usb1="6AC7FDFB" w:usb2="00000012" w:usb3="00000000" w:csb0="4002009F" w:csb1="DFD70000"/>
    <w:embedRegular r:id="rId13" w:fontKey="{0ADF21C4-C58D-49B6-972C-5021574645E3}"/>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embedRegular r:id="rId14" w:fontKey="{84D5165A-B1E9-4012-AC10-5EDC0586FE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9"/>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9"/>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0C914"/>
    <w:multiLevelType w:val="singleLevel"/>
    <w:tmpl w:val="8A00C914"/>
    <w:lvl w:ilvl="0" w:tentative="0">
      <w:start w:val="2"/>
      <w:numFmt w:val="chineseCounting"/>
      <w:lvlText w:val="(%1)"/>
      <w:lvlJc w:val="left"/>
      <w:pPr>
        <w:tabs>
          <w:tab w:val="left" w:pos="312"/>
        </w:tabs>
      </w:pPr>
      <w:rPr>
        <w:rFonts w:hint="eastAsia"/>
      </w:rPr>
    </w:lvl>
  </w:abstractNum>
  <w:abstractNum w:abstractNumId="1">
    <w:nsid w:val="A21425F8"/>
    <w:multiLevelType w:val="singleLevel"/>
    <w:tmpl w:val="A21425F8"/>
    <w:lvl w:ilvl="0" w:tentative="0">
      <w:start w:val="1"/>
      <w:numFmt w:val="decimal"/>
      <w:suff w:val="nothing"/>
      <w:lvlText w:val="%1，"/>
      <w:lvlJc w:val="left"/>
    </w:lvl>
  </w:abstractNum>
  <w:abstractNum w:abstractNumId="2">
    <w:nsid w:val="B4559573"/>
    <w:multiLevelType w:val="singleLevel"/>
    <w:tmpl w:val="B4559573"/>
    <w:lvl w:ilvl="0" w:tentative="0">
      <w:start w:val="6"/>
      <w:numFmt w:val="chineseCounting"/>
      <w:suff w:val="nothing"/>
      <w:lvlText w:val="%1、"/>
      <w:lvlJc w:val="left"/>
      <w:pPr>
        <w:ind w:left="210"/>
      </w:pPr>
      <w:rPr>
        <w:rFonts w:hint="eastAsia"/>
      </w:rPr>
    </w:lvl>
  </w:abstractNum>
  <w:abstractNum w:abstractNumId="3">
    <w:nsid w:val="BE68E695"/>
    <w:multiLevelType w:val="singleLevel"/>
    <w:tmpl w:val="BE68E695"/>
    <w:lvl w:ilvl="0" w:tentative="0">
      <w:start w:val="1"/>
      <w:numFmt w:val="chineseCounting"/>
      <w:suff w:val="nothing"/>
      <w:lvlText w:val="%1、"/>
      <w:lvlJc w:val="left"/>
      <w:rPr>
        <w:rFonts w:hint="eastAsia"/>
      </w:rPr>
    </w:lvl>
  </w:abstractNum>
  <w:abstractNum w:abstractNumId="4">
    <w:nsid w:val="BF6E7B68"/>
    <w:multiLevelType w:val="singleLevel"/>
    <w:tmpl w:val="BF6E7B68"/>
    <w:lvl w:ilvl="0" w:tentative="0">
      <w:start w:val="2"/>
      <w:numFmt w:val="chineseCounting"/>
      <w:lvlText w:val="(%1)"/>
      <w:lvlJc w:val="left"/>
      <w:pPr>
        <w:tabs>
          <w:tab w:val="left" w:pos="312"/>
        </w:tabs>
      </w:pPr>
      <w:rPr>
        <w:rFonts w:hint="eastAsia"/>
      </w:rPr>
    </w:lvl>
  </w:abstractNum>
  <w:abstractNum w:abstractNumId="5">
    <w:nsid w:val="C152AC84"/>
    <w:multiLevelType w:val="singleLevel"/>
    <w:tmpl w:val="C152AC84"/>
    <w:lvl w:ilvl="0" w:tentative="0">
      <w:start w:val="1"/>
      <w:numFmt w:val="chineseCounting"/>
      <w:suff w:val="nothing"/>
      <w:lvlText w:val="%1、"/>
      <w:lvlJc w:val="left"/>
      <w:rPr>
        <w:rFonts w:hint="eastAsia"/>
      </w:rPr>
    </w:lvl>
  </w:abstractNum>
  <w:abstractNum w:abstractNumId="6">
    <w:nsid w:val="0F83921C"/>
    <w:multiLevelType w:val="singleLevel"/>
    <w:tmpl w:val="0F83921C"/>
    <w:lvl w:ilvl="0" w:tentative="0">
      <w:start w:val="2"/>
      <w:numFmt w:val="chineseCounting"/>
      <w:lvlText w:val="(%1)"/>
      <w:lvlJc w:val="left"/>
      <w:pPr>
        <w:tabs>
          <w:tab w:val="left" w:pos="312"/>
        </w:tabs>
      </w:pPr>
      <w:rPr>
        <w:rFonts w:hint="eastAsia"/>
      </w:rPr>
    </w:lvl>
  </w:abstractNum>
  <w:abstractNum w:abstractNumId="7">
    <w:nsid w:val="177EFD05"/>
    <w:multiLevelType w:val="singleLevel"/>
    <w:tmpl w:val="177EFD05"/>
    <w:lvl w:ilvl="0" w:tentative="0">
      <w:start w:val="3"/>
      <w:numFmt w:val="chineseCounting"/>
      <w:suff w:val="nothing"/>
      <w:lvlText w:val="%1、"/>
      <w:lvlJc w:val="left"/>
      <w:rPr>
        <w:rFonts w:hint="eastAsia"/>
      </w:rPr>
    </w:lvl>
  </w:abstractNum>
  <w:abstractNum w:abstractNumId="8">
    <w:nsid w:val="24B8FB1A"/>
    <w:multiLevelType w:val="singleLevel"/>
    <w:tmpl w:val="24B8FB1A"/>
    <w:lvl w:ilvl="0" w:tentative="0">
      <w:start w:val="2"/>
      <w:numFmt w:val="chineseCounting"/>
      <w:lvlText w:val="(%1)"/>
      <w:lvlJc w:val="left"/>
      <w:pPr>
        <w:tabs>
          <w:tab w:val="left" w:pos="312"/>
        </w:tabs>
      </w:pPr>
      <w:rPr>
        <w:rFonts w:hint="eastAsia"/>
      </w:rPr>
    </w:lvl>
  </w:abstractNum>
  <w:abstractNum w:abstractNumId="9">
    <w:nsid w:val="406BF8D7"/>
    <w:multiLevelType w:val="singleLevel"/>
    <w:tmpl w:val="406BF8D7"/>
    <w:lvl w:ilvl="0" w:tentative="0">
      <w:start w:val="1"/>
      <w:numFmt w:val="decimal"/>
      <w:suff w:val="nothing"/>
      <w:lvlText w:val="%1、"/>
      <w:lvlJc w:val="left"/>
    </w:lvl>
  </w:abstractNum>
  <w:abstractNum w:abstractNumId="10">
    <w:nsid w:val="594B4201"/>
    <w:multiLevelType w:val="singleLevel"/>
    <w:tmpl w:val="594B4201"/>
    <w:lvl w:ilvl="0" w:tentative="0">
      <w:start w:val="5"/>
      <w:numFmt w:val="chineseCounting"/>
      <w:suff w:val="nothing"/>
      <w:lvlText w:val="%1、"/>
      <w:lvlJc w:val="left"/>
      <w:rPr>
        <w:rFonts w:hint="eastAsia"/>
      </w:rPr>
    </w:lvl>
  </w:abstractNum>
  <w:abstractNum w:abstractNumId="11">
    <w:nsid w:val="7307EA67"/>
    <w:multiLevelType w:val="singleLevel"/>
    <w:tmpl w:val="7307EA67"/>
    <w:lvl w:ilvl="0" w:tentative="0">
      <w:start w:val="2"/>
      <w:numFmt w:val="chineseCounting"/>
      <w:lvlText w:val="(%1)"/>
      <w:lvlJc w:val="left"/>
      <w:pPr>
        <w:tabs>
          <w:tab w:val="left" w:pos="312"/>
        </w:tabs>
      </w:pPr>
      <w:rPr>
        <w:rFonts w:hint="eastAsia"/>
      </w:rPr>
    </w:lvl>
  </w:abstractNum>
  <w:num w:numId="1">
    <w:abstractNumId w:val="3"/>
  </w:num>
  <w:num w:numId="2">
    <w:abstractNumId w:val="9"/>
  </w:num>
  <w:num w:numId="3">
    <w:abstractNumId w:val="2"/>
  </w:num>
  <w:num w:numId="4">
    <w:abstractNumId w:val="11"/>
  </w:num>
  <w:num w:numId="5">
    <w:abstractNumId w:val="4"/>
  </w:num>
  <w:num w:numId="6">
    <w:abstractNumId w:val="10"/>
  </w:num>
  <w:num w:numId="7">
    <w:abstractNumId w:val="1"/>
  </w:num>
  <w:num w:numId="8">
    <w:abstractNumId w:val="6"/>
  </w:num>
  <w:num w:numId="9">
    <w:abstractNumId w:val="0"/>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N2Y5ZGY3OWY3ODc0YmUzYjQwODEzMDE0MjQ5Y2QifQ=="/>
  </w:docVars>
  <w:rsids>
    <w:rsidRoot w:val="0CCB7736"/>
    <w:rsid w:val="00047FEF"/>
    <w:rsid w:val="000A3906"/>
    <w:rsid w:val="001776F1"/>
    <w:rsid w:val="006F0A16"/>
    <w:rsid w:val="00773328"/>
    <w:rsid w:val="00821883"/>
    <w:rsid w:val="00917857"/>
    <w:rsid w:val="00A755C2"/>
    <w:rsid w:val="01537475"/>
    <w:rsid w:val="016A347B"/>
    <w:rsid w:val="01AB7B24"/>
    <w:rsid w:val="01AC1704"/>
    <w:rsid w:val="02B50488"/>
    <w:rsid w:val="0338470A"/>
    <w:rsid w:val="034822A9"/>
    <w:rsid w:val="03D86621"/>
    <w:rsid w:val="04EE6171"/>
    <w:rsid w:val="05395EA9"/>
    <w:rsid w:val="09BE6112"/>
    <w:rsid w:val="0ABD557B"/>
    <w:rsid w:val="0BBB5A8D"/>
    <w:rsid w:val="0C104906"/>
    <w:rsid w:val="0CCB7736"/>
    <w:rsid w:val="0D9E0E8D"/>
    <w:rsid w:val="0EAB7397"/>
    <w:rsid w:val="0EF755B3"/>
    <w:rsid w:val="0F17035E"/>
    <w:rsid w:val="0F4E168D"/>
    <w:rsid w:val="11404466"/>
    <w:rsid w:val="11963ADD"/>
    <w:rsid w:val="11EB0F5C"/>
    <w:rsid w:val="11F20483"/>
    <w:rsid w:val="12460DCF"/>
    <w:rsid w:val="136F31F8"/>
    <w:rsid w:val="138750E0"/>
    <w:rsid w:val="15A620D3"/>
    <w:rsid w:val="166922FC"/>
    <w:rsid w:val="16A3369E"/>
    <w:rsid w:val="17027C18"/>
    <w:rsid w:val="178536BD"/>
    <w:rsid w:val="19516372"/>
    <w:rsid w:val="19575CC2"/>
    <w:rsid w:val="19A80228"/>
    <w:rsid w:val="1A101464"/>
    <w:rsid w:val="1AB74849"/>
    <w:rsid w:val="1AC52FF2"/>
    <w:rsid w:val="1AE6175D"/>
    <w:rsid w:val="1B282FFD"/>
    <w:rsid w:val="1B4A20DA"/>
    <w:rsid w:val="1B742AA7"/>
    <w:rsid w:val="1C3F0D3A"/>
    <w:rsid w:val="1CA34935"/>
    <w:rsid w:val="1D5A640E"/>
    <w:rsid w:val="1F6B3CF7"/>
    <w:rsid w:val="1F7640EC"/>
    <w:rsid w:val="20D76C5F"/>
    <w:rsid w:val="21057490"/>
    <w:rsid w:val="214A230E"/>
    <w:rsid w:val="21B052C4"/>
    <w:rsid w:val="22FF5445"/>
    <w:rsid w:val="230545CE"/>
    <w:rsid w:val="238D0E57"/>
    <w:rsid w:val="2402572D"/>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32E1CAB"/>
    <w:rsid w:val="332F11C0"/>
    <w:rsid w:val="37450F88"/>
    <w:rsid w:val="37D6106F"/>
    <w:rsid w:val="38F862EB"/>
    <w:rsid w:val="39343807"/>
    <w:rsid w:val="39887BBC"/>
    <w:rsid w:val="39974B3E"/>
    <w:rsid w:val="3A53023B"/>
    <w:rsid w:val="3AF42D2D"/>
    <w:rsid w:val="3B3A041F"/>
    <w:rsid w:val="3BAE6BF9"/>
    <w:rsid w:val="3C4F420B"/>
    <w:rsid w:val="3C9A591B"/>
    <w:rsid w:val="3CCA47F2"/>
    <w:rsid w:val="3CDE0708"/>
    <w:rsid w:val="3D5877DF"/>
    <w:rsid w:val="3DC55CAA"/>
    <w:rsid w:val="3DD556CA"/>
    <w:rsid w:val="3E6B5C26"/>
    <w:rsid w:val="3F450429"/>
    <w:rsid w:val="40226C80"/>
    <w:rsid w:val="40C451A5"/>
    <w:rsid w:val="4156470B"/>
    <w:rsid w:val="41943ACE"/>
    <w:rsid w:val="425D4066"/>
    <w:rsid w:val="42D34B85"/>
    <w:rsid w:val="43173FD4"/>
    <w:rsid w:val="43315F5F"/>
    <w:rsid w:val="43EE0D1B"/>
    <w:rsid w:val="44143822"/>
    <w:rsid w:val="4464157C"/>
    <w:rsid w:val="44654A12"/>
    <w:rsid w:val="45261842"/>
    <w:rsid w:val="457C5F26"/>
    <w:rsid w:val="466603F5"/>
    <w:rsid w:val="496C483B"/>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79D011F"/>
    <w:rsid w:val="586243BF"/>
    <w:rsid w:val="58FD3402"/>
    <w:rsid w:val="590C3027"/>
    <w:rsid w:val="599B3659"/>
    <w:rsid w:val="5AAF7799"/>
    <w:rsid w:val="5B5C1753"/>
    <w:rsid w:val="5D9E389A"/>
    <w:rsid w:val="5E134100"/>
    <w:rsid w:val="5F7A1C50"/>
    <w:rsid w:val="5FC067A5"/>
    <w:rsid w:val="601C4AB5"/>
    <w:rsid w:val="60BE691E"/>
    <w:rsid w:val="61444403"/>
    <w:rsid w:val="62265BDF"/>
    <w:rsid w:val="62E1699A"/>
    <w:rsid w:val="63875A0E"/>
    <w:rsid w:val="64147F0D"/>
    <w:rsid w:val="64D66362"/>
    <w:rsid w:val="65860217"/>
    <w:rsid w:val="667E0AA1"/>
    <w:rsid w:val="681850E4"/>
    <w:rsid w:val="68FB17C3"/>
    <w:rsid w:val="695F12F9"/>
    <w:rsid w:val="69636C3A"/>
    <w:rsid w:val="698C4704"/>
    <w:rsid w:val="69CF7B2C"/>
    <w:rsid w:val="69F34AD9"/>
    <w:rsid w:val="6A0B0004"/>
    <w:rsid w:val="6A1F0F97"/>
    <w:rsid w:val="6B4C508F"/>
    <w:rsid w:val="6BA1010E"/>
    <w:rsid w:val="6CE47E41"/>
    <w:rsid w:val="6CED5810"/>
    <w:rsid w:val="6CF92413"/>
    <w:rsid w:val="6D574911"/>
    <w:rsid w:val="6DFE5E04"/>
    <w:rsid w:val="6E87203D"/>
    <w:rsid w:val="6F9278BB"/>
    <w:rsid w:val="6FA17113"/>
    <w:rsid w:val="7026440D"/>
    <w:rsid w:val="70BF1643"/>
    <w:rsid w:val="71572F19"/>
    <w:rsid w:val="719B7427"/>
    <w:rsid w:val="724A6793"/>
    <w:rsid w:val="741F26FA"/>
    <w:rsid w:val="74470DF8"/>
    <w:rsid w:val="75FD1676"/>
    <w:rsid w:val="770E2F52"/>
    <w:rsid w:val="799536BA"/>
    <w:rsid w:val="7B170752"/>
    <w:rsid w:val="7B8F681B"/>
    <w:rsid w:val="7C0A6D91"/>
    <w:rsid w:val="7DD96C0E"/>
    <w:rsid w:val="7E474F7B"/>
    <w:rsid w:val="7E8F7AC1"/>
    <w:rsid w:val="7FDC6E7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paragraph" w:styleId="4">
    <w:name w:val="heading 2"/>
    <w:basedOn w:val="1"/>
    <w:next w:val="1"/>
    <w:unhideWhenUsed/>
    <w:qFormat/>
    <w:locked/>
    <w:uiPriority w:val="9"/>
    <w:pPr>
      <w:keepNext/>
      <w:keepLines/>
      <w:outlineLvl w:val="1"/>
    </w:pPr>
    <w:rPr>
      <w:rFonts w:cs="Times New Roman"/>
      <w:bCs/>
      <w:szCs w:val="32"/>
    </w:rPr>
  </w:style>
  <w:style w:type="paragraph" w:styleId="5">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qFormat/>
    <w:uiPriority w:val="99"/>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6">
    <w:name w:val="Normal Indent"/>
    <w:basedOn w:val="1"/>
    <w:qFormat/>
    <w:uiPriority w:val="0"/>
    <w:pPr>
      <w:ind w:firstLine="420" w:firstLineChars="200"/>
    </w:pPr>
  </w:style>
  <w:style w:type="paragraph" w:styleId="7">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w:basedOn w:val="1"/>
    <w:unhideWhenUsed/>
    <w:qFormat/>
    <w:uiPriority w:val="99"/>
    <w:pPr>
      <w:spacing w:after="120"/>
      <w:ind w:left="420" w:leftChars="200"/>
    </w:pPr>
    <w:rPr>
      <w:rFonts w:ascii="Times New Roman" w:hAnsi="Times New Roman" w:eastAsia="宋体" w:cs="Times New Roman"/>
    </w:r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able of figures"/>
    <w:basedOn w:val="1"/>
    <w:next w:val="1"/>
    <w:unhideWhenUsed/>
    <w:qFormat/>
    <w:uiPriority w:val="99"/>
    <w:pPr>
      <w:ind w:left="200" w:leftChars="200" w:hanging="200" w:hangingChars="200"/>
    </w:pPr>
  </w:style>
  <w:style w:type="paragraph" w:styleId="12">
    <w:name w:val="Normal (Web)"/>
    <w:basedOn w:val="1"/>
    <w:unhideWhenUsed/>
    <w:qFormat/>
    <w:uiPriority w:val="99"/>
    <w:pPr>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3">
    <w:name w:val="Body Text First Indent 2"/>
    <w:basedOn w:val="8"/>
    <w:unhideWhenUsed/>
    <w:qFormat/>
    <w:uiPriority w:val="99"/>
    <w:pPr>
      <w:spacing w:before="100" w:beforeAutospacing="1" w:after="0"/>
      <w:ind w:left="0" w:firstLine="420" w:firstLineChars="200"/>
    </w:pPr>
    <w:rPr>
      <w:rFonts w:ascii="Calibri" w:hAnsi="Calibri" w:eastAsia="宋体" w:cs="Times New Roman"/>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Footer Char"/>
    <w:basedOn w:val="16"/>
    <w:link w:val="9"/>
    <w:semiHidden/>
    <w:qFormat/>
    <w:uiPriority w:val="99"/>
    <w:rPr>
      <w:sz w:val="18"/>
      <w:szCs w:val="18"/>
    </w:rPr>
  </w:style>
  <w:style w:type="character" w:customStyle="1" w:styleId="19">
    <w:name w:val="Header Char"/>
    <w:basedOn w:val="16"/>
    <w:link w:val="10"/>
    <w:semiHidden/>
    <w:qFormat/>
    <w:uiPriority w:val="99"/>
    <w:rPr>
      <w:sz w:val="18"/>
      <w:szCs w:val="18"/>
    </w:rPr>
  </w:style>
  <w:style w:type="paragraph" w:styleId="20">
    <w:name w:val="List Paragraph"/>
    <w:basedOn w:val="1"/>
    <w:qFormat/>
    <w:uiPriority w:val="99"/>
    <w:pPr>
      <w:ind w:firstLine="420" w:firstLineChars="200"/>
    </w:pPr>
    <w:rPr>
      <w:rFonts w:ascii="Calibri" w:hAnsi="Calibri"/>
      <w:szCs w:val="22"/>
    </w:rPr>
  </w:style>
  <w:style w:type="paragraph" w:customStyle="1" w:styleId="21">
    <w:name w:val="Other|1"/>
    <w:basedOn w:val="1"/>
    <w:qFormat/>
    <w:uiPriority w:val="0"/>
    <w:pPr>
      <w:widowControl w:val="0"/>
      <w:spacing w:line="415"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60</Pages>
  <Words>25098</Words>
  <Characters>27561</Characters>
  <Lines>0</Lines>
  <Paragraphs>0</Paragraphs>
  <TotalTime>1</TotalTime>
  <ScaleCrop>false</ScaleCrop>
  <LinksUpToDate>false</LinksUpToDate>
  <CharactersWithSpaces>28104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吴涛</cp:lastModifiedBy>
  <cp:lastPrinted>2023-07-17T03:55:00Z</cp:lastPrinted>
  <dcterms:modified xsi:type="dcterms:W3CDTF">2023-07-17T07:21:10Z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19AC332D51064352AC23DB3AB8F19EE4</vt:lpwstr>
  </property>
</Properties>
</file>