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林业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汇总级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整体支出绩效评价基础数据表</w:t>
      </w:r>
    </w:p>
    <w:tbl>
      <w:tblPr>
        <w:tblStyle w:val="6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1"/>
        <w:gridCol w:w="1836"/>
        <w:gridCol w:w="2287"/>
        <w:gridCol w:w="15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120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133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1902.68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1934.05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1934.05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3.35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2.82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3.35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2.82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8.56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6.44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2033.06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4661.46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4661.46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1.行政运行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2.其他发展改革事务支出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2.7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3.其他税收事务支出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4.行政运行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2.03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5.其他人力资源和社会保障管理事务支出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0.26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6.公益性岗位补贴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0.59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1.19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7.临时救助支出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8.停伐补助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9.其他节能环保支出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29.07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353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10.一般行政管理事务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420.4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504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11.森林资源培育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310.44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1092.62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12.森林生态效益补偿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76.97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81.59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13.动植物保护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14.湿地保护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209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15.林业草原防灾减灾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49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16.其他林业和草原支出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1808.08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17.其他巩固脱贫衔接乡村振兴支出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18.其他农林水支出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19.其他交通运输支出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20.其他支出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265.82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162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21.其他科技条件与服务支出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22.其他就业补助支出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0.59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23.其他自然生态保护支出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133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24.森林管护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8.97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25.其他国有土地收益基金支出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411.2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27.对外合作与交流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28.产业化管理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29.林区公共支出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30.其他扶贫支出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减少非必要开支，常态化宣传节约意识。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）。0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</w:t>
      </w:r>
      <w:r>
        <w:rPr>
          <w:rFonts w:hint="eastAsia" w:eastAsia="仿宋_GB2312" w:cs="Times New Roman"/>
          <w:sz w:val="22"/>
          <w:lang w:eastAsia="zh-CN"/>
        </w:rPr>
        <w:t>：</w:t>
      </w:r>
      <w:r>
        <w:rPr>
          <w:rFonts w:hint="eastAsia" w:eastAsia="仿宋_GB2312" w:cs="Times New Roman"/>
          <w:sz w:val="22"/>
          <w:lang w:val="en-US" w:eastAsia="zh-CN"/>
        </w:rPr>
        <w:t xml:space="preserve">李天乐  </w:t>
      </w:r>
      <w:r>
        <w:rPr>
          <w:rFonts w:hint="default" w:ascii="Times New Roman" w:hAnsi="Times New Roman" w:eastAsia="仿宋_GB2312" w:cs="Times New Roman"/>
          <w:sz w:val="22"/>
        </w:rPr>
        <w:t>填报日期：</w:t>
      </w:r>
      <w:r>
        <w:rPr>
          <w:rFonts w:hint="eastAsia" w:eastAsia="仿宋_GB2312" w:cs="Times New Roman"/>
          <w:sz w:val="22"/>
          <w:lang w:val="en-US" w:eastAsia="zh-CN"/>
        </w:rPr>
        <w:t xml:space="preserve">2023.7.7  </w:t>
      </w:r>
      <w:r>
        <w:rPr>
          <w:rFonts w:hint="default" w:ascii="Times New Roman" w:hAnsi="Times New Roman" w:eastAsia="仿宋_GB2312" w:cs="Times New Roman"/>
          <w:sz w:val="22"/>
        </w:rPr>
        <w:t>联系电话</w:t>
      </w:r>
      <w:r>
        <w:rPr>
          <w:rFonts w:hint="eastAsia" w:eastAsia="仿宋_GB2312" w:cs="Times New Roman"/>
          <w:sz w:val="22"/>
          <w:lang w:eastAsia="zh-CN"/>
        </w:rPr>
        <w:t>：</w:t>
      </w:r>
      <w:r>
        <w:rPr>
          <w:rFonts w:hint="eastAsia" w:eastAsia="仿宋_GB2312" w:cs="Times New Roman"/>
          <w:sz w:val="22"/>
          <w:lang w:val="en-US" w:eastAsia="zh-CN"/>
        </w:rPr>
        <w:t>19100789779</w:t>
      </w:r>
      <w:r>
        <w:rPr>
          <w:rFonts w:hint="default" w:ascii="Times New Roman" w:hAnsi="Times New Roman" w:eastAsia="仿宋_GB2312" w:cs="Times New Roman"/>
          <w:sz w:val="22"/>
        </w:rPr>
        <w:t xml:space="preserve"> </w:t>
      </w:r>
      <w:r>
        <w:rPr>
          <w:rFonts w:hint="eastAsia" w:eastAsia="仿宋_GB2312" w:cs="Times New Roman"/>
          <w:sz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林业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汇总级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绩效自评表</w:t>
      </w:r>
    </w:p>
    <w:tbl>
      <w:tblPr>
        <w:tblStyle w:val="6"/>
        <w:tblW w:w="499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817"/>
        <w:gridCol w:w="804"/>
        <w:gridCol w:w="982"/>
        <w:gridCol w:w="1056"/>
        <w:gridCol w:w="1056"/>
        <w:gridCol w:w="543"/>
        <w:gridCol w:w="951"/>
        <w:gridCol w:w="14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07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华容县林业局汇总级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92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4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4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1526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6592.47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6592.47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23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6587.47</w:t>
            </w:r>
          </w:p>
        </w:tc>
        <w:tc>
          <w:tcPr>
            <w:tcW w:w="23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1927.01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3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4661.46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3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3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1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420" w:firstLineChars="2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促进全县森林资源总量和质量稳步提升，加快林业产业发展，不断提升林业治理体系和治理能力现代化水平，实现林业可持续发展。</w:t>
            </w:r>
          </w:p>
        </w:tc>
        <w:tc>
          <w:tcPr>
            <w:tcW w:w="23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420" w:firstLineChars="2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促进了全县森林资源总量和质量稳步提升，加快林业产业发展，不断提升林业治理体系和治理能力现代化水平，实现林业可持续发展。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造林面积（万亩）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1.087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1.087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森林抚育面积（万亩）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0.8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0.8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国家级国有公益林管护面积（万亩）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1.6646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1.6646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造林完成合格率（%）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≥85%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100%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森林抚育合格率（%）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≥90%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100%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主要林业有害生物成灾率（%）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≤1%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≤0.4%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然林和国家级公益林管护当期任务完成率（%）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≥90%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100%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造林当期任务完成率（%）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≥80%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100%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森林抚育当期任务完成率（%）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≥80%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100%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国有天然林管护中央财政补助标准（10元/亩）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10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10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非国有天然商品林停伐管护中央财政补助标准（16元/亩）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16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16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国有国家级公益林管护中央财政补助标准（10元/亩）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10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10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林业有害生物防治有效挽回经济损失（是/否）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森林草原防火有效挽回经济损失（是/否）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林业生产有效带动林农增收（是/否）　</w:t>
            </w:r>
          </w:p>
        </w:tc>
        <w:tc>
          <w:tcPr>
            <w:tcW w:w="5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5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3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公益林减少水土流失有效维护林区发展（是/否）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林业生产有效带动林农就业（是/否）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为人民群众提供生态休闲等社会服务能力（是/否）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林业有害生物无公害防治率（%）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≥90%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95%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辖区内生态环境质量有所提升（是/否）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林区森林质量有效增强（是/否）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是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公益林有效维护林区稳定（是/否）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是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是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公益林有效保障经济可持续发展（是/否）</w:t>
            </w:r>
          </w:p>
        </w:tc>
        <w:tc>
          <w:tcPr>
            <w:tcW w:w="5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是</w:t>
            </w:r>
          </w:p>
        </w:tc>
        <w:tc>
          <w:tcPr>
            <w:tcW w:w="5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是</w:t>
            </w:r>
          </w:p>
        </w:tc>
        <w:tc>
          <w:tcPr>
            <w:tcW w:w="3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森林、湿地、荒漠生态系统功能改善可持续影响（是否明显）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是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是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基层林业单位满意度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≥80%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100%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造林户满意度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≥80%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100%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群众满意度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≥80%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100%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7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</w:t>
      </w:r>
      <w:r>
        <w:rPr>
          <w:rFonts w:hint="eastAsia" w:eastAsia="仿宋_GB2312" w:cs="Times New Roman"/>
          <w:sz w:val="22"/>
          <w:lang w:eastAsia="zh-CN"/>
        </w:rPr>
        <w:t>：</w:t>
      </w:r>
      <w:r>
        <w:rPr>
          <w:rFonts w:hint="eastAsia" w:eastAsia="仿宋_GB2312" w:cs="Times New Roman"/>
          <w:sz w:val="22"/>
          <w:lang w:val="en-US" w:eastAsia="zh-CN"/>
        </w:rPr>
        <w:t xml:space="preserve">李天乐  </w:t>
      </w:r>
      <w:r>
        <w:rPr>
          <w:rFonts w:hint="default" w:ascii="Times New Roman" w:hAnsi="Times New Roman" w:eastAsia="仿宋_GB2312" w:cs="Times New Roman"/>
          <w:sz w:val="22"/>
        </w:rPr>
        <w:t>填报日期：</w:t>
      </w:r>
      <w:r>
        <w:rPr>
          <w:rFonts w:hint="eastAsia" w:eastAsia="仿宋_GB2312" w:cs="Times New Roman"/>
          <w:sz w:val="22"/>
          <w:lang w:val="en-US" w:eastAsia="zh-CN"/>
        </w:rPr>
        <w:t xml:space="preserve">2023.7.7  </w:t>
      </w:r>
      <w:r>
        <w:rPr>
          <w:rFonts w:hint="default" w:ascii="Times New Roman" w:hAnsi="Times New Roman" w:eastAsia="仿宋_GB2312" w:cs="Times New Roman"/>
          <w:sz w:val="22"/>
        </w:rPr>
        <w:t>联系电话</w:t>
      </w:r>
      <w:r>
        <w:rPr>
          <w:rFonts w:hint="eastAsia" w:eastAsia="仿宋_GB2312" w:cs="Times New Roman"/>
          <w:sz w:val="22"/>
          <w:lang w:eastAsia="zh-CN"/>
        </w:rPr>
        <w:t>：</w:t>
      </w:r>
      <w:r>
        <w:rPr>
          <w:rFonts w:hint="eastAsia" w:eastAsia="仿宋_GB2312" w:cs="Times New Roman"/>
          <w:sz w:val="22"/>
          <w:lang w:val="en-US" w:eastAsia="zh-CN"/>
        </w:rPr>
        <w:t>19100789779</w:t>
      </w:r>
      <w:r>
        <w:rPr>
          <w:rFonts w:hint="default" w:ascii="Times New Roman" w:hAnsi="Times New Roman" w:eastAsia="仿宋_GB2312" w:cs="Times New Roman"/>
          <w:sz w:val="22"/>
        </w:rPr>
        <w:t xml:space="preserve"> </w:t>
      </w:r>
      <w:r>
        <w:rPr>
          <w:rFonts w:hint="eastAsia" w:eastAsia="仿宋_GB2312" w:cs="Times New Roman"/>
          <w:sz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华容县林业局汇总级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ind w:firstLine="1280" w:firstLineChars="400"/>
        <w:jc w:val="both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华容县林业局汇总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月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华容县林业局汇总级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</w:pPr>
      <w:r>
        <w:rPr>
          <w:rFonts w:hint="eastAsia" w:eastAsia="仿宋_GB2312" w:cs="Times New Roman"/>
          <w:b/>
          <w:bCs/>
          <w:color w:val="000000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  <w:t>部门（单位）基本情况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华容县林业局是县人民政府工作部门，为正科级，由县自然资源局统一领导和管理。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负责林业及生态保护修复的监督管理，组织指导林业生态保护修复和造林绿化工作。负责森林、湿地资源的监督管理。指导开展林业产业工作。负责陆生野生动植物资源监督管理。负责监督管理各类自然保护地。负责推进林业改革相关工作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指导国有林场基本建设和发展，组织林木种子种质资源普查。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指导县森林公安工作，监督管理森林公安队伍，指导全县林业重大违法案件的查处，负责相关林业行政执法监管工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作。负责落实综合防灾减灾相关要求，指导实话森林火灾防治规划指导开展防火巡护、火源管理、防火设施建设等工作。监督管理林业资金和国有资产，提出林业预算内投资、规划，组织指导森林生态补偿。负责林业人才、科技、教育工作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辖县湿地保护中心、东湖国家湿地公园管理所、胜峰国有林场（与桃花山省级森林公园合署办公）、塔市国有林场和林业事务中心（木材检查站于9月份转隶为林业事务中心并入林业局 ）5个二级单位。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二、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1.收入情况：全年收入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6592.47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万元，其中：一般公共预算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6587.47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万元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,其他收入5万元。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2.支出情况:全年支出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6592.47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 xml:space="preserve">万元，其中：基本支出 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1927.01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万元，项目支出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4661.46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万元。本年结余：无。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三、项目支出情况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2022年项目支出4661.46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万元，包括：造林补助项目、森林生态效益补偿项目、天然林保护管护项目、有害生物防治项目、森林抚育、林业项目等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；惠农项目（造林补助、森林生态效益、森林抚育、）资金均通过财政“一卡通”方式将补助资金发放到项目单位和农户；其他专项资金由县财政局直接将资金拨付给相关项目实施单位。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项目支出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严格按照项目资金管理规定管理资金，专款专用，资金使用与管理及时率100%、到位率100%、使用合格率100%。严格执行财经纪律，建立资金管理和控制体系，主动接受财政、审计部门审计、监督，杜绝了挪用、串用、截留、挤占等现象，保证了项目顺利实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，根据年初工作规划和重点工作，围绕县委、县政府的工作部署，积极履行职责，强化管理，较好地完成了年度工作目标，同时加强预算收支的管理，建立健全内部管理制度，严格内部管理流程，部门整体支出管理得到了提升。整体支出绩效情况如下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严格控制公务接待。林业部门公务接待工作按照务实节俭、杜绝浪费的原则进行管理和规范。公务接待明确标准和限额。要求出具接待函、用餐申报单、发票和菜单明细方可报销。每季度公开接待费用支出情况，实行动态管理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资金使用效益高。表现在:一是保障了职工工资,津补贴的及时足额发放,没有出现拖欠职工工资、离退休费用等现象；二是保障了单位的正常运转,各项工作开展顺利,林业各项指标得到了增长,林农收入得到了提高；三是财政供养人员控制较好,；四是资金使用无虚列支出及随意使用现象,无大额现金支付现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.预算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管理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方面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支出总额控制在预算总额以内，其他专项工程建设资金按时拨付资金，较好的完成了当年任务目标，财政拨款支出总体控制较好。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按照部门整体支出绩效评价指标体系对照打分得出结果为98分。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  <w:t>、存在的问题及原因分析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根据本单位职能职责和年度工作计划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实施预算支出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年部门预算执行过程中，存在以下问题。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1.由于上级交办林业调查监测任务的突发性，一些无法预计和列入年初预算的项目支出，需要在年度中间进行预算追加和调整。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2.非税收入执收项目无法事先控制，如部门收费标准和依据临时调整，非税收入预算编制难以准确编制。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、下一步改进措施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1.是按照预算规定的项目和用途严格财务审核，经费支出严格按预算规定项目的财务支出内容进行财务核算，在预算金额内严格控制费用的支出。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2.是严格控制“三公经费”支出，杜绝挪用和挤占其他预算资金；进一步细化“三公经费”管理，压缩“三公经费”支出。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3.是加强项目资金的使用管理，充分发挥财政专项资金的使用效益。同时，强化项目资金的监督，主动接受相关职能部门的检查和审计监督，并加强项目建设指导和检查验收。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left"/>
        <w:textAlignment w:val="auto"/>
        <w:outlineLvl w:val="0"/>
        <w:rPr>
          <w:rFonts w:hint="default" w:ascii="仿宋_GB2312" w:eastAsia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984" w:right="1701" w:bottom="198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项目支出绩效评价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评分表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共性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）</w:t>
      </w:r>
    </w:p>
    <w:tbl>
      <w:tblPr>
        <w:tblStyle w:val="6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 w:firstLine="240" w:firstLineChars="10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 w:firstLine="241" w:firstLineChars="100"/>
              <w:jc w:val="left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98</w:t>
            </w:r>
          </w:p>
        </w:tc>
      </w:tr>
    </w:tbl>
    <w:p>
      <w:pPr>
        <w:adjustRightInd w:val="0"/>
        <w:snapToGrid w:val="0"/>
        <w:spacing w:before="156" w:beforeLines="50"/>
        <w:ind w:left="840" w:hanging="840" w:hangingChars="40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</w:t>
      </w:r>
      <w:r>
        <w:rPr>
          <w:rFonts w:hint="eastAsia" w:ascii="仿宋_GB2312" w:eastAsia="仿宋_GB2312"/>
          <w:lang w:val="en-US" w:eastAsia="zh-CN"/>
        </w:rPr>
        <w:t>1、</w:t>
      </w:r>
      <w:r>
        <w:rPr>
          <w:rFonts w:hint="eastAsia" w:ascii="仿宋_GB2312" w:eastAsia="仿宋_GB2312"/>
        </w:rPr>
        <w:t>部门（单位）根据项目实际，在《项目支出绩效评价指标</w:t>
      </w:r>
      <w:r>
        <w:rPr>
          <w:rFonts w:hint="eastAsia" w:ascii="仿宋_GB2312" w:eastAsia="仿宋_GB2312"/>
          <w:lang w:eastAsia="zh-CN"/>
        </w:rPr>
        <w:t>评分表</w:t>
      </w:r>
      <w:r>
        <w:rPr>
          <w:rFonts w:hint="eastAsia" w:ascii="仿宋_GB2312" w:eastAsia="仿宋_GB2312"/>
        </w:rPr>
        <w:t>（</w:t>
      </w:r>
      <w:r>
        <w:rPr>
          <w:rFonts w:hint="eastAsia" w:ascii="仿宋_GB2312" w:eastAsia="仿宋_GB2312"/>
          <w:lang w:eastAsia="zh-CN"/>
        </w:rPr>
        <w:t>共性</w:t>
      </w:r>
      <w:r>
        <w:rPr>
          <w:rFonts w:hint="eastAsia" w:ascii="仿宋_GB2312" w:eastAsia="仿宋_GB2312"/>
        </w:rPr>
        <w:t>）》上进一步完善、量化、细化个性指标，形成本项目的指标体系。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  <w:lang w:eastAsia="zh-CN"/>
        </w:rPr>
      </w:pPr>
      <w:r>
        <w:rPr>
          <w:rFonts w:hint="eastAsia" w:ascii="仿宋_GB2312" w:eastAsia="仿宋_GB2312"/>
          <w:lang w:val="en-US" w:eastAsia="zh-CN"/>
        </w:rPr>
        <w:t>2、</w:t>
      </w:r>
      <w:r>
        <w:rPr>
          <w:rFonts w:hint="eastAsia" w:ascii="仿宋_GB2312" w:eastAsia="仿宋_GB2312"/>
          <w:lang w:eastAsia="zh-CN"/>
        </w:rPr>
        <w:t>一个一级项目一张表。</w:t>
      </w:r>
    </w:p>
    <w:p>
      <w:pPr>
        <w:pStyle w:val="2"/>
        <w:rPr>
          <w:rFonts w:hint="eastAsia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69FAA19-CCB3-4B7E-8EEC-6F82765533C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AEABE6BB-9057-437F-B125-3EDE866AB65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61A3C9E-181E-4DB6-9F2A-B75B974DED2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AD1186D6-075E-4E63-B572-49F80867C2A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4E3E5370-7FC2-4212-82AE-C229E7E2F97A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DB4D41A7-E8B2-4549-8532-54C8D6F80517}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7" w:fontKey="{9B493DC1-2A9F-4B0F-B838-A1C1F066D3D0}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  <w:embedRegular r:id="rId8" w:fontKey="{7331ED54-94A6-49AA-9169-9600FF8EDA7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E8C72AC6-3768-4C80-8260-B7CD24F0464A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0" w:fontKey="{A442A820-9515-4DD7-B8B5-971ECD17FCD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1" w:fontKey="{A2252C2F-B4A7-4E98-923D-4EC5756E151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jMTQ5ZWE4OGUxMTliMDJmNmE4ZmYwZWNkZGFlMzUifQ=="/>
  </w:docVars>
  <w:rsids>
    <w:rsidRoot w:val="0CCB7736"/>
    <w:rsid w:val="00047FEF"/>
    <w:rsid w:val="000A3906"/>
    <w:rsid w:val="001776F1"/>
    <w:rsid w:val="002915A3"/>
    <w:rsid w:val="006F0A16"/>
    <w:rsid w:val="00773328"/>
    <w:rsid w:val="00821883"/>
    <w:rsid w:val="00917857"/>
    <w:rsid w:val="00A755C2"/>
    <w:rsid w:val="016A347B"/>
    <w:rsid w:val="02B50488"/>
    <w:rsid w:val="0338470A"/>
    <w:rsid w:val="034822A9"/>
    <w:rsid w:val="03D86621"/>
    <w:rsid w:val="04EE6171"/>
    <w:rsid w:val="05395EA9"/>
    <w:rsid w:val="07F60836"/>
    <w:rsid w:val="0ABD557B"/>
    <w:rsid w:val="0BBB5A8D"/>
    <w:rsid w:val="0C104906"/>
    <w:rsid w:val="0C396DB4"/>
    <w:rsid w:val="0CCB7736"/>
    <w:rsid w:val="0D9E0E8D"/>
    <w:rsid w:val="0DF06AE5"/>
    <w:rsid w:val="0EAB7397"/>
    <w:rsid w:val="0EF755B3"/>
    <w:rsid w:val="0F17035E"/>
    <w:rsid w:val="0F4E168D"/>
    <w:rsid w:val="11404466"/>
    <w:rsid w:val="11963ADD"/>
    <w:rsid w:val="11EB0F5C"/>
    <w:rsid w:val="11F20483"/>
    <w:rsid w:val="136F31F8"/>
    <w:rsid w:val="138750E0"/>
    <w:rsid w:val="15A620D3"/>
    <w:rsid w:val="16A3369E"/>
    <w:rsid w:val="178536BD"/>
    <w:rsid w:val="19516372"/>
    <w:rsid w:val="19575CC2"/>
    <w:rsid w:val="19A80228"/>
    <w:rsid w:val="1A101464"/>
    <w:rsid w:val="1A640EBC"/>
    <w:rsid w:val="1AB74849"/>
    <w:rsid w:val="1AC52FF2"/>
    <w:rsid w:val="1AE6175D"/>
    <w:rsid w:val="1B742AA7"/>
    <w:rsid w:val="1CA34935"/>
    <w:rsid w:val="1D5A640E"/>
    <w:rsid w:val="1D8A48E7"/>
    <w:rsid w:val="1F7640EC"/>
    <w:rsid w:val="20D76C5F"/>
    <w:rsid w:val="21057490"/>
    <w:rsid w:val="214A230E"/>
    <w:rsid w:val="21B052C4"/>
    <w:rsid w:val="22794E74"/>
    <w:rsid w:val="22FF5445"/>
    <w:rsid w:val="238D0E57"/>
    <w:rsid w:val="24256710"/>
    <w:rsid w:val="251E7983"/>
    <w:rsid w:val="260D5D83"/>
    <w:rsid w:val="284A2254"/>
    <w:rsid w:val="292F1467"/>
    <w:rsid w:val="29786927"/>
    <w:rsid w:val="297B51B4"/>
    <w:rsid w:val="29E40467"/>
    <w:rsid w:val="29F527E2"/>
    <w:rsid w:val="2BF35971"/>
    <w:rsid w:val="2C487650"/>
    <w:rsid w:val="2E4F43C0"/>
    <w:rsid w:val="2EC7368E"/>
    <w:rsid w:val="30FB4B41"/>
    <w:rsid w:val="31621165"/>
    <w:rsid w:val="31C725DE"/>
    <w:rsid w:val="323C5548"/>
    <w:rsid w:val="34126D30"/>
    <w:rsid w:val="36EF3E96"/>
    <w:rsid w:val="37450F88"/>
    <w:rsid w:val="37D6106F"/>
    <w:rsid w:val="38F862EB"/>
    <w:rsid w:val="39343807"/>
    <w:rsid w:val="39887BBC"/>
    <w:rsid w:val="3A53023B"/>
    <w:rsid w:val="3AF42D2D"/>
    <w:rsid w:val="3B3A041F"/>
    <w:rsid w:val="3BAE6BF9"/>
    <w:rsid w:val="3CCA47F2"/>
    <w:rsid w:val="3CDE0708"/>
    <w:rsid w:val="3D5877DF"/>
    <w:rsid w:val="3DA2227A"/>
    <w:rsid w:val="3DC55CAA"/>
    <w:rsid w:val="3DD556CA"/>
    <w:rsid w:val="3E1E6D74"/>
    <w:rsid w:val="3F450429"/>
    <w:rsid w:val="40226C80"/>
    <w:rsid w:val="40C451A5"/>
    <w:rsid w:val="4156470B"/>
    <w:rsid w:val="41943ACE"/>
    <w:rsid w:val="425D4066"/>
    <w:rsid w:val="43173FD4"/>
    <w:rsid w:val="44143822"/>
    <w:rsid w:val="44654A12"/>
    <w:rsid w:val="457C5F26"/>
    <w:rsid w:val="46747A16"/>
    <w:rsid w:val="490746D8"/>
    <w:rsid w:val="49CF255F"/>
    <w:rsid w:val="4B2C5DCD"/>
    <w:rsid w:val="4B7D1173"/>
    <w:rsid w:val="4C150E22"/>
    <w:rsid w:val="4C6A38FC"/>
    <w:rsid w:val="4CB15724"/>
    <w:rsid w:val="4CE74BC3"/>
    <w:rsid w:val="4CF5000E"/>
    <w:rsid w:val="4DB17672"/>
    <w:rsid w:val="50AC44C4"/>
    <w:rsid w:val="50EA6DB9"/>
    <w:rsid w:val="51CA7471"/>
    <w:rsid w:val="51E00B23"/>
    <w:rsid w:val="521C2FA3"/>
    <w:rsid w:val="522529B2"/>
    <w:rsid w:val="53910AF4"/>
    <w:rsid w:val="55515AEF"/>
    <w:rsid w:val="555952B3"/>
    <w:rsid w:val="556B5A36"/>
    <w:rsid w:val="55AF40BB"/>
    <w:rsid w:val="56F72F7C"/>
    <w:rsid w:val="58516820"/>
    <w:rsid w:val="586243BF"/>
    <w:rsid w:val="58FD3402"/>
    <w:rsid w:val="5AAF7799"/>
    <w:rsid w:val="5B5C1753"/>
    <w:rsid w:val="5E134100"/>
    <w:rsid w:val="5E39160E"/>
    <w:rsid w:val="5F7A1C50"/>
    <w:rsid w:val="601C4AB5"/>
    <w:rsid w:val="60BE691E"/>
    <w:rsid w:val="61444403"/>
    <w:rsid w:val="62265BDF"/>
    <w:rsid w:val="6296758D"/>
    <w:rsid w:val="62E1699A"/>
    <w:rsid w:val="63336885"/>
    <w:rsid w:val="6390035A"/>
    <w:rsid w:val="64147F0D"/>
    <w:rsid w:val="64D66362"/>
    <w:rsid w:val="65077AE2"/>
    <w:rsid w:val="65860217"/>
    <w:rsid w:val="667E0AA1"/>
    <w:rsid w:val="66F2049E"/>
    <w:rsid w:val="67262DA8"/>
    <w:rsid w:val="68FB17C3"/>
    <w:rsid w:val="695F12F9"/>
    <w:rsid w:val="69636C3A"/>
    <w:rsid w:val="69CF7B2C"/>
    <w:rsid w:val="6A0B0004"/>
    <w:rsid w:val="6BA05DBF"/>
    <w:rsid w:val="6BA1010E"/>
    <w:rsid w:val="6C46031E"/>
    <w:rsid w:val="6CE47E41"/>
    <w:rsid w:val="6CED5810"/>
    <w:rsid w:val="6CF92413"/>
    <w:rsid w:val="6DFE5E04"/>
    <w:rsid w:val="6E87203D"/>
    <w:rsid w:val="6EB760D5"/>
    <w:rsid w:val="6F9278BB"/>
    <w:rsid w:val="6FFE1028"/>
    <w:rsid w:val="70463332"/>
    <w:rsid w:val="70FB4FE1"/>
    <w:rsid w:val="71572F19"/>
    <w:rsid w:val="719B7427"/>
    <w:rsid w:val="724A6793"/>
    <w:rsid w:val="741F26FA"/>
    <w:rsid w:val="74470DF8"/>
    <w:rsid w:val="75FD1676"/>
    <w:rsid w:val="768D2301"/>
    <w:rsid w:val="772740C2"/>
    <w:rsid w:val="799536BA"/>
    <w:rsid w:val="7A680F88"/>
    <w:rsid w:val="7B170752"/>
    <w:rsid w:val="7B8F681B"/>
    <w:rsid w:val="7DD96C0E"/>
    <w:rsid w:val="7E474F7B"/>
    <w:rsid w:val="7E8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customStyle="1" w:styleId="10">
    <w:name w:val="Footer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Header Char"/>
    <w:basedOn w:val="8"/>
    <w:link w:val="5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15</Pages>
  <Words>4967</Words>
  <Characters>5524</Characters>
  <Lines>0</Lines>
  <Paragraphs>0</Paragraphs>
  <TotalTime>23</TotalTime>
  <ScaleCrop>false</ScaleCrop>
  <LinksUpToDate>false</LinksUpToDate>
  <CharactersWithSpaces>5763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李天乐</cp:lastModifiedBy>
  <cp:lastPrinted>2023-07-17T00:31:37Z</cp:lastPrinted>
  <dcterms:modified xsi:type="dcterms:W3CDTF">2023-07-17T00:53:51Z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386772509_embed</vt:lpwstr>
  </property>
  <property fmtid="{D5CDD505-2E9C-101B-9397-08002B2CF9AE}" pid="4" name="ICV">
    <vt:lpwstr>5CCCFACAD0E74FED881B5BAD00AF4128_13</vt:lpwstr>
  </property>
</Properties>
</file>