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313" w:afterLines="100"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项目支出绩效评价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评分表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（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eastAsia="zh-CN"/>
        </w:rPr>
        <w:t>共性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）</w:t>
      </w:r>
    </w:p>
    <w:tbl>
      <w:tblPr>
        <w:tblStyle w:val="6"/>
        <w:tblW w:w="982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540"/>
        <w:gridCol w:w="703"/>
        <w:gridCol w:w="540"/>
        <w:gridCol w:w="803"/>
        <w:gridCol w:w="550"/>
        <w:gridCol w:w="2407"/>
        <w:gridCol w:w="2772"/>
        <w:gridCol w:w="8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2" w:hRule="atLeast"/>
          <w:tblHeader/>
          <w:jc w:val="center"/>
        </w:trPr>
        <w:tc>
          <w:tcPr>
            <w:tcW w:w="7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一级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7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二级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4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80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三级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指标</w:t>
            </w:r>
          </w:p>
        </w:tc>
        <w:tc>
          <w:tcPr>
            <w:tcW w:w="5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分值</w:t>
            </w:r>
          </w:p>
        </w:tc>
        <w:tc>
          <w:tcPr>
            <w:tcW w:w="240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具体指标</w:t>
            </w:r>
          </w:p>
        </w:tc>
        <w:tc>
          <w:tcPr>
            <w:tcW w:w="277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评价标准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自评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项目决策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项目目标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内容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设立了项目绩效目标；目标明确；目标细化；目标量化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①设有目标（1分）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②目标明确（1分）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③目标细化（1分）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④目标量化（1分）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决策过程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依据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有关法律法规的明确规定；某一经济社会发展规划；某部门年度工作计划；某一实际问题和需求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①符合法律法规（1分）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②符合经济社会发展规划（1分）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③部门年度工作计划（1分）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④针对某一实际问题和需求（1分）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以上③需提供佐证资料。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决策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程序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项目符合申报条件；申报、批复程序符合相关管理办法；项目调整履行了相应手续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①符合申报条件（2分）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②项目申报、批复程序符合管理办法（1分）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③项目调整履行了相应手续（1分）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7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办法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根据需要制定的相关资金管理办法；管理办法中有明确资金分配办法；资金分配因素全面、合理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①有相应的资金管理办法（1分）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②办法健全、规范（1分）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③因素全面合理（1分）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分配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结果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资金分配符合相关管理办法；分配结果公平合理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①符合分配办法（2分）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②分配公平合理（3分）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此项需提供相应的资金分配方案。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" w:hRule="atLeast"/>
          <w:jc w:val="center"/>
        </w:trPr>
        <w:tc>
          <w:tcPr>
            <w:tcW w:w="702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textDirection w:val="tbLr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113" w:right="113" w:firstLine="2520" w:firstLineChars="1400"/>
              <w:jc w:val="both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25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资金到位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到位率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实际到位/计划到位*100%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根据项目资金的实际到位率计算得分（3分）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到位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资金及时到位；若未及时到位，是否影响项目进度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①到位及时（2分）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spacing w:val="-10"/>
                <w:kern w:val="0"/>
                <w:sz w:val="18"/>
                <w:szCs w:val="18"/>
              </w:rPr>
              <w:t>②不及时但未影响项目进度 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spacing w:val="-6"/>
                <w:kern w:val="0"/>
                <w:sz w:val="18"/>
                <w:szCs w:val="18"/>
              </w:rPr>
              <w:t>③不及时并影响项目进度（0.5分）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0.5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使用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7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支出依据合规，无虚列项目支出情况；无截留挤占挪用情况；无超标准开支情况；无超预算情况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 xml:space="preserve">①虚列套取扣4-7分 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②依据不合规扣2分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③截留、挤占、挪用扣3-6分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④超标准开支扣2-5分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⑤超预算扣2-5分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1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财务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资金管理、费用支出等制度健全；制度执行严格；会计核算规范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①财务制度健全（1分）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②严格执行制度（1分）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③会计核算规范（1分）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组织实施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组织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机构健全、分工明确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①机构健全、分工明确  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支撑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条件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项目实施单位是否提供或具备了必备的人员、场地和设备等条件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具备人员、场地、设备条件（1分）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实施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项目按计划开工；按计划进度开展；按计划完工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①按计划开工（1分）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②按计划开展（1分）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③按计划完工（1分）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70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管理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制度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项目管理制度健全；严格执行相关管理制度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①管理制度健全（2分）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②制度执行严格（3分）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以上①需提供佐证资料。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项目绩效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55</w:t>
            </w:r>
          </w:p>
        </w:tc>
        <w:tc>
          <w:tcPr>
            <w:tcW w:w="703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</w:t>
            </w:r>
          </w:p>
        </w:tc>
        <w:tc>
          <w:tcPr>
            <w:tcW w:w="5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15</w:t>
            </w:r>
          </w:p>
        </w:tc>
        <w:tc>
          <w:tcPr>
            <w:tcW w:w="8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数量</w:t>
            </w:r>
          </w:p>
        </w:tc>
        <w:tc>
          <w:tcPr>
            <w:tcW w:w="5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5</w:t>
            </w:r>
          </w:p>
        </w:tc>
        <w:tc>
          <w:tcPr>
            <w:tcW w:w="24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目标完成率=目标完成数/预定目标数×100%</w:t>
            </w:r>
          </w:p>
        </w:tc>
        <w:tc>
          <w:tcPr>
            <w:tcW w:w="277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完成绩效目标100%得5分，未完成100%的同比例扣减。</w:t>
            </w:r>
          </w:p>
        </w:tc>
        <w:tc>
          <w:tcPr>
            <w:tcW w:w="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5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质量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目标完成质量=实际达到的效果/预定目标×100%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项目产出质量达到绩效目标100%得4分，未完成100%的同比例扣减。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时效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项目资金使用的预定目标是否如期完成，未完成的理由是否充分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项目产出时效达到绩效目标得3分，未如期完成且无充分理由的扣3分。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产出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成本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3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项目产出成本是否按绩效目标控制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项目产出成本按绩效目标控制得3分，未完成的，按超支比例扣减。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3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项目效果</w:t>
            </w:r>
          </w:p>
        </w:tc>
        <w:tc>
          <w:tcPr>
            <w:tcW w:w="54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40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经济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项目实施对经济发展所带来的直接或间接影响情况。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完成绩效目标设定的经济效益得8分，未完成的，按完成情况酌情扣分。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社会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项目实施对社会发展所带来的直接或间接影响情况。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完成绩效目标设定的社会效益得8分，未完成的，按完成情况酌情扣分。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  <w:t>生态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效益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项目实施对生态环境所带来的直接或间接影响情况。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完成绩效目标设定的积极的环境效益得8分，未完成的，按完成情况酌情扣分。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可持续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影响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项目后续运行及成效发挥的可持续影响情况。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完成绩效设定目标的得8分，未完成的，按完成情况酌情扣分。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lang w:val="en-US" w:eastAsia="zh-CN"/>
              </w:rPr>
              <w:t>7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70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7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对象</w:t>
            </w:r>
          </w:p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满意度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8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服务对象满意率=项目区被调查人数中表示满意的人数(户数)/ 被调查人数(户数)×100%</w:t>
            </w: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满意率达90%（含）以上的得8分，80%（含）-90%得6分，70%（含）-80%得4分，60%（含）-70%得2分，60%以下不得分。</w:t>
            </w: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eastAsia" w:ascii="宋体" w:hAnsi="宋体" w:eastAsia="宋体" w:cs="宋体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8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  <w:jc w:val="center"/>
        </w:trPr>
        <w:tc>
          <w:tcPr>
            <w:tcW w:w="70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总分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7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8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18"/>
                <w:szCs w:val="18"/>
              </w:rPr>
              <w:t>100</w:t>
            </w:r>
          </w:p>
        </w:tc>
        <w:tc>
          <w:tcPr>
            <w:tcW w:w="24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277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center"/>
              <w:rPr>
                <w:rFonts w:hint="default" w:ascii="仿宋_GB2312" w:hAnsi="宋体" w:eastAsia="仿宋_GB2312" w:cs="宋体"/>
                <w:b/>
                <w:bCs/>
                <w:kern w:val="0"/>
                <w:sz w:val="18"/>
                <w:szCs w:val="18"/>
              </w:rPr>
            </w:pPr>
          </w:p>
        </w:tc>
        <w:tc>
          <w:tcPr>
            <w:tcW w:w="80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exact"/>
              <w:ind w:left="0" w:right="0"/>
              <w:jc w:val="left"/>
              <w:rPr>
                <w:rFonts w:hint="default" w:ascii="宋体" w:hAnsi="宋体" w:eastAsia="宋体" w:cs="宋体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lang w:val="en-US" w:eastAsia="zh-CN"/>
              </w:rPr>
              <w:t>94.5</w:t>
            </w:r>
          </w:p>
        </w:tc>
      </w:tr>
    </w:tbl>
    <w:p>
      <w:pPr>
        <w:adjustRightInd w:val="0"/>
        <w:snapToGrid w:val="0"/>
        <w:spacing w:before="156" w:beforeLines="50"/>
        <w:ind w:left="840" w:hanging="840" w:hangingChars="400"/>
        <w:contextualSpacing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备注：</w:t>
      </w:r>
      <w:r>
        <w:rPr>
          <w:rFonts w:hint="eastAsia" w:ascii="仿宋_GB2312" w:eastAsia="仿宋_GB2312"/>
          <w:lang w:val="en-US" w:eastAsia="zh-CN"/>
        </w:rPr>
        <w:t>1、</w:t>
      </w:r>
      <w:r>
        <w:rPr>
          <w:rFonts w:hint="eastAsia" w:ascii="仿宋_GB2312" w:eastAsia="仿宋_GB2312"/>
        </w:rPr>
        <w:t>部门（单位）根据项目实际，在《项目支出绩效评价指标</w:t>
      </w:r>
      <w:r>
        <w:rPr>
          <w:rFonts w:hint="eastAsia" w:ascii="仿宋_GB2312" w:eastAsia="仿宋_GB2312"/>
          <w:lang w:eastAsia="zh-CN"/>
        </w:rPr>
        <w:t>评分表</w:t>
      </w:r>
      <w:r>
        <w:rPr>
          <w:rFonts w:hint="eastAsia" w:ascii="仿宋_GB2312" w:eastAsia="仿宋_GB2312"/>
        </w:rPr>
        <w:t>（</w:t>
      </w:r>
      <w:r>
        <w:rPr>
          <w:rFonts w:hint="eastAsia" w:ascii="仿宋_GB2312" w:eastAsia="仿宋_GB2312"/>
          <w:lang w:eastAsia="zh-CN"/>
        </w:rPr>
        <w:t>共性</w:t>
      </w:r>
      <w:r>
        <w:rPr>
          <w:rFonts w:hint="eastAsia" w:ascii="仿宋_GB2312" w:eastAsia="仿宋_GB2312"/>
        </w:rPr>
        <w:t>）》上进一步完善、量化、细化个性指标，形成本项目的指标体系。</w:t>
      </w:r>
    </w:p>
    <w:p>
      <w:pPr>
        <w:adjustRightInd w:val="0"/>
        <w:snapToGrid w:val="0"/>
        <w:spacing w:before="156" w:beforeLines="50"/>
        <w:ind w:firstLine="630" w:firstLineChars="300"/>
        <w:contextualSpacing/>
        <w:rPr>
          <w:rFonts w:hint="eastAsia" w:eastAsia="仿宋_GB2312"/>
          <w:sz w:val="32"/>
          <w:lang w:eastAsia="zh-CN"/>
        </w:rPr>
      </w:pPr>
      <w:r>
        <w:rPr>
          <w:rFonts w:hint="eastAsia" w:ascii="仿宋_GB2312" w:eastAsia="仿宋_GB2312"/>
          <w:lang w:val="en-US" w:eastAsia="zh-CN"/>
        </w:rPr>
        <w:t>2、</w:t>
      </w:r>
      <w:r>
        <w:rPr>
          <w:rFonts w:hint="eastAsia" w:ascii="仿宋_GB2312" w:eastAsia="仿宋_GB2312"/>
          <w:lang w:eastAsia="zh-CN"/>
        </w:rPr>
        <w:t>一个一级项目一张表。</w:t>
      </w:r>
    </w:p>
    <w:p/>
    <w:p>
      <w:pPr>
        <w:pStyle w:val="2"/>
        <w:rPr>
          <w:rFonts w:hint="eastAsia"/>
          <w:lang w:val="en-US" w:eastAsia="zh-CN"/>
        </w:rPr>
        <w:sectPr>
          <w:footerReference r:id="rId3" w:type="default"/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spacing w:line="240" w:lineRule="auto"/>
        <w:ind w:firstLine="0" w:firstLineChars="0"/>
        <w:jc w:val="left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>
      <w:pPr>
        <w:widowControl/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000000"/>
          <w:sz w:val="44"/>
          <w:szCs w:val="44"/>
        </w:rPr>
        <w:t>年度项目支出绩效自评表</w:t>
      </w:r>
    </w:p>
    <w:tbl>
      <w:tblPr>
        <w:tblStyle w:val="6"/>
        <w:tblW w:w="985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080"/>
        <w:gridCol w:w="1080"/>
        <w:gridCol w:w="1224"/>
        <w:gridCol w:w="1134"/>
        <w:gridCol w:w="1134"/>
        <w:gridCol w:w="828"/>
        <w:gridCol w:w="873"/>
        <w:gridCol w:w="1418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项目支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出名称</w:t>
            </w:r>
          </w:p>
        </w:tc>
        <w:tc>
          <w:tcPr>
            <w:tcW w:w="8771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农业资源修复与利用（尾水监测）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主管部门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实施单位</w:t>
            </w:r>
          </w:p>
        </w:tc>
        <w:tc>
          <w:tcPr>
            <w:tcW w:w="311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项目资金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br w:type="textWrapping"/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（万元）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预算数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执行数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执行率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sz w:val="20"/>
                <w:szCs w:val="20"/>
              </w:rPr>
              <w:t>得分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年度资金总额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50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其中：当年财政拨款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上年结转资金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2160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 w:firstLine="600" w:firstLineChars="30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其他资金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年度总体目标</w:t>
            </w: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预期目标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实际完成情况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451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全面推进绿色渔业发展，加快实施池塘养殖尾水治理，切实保护和改善生态环境，推进池塘养殖绿色生产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。</w:t>
            </w:r>
          </w:p>
        </w:tc>
        <w:tc>
          <w:tcPr>
            <w:tcW w:w="4253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设立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2个在线监测点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构建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了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实时感知、互联互通、管理分析于一体的尾水监测智能化平台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eastAsia="zh-CN"/>
              </w:rPr>
              <w:t>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一级指标</w:t>
            </w:r>
          </w:p>
        </w:tc>
        <w:tc>
          <w:tcPr>
            <w:tcW w:w="10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二级指标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三级指标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指标值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完成值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分值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得分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偏差原因分析及改进措施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(50分)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数量指标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设立2个在线监测点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质量指标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确保质量</w:t>
            </w: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时效指标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2022年中旬完成项目建设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2022年6月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资金拨付不及时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尾水监测数据实时上传平台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实时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eastAsia="仿宋_GB2312" w:cs="Times New Roman"/>
                <w:color w:val="000000"/>
                <w:sz w:val="20"/>
                <w:szCs w:val="20"/>
                <w:lang w:val="en-US" w:eastAsia="zh-CN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成本指标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尾水监测软件设施及硬件设施、仪器等设备购置最低价审批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最低价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最低价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（30分）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推进池塘养殖绿色生产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取得较好社会效益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促进</w:t>
            </w: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池塘养殖尾水治理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益指标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推进绿色渔业发展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可持续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影响指标</w:t>
            </w:r>
          </w:p>
        </w:tc>
        <w:tc>
          <w:tcPr>
            <w:tcW w:w="122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</w:rPr>
              <w:t>保护和改善生态环境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eastAsia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8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（10分）</w:t>
            </w:r>
          </w:p>
        </w:tc>
        <w:tc>
          <w:tcPr>
            <w:tcW w:w="1080" w:type="dxa"/>
            <w:vMerge w:val="restart"/>
            <w:tcBorders>
              <w:top w:val="nil"/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服务对象满意度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指标</w:t>
            </w: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养殖农户满意度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100%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8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vMerge w:val="continue"/>
            <w:tcBorders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</w:p>
        </w:tc>
        <w:tc>
          <w:tcPr>
            <w:tcW w:w="12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……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732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总分</w:t>
            </w:r>
          </w:p>
        </w:tc>
        <w:tc>
          <w:tcPr>
            <w:tcW w:w="82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87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  <w:r>
              <w:rPr>
                <w:rFonts w:hint="eastAsia" w:eastAsia="仿宋_GB2312" w:cs="Times New Roman"/>
                <w:color w:val="00000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60" w:lineRule="exact"/>
              <w:ind w:left="0" w:right="0"/>
              <w:jc w:val="left"/>
              <w:textAlignment w:val="auto"/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sz w:val="20"/>
                <w:szCs w:val="20"/>
              </w:rPr>
              <w:t>　</w:t>
            </w:r>
          </w:p>
        </w:tc>
      </w:tr>
    </w:tbl>
    <w:p>
      <w:pPr>
        <w:rPr>
          <w:rFonts w:hint="eastAsia" w:ascii="新宋体" w:hAnsi="新宋体" w:eastAsia="新宋体" w:cs="新宋体"/>
          <w:sz w:val="21"/>
          <w:szCs w:val="21"/>
          <w:lang w:eastAsia="zh-CN"/>
        </w:rPr>
      </w:pPr>
      <w:r>
        <w:rPr>
          <w:rFonts w:hint="eastAsia" w:ascii="新宋体" w:hAnsi="新宋体" w:eastAsia="新宋体" w:cs="新宋体"/>
          <w:sz w:val="21"/>
          <w:szCs w:val="21"/>
        </w:rPr>
        <w:t>备注：一个一级项目支出一张表。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如，</w:t>
      </w:r>
      <w:r>
        <w:rPr>
          <w:rFonts w:hint="eastAsia" w:ascii="新宋体" w:hAnsi="新宋体" w:eastAsia="新宋体" w:cs="新宋体"/>
          <w:sz w:val="21"/>
          <w:szCs w:val="21"/>
        </w:rPr>
        <w:t>业务工作经费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</w:rPr>
        <w:t>运行维护经费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，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XX项目</w:t>
      </w:r>
      <w:r>
        <w:rPr>
          <w:rFonts w:hint="eastAsia" w:ascii="新宋体" w:hAnsi="新宋体" w:eastAsia="新宋体" w:cs="新宋体"/>
          <w:sz w:val="21"/>
          <w:szCs w:val="21"/>
          <w:lang w:eastAsia="zh-CN"/>
        </w:rPr>
        <w:t>资金…各一张表。</w:t>
      </w:r>
    </w:p>
    <w:p>
      <w:pPr>
        <w:pStyle w:val="2"/>
        <w:rPr>
          <w:rFonts w:hint="eastAsia"/>
        </w:rPr>
      </w:pPr>
    </w:p>
    <w:p>
      <w:pPr>
        <w:rPr>
          <w:rFonts w:hint="eastAsia"/>
        </w:rPr>
      </w:pPr>
    </w:p>
    <w:p>
      <w:pPr>
        <w:jc w:val="left"/>
        <w:rPr>
          <w:rFonts w:hint="eastAsia" w:ascii="新宋体" w:hAnsi="新宋体" w:eastAsia="新宋体" w:cs="新宋体"/>
          <w:sz w:val="21"/>
          <w:szCs w:val="21"/>
        </w:rPr>
      </w:pPr>
      <w:r>
        <w:rPr>
          <w:rFonts w:hint="eastAsia" w:ascii="新宋体" w:hAnsi="新宋体" w:eastAsia="新宋体" w:cs="新宋体"/>
          <w:sz w:val="21"/>
          <w:szCs w:val="21"/>
        </w:rPr>
        <w:t>填表人：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胡洋   </w:t>
      </w:r>
      <w:r>
        <w:rPr>
          <w:rFonts w:hint="eastAsia" w:ascii="新宋体" w:hAnsi="新宋体" w:eastAsia="新宋体" w:cs="新宋体"/>
          <w:sz w:val="21"/>
          <w:szCs w:val="21"/>
        </w:rPr>
        <w:t>填报日期：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>2023.7.17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 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 </w:t>
      </w:r>
      <w:r>
        <w:rPr>
          <w:rFonts w:hint="eastAsia" w:ascii="新宋体" w:hAnsi="新宋体" w:eastAsia="新宋体" w:cs="新宋体"/>
          <w:sz w:val="21"/>
          <w:szCs w:val="21"/>
        </w:rPr>
        <w:t>联系电话：</w:t>
      </w:r>
      <w:r>
        <w:rPr>
          <w:rFonts w:hint="eastAsia" w:ascii="新宋体" w:hAnsi="新宋体" w:eastAsia="新宋体" w:cs="新宋体"/>
          <w:sz w:val="21"/>
          <w:szCs w:val="21"/>
          <w:lang w:val="en-US" w:eastAsia="zh-CN"/>
        </w:rPr>
        <w:t xml:space="preserve">15084874454  </w:t>
      </w:r>
      <w:r>
        <w:rPr>
          <w:rFonts w:hint="eastAsia" w:ascii="新宋体" w:hAnsi="新宋体" w:eastAsia="新宋体" w:cs="新宋体"/>
          <w:sz w:val="21"/>
          <w:szCs w:val="21"/>
        </w:rPr>
        <w:t xml:space="preserve"> 单位负责人签字：</w:t>
      </w:r>
    </w:p>
    <w:p>
      <w:pPr>
        <w:spacing w:line="240" w:lineRule="auto"/>
        <w:ind w:firstLine="0" w:firstLineChars="0"/>
        <w:jc w:val="left"/>
        <w:outlineLvl w:val="0"/>
        <w:rPr>
          <w:rFonts w:hint="eastAsia" w:ascii="新宋体" w:hAnsi="新宋体" w:eastAsia="新宋体" w:cs="新宋体"/>
          <w:sz w:val="21"/>
          <w:szCs w:val="21"/>
          <w:lang w:val="en-US" w:eastAsia="zh-CN"/>
        </w:rPr>
        <w:sectPr>
          <w:pgSz w:w="11906" w:h="16838"/>
          <w:pgMar w:top="1701" w:right="1417" w:bottom="1417" w:left="1417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0" w:num="1"/>
          <w:rtlGutter w:val="0"/>
          <w:docGrid w:type="lines" w:linePitch="312" w:charSpace="0"/>
        </w:sectPr>
      </w:pPr>
    </w:p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6</w:t>
      </w:r>
    </w:p>
    <w:p>
      <w:pPr>
        <w:jc w:val="center"/>
        <w:rPr>
          <w:rFonts w:hint="default" w:ascii="Times New Roman" w:hAnsi="Times New Roman" w:eastAsia="方正小标宋_GBK" w:cs="Times New Roman"/>
          <w:sz w:val="52"/>
          <w:szCs w:val="52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度华容县畜牧水产事务中心农业资源保护修护与利用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jc w:val="center"/>
        <w:rPr>
          <w:rFonts w:hint="default" w:ascii="Times New Roman" w:hAnsi="Times New Roman" w:eastAsia="方正小标宋_GBK" w:cs="Times New Roman"/>
          <w:b/>
          <w:sz w:val="52"/>
          <w:szCs w:val="5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楷体_GB2312" w:cs="Times New Roman"/>
          <w:b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center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jc w:val="both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600" w:lineRule="exact"/>
        <w:jc w:val="center"/>
        <w:rPr>
          <w:rFonts w:hint="default"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部门（单位）名称：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</w:rPr>
        <w:t>（盖章）</w:t>
      </w:r>
    </w:p>
    <w:p>
      <w:pPr>
        <w:spacing w:line="600" w:lineRule="exact"/>
        <w:jc w:val="center"/>
        <w:rPr>
          <w:rFonts w:hint="default" w:ascii="Times New Roman" w:hAnsi="Times New Roman" w:eastAsia="楷体_GB2312" w:cs="Times New Roman"/>
          <w:sz w:val="32"/>
          <w:szCs w:val="32"/>
        </w:rPr>
      </w:pPr>
      <w:r>
        <w:rPr>
          <w:rFonts w:hint="eastAsia" w:eastAsia="楷体_GB2312" w:cs="Times New Roman"/>
          <w:sz w:val="32"/>
          <w:szCs w:val="32"/>
          <w:lang w:val="en-US" w:eastAsia="zh-CN"/>
        </w:rPr>
        <w:t>2023</w:t>
      </w:r>
      <w:r>
        <w:rPr>
          <w:rFonts w:hint="default" w:ascii="Times New Roman" w:hAnsi="Times New Roman" w:eastAsia="楷体_GB2312" w:cs="Times New Roman"/>
          <w:sz w:val="32"/>
          <w:szCs w:val="32"/>
        </w:rPr>
        <w:t>年</w:t>
      </w:r>
      <w:r>
        <w:rPr>
          <w:rFonts w:hint="eastAsia" w:eastAsia="楷体_GB2312" w:cs="Times New Roman"/>
          <w:sz w:val="32"/>
          <w:szCs w:val="32"/>
          <w:lang w:val="en-US" w:eastAsia="zh-CN"/>
        </w:rPr>
        <w:t>7月17</w:t>
      </w:r>
      <w:r>
        <w:rPr>
          <w:rFonts w:hint="default" w:ascii="Times New Roman" w:hAnsi="Times New Roman" w:eastAsia="楷体_GB2312" w:cs="Times New Roman"/>
          <w:sz w:val="32"/>
          <w:szCs w:val="32"/>
        </w:rPr>
        <w:t>日</w:t>
      </w:r>
    </w:p>
    <w:p>
      <w:pPr>
        <w:jc w:val="center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（此页为封面）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br w:type="page"/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年度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华容县畜牧水产事务中心农业资源保护修护与利用项目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支出绩效自评报告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一、基本情况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(一)项目概况。</w:t>
      </w:r>
    </w:p>
    <w:p>
      <w:pPr>
        <w:pStyle w:val="2"/>
        <w:ind w:firstLine="900" w:firstLineChars="300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eastAsia="仿宋_GB2312"/>
          <w:sz w:val="30"/>
          <w:szCs w:val="30"/>
        </w:rPr>
        <w:t>项目背景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sz w:val="32"/>
          <w:szCs w:val="32"/>
        </w:rPr>
        <w:t>为全面推进绿色渔业发展，加快实施池塘养殖尾水治理，切实保护和改善生态环境，推进池塘养殖绿色生产，依据洞庭湖区域池塘水产养殖的功能定位和发展规划，根据《湖南省财政厅关于下达20</w:t>
      </w:r>
      <w:r>
        <w:rPr>
          <w:rFonts w:ascii="仿宋" w:hAnsi="仿宋" w:eastAsia="仿宋" w:cs="仿宋"/>
          <w:sz w:val="32"/>
          <w:szCs w:val="32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年农业资源与安全利用资金的通知》(湘财农指【20</w:t>
      </w:r>
      <w:r>
        <w:rPr>
          <w:rFonts w:ascii="仿宋" w:hAnsi="仿宋" w:eastAsia="仿宋" w:cs="仿宋"/>
          <w:sz w:val="32"/>
          <w:szCs w:val="32"/>
        </w:rPr>
        <w:t>21</w:t>
      </w:r>
      <w:r>
        <w:rPr>
          <w:rFonts w:hint="eastAsia" w:ascii="仿宋" w:hAnsi="仿宋" w:eastAsia="仿宋" w:cs="仿宋"/>
          <w:sz w:val="32"/>
          <w:szCs w:val="32"/>
        </w:rPr>
        <w:t>】5</w:t>
      </w:r>
      <w:r>
        <w:rPr>
          <w:rFonts w:ascii="仿宋" w:hAnsi="仿宋" w:eastAsia="仿宋" w:cs="仿宋"/>
          <w:sz w:val="32"/>
          <w:szCs w:val="32"/>
        </w:rPr>
        <w:t>7</w:t>
      </w:r>
      <w:r>
        <w:rPr>
          <w:rFonts w:hint="eastAsia" w:ascii="仿宋" w:hAnsi="仿宋" w:eastAsia="仿宋" w:cs="仿宋"/>
          <w:sz w:val="32"/>
          <w:szCs w:val="32"/>
        </w:rPr>
        <w:t>号)相关规定，我县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开展</w:t>
      </w:r>
      <w:r>
        <w:rPr>
          <w:rFonts w:hint="eastAsia" w:ascii="仿宋" w:hAnsi="仿宋" w:eastAsia="仿宋" w:cs="仿宋"/>
          <w:sz w:val="32"/>
          <w:szCs w:val="32"/>
        </w:rPr>
        <w:t>池塘养殖尾水监测任务。</w:t>
      </w:r>
    </w:p>
    <w:p>
      <w:pPr>
        <w:pStyle w:val="2"/>
        <w:ind w:firstLine="600" w:firstLineChars="200"/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</w:pPr>
      <w:r>
        <w:rPr>
          <w:rFonts w:hint="eastAsia" w:eastAsia="仿宋_GB2312"/>
          <w:sz w:val="30"/>
          <w:szCs w:val="30"/>
        </w:rPr>
        <w:t>主要内容及实施情况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ascii="仿宋" w:hAnsi="仿宋" w:eastAsia="仿宋" w:cs="仿宋"/>
          <w:kern w:val="2"/>
          <w:sz w:val="32"/>
          <w:szCs w:val="32"/>
          <w:lang w:val="en-US" w:eastAsia="zh-CN" w:bidi="ar-SA"/>
        </w:rPr>
        <w:t>我县设立2个在线监测点（东湖渔业有限责任公司、隆庆莲场有限责任公司）。充分利用现代智能化仪器设备和信息技术，建设尾水设备管理、尾水实时显示、尾水数据记录、尾水异常预警、尾水分析统计、尾水GIS地图展示、尾水监管调度等模块，构建实时感知、互联互通、管理分析于一体的尾水监测智能化平台。</w:t>
      </w:r>
      <w:r>
        <w:rPr>
          <w:rFonts w:hint="eastAsia" w:ascii="仿宋" w:hAnsi="仿宋" w:eastAsia="仿宋" w:cs="仿宋"/>
          <w:sz w:val="32"/>
          <w:szCs w:val="32"/>
        </w:rPr>
        <w:t>我县加强尾水监测平台的管理维护，明确专人负责，确保实时监测不间断、不掉线。尾水监测数据由省、市、县农业农村主管部门共享，内部掌握，未经批准不得对外发布。</w:t>
      </w:r>
    </w:p>
    <w:p>
      <w:pPr>
        <w:ind w:firstLine="450" w:firstLineChars="150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资金投入和使用情况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 xml:space="preserve">尾水监测软件设施及硬件设施、仪器设备购置39万元；尾水监测日常工作及维护经费11万元； 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项目绩效目标。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  <w:lang w:eastAsia="zh-CN"/>
        </w:rPr>
      </w:pPr>
      <w:r>
        <w:rPr>
          <w:rFonts w:hint="eastAsia" w:eastAsia="仿宋_GB2312"/>
          <w:sz w:val="30"/>
          <w:szCs w:val="30"/>
        </w:rPr>
        <w:t>全面推进绿色渔业发展，加快实施池塘养殖尾水治理，切实保护和改善生态环境，推进池塘养殖绿色生产</w:t>
      </w:r>
      <w:r>
        <w:rPr>
          <w:rFonts w:hint="eastAsia" w:eastAsia="仿宋_GB2312"/>
          <w:sz w:val="30"/>
          <w:szCs w:val="30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二、绩效评价工作开展情况</w:t>
      </w:r>
    </w:p>
    <w:p>
      <w:pPr>
        <w:ind w:left="-357" w:leftChars="-170" w:right="-512" w:rightChars="-244" w:firstLine="961" w:firstLineChars="319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b/>
          <w:bCs/>
          <w:sz w:val="30"/>
          <w:szCs w:val="30"/>
        </w:rPr>
        <w:t>(一)</w:t>
      </w:r>
      <w:r>
        <w:rPr>
          <w:rFonts w:hint="eastAsia" w:ascii="楷体_GB2312" w:eastAsia="楷体_GB2312"/>
          <w:b/>
          <w:bCs/>
          <w:sz w:val="30"/>
          <w:szCs w:val="30"/>
        </w:rPr>
        <w:t>绩效评价目的</w:t>
      </w:r>
      <w:r>
        <w:rPr>
          <w:rFonts w:hint="eastAsia" w:ascii="楷体_GB2312" w:eastAsia="楷体_GB2312"/>
          <w:b/>
          <w:bCs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对资金使用的实际产出和效益进行评价，以改进预算决策和管理水平，强化资金使用效益意识，提升资金管理水平。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b/>
          <w:bCs/>
          <w:sz w:val="30"/>
          <w:szCs w:val="30"/>
        </w:rPr>
        <w:t>(二)绩效评价原则</w:t>
      </w:r>
      <w:r>
        <w:rPr>
          <w:rFonts w:hint="eastAsia" w:eastAsia="仿宋_GB2312"/>
          <w:b/>
          <w:bCs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绩效评价遵循科学规范、公开公正、分级分类、绩效相关的原则。</w:t>
      </w:r>
    </w:p>
    <w:p>
      <w:pPr>
        <w:ind w:left="-357" w:leftChars="-170" w:right="-512" w:rightChars="-244" w:firstLine="1262" w:firstLineChars="419"/>
        <w:rPr>
          <w:rFonts w:hint="eastAsia" w:eastAsia="仿宋_GB2312"/>
          <w:sz w:val="30"/>
          <w:szCs w:val="30"/>
          <w:lang w:val="en-US" w:eastAsia="zh-CN"/>
        </w:rPr>
      </w:pPr>
      <w:r>
        <w:rPr>
          <w:rFonts w:hint="eastAsia" w:eastAsia="仿宋_GB2312"/>
          <w:b/>
          <w:bCs/>
          <w:sz w:val="30"/>
          <w:szCs w:val="30"/>
        </w:rPr>
        <w:t>评价指标体系</w:t>
      </w:r>
      <w:r>
        <w:rPr>
          <w:rFonts w:hint="eastAsia" w:eastAsia="仿宋_GB2312"/>
          <w:b/>
          <w:bCs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县级项目评价指标分为3级，包括</w:t>
      </w:r>
      <w:r>
        <w:rPr>
          <w:rFonts w:hint="eastAsia" w:eastAsia="仿宋_GB2312"/>
          <w:sz w:val="30"/>
          <w:szCs w:val="30"/>
          <w:lang w:val="en-US" w:eastAsia="zh-CN"/>
        </w:rPr>
        <w:t>3</w:t>
      </w:r>
      <w:r>
        <w:rPr>
          <w:rFonts w:hint="eastAsia" w:eastAsia="仿宋_GB2312"/>
          <w:sz w:val="30"/>
          <w:szCs w:val="30"/>
        </w:rPr>
        <w:t>项一级指标、</w:t>
      </w:r>
      <w:r>
        <w:rPr>
          <w:rFonts w:hint="eastAsia" w:eastAsia="仿宋_GB2312"/>
          <w:sz w:val="30"/>
          <w:szCs w:val="30"/>
          <w:lang w:val="en-US" w:eastAsia="zh-CN"/>
        </w:rPr>
        <w:t>9</w:t>
      </w:r>
      <w:r>
        <w:rPr>
          <w:rFonts w:hint="eastAsia" w:eastAsia="仿宋_GB2312"/>
          <w:sz w:val="30"/>
          <w:szCs w:val="30"/>
        </w:rPr>
        <w:t>项二级指标、</w:t>
      </w:r>
      <w:r>
        <w:rPr>
          <w:rFonts w:hint="eastAsia" w:eastAsia="仿宋_GB2312"/>
          <w:sz w:val="30"/>
          <w:szCs w:val="30"/>
          <w:lang w:val="en-US" w:eastAsia="zh-CN"/>
        </w:rPr>
        <w:t>11</w:t>
      </w:r>
      <w:r>
        <w:rPr>
          <w:rFonts w:hint="eastAsia" w:eastAsia="仿宋_GB2312"/>
          <w:sz w:val="30"/>
          <w:szCs w:val="30"/>
        </w:rPr>
        <w:t>项三级指标，详见附件</w:t>
      </w:r>
      <w:r>
        <w:rPr>
          <w:rFonts w:hint="eastAsia" w:eastAsia="仿宋_GB2312"/>
          <w:sz w:val="30"/>
          <w:szCs w:val="30"/>
          <w:lang w:val="en-US" w:eastAsia="zh-CN"/>
        </w:rPr>
        <w:t>5</w:t>
      </w:r>
    </w:p>
    <w:p>
      <w:pPr>
        <w:ind w:left="-357" w:leftChars="-170" w:right="-512" w:rightChars="-244" w:firstLine="1262" w:firstLineChars="419"/>
        <w:rPr>
          <w:rFonts w:hint="eastAsia" w:eastAsia="仿宋_GB2312"/>
          <w:sz w:val="30"/>
          <w:szCs w:val="30"/>
        </w:rPr>
      </w:pPr>
      <w:r>
        <w:rPr>
          <w:rFonts w:hint="eastAsia" w:ascii="楷体_GB2312" w:eastAsia="楷体_GB2312"/>
          <w:b/>
          <w:bCs/>
          <w:sz w:val="30"/>
          <w:szCs w:val="30"/>
        </w:rPr>
        <w:t>评价方法：</w:t>
      </w:r>
      <w:r>
        <w:rPr>
          <w:rFonts w:hint="eastAsia" w:eastAsia="仿宋_GB2312"/>
          <w:sz w:val="30"/>
          <w:szCs w:val="30"/>
        </w:rPr>
        <w:t>采取定量指标与定性指标相结合，以定量为主、定性为辅的方式开展评价工作。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2" w:firstLineChars="200"/>
        <w:textAlignment w:val="auto"/>
        <w:rPr>
          <w:rFonts w:hint="eastAsia" w:eastAsia="仿宋_GB2312"/>
          <w:b/>
          <w:bCs/>
          <w:sz w:val="30"/>
          <w:szCs w:val="30"/>
        </w:rPr>
      </w:pPr>
      <w:r>
        <w:rPr>
          <w:rFonts w:hint="eastAsia" w:eastAsia="仿宋_GB2312"/>
          <w:b/>
          <w:bCs/>
          <w:sz w:val="30"/>
          <w:szCs w:val="30"/>
        </w:rPr>
        <w:t>(三)绩效评价工作过程。</w:t>
      </w:r>
    </w:p>
    <w:p>
      <w:pPr>
        <w:ind w:left="-357" w:leftChars="-170" w:right="-512" w:rightChars="-244" w:firstLine="1257" w:firstLineChars="419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1.前期准备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为确保项目绩效评价自评工作顺利完成，</w:t>
      </w:r>
      <w:r>
        <w:rPr>
          <w:rFonts w:hint="eastAsia" w:eastAsia="仿宋_GB2312"/>
          <w:sz w:val="30"/>
          <w:szCs w:val="30"/>
          <w:lang w:val="en-US" w:eastAsia="zh-CN"/>
        </w:rPr>
        <w:t>县畜牧水产事务中心</w:t>
      </w:r>
      <w:r>
        <w:rPr>
          <w:rFonts w:hint="eastAsia" w:eastAsia="仿宋_GB2312"/>
          <w:sz w:val="30"/>
          <w:szCs w:val="30"/>
        </w:rPr>
        <w:t>召开专题会议，部署20</w:t>
      </w:r>
      <w:r>
        <w:rPr>
          <w:rFonts w:hint="eastAsia" w:eastAsia="仿宋_GB2312"/>
          <w:sz w:val="30"/>
          <w:szCs w:val="30"/>
          <w:lang w:val="en-US" w:eastAsia="zh-CN"/>
        </w:rPr>
        <w:t>22</w:t>
      </w:r>
      <w:r>
        <w:rPr>
          <w:rFonts w:hint="eastAsia" w:eastAsia="仿宋_GB2312"/>
          <w:sz w:val="30"/>
          <w:szCs w:val="30"/>
        </w:rPr>
        <w:t>年度畜牧水产发展专项资金绩效评价工作。明确工作重点和任务要求，有序组织开展了全县20</w:t>
      </w:r>
      <w:r>
        <w:rPr>
          <w:rFonts w:hint="eastAsia" w:eastAsia="仿宋_GB2312"/>
          <w:sz w:val="30"/>
          <w:szCs w:val="30"/>
          <w:lang w:val="en-US" w:eastAsia="zh-CN"/>
        </w:rPr>
        <w:t>22</w:t>
      </w:r>
      <w:r>
        <w:rPr>
          <w:rFonts w:hint="eastAsia" w:eastAsia="仿宋_GB2312"/>
          <w:sz w:val="30"/>
          <w:szCs w:val="30"/>
        </w:rPr>
        <w:t>年省财政</w:t>
      </w:r>
      <w:r>
        <w:rPr>
          <w:rFonts w:hint="eastAsia" w:eastAsia="仿宋_GB2312"/>
          <w:sz w:val="30"/>
          <w:szCs w:val="30"/>
          <w:lang w:val="en-US" w:eastAsia="zh-CN"/>
        </w:rPr>
        <w:t>农业资源保护修护与利用项目</w:t>
      </w:r>
      <w:r>
        <w:rPr>
          <w:rFonts w:hint="eastAsia" w:eastAsia="仿宋_GB2312"/>
          <w:sz w:val="30"/>
          <w:szCs w:val="30"/>
        </w:rPr>
        <w:t>资金的绩效评价自评工作。</w:t>
      </w:r>
    </w:p>
    <w:p>
      <w:pPr>
        <w:ind w:left="-357" w:leftChars="-170" w:right="-512" w:rightChars="-244" w:firstLine="1257" w:firstLineChars="419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2.组织实施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县</w:t>
      </w:r>
      <w:r>
        <w:rPr>
          <w:rFonts w:hint="eastAsia" w:eastAsia="仿宋_GB2312"/>
          <w:sz w:val="30"/>
          <w:szCs w:val="30"/>
          <w:lang w:val="en-US" w:eastAsia="zh-CN"/>
        </w:rPr>
        <w:t>畜牧水产事务中心</w:t>
      </w:r>
      <w:r>
        <w:rPr>
          <w:rFonts w:hint="eastAsia" w:eastAsia="仿宋_GB2312"/>
          <w:sz w:val="30"/>
          <w:szCs w:val="30"/>
        </w:rPr>
        <w:t>抽调相关业务部门工作人员组成工作组开展绩效评价工作，评价工作组对上报的相关材料进行审查、复核和测评，并按照评价标准和规范，对各项指标进行计算和打分，并撰写评价报告。</w:t>
      </w:r>
    </w:p>
    <w:p>
      <w:pPr>
        <w:ind w:left="-357" w:leftChars="-170" w:right="-512" w:rightChars="-244" w:firstLine="1257" w:firstLineChars="419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3.分析评价</w:t>
      </w:r>
      <w:r>
        <w:rPr>
          <w:rFonts w:hint="eastAsia" w:eastAsia="仿宋_GB2312"/>
          <w:sz w:val="30"/>
          <w:szCs w:val="30"/>
          <w:lang w:eastAsia="zh-CN"/>
        </w:rPr>
        <w:t>：</w:t>
      </w:r>
      <w:r>
        <w:rPr>
          <w:rFonts w:hint="eastAsia" w:eastAsia="仿宋_GB2312"/>
          <w:sz w:val="30"/>
          <w:szCs w:val="30"/>
        </w:rPr>
        <w:t>评价小组根据有关规定，对全县20</w:t>
      </w:r>
      <w:r>
        <w:rPr>
          <w:rFonts w:hint="eastAsia" w:eastAsia="仿宋_GB2312"/>
          <w:sz w:val="30"/>
          <w:szCs w:val="30"/>
          <w:lang w:val="en-US" w:eastAsia="zh-CN"/>
        </w:rPr>
        <w:t>22</w:t>
      </w:r>
      <w:r>
        <w:rPr>
          <w:rFonts w:hint="eastAsia" w:eastAsia="仿宋_GB2312"/>
          <w:sz w:val="30"/>
          <w:szCs w:val="30"/>
        </w:rPr>
        <w:t>年省财政</w:t>
      </w:r>
      <w:r>
        <w:rPr>
          <w:rFonts w:hint="eastAsia" w:eastAsia="仿宋_GB2312"/>
          <w:sz w:val="30"/>
          <w:szCs w:val="30"/>
          <w:lang w:val="en-US" w:eastAsia="zh-CN"/>
        </w:rPr>
        <w:t>农业资源保护修护与利用项目</w:t>
      </w:r>
      <w:r>
        <w:rPr>
          <w:rFonts w:hint="eastAsia" w:eastAsia="仿宋_GB2312"/>
          <w:sz w:val="30"/>
          <w:szCs w:val="30"/>
        </w:rPr>
        <w:t>财政支出绩效评分表进行自评。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 xml:space="preserve">三、综合评价情况及评价结论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eastAsia="仿宋_GB2312"/>
          <w:sz w:val="30"/>
          <w:szCs w:val="30"/>
        </w:rPr>
      </w:pPr>
      <w:r>
        <w:rPr>
          <w:rFonts w:hint="eastAsia" w:eastAsia="仿宋_GB2312"/>
          <w:sz w:val="30"/>
          <w:szCs w:val="30"/>
        </w:rPr>
        <w:t>县</w:t>
      </w:r>
      <w:r>
        <w:rPr>
          <w:rFonts w:hint="eastAsia" w:eastAsia="仿宋_GB2312"/>
          <w:sz w:val="30"/>
          <w:szCs w:val="30"/>
          <w:lang w:val="en-US" w:eastAsia="zh-CN"/>
        </w:rPr>
        <w:t>畜牧水产事务中心</w:t>
      </w:r>
      <w:r>
        <w:rPr>
          <w:rFonts w:hint="eastAsia" w:eastAsia="仿宋_GB2312"/>
          <w:sz w:val="30"/>
          <w:szCs w:val="30"/>
        </w:rPr>
        <w:t>按项目计划的要求支出专项资金，将专项资金及时并有效的用于</w:t>
      </w:r>
      <w:r>
        <w:rPr>
          <w:rFonts w:hint="eastAsia" w:eastAsia="仿宋_GB2312"/>
          <w:sz w:val="30"/>
          <w:szCs w:val="30"/>
          <w:lang w:val="en-US" w:eastAsia="zh-CN"/>
        </w:rPr>
        <w:t>农业资源保护修护与利用</w:t>
      </w:r>
      <w:r>
        <w:rPr>
          <w:rFonts w:hint="eastAsia" w:eastAsia="仿宋_GB2312"/>
          <w:sz w:val="30"/>
          <w:szCs w:val="30"/>
        </w:rPr>
        <w:t>，并严格按项目计划拨付、使用资金，严格按项目申请、批复内容及程序执行，未挤占、截留、挪用专项资金，做到专款专用，审批程序规范，较好的完成了计划目标。经评价小组综合分析，绩效评价自评得分为9</w:t>
      </w:r>
      <w:r>
        <w:rPr>
          <w:rFonts w:hint="eastAsia" w:eastAsia="仿宋_GB2312"/>
          <w:sz w:val="30"/>
          <w:szCs w:val="30"/>
          <w:lang w:val="en-US" w:eastAsia="zh-CN"/>
        </w:rPr>
        <w:t>8</w:t>
      </w:r>
      <w:r>
        <w:rPr>
          <w:rFonts w:hint="eastAsia" w:eastAsia="仿宋_GB2312"/>
          <w:sz w:val="30"/>
          <w:szCs w:val="30"/>
        </w:rPr>
        <w:t>分，评价结果为优。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四、绩效评价指标分析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/>
        </w:rPr>
      </w:pPr>
      <w:r>
        <w:rPr>
          <w:rFonts w:hint="eastAsia" w:eastAsia="仿宋_GB2312"/>
          <w:sz w:val="30"/>
          <w:szCs w:val="30"/>
          <w:lang w:val="en-US" w:eastAsia="zh-CN"/>
        </w:rPr>
        <w:t>农业资源保护修护与利用项目</w:t>
      </w:r>
      <w:r>
        <w:rPr>
          <w:rFonts w:hint="eastAsia" w:eastAsia="仿宋_GB2312"/>
          <w:sz w:val="30"/>
          <w:szCs w:val="30"/>
        </w:rPr>
        <w:t>执行落实、验收建档率均为100%。对</w:t>
      </w:r>
      <w:r>
        <w:rPr>
          <w:rFonts w:hint="eastAsia" w:eastAsia="仿宋_GB2312"/>
          <w:sz w:val="30"/>
          <w:szCs w:val="30"/>
        </w:rPr>
        <w:t>全面推进绿色渔业发展</w:t>
      </w:r>
      <w:r>
        <w:rPr>
          <w:rFonts w:hint="eastAsia" w:eastAsia="仿宋_GB2312"/>
          <w:sz w:val="30"/>
          <w:szCs w:val="30"/>
          <w:lang w:eastAsia="zh-CN"/>
        </w:rPr>
        <w:t>、</w:t>
      </w:r>
      <w:r>
        <w:rPr>
          <w:rFonts w:hint="eastAsia" w:eastAsia="仿宋_GB2312"/>
          <w:sz w:val="30"/>
          <w:szCs w:val="30"/>
        </w:rPr>
        <w:t>加快实施池塘养殖尾水治理</w:t>
      </w:r>
      <w:r>
        <w:rPr>
          <w:rFonts w:hint="eastAsia" w:eastAsia="仿宋_GB2312"/>
          <w:sz w:val="30"/>
          <w:szCs w:val="30"/>
          <w:lang w:eastAsia="zh-CN"/>
        </w:rPr>
        <w:t>、</w:t>
      </w:r>
      <w:r>
        <w:rPr>
          <w:rFonts w:hint="eastAsia" w:eastAsia="仿宋_GB2312"/>
          <w:sz w:val="30"/>
          <w:szCs w:val="30"/>
        </w:rPr>
        <w:t>切实保护和改善生态环境</w:t>
      </w:r>
      <w:r>
        <w:rPr>
          <w:rFonts w:hint="eastAsia" w:eastAsia="仿宋_GB2312"/>
          <w:sz w:val="30"/>
          <w:szCs w:val="30"/>
          <w:lang w:eastAsia="zh-CN"/>
        </w:rPr>
        <w:t>、</w:t>
      </w:r>
      <w:r>
        <w:rPr>
          <w:rFonts w:hint="eastAsia" w:eastAsia="仿宋_GB2312"/>
          <w:sz w:val="30"/>
          <w:szCs w:val="30"/>
        </w:rPr>
        <w:t>推进池塘养殖绿色生产起到了很大的推动作用。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五、主要经验及做法、存在的问题及原因分析</w:t>
      </w:r>
    </w:p>
    <w:p>
      <w:pPr>
        <w:pStyle w:val="2"/>
        <w:ind w:firstLine="1200" w:firstLineChars="400"/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无</w:t>
      </w:r>
    </w:p>
    <w:p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10" w:lineRule="exact"/>
        <w:ind w:firstLine="600" w:firstLineChars="200"/>
        <w:jc w:val="both"/>
        <w:textAlignment w:val="auto"/>
        <w:rPr>
          <w:rFonts w:hint="eastAsia" w:ascii="黑体" w:hAnsi="黑体" w:eastAsia="黑体" w:cs="黑体"/>
          <w:sz w:val="30"/>
          <w:szCs w:val="30"/>
        </w:rPr>
      </w:pPr>
      <w:r>
        <w:rPr>
          <w:rFonts w:hint="eastAsia" w:ascii="黑体" w:hAnsi="黑体" w:eastAsia="黑体" w:cs="黑体"/>
          <w:sz w:val="30"/>
          <w:szCs w:val="30"/>
        </w:rPr>
        <w:t>其他需要说明的问题</w:t>
      </w:r>
    </w:p>
    <w:p>
      <w:pPr>
        <w:pStyle w:val="2"/>
        <w:ind w:firstLine="1200" w:firstLineChars="400"/>
        <w:rPr>
          <w:rFonts w:hint="eastAsia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0"/>
          <w:szCs w:val="30"/>
          <w:lang w:val="en-US" w:eastAsia="zh-CN" w:bidi="ar-SA"/>
        </w:rPr>
        <w:t>无</w:t>
      </w:r>
    </w:p>
    <w:sectPr>
      <w:pgSz w:w="11906" w:h="16838"/>
      <w:pgMar w:top="1984" w:right="1701" w:bottom="1984" w:left="170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9296F3F3-F2BB-40E9-8AC0-26C10C2A91DC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A6C30432-E073-4899-8E91-90155C78217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3E0EEF1A-D943-4214-AED7-D324DE1FAB1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4" w:fontKey="{1822003C-35FA-43FE-99F8-F3EDA70F6003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5D8136E5-FEA5-4C65-BAA6-04A3BDFF3AD7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6" w:fontKey="{2DFB9D96-F2BE-4CA8-B0BE-46F74266DE9A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7" w:fontKey="{DFE15ADA-91E8-4D26-A29A-9730BC97E8D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58F103B0-C5F0-4439-B11F-AFBB7736441C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9" w:fontKey="{35DDECD9-79E8-4FBC-A9A4-598CC7E1DF07}"/>
  </w:font>
  <w:font w:name="华文楷体">
    <w:altName w:val="楷体_GB2312"/>
    <w:panose1 w:val="00000000000000000000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仿宋_GB2312"/>
    <w:panose1 w:val="02010601030101010101"/>
    <w:charset w:val="86"/>
    <w:family w:val="auto"/>
    <w:pitch w:val="default"/>
    <w:sig w:usb0="00000000" w:usb1="00000000" w:usb2="00000000" w:usb3="00000000" w:csb0="00040000" w:csb1="00000000"/>
    <w:embedRegular r:id="rId10" w:fontKey="{ED704D90-CEEF-4417-8FFD-EBA2687CBA67}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1" w:fontKey="{55631963-FDD6-42B8-B9C8-BC3320A572E3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2" w:fontKey="{DD1DB000-2325-4FCA-9733-C8C64E96B9E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  <w:rPr>
        <w:rFonts w:ascii="仿宋_GB2312" w:eastAsia="仿宋_GB2312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4"/>
                            <w:jc w:val="right"/>
                          </w:pP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  <w:lang w:val="zh-CN"/>
                            </w:rPr>
                            <w:t>1</w:t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仿宋_GB2312" w:eastAsia="仿宋_GB2312"/>
                              <w:sz w:val="28"/>
                              <w:szCs w:val="28"/>
                            </w:rPr>
                            <w:t>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mMenDD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right"/>
                    </w:pP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instrText xml:space="preserve"> PAGE   \* MERGEFORMAT </w:instrTex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  <w:lang w:val="zh-CN"/>
                      </w:rPr>
                      <w:t>1</w:t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仿宋_GB2312" w:eastAsia="仿宋_GB2312"/>
                        <w:sz w:val="28"/>
                        <w:szCs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A8489B"/>
    <w:multiLevelType w:val="singleLevel"/>
    <w:tmpl w:val="B2A8489B"/>
    <w:lvl w:ilvl="0" w:tentative="0">
      <w:start w:val="6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22350EC5"/>
    <w:multiLevelType w:val="singleLevel"/>
    <w:tmpl w:val="22350EC5"/>
    <w:lvl w:ilvl="0" w:tentative="0">
      <w:start w:val="2"/>
      <w:numFmt w:val="chineseCounting"/>
      <w:lvlText w:val="(%1)"/>
      <w:lvlJc w:val="left"/>
      <w:pPr>
        <w:tabs>
          <w:tab w:val="left" w:pos="312"/>
        </w:tabs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9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Y0ZTQ3MDNjMTMxNzc3OWIzOTBkNjFjOTQ3M2MwMjEifQ=="/>
  </w:docVars>
  <w:rsids>
    <w:rsidRoot w:val="0CCB7736"/>
    <w:rsid w:val="00047FEF"/>
    <w:rsid w:val="000A3906"/>
    <w:rsid w:val="001776F1"/>
    <w:rsid w:val="006F0A16"/>
    <w:rsid w:val="00773328"/>
    <w:rsid w:val="00821883"/>
    <w:rsid w:val="00917857"/>
    <w:rsid w:val="00A755C2"/>
    <w:rsid w:val="016A347B"/>
    <w:rsid w:val="028634C8"/>
    <w:rsid w:val="02B50488"/>
    <w:rsid w:val="0338470A"/>
    <w:rsid w:val="034822A9"/>
    <w:rsid w:val="03D86621"/>
    <w:rsid w:val="04EE6171"/>
    <w:rsid w:val="05395EA9"/>
    <w:rsid w:val="0ABD557B"/>
    <w:rsid w:val="0BBB5A8D"/>
    <w:rsid w:val="0C104906"/>
    <w:rsid w:val="0CCB7736"/>
    <w:rsid w:val="0D9E0E8D"/>
    <w:rsid w:val="0EAB7397"/>
    <w:rsid w:val="0EF755B3"/>
    <w:rsid w:val="0F17035E"/>
    <w:rsid w:val="0F4E168D"/>
    <w:rsid w:val="11404466"/>
    <w:rsid w:val="11963ADD"/>
    <w:rsid w:val="11EB0F5C"/>
    <w:rsid w:val="11F20483"/>
    <w:rsid w:val="136F31F8"/>
    <w:rsid w:val="138750E0"/>
    <w:rsid w:val="15A620D3"/>
    <w:rsid w:val="16A3369E"/>
    <w:rsid w:val="178536BD"/>
    <w:rsid w:val="19516372"/>
    <w:rsid w:val="19575CC2"/>
    <w:rsid w:val="19A80228"/>
    <w:rsid w:val="1A101464"/>
    <w:rsid w:val="1AB74849"/>
    <w:rsid w:val="1AC52FF2"/>
    <w:rsid w:val="1AE6175D"/>
    <w:rsid w:val="1B742AA7"/>
    <w:rsid w:val="1CA34935"/>
    <w:rsid w:val="1D5A640E"/>
    <w:rsid w:val="1F176598"/>
    <w:rsid w:val="1F7640EC"/>
    <w:rsid w:val="20D76C5F"/>
    <w:rsid w:val="21057490"/>
    <w:rsid w:val="214A230E"/>
    <w:rsid w:val="21B052C4"/>
    <w:rsid w:val="22FF5445"/>
    <w:rsid w:val="238D0E57"/>
    <w:rsid w:val="24256710"/>
    <w:rsid w:val="251E7983"/>
    <w:rsid w:val="260D5D83"/>
    <w:rsid w:val="284A2254"/>
    <w:rsid w:val="292F1467"/>
    <w:rsid w:val="29786927"/>
    <w:rsid w:val="297B51B4"/>
    <w:rsid w:val="29E40467"/>
    <w:rsid w:val="29F527E2"/>
    <w:rsid w:val="2BF35971"/>
    <w:rsid w:val="2C487650"/>
    <w:rsid w:val="2E4F43C0"/>
    <w:rsid w:val="2EC7368E"/>
    <w:rsid w:val="30FB4B41"/>
    <w:rsid w:val="31621165"/>
    <w:rsid w:val="323C5548"/>
    <w:rsid w:val="37450F88"/>
    <w:rsid w:val="37D6106F"/>
    <w:rsid w:val="38F862EB"/>
    <w:rsid w:val="39343807"/>
    <w:rsid w:val="39887BBC"/>
    <w:rsid w:val="3A53023B"/>
    <w:rsid w:val="3AF42D2D"/>
    <w:rsid w:val="3B3A041F"/>
    <w:rsid w:val="3BAE6BF9"/>
    <w:rsid w:val="3CCA47F2"/>
    <w:rsid w:val="3CDE0708"/>
    <w:rsid w:val="3D5877DF"/>
    <w:rsid w:val="3DC55CAA"/>
    <w:rsid w:val="3DD556CA"/>
    <w:rsid w:val="3F450429"/>
    <w:rsid w:val="40226C80"/>
    <w:rsid w:val="40C451A5"/>
    <w:rsid w:val="4156470B"/>
    <w:rsid w:val="41943ACE"/>
    <w:rsid w:val="425D4066"/>
    <w:rsid w:val="43173FD4"/>
    <w:rsid w:val="44143822"/>
    <w:rsid w:val="44654A12"/>
    <w:rsid w:val="457C5F26"/>
    <w:rsid w:val="49CF255F"/>
    <w:rsid w:val="4B2C5DCD"/>
    <w:rsid w:val="4B7D1173"/>
    <w:rsid w:val="4C150E22"/>
    <w:rsid w:val="4C6A38FC"/>
    <w:rsid w:val="4CE74BC3"/>
    <w:rsid w:val="4CF5000E"/>
    <w:rsid w:val="4DB17672"/>
    <w:rsid w:val="4ED81994"/>
    <w:rsid w:val="50AC44C4"/>
    <w:rsid w:val="50EA6DB9"/>
    <w:rsid w:val="51CA7471"/>
    <w:rsid w:val="521C2FA3"/>
    <w:rsid w:val="522529B2"/>
    <w:rsid w:val="53910AF4"/>
    <w:rsid w:val="555952B3"/>
    <w:rsid w:val="556B5A36"/>
    <w:rsid w:val="55AF40BB"/>
    <w:rsid w:val="56F72F7C"/>
    <w:rsid w:val="586243BF"/>
    <w:rsid w:val="58FD3402"/>
    <w:rsid w:val="5AAF7799"/>
    <w:rsid w:val="5B5C1753"/>
    <w:rsid w:val="5E134100"/>
    <w:rsid w:val="5F7A1C50"/>
    <w:rsid w:val="601C4AB5"/>
    <w:rsid w:val="60BE691E"/>
    <w:rsid w:val="61444403"/>
    <w:rsid w:val="62265BDF"/>
    <w:rsid w:val="62E1699A"/>
    <w:rsid w:val="64147F0D"/>
    <w:rsid w:val="64D66362"/>
    <w:rsid w:val="65860217"/>
    <w:rsid w:val="667E0AA1"/>
    <w:rsid w:val="66A80E51"/>
    <w:rsid w:val="68FB17C3"/>
    <w:rsid w:val="695F12F9"/>
    <w:rsid w:val="69636C3A"/>
    <w:rsid w:val="69CF7B2C"/>
    <w:rsid w:val="6A0B0004"/>
    <w:rsid w:val="6BA1010E"/>
    <w:rsid w:val="6CE47E41"/>
    <w:rsid w:val="6CED5810"/>
    <w:rsid w:val="6CF92413"/>
    <w:rsid w:val="6DFE5E04"/>
    <w:rsid w:val="6E87203D"/>
    <w:rsid w:val="6F9278BB"/>
    <w:rsid w:val="71572F19"/>
    <w:rsid w:val="719B7427"/>
    <w:rsid w:val="724A6793"/>
    <w:rsid w:val="741F26FA"/>
    <w:rsid w:val="74470DF8"/>
    <w:rsid w:val="75FD1676"/>
    <w:rsid w:val="799536BA"/>
    <w:rsid w:val="7B170752"/>
    <w:rsid w:val="7B8F681B"/>
    <w:rsid w:val="7DD96C0E"/>
    <w:rsid w:val="7E474F7B"/>
    <w:rsid w:val="7E8F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nhideWhenUsed="0" w:uiPriority="0" w:semiHidden="0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locked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character" w:default="1" w:styleId="8">
    <w:name w:val="Default Paragraph Font"/>
    <w:semiHidden/>
    <w:qFormat/>
    <w:uiPriority w:val="99"/>
  </w:style>
  <w:style w:type="table" w:default="1" w:styleId="6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eastAsia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1"/>
    <w:qFormat/>
    <w:uiPriority w:val="0"/>
    <w:pPr>
      <w:snapToGrid w:val="0"/>
      <w:jc w:val="left"/>
    </w:pPr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7">
    <w:name w:val="Table Grid"/>
    <w:basedOn w:val="6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page number"/>
    <w:basedOn w:val="8"/>
    <w:qFormat/>
    <w:uiPriority w:val="99"/>
    <w:rPr>
      <w:rFonts w:cs="Times New Roman"/>
    </w:rPr>
  </w:style>
  <w:style w:type="character" w:customStyle="1" w:styleId="10">
    <w:name w:val="Footer Char"/>
    <w:basedOn w:val="8"/>
    <w:link w:val="4"/>
    <w:semiHidden/>
    <w:qFormat/>
    <w:uiPriority w:val="99"/>
    <w:rPr>
      <w:sz w:val="18"/>
      <w:szCs w:val="18"/>
    </w:rPr>
  </w:style>
  <w:style w:type="character" w:customStyle="1" w:styleId="11">
    <w:name w:val="Header Char"/>
    <w:basedOn w:val="8"/>
    <w:link w:val="5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8</Pages>
  <Words>3566</Words>
  <Characters>3789</Characters>
  <Lines>0</Lines>
  <Paragraphs>0</Paragraphs>
  <TotalTime>3</TotalTime>
  <ScaleCrop>false</ScaleCrop>
  <LinksUpToDate>false</LinksUpToDate>
  <CharactersWithSpaces>3943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2020-06-04T01:07:00Z</dcterms:created>
  <dc:creator>Administrator</dc:creator>
  <cp:lastModifiedBy>维生素vivian.</cp:lastModifiedBy>
  <cp:lastPrinted>2023-07-17T08:31:35Z</cp:lastPrinted>
  <dcterms:modified xsi:type="dcterms:W3CDTF">2023-07-17T08:33:45Z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KSOSaveFontToCloudKey">
    <vt:lpwstr>386772509_embed</vt:lpwstr>
  </property>
  <property fmtid="{D5CDD505-2E9C-101B-9397-08002B2CF9AE}" pid="4" name="ICV">
    <vt:lpwstr>9786945466CA4BE99840599383FCFE67_13</vt:lpwstr>
  </property>
</Properties>
</file>