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afterLines="50" w:line="600" w:lineRule="exact"/>
        <w:jc w:val="both"/>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年度部门整体支出绩效评价基础数据表</w:t>
      </w:r>
    </w:p>
    <w:tbl>
      <w:tblPr>
        <w:tblStyle w:val="6"/>
        <w:tblW w:w="4998" w:type="pct"/>
        <w:jc w:val="center"/>
        <w:tblLayout w:type="autofit"/>
        <w:tblCellMar>
          <w:top w:w="0" w:type="dxa"/>
          <w:left w:w="108" w:type="dxa"/>
          <w:bottom w:w="0" w:type="dxa"/>
          <w:right w:w="108" w:type="dxa"/>
        </w:tblCellMar>
      </w:tblPr>
      <w:tblGrid>
        <w:gridCol w:w="3218"/>
        <w:gridCol w:w="1956"/>
        <w:gridCol w:w="2437"/>
        <w:gridCol w:w="1673"/>
      </w:tblGrid>
      <w:tr>
        <w:tblPrEx>
          <w:tblCellMar>
            <w:top w:w="0" w:type="dxa"/>
            <w:left w:w="108" w:type="dxa"/>
            <w:bottom w:w="0" w:type="dxa"/>
            <w:right w:w="108" w:type="dxa"/>
          </w:tblCellMar>
        </w:tblPrEx>
        <w:trPr>
          <w:trHeight w:val="539" w:hRule="atLeast"/>
          <w:jc w:val="center"/>
        </w:trPr>
        <w:tc>
          <w:tcPr>
            <w:tcW w:w="173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财政供养人员情况（人）</w:t>
            </w: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编制数</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年实际在职人数</w:t>
            </w:r>
          </w:p>
        </w:tc>
        <w:tc>
          <w:tcPr>
            <w:tcW w:w="900"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控制率</w:t>
            </w:r>
          </w:p>
        </w:tc>
      </w:tr>
      <w:tr>
        <w:tblPrEx>
          <w:tblCellMar>
            <w:top w:w="0" w:type="dxa"/>
            <w:left w:w="108" w:type="dxa"/>
            <w:bottom w:w="0" w:type="dxa"/>
            <w:right w:w="108" w:type="dxa"/>
          </w:tblCellMar>
        </w:tblPrEx>
        <w:trPr>
          <w:trHeight w:val="539" w:hRule="atLeast"/>
          <w:jc w:val="center"/>
        </w:trPr>
        <w:tc>
          <w:tcPr>
            <w:tcW w:w="173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21</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18</w:t>
            </w:r>
          </w:p>
        </w:tc>
        <w:tc>
          <w:tcPr>
            <w:tcW w:w="900"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85％</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经费控制情况（万元）</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lang w:val="en-US" w:eastAsia="zh-CN"/>
              </w:rPr>
            </w:pPr>
            <w:r>
              <w:rPr>
                <w:rFonts w:hint="eastAsia" w:ascii="新宋体" w:hAnsi="新宋体" w:eastAsia="新宋体" w:cs="新宋体"/>
                <w:b/>
                <w:bCs/>
                <w:sz w:val="21"/>
                <w:szCs w:val="21"/>
                <w:lang w:val="en-US" w:eastAsia="zh-CN"/>
              </w:rPr>
              <w:t>2021年决算数</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年预算数</w:t>
            </w: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年决算数</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一、基本支出：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32.13</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238</w:t>
            </w: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225.75</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其中：</w:t>
            </w:r>
            <w:r>
              <w:rPr>
                <w:rFonts w:hint="eastAsia" w:ascii="新宋体" w:hAnsi="新宋体" w:eastAsia="新宋体" w:cs="新宋体"/>
                <w:sz w:val="21"/>
                <w:szCs w:val="21"/>
              </w:rPr>
              <w:t>三公经费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0.42</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0.49</w:t>
            </w: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0.49</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公务用车购置和维护经费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其中：公车购置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公车运行维护</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出国经费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3</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公务接待</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0.42</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0.5</w:t>
            </w: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0.49</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二、</w:t>
            </w:r>
            <w:r>
              <w:rPr>
                <w:rFonts w:hint="eastAsia" w:ascii="新宋体" w:hAnsi="新宋体" w:eastAsia="新宋体" w:cs="新宋体"/>
                <w:sz w:val="21"/>
                <w:szCs w:val="21"/>
              </w:rPr>
              <w:t>项目支出：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661.00</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455.14</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lang w:eastAsia="zh-CN"/>
              </w:rPr>
              <w:t>县级</w:t>
            </w:r>
            <w:r>
              <w:rPr>
                <w:rFonts w:hint="eastAsia" w:ascii="新宋体" w:hAnsi="新宋体" w:eastAsia="新宋体" w:cs="新宋体"/>
                <w:sz w:val="21"/>
                <w:szCs w:val="21"/>
              </w:rPr>
              <w:t>专项资金</w:t>
            </w:r>
          </w:p>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（一个专项一行）</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.农业专业社会化发展专项项目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630" w:firstLineChars="300"/>
              <w:jc w:val="both"/>
              <w:rPr>
                <w:rFonts w:hint="eastAsia" w:ascii="新宋体" w:hAnsi="新宋体" w:eastAsia="新宋体" w:cs="新宋体"/>
                <w:sz w:val="21"/>
                <w:szCs w:val="21"/>
                <w:lang w:val="en-US" w:eastAsia="zh-CN"/>
              </w:rPr>
            </w:pPr>
          </w:p>
          <w:p>
            <w:pPr>
              <w:keepNext w:val="0"/>
              <w:keepLines w:val="0"/>
              <w:widowControl/>
              <w:suppressLineNumbers w:val="0"/>
              <w:spacing w:before="0" w:beforeAutospacing="0" w:after="0" w:afterAutospacing="0" w:line="360" w:lineRule="exact"/>
              <w:ind w:left="0" w:leftChars="0" w:right="0" w:rightChars="0" w:firstLine="630" w:firstLineChars="300"/>
              <w:jc w:val="both"/>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661.00</w:t>
            </w:r>
          </w:p>
          <w:p>
            <w:pPr>
              <w:pStyle w:val="4"/>
              <w:rPr>
                <w:rFonts w:hint="default"/>
                <w:lang w:val="en-US" w:eastAsia="zh-CN"/>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3.省级家庭农场发展资金</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455.14</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厉行节约保障措施</w:t>
            </w:r>
          </w:p>
        </w:tc>
        <w:tc>
          <w:tcPr>
            <w:tcW w:w="3266" w:type="pct"/>
            <w:gridSpan w:val="3"/>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bl>
    <w:p>
      <w:pPr>
        <w:widowControl/>
        <w:spacing w:afterLines="0" w:line="400" w:lineRule="exact"/>
        <w:jc w:val="left"/>
        <w:rPr>
          <w:rFonts w:hint="eastAsia" w:ascii="新宋体" w:hAnsi="新宋体" w:eastAsia="新宋体" w:cs="新宋体"/>
          <w:sz w:val="21"/>
          <w:szCs w:val="21"/>
          <w:lang w:eastAsia="zh-CN"/>
        </w:rPr>
      </w:pPr>
      <w:r>
        <w:rPr>
          <w:rFonts w:hint="eastAsia" w:ascii="新宋体" w:hAnsi="新宋体" w:eastAsia="新宋体" w:cs="新宋体"/>
          <w:sz w:val="21"/>
          <w:szCs w:val="21"/>
        </w:rPr>
        <w:t>说明：</w:t>
      </w:r>
      <w:r>
        <w:rPr>
          <w:rFonts w:hint="eastAsia" w:ascii="新宋体" w:hAnsi="新宋体" w:eastAsia="新宋体" w:cs="新宋体"/>
          <w:sz w:val="21"/>
          <w:szCs w:val="21"/>
          <w:lang w:eastAsia="zh-CN"/>
        </w:rPr>
        <w:t>以上数据均来源于</w:t>
      </w:r>
      <w:r>
        <w:rPr>
          <w:rFonts w:hint="eastAsia" w:ascii="新宋体" w:hAnsi="新宋体" w:eastAsia="新宋体" w:cs="新宋体"/>
          <w:sz w:val="21"/>
          <w:szCs w:val="21"/>
          <w:lang w:val="en-US" w:eastAsia="zh-CN"/>
        </w:rPr>
        <w:t>部门决算报表，其中</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基本支出</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数据参照基本支出决算明细表（财决</w:t>
      </w:r>
      <w:r>
        <w:rPr>
          <w:rFonts w:hint="eastAsia" w:ascii="新宋体" w:hAnsi="新宋体" w:eastAsia="新宋体" w:cs="新宋体"/>
          <w:sz w:val="21"/>
          <w:szCs w:val="21"/>
          <w:lang w:val="en-US" w:eastAsia="zh-CN"/>
        </w:rPr>
        <w:t>05-1表</w:t>
      </w:r>
      <w:r>
        <w:rPr>
          <w:rFonts w:hint="eastAsia" w:ascii="新宋体" w:hAnsi="新宋体" w:eastAsia="新宋体" w:cs="新宋体"/>
          <w:sz w:val="21"/>
          <w:szCs w:val="21"/>
          <w:lang w:eastAsia="zh-CN"/>
        </w:rPr>
        <w:t>）；“三公经费”数据参照机构运行信息表（财决附</w:t>
      </w:r>
      <w:r>
        <w:rPr>
          <w:rFonts w:hint="eastAsia" w:ascii="新宋体" w:hAnsi="新宋体" w:eastAsia="新宋体" w:cs="新宋体"/>
          <w:sz w:val="21"/>
          <w:szCs w:val="21"/>
          <w:lang w:val="en-US" w:eastAsia="zh-CN"/>
        </w:rPr>
        <w:t>03表</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“项目支出”</w:t>
      </w:r>
      <w:r>
        <w:rPr>
          <w:rFonts w:hint="eastAsia" w:ascii="新宋体" w:hAnsi="新宋体" w:eastAsia="新宋体" w:cs="新宋体"/>
          <w:sz w:val="21"/>
          <w:szCs w:val="21"/>
          <w:lang w:eastAsia="zh-CN"/>
        </w:rPr>
        <w:t>数据参照项目支出决算明细表（财决</w:t>
      </w:r>
      <w:r>
        <w:rPr>
          <w:rFonts w:hint="eastAsia" w:ascii="新宋体" w:hAnsi="新宋体" w:eastAsia="新宋体" w:cs="新宋体"/>
          <w:sz w:val="21"/>
          <w:szCs w:val="21"/>
          <w:lang w:val="en-US" w:eastAsia="zh-CN"/>
        </w:rPr>
        <w:t>05-2表</w:t>
      </w:r>
      <w:r>
        <w:rPr>
          <w:rFonts w:hint="eastAsia" w:ascii="新宋体" w:hAnsi="新宋体" w:eastAsia="新宋体" w:cs="新宋体"/>
          <w:sz w:val="21"/>
          <w:szCs w:val="21"/>
          <w:lang w:eastAsia="zh-CN"/>
        </w:rPr>
        <w:t>）。</w:t>
      </w:r>
    </w:p>
    <w:p>
      <w:pPr>
        <w:widowControl/>
        <w:spacing w:after="0" w:afterLines="0" w:line="400" w:lineRule="exact"/>
        <w:jc w:val="left"/>
        <w:rPr>
          <w:rFonts w:hint="default" w:ascii="Times New Roman" w:hAnsi="Times New Roman" w:eastAsia="仿宋_GB2312" w:cs="Times New Roman"/>
          <w:sz w:val="22"/>
        </w:rPr>
      </w:pPr>
    </w:p>
    <w:p>
      <w:pPr>
        <w:rPr>
          <w:rFonts w:hint="default" w:ascii="Times New Roman" w:hAnsi="Times New Roman" w:eastAsia="仿宋_GB2312" w:cs="Times New Roman"/>
          <w:sz w:val="22"/>
        </w:rPr>
      </w:pPr>
      <w:r>
        <w:rPr>
          <w:rFonts w:hint="default" w:ascii="Times New Roman" w:hAnsi="Times New Roman" w:eastAsia="仿宋_GB2312" w:cs="Times New Roman"/>
          <w:sz w:val="22"/>
        </w:rPr>
        <w:t>填表人：        填报日期：          联系电话：            单位负责人签字：</w:t>
      </w:r>
    </w:p>
    <w:p>
      <w:pPr>
        <w:pStyle w:val="4"/>
        <w:rPr>
          <w:rFonts w:hint="default" w:ascii="Times New Roman" w:hAnsi="Times New Roman" w:eastAsia="仿宋_GB2312" w:cs="Times New Roman"/>
          <w:sz w:val="22"/>
        </w:rPr>
      </w:pPr>
    </w:p>
    <w:p>
      <w:pPr>
        <w:rPr>
          <w:rFonts w:hint="default" w:ascii="Times New Roman" w:hAnsi="Times New Roman" w:eastAsia="仿宋_GB2312" w:cs="Times New Roman"/>
          <w:sz w:val="22"/>
        </w:rPr>
      </w:pPr>
    </w:p>
    <w:p>
      <w:pPr>
        <w:pStyle w:val="4"/>
        <w:rPr>
          <w:rFonts w:hint="default" w:ascii="Times New Roman" w:hAnsi="Times New Roman" w:eastAsia="仿宋_GB2312" w:cs="Times New Roman"/>
          <w:sz w:val="22"/>
        </w:rPr>
      </w:pPr>
    </w:p>
    <w:p>
      <w:pPr>
        <w:widowControl/>
        <w:spacing w:after="0" w:afterLines="0" w:line="400" w:lineRule="exact"/>
        <w:jc w:val="left"/>
        <w:rPr>
          <w:rFonts w:hint="eastAsia" w:ascii="Times New Roman" w:hAnsi="Times New Roman" w:eastAsia="黑体" w:cs="Times New Roman"/>
          <w:sz w:val="32"/>
          <w:szCs w:val="32"/>
          <w:lang w:eastAsia="zh-CN"/>
        </w:rPr>
      </w:pPr>
      <w:r>
        <w:rPr>
          <w:rFonts w:hint="default" w:ascii="黑体" w:hAnsi="黑体" w:eastAsia="黑体" w:cs="黑体"/>
          <w:sz w:val="32"/>
          <w:szCs w:val="32"/>
          <w:lang w:eastAsia="zh-CN"/>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年度部门整体支出绩效自评表</w:t>
      </w:r>
    </w:p>
    <w:tbl>
      <w:tblPr>
        <w:tblStyle w:val="6"/>
        <w:tblW w:w="4997" w:type="pct"/>
        <w:jc w:val="center"/>
        <w:tblLayout w:type="autofit"/>
        <w:tblCellMar>
          <w:top w:w="0" w:type="dxa"/>
          <w:left w:w="108" w:type="dxa"/>
          <w:bottom w:w="0" w:type="dxa"/>
          <w:right w:w="108" w:type="dxa"/>
        </w:tblCellMar>
      </w:tblPr>
      <w:tblGrid>
        <w:gridCol w:w="1095"/>
        <w:gridCol w:w="878"/>
        <w:gridCol w:w="867"/>
        <w:gridCol w:w="1057"/>
        <w:gridCol w:w="1105"/>
        <w:gridCol w:w="1081"/>
        <w:gridCol w:w="589"/>
        <w:gridCol w:w="1021"/>
        <w:gridCol w:w="1589"/>
      </w:tblGrid>
      <w:tr>
        <w:tblPrEx>
          <w:tblCellMar>
            <w:top w:w="0" w:type="dxa"/>
            <w:left w:w="108" w:type="dxa"/>
            <w:bottom w:w="0" w:type="dxa"/>
            <w:right w:w="108" w:type="dxa"/>
          </w:tblCellMar>
        </w:tblPrEx>
        <w:trPr>
          <w:trHeight w:val="1003" w:hRule="atLeast"/>
          <w:jc w:val="center"/>
        </w:trPr>
        <w:tc>
          <w:tcPr>
            <w:tcW w:w="59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县</w:t>
            </w:r>
            <w:r>
              <w:rPr>
                <w:rFonts w:hint="eastAsia" w:ascii="新宋体" w:hAnsi="新宋体" w:eastAsia="新宋体" w:cs="新宋体"/>
                <w:color w:val="000000"/>
                <w:sz w:val="21"/>
                <w:szCs w:val="21"/>
              </w:rPr>
              <w:t>级预算部门名称</w:t>
            </w:r>
          </w:p>
        </w:tc>
        <w:tc>
          <w:tcPr>
            <w:tcW w:w="4409" w:type="pct"/>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eastAsia="仿宋_GB2312"/>
                <w:sz w:val="32"/>
                <w:u w:val="single"/>
              </w:rPr>
              <w:t>202</w:t>
            </w:r>
            <w:r>
              <w:rPr>
                <w:rFonts w:hint="eastAsia" w:eastAsia="仿宋_GB2312"/>
                <w:sz w:val="32"/>
                <w:u w:val="single"/>
                <w:lang w:val="en-US" w:eastAsia="zh-CN"/>
              </w:rPr>
              <w:t>1</w:t>
            </w:r>
            <w:r>
              <w:rPr>
                <w:rFonts w:hint="eastAsia" w:eastAsia="仿宋_GB2312"/>
                <w:sz w:val="32"/>
                <w:u w:val="single"/>
              </w:rPr>
              <w:t>年</w:t>
            </w:r>
            <w:r>
              <w:rPr>
                <w:rFonts w:hint="eastAsia" w:eastAsia="仿宋_GB2312"/>
                <w:sz w:val="32"/>
                <w:u w:val="single"/>
                <w:lang w:val="en-US" w:eastAsia="zh-CN"/>
              </w:rPr>
              <w:t>中央农业适度规模经营补助资金</w:t>
            </w:r>
            <w:r>
              <w:rPr>
                <w:rFonts w:hint="eastAsia" w:eastAsia="仿宋_GB2312"/>
                <w:sz w:val="32"/>
                <w:u w:val="single"/>
              </w:rPr>
              <w:t xml:space="preserve"> </w:t>
            </w:r>
          </w:p>
        </w:tc>
      </w:tr>
      <w:tr>
        <w:tblPrEx>
          <w:tblCellMar>
            <w:top w:w="0" w:type="dxa"/>
            <w:left w:w="108" w:type="dxa"/>
            <w:bottom w:w="0" w:type="dxa"/>
            <w:right w:w="108" w:type="dxa"/>
          </w:tblCellMar>
        </w:tblPrEx>
        <w:trPr>
          <w:trHeight w:val="863" w:hRule="atLeast"/>
          <w:jc w:val="center"/>
        </w:trPr>
        <w:tc>
          <w:tcPr>
            <w:tcW w:w="590" w:type="pct"/>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预算</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lang w:eastAsia="zh-CN"/>
              </w:rPr>
            </w:pPr>
            <w:r>
              <w:rPr>
                <w:rFonts w:hint="eastAsia" w:ascii="新宋体" w:hAnsi="新宋体" w:eastAsia="新宋体" w:cs="新宋体"/>
                <w:i w:val="0"/>
                <w:iCs w:val="0"/>
                <w:color w:val="000000"/>
                <w:sz w:val="21"/>
                <w:szCs w:val="21"/>
              </w:rPr>
              <w:t>申请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（万元）</w:t>
            </w:r>
          </w:p>
        </w:tc>
        <w:tc>
          <w:tcPr>
            <w:tcW w:w="940"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年初</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594"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580"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执行数</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分值</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执行率</w:t>
            </w:r>
          </w:p>
        </w:tc>
        <w:tc>
          <w:tcPr>
            <w:tcW w:w="85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得分</w:t>
            </w:r>
          </w:p>
        </w:tc>
      </w:tr>
      <w:tr>
        <w:tblPrEx>
          <w:tblCellMar>
            <w:top w:w="0" w:type="dxa"/>
            <w:left w:w="108" w:type="dxa"/>
            <w:bottom w:w="0" w:type="dxa"/>
            <w:right w:w="108" w:type="dxa"/>
          </w:tblCellMar>
        </w:tblPrEx>
        <w:trPr>
          <w:trHeight w:val="462" w:hRule="atLeast"/>
          <w:jc w:val="center"/>
        </w:trPr>
        <w:tc>
          <w:tcPr>
            <w:tcW w:w="590" w:type="pct"/>
            <w:vMerge w:val="continue"/>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940"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color w:val="000000"/>
                <w:sz w:val="21"/>
                <w:szCs w:val="21"/>
              </w:rPr>
              <w:t>年度资金总额</w:t>
            </w:r>
          </w:p>
        </w:tc>
        <w:tc>
          <w:tcPr>
            <w:tcW w:w="569"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eastAsia="仿宋_GB2312"/>
                <w:sz w:val="24"/>
                <w:lang w:val="en-US" w:eastAsia="zh-CN"/>
              </w:rPr>
              <w:t>0</w:t>
            </w:r>
          </w:p>
        </w:tc>
        <w:tc>
          <w:tcPr>
            <w:tcW w:w="594"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eastAsia="仿宋_GB2312"/>
                <w:sz w:val="24"/>
                <w:lang w:val="en-US" w:eastAsia="zh-CN"/>
              </w:rPr>
              <w:t>0</w:t>
            </w:r>
          </w:p>
        </w:tc>
        <w:tc>
          <w:tcPr>
            <w:tcW w:w="580"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rPr>
            </w:pPr>
            <w:r>
              <w:rPr>
                <w:rFonts w:hint="eastAsia" w:eastAsia="仿宋_GB2312"/>
                <w:sz w:val="24"/>
                <w:lang w:val="en-US" w:eastAsia="zh-CN"/>
              </w:rPr>
              <w:t>455.14</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10</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100％</w:t>
            </w:r>
          </w:p>
        </w:tc>
        <w:tc>
          <w:tcPr>
            <w:tcW w:w="85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100</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04"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按收入性质分：</w:t>
            </w:r>
          </w:p>
        </w:tc>
        <w:tc>
          <w:tcPr>
            <w:tcW w:w="2305"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按支出性质分：</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04"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其中：</w:t>
            </w:r>
            <w:r>
              <w:rPr>
                <w:rFonts w:hint="eastAsia" w:ascii="新宋体" w:hAnsi="新宋体" w:eastAsia="新宋体" w:cs="新宋体"/>
                <w:i w:val="0"/>
                <w:iCs w:val="0"/>
                <w:color w:val="000000"/>
                <w:sz w:val="21"/>
                <w:szCs w:val="21"/>
                <w:lang w:val="en-US" w:eastAsia="zh-CN"/>
              </w:rPr>
              <w:t xml:space="preserve">  </w:t>
            </w:r>
            <w:r>
              <w:rPr>
                <w:rFonts w:hint="eastAsia" w:ascii="新宋体" w:hAnsi="新宋体" w:eastAsia="新宋体" w:cs="新宋体"/>
                <w:i w:val="0"/>
                <w:iCs w:val="0"/>
                <w:color w:val="000000"/>
                <w:sz w:val="21"/>
                <w:szCs w:val="21"/>
              </w:rPr>
              <w:t>一般公共预算：</w:t>
            </w:r>
            <w:r>
              <w:rPr>
                <w:rFonts w:hint="eastAsia" w:ascii="新宋体" w:hAnsi="新宋体" w:eastAsia="新宋体" w:cs="新宋体"/>
                <w:i w:val="0"/>
                <w:iCs w:val="0"/>
                <w:color w:val="000000"/>
                <w:sz w:val="21"/>
                <w:szCs w:val="21"/>
                <w:lang w:val="en-US" w:eastAsia="zh-CN"/>
              </w:rPr>
              <w:t>616</w:t>
            </w:r>
          </w:p>
        </w:tc>
        <w:tc>
          <w:tcPr>
            <w:tcW w:w="2305"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其中：基本支出：</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04"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政府性基金拨款：</w:t>
            </w:r>
          </w:p>
        </w:tc>
        <w:tc>
          <w:tcPr>
            <w:tcW w:w="2305"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项目支出：</w:t>
            </w:r>
            <w:r>
              <w:rPr>
                <w:rFonts w:hint="eastAsia" w:ascii="新宋体" w:hAnsi="新宋体" w:eastAsia="新宋体" w:cs="新宋体"/>
                <w:color w:val="000000"/>
                <w:sz w:val="21"/>
                <w:szCs w:val="21"/>
                <w:lang w:val="en-US" w:eastAsia="zh-CN"/>
              </w:rPr>
              <w:t>455.14</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04"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纳入专户管理的非税收入拨款：</w:t>
            </w:r>
          </w:p>
        </w:tc>
        <w:tc>
          <w:tcPr>
            <w:tcW w:w="2305"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04"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1260" w:firstLineChars="60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其他资金：</w:t>
            </w:r>
          </w:p>
        </w:tc>
        <w:tc>
          <w:tcPr>
            <w:tcW w:w="2305"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590" w:type="pct"/>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总体目标</w:t>
            </w:r>
          </w:p>
        </w:tc>
        <w:tc>
          <w:tcPr>
            <w:tcW w:w="2104" w:type="pct"/>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预期目标</w:t>
            </w:r>
          </w:p>
        </w:tc>
        <w:tc>
          <w:tcPr>
            <w:tcW w:w="2305"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实际完成情况　</w:t>
            </w:r>
          </w:p>
        </w:tc>
      </w:tr>
      <w:tr>
        <w:tblPrEx>
          <w:tblCellMar>
            <w:top w:w="0" w:type="dxa"/>
            <w:left w:w="108" w:type="dxa"/>
            <w:bottom w:w="0" w:type="dxa"/>
            <w:right w:w="108" w:type="dxa"/>
          </w:tblCellMar>
        </w:tblPrEx>
        <w:trPr>
          <w:trHeight w:val="462" w:hRule="atLeast"/>
          <w:jc w:val="center"/>
        </w:trPr>
        <w:tc>
          <w:tcPr>
            <w:tcW w:w="590" w:type="pct"/>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2104" w:type="pct"/>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等线" w:hAnsi="等线" w:eastAsia="等线" w:cs="宋体"/>
                <w:color w:val="000000"/>
                <w:kern w:val="0"/>
                <w:sz w:val="20"/>
                <w:szCs w:val="20"/>
                <w:lang w:val="en-US" w:eastAsia="zh-CN"/>
              </w:rPr>
              <w:t>以服务小农户、推进服务带动型规模经营为主，此次补贴对象倾向于社会化服务发展比较充分、工作积极性高、基础条件扎实的农民合作社、专业服务组织等，着重推进粮食生产单环节托管、多环节托管、关键环节综合托管和全程托管等多种模式。引导小农户、家庭农场等农业适度规模经营主体，广泛接受集中育插（机抛）秧、推广无人机飞防等低成本、优品质、高效益的社会化服务。我们重点对集中育插（机抛）秧、无人机飞防服务两大关键环节进行资金扶持</w:t>
            </w:r>
          </w:p>
        </w:tc>
        <w:tc>
          <w:tcPr>
            <w:tcW w:w="2305"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等线" w:hAnsi="等线" w:eastAsia="等线" w:cs="宋体"/>
                <w:color w:val="000000"/>
                <w:kern w:val="0"/>
                <w:sz w:val="20"/>
                <w:szCs w:val="20"/>
                <w:lang w:eastAsia="zh-CN"/>
              </w:rPr>
              <w:t>资金拨付已全部到位</w:t>
            </w:r>
            <w:r>
              <w:rPr>
                <w:rFonts w:hint="eastAsia" w:ascii="等线" w:hAnsi="等线" w:eastAsia="等线" w:cs="宋体"/>
                <w:color w:val="000000"/>
                <w:kern w:val="0"/>
                <w:sz w:val="20"/>
                <w:szCs w:val="20"/>
                <w:lang w:val="en-US" w:eastAsia="zh-CN"/>
              </w:rPr>
              <w:t>,其中：农民专业合作社补贴资金166万元，家庭农场补贴资金50万元，社会化组织补贴资金400万元，合计：616万元</w:t>
            </w:r>
          </w:p>
        </w:tc>
      </w:tr>
      <w:tr>
        <w:tblPrEx>
          <w:tblCellMar>
            <w:top w:w="0" w:type="dxa"/>
            <w:left w:w="108" w:type="dxa"/>
            <w:bottom w:w="0" w:type="dxa"/>
            <w:right w:w="108" w:type="dxa"/>
          </w:tblCellMar>
        </w:tblPrEx>
        <w:trPr>
          <w:trHeight w:val="850" w:hRule="atLeast"/>
          <w:jc w:val="center"/>
        </w:trPr>
        <w:tc>
          <w:tcPr>
            <w:tcW w:w="590"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7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58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85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产出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(50分)</w:t>
            </w:r>
          </w:p>
        </w:tc>
        <w:tc>
          <w:tcPr>
            <w:tcW w:w="466"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数量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等线" w:hAnsi="等线" w:eastAsia="等线" w:cs="宋体"/>
                <w:color w:val="000000"/>
                <w:kern w:val="0"/>
                <w:sz w:val="20"/>
                <w:szCs w:val="20"/>
                <w:lang w:val="en-US" w:eastAsia="zh-CN" w:bidi="ar-SA"/>
              </w:rPr>
            </w:pPr>
            <w:r>
              <w:rPr>
                <w:rFonts w:hint="eastAsia" w:ascii="等线" w:hAnsi="等线" w:eastAsia="等线" w:cs="宋体"/>
                <w:color w:val="000000"/>
                <w:kern w:val="0"/>
                <w:sz w:val="20"/>
                <w:szCs w:val="20"/>
              </w:rPr>
              <w:t>新增</w:t>
            </w:r>
            <w:r>
              <w:rPr>
                <w:rFonts w:hint="eastAsia" w:ascii="等线" w:hAnsi="等线" w:eastAsia="等线" w:cs="宋体"/>
                <w:color w:val="000000"/>
                <w:kern w:val="0"/>
                <w:sz w:val="20"/>
                <w:szCs w:val="20"/>
                <w:lang w:eastAsia="zh-CN"/>
              </w:rPr>
              <w:t>经营</w:t>
            </w:r>
            <w:r>
              <w:rPr>
                <w:rFonts w:hint="eastAsia" w:ascii="等线" w:hAnsi="等线" w:eastAsia="等线" w:cs="宋体"/>
                <w:color w:val="000000"/>
                <w:kern w:val="0"/>
                <w:sz w:val="20"/>
                <w:szCs w:val="20"/>
              </w:rPr>
              <w:t>主体</w:t>
            </w: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等线" w:hAnsi="等线" w:eastAsia="等线" w:cs="宋体"/>
                <w:color w:val="000000"/>
                <w:kern w:val="0"/>
                <w:sz w:val="20"/>
                <w:szCs w:val="20"/>
                <w:lang w:val="en-US" w:eastAsia="zh-CN" w:bidi="ar-SA"/>
              </w:rPr>
            </w:pPr>
            <w:r>
              <w:rPr>
                <w:rFonts w:hint="eastAsia" w:ascii="等线" w:hAnsi="等线" w:eastAsia="等线" w:cs="宋体"/>
                <w:color w:val="000000"/>
                <w:kern w:val="0"/>
                <w:sz w:val="20"/>
                <w:szCs w:val="20"/>
                <w:lang w:val="en-US" w:eastAsia="zh-CN"/>
              </w:rPr>
              <w:t>200</w:t>
            </w:r>
            <w:r>
              <w:rPr>
                <w:rFonts w:hint="eastAsia" w:ascii="等线" w:hAnsi="等线" w:eastAsia="等线" w:cs="宋体"/>
                <w:color w:val="000000"/>
                <w:kern w:val="0"/>
                <w:sz w:val="20"/>
                <w:szCs w:val="20"/>
              </w:rPr>
              <w:t>家</w:t>
            </w:r>
          </w:p>
        </w:tc>
        <w:tc>
          <w:tcPr>
            <w:tcW w:w="58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200</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等线" w:hAnsi="等线" w:eastAsia="等线" w:cs="宋体"/>
                <w:color w:val="000000"/>
                <w:kern w:val="0"/>
                <w:sz w:val="20"/>
                <w:szCs w:val="20"/>
                <w:lang w:val="en-US" w:eastAsia="zh-CN" w:bidi="ar-SA"/>
              </w:rPr>
            </w:pP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等线" w:hAnsi="等线" w:eastAsia="等线" w:cs="宋体"/>
                <w:color w:val="000000"/>
                <w:kern w:val="0"/>
                <w:sz w:val="20"/>
                <w:szCs w:val="20"/>
                <w:lang w:val="en-US" w:eastAsia="zh-CN" w:bidi="ar-SA"/>
              </w:rPr>
            </w:pPr>
          </w:p>
        </w:tc>
        <w:tc>
          <w:tcPr>
            <w:tcW w:w="58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等线" w:hAnsi="等线" w:eastAsia="等线" w:cs="宋体"/>
                <w:color w:val="000000"/>
                <w:kern w:val="0"/>
                <w:sz w:val="20"/>
                <w:szCs w:val="20"/>
                <w:lang w:val="en-US" w:eastAsia="zh-CN" w:bidi="ar-SA"/>
              </w:rPr>
            </w:pP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等线" w:hAnsi="等线" w:eastAsia="等线" w:cs="宋体"/>
                <w:color w:val="000000"/>
                <w:kern w:val="0"/>
                <w:sz w:val="20"/>
                <w:szCs w:val="20"/>
                <w:lang w:val="en-US" w:eastAsia="zh-CN" w:bidi="ar-SA"/>
              </w:rPr>
            </w:pP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等线" w:hAnsi="等线" w:eastAsia="等线" w:cs="宋体"/>
                <w:color w:val="000000"/>
                <w:kern w:val="0"/>
                <w:sz w:val="20"/>
                <w:szCs w:val="20"/>
                <w:lang w:val="en-US" w:eastAsia="zh-CN" w:bidi="ar-SA"/>
              </w:rPr>
            </w:pPr>
          </w:p>
        </w:tc>
        <w:tc>
          <w:tcPr>
            <w:tcW w:w="58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等线" w:hAnsi="等线" w:eastAsia="等线" w:cs="宋体"/>
                <w:color w:val="000000"/>
                <w:kern w:val="0"/>
                <w:sz w:val="20"/>
                <w:szCs w:val="20"/>
                <w:lang w:val="en-US" w:eastAsia="zh-CN" w:bidi="ar-SA"/>
              </w:rPr>
            </w:pP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质量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等线" w:hAnsi="等线" w:eastAsia="等线" w:cs="宋体"/>
                <w:color w:val="000000"/>
                <w:kern w:val="0"/>
                <w:sz w:val="20"/>
                <w:szCs w:val="20"/>
                <w:lang w:val="en-US" w:eastAsia="zh-CN" w:bidi="ar-SA"/>
              </w:rPr>
            </w:pPr>
            <w:r>
              <w:rPr>
                <w:rFonts w:hint="eastAsia" w:ascii="等线" w:hAnsi="等线" w:eastAsia="等线" w:cs="宋体"/>
                <w:color w:val="000000"/>
                <w:kern w:val="0"/>
                <w:sz w:val="20"/>
                <w:szCs w:val="20"/>
              </w:rPr>
              <w:t>设施利用率</w:t>
            </w: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等线" w:hAnsi="等线" w:eastAsia="等线" w:cs="宋体"/>
                <w:color w:val="000000"/>
                <w:kern w:val="0"/>
                <w:sz w:val="20"/>
                <w:szCs w:val="20"/>
                <w:lang w:val="en-US" w:eastAsia="zh-CN" w:bidi="ar-SA"/>
              </w:rPr>
            </w:pPr>
            <w:r>
              <w:rPr>
                <w:rFonts w:hint="eastAsia" w:ascii="等线" w:hAnsi="等线" w:eastAsia="等线" w:cs="宋体"/>
                <w:color w:val="000000"/>
                <w:kern w:val="0"/>
                <w:sz w:val="20"/>
                <w:szCs w:val="20"/>
              </w:rPr>
              <w:t>100%</w:t>
            </w:r>
          </w:p>
        </w:tc>
        <w:tc>
          <w:tcPr>
            <w:tcW w:w="58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等线" w:hAnsi="等线" w:eastAsia="等线" w:cs="宋体"/>
                <w:color w:val="000000"/>
                <w:kern w:val="0"/>
                <w:sz w:val="20"/>
                <w:szCs w:val="20"/>
                <w:lang w:val="en-US" w:eastAsia="zh-CN" w:bidi="ar-SA"/>
              </w:rPr>
            </w:pPr>
            <w:r>
              <w:rPr>
                <w:rFonts w:hint="eastAsia" w:ascii="等线" w:hAnsi="等线" w:eastAsia="等线" w:cs="宋体"/>
                <w:color w:val="000000"/>
                <w:kern w:val="0"/>
                <w:sz w:val="20"/>
                <w:szCs w:val="20"/>
              </w:rPr>
              <w:t>100%</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等线" w:hAnsi="等线" w:eastAsia="等线" w:cs="宋体"/>
                <w:color w:val="000000"/>
                <w:kern w:val="0"/>
                <w:sz w:val="20"/>
                <w:szCs w:val="20"/>
                <w:lang w:val="en-US" w:eastAsia="zh-CN" w:bidi="ar-SA"/>
              </w:rPr>
            </w:pPr>
            <w:r>
              <w:rPr>
                <w:rFonts w:hint="eastAsia" w:ascii="等线" w:hAnsi="等线" w:eastAsia="等线" w:cs="宋体"/>
                <w:color w:val="000000"/>
                <w:kern w:val="0"/>
                <w:sz w:val="20"/>
                <w:szCs w:val="20"/>
              </w:rPr>
              <w:t>设施闲置期</w:t>
            </w: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等线" w:hAnsi="等线" w:eastAsia="等线" w:cs="宋体"/>
                <w:color w:val="000000"/>
                <w:kern w:val="0"/>
                <w:sz w:val="20"/>
                <w:szCs w:val="20"/>
                <w:lang w:val="en-US" w:eastAsia="zh-CN" w:bidi="ar-SA"/>
              </w:rPr>
            </w:pPr>
            <w:r>
              <w:rPr>
                <w:rFonts w:hint="eastAsia" w:ascii="等线" w:hAnsi="等线" w:eastAsia="等线" w:cs="宋体"/>
                <w:color w:val="000000"/>
                <w:kern w:val="0"/>
                <w:sz w:val="20"/>
                <w:szCs w:val="20"/>
              </w:rPr>
              <w:t>不超过</w:t>
            </w:r>
            <w:r>
              <w:rPr>
                <w:rFonts w:hint="eastAsia" w:ascii="等线" w:hAnsi="等线" w:eastAsia="等线" w:cs="宋体"/>
                <w:color w:val="000000"/>
                <w:kern w:val="0"/>
                <w:sz w:val="20"/>
                <w:szCs w:val="20"/>
                <w:lang w:val="en-US" w:eastAsia="zh-CN"/>
              </w:rPr>
              <w:t>4</w:t>
            </w:r>
            <w:r>
              <w:rPr>
                <w:rFonts w:hint="eastAsia" w:ascii="等线" w:hAnsi="等线" w:eastAsia="等线" w:cs="宋体"/>
                <w:color w:val="000000"/>
                <w:kern w:val="0"/>
                <w:sz w:val="20"/>
                <w:szCs w:val="20"/>
              </w:rPr>
              <w:t>个月</w:t>
            </w:r>
          </w:p>
        </w:tc>
        <w:tc>
          <w:tcPr>
            <w:tcW w:w="58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等线" w:hAnsi="等线" w:eastAsia="等线" w:cs="宋体"/>
                <w:color w:val="000000"/>
                <w:kern w:val="0"/>
                <w:sz w:val="20"/>
                <w:szCs w:val="20"/>
                <w:lang w:val="en-US" w:eastAsia="zh-CN" w:bidi="ar-SA"/>
              </w:rPr>
            </w:pPr>
            <w:r>
              <w:rPr>
                <w:rFonts w:hint="eastAsia" w:ascii="等线" w:hAnsi="等线" w:eastAsia="等线" w:cs="宋体"/>
                <w:color w:val="000000"/>
                <w:kern w:val="0"/>
                <w:sz w:val="20"/>
                <w:szCs w:val="20"/>
              </w:rPr>
              <w:t>平均3个月</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8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时效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等线" w:hAnsi="等线" w:eastAsia="等线" w:cs="宋体"/>
                <w:color w:val="000000"/>
                <w:kern w:val="0"/>
                <w:sz w:val="20"/>
                <w:szCs w:val="20"/>
                <w:lang w:val="en-US" w:eastAsia="zh-CN" w:bidi="ar-SA"/>
              </w:rPr>
            </w:pPr>
            <w:r>
              <w:rPr>
                <w:rFonts w:hint="eastAsia" w:ascii="等线" w:hAnsi="等线" w:eastAsia="等线" w:cs="宋体"/>
                <w:color w:val="000000"/>
                <w:kern w:val="0"/>
                <w:sz w:val="20"/>
                <w:szCs w:val="20"/>
              </w:rPr>
              <w:t>完成建设任务</w:t>
            </w: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等线" w:hAnsi="等线" w:eastAsia="等线" w:cs="宋体"/>
                <w:color w:val="000000"/>
                <w:kern w:val="0"/>
                <w:sz w:val="20"/>
                <w:szCs w:val="20"/>
                <w:lang w:val="en-US" w:eastAsia="zh-CN" w:bidi="ar-SA"/>
              </w:rPr>
            </w:pPr>
            <w:r>
              <w:rPr>
                <w:rFonts w:hint="eastAsia" w:ascii="等线" w:hAnsi="等线" w:eastAsia="等线" w:cs="宋体"/>
                <w:color w:val="000000"/>
                <w:kern w:val="0"/>
                <w:sz w:val="20"/>
                <w:szCs w:val="20"/>
              </w:rPr>
              <w:t>202</w:t>
            </w:r>
            <w:r>
              <w:rPr>
                <w:rFonts w:hint="eastAsia" w:ascii="等线" w:hAnsi="等线" w:eastAsia="等线" w:cs="宋体"/>
                <w:color w:val="000000"/>
                <w:kern w:val="0"/>
                <w:sz w:val="20"/>
                <w:szCs w:val="20"/>
                <w:lang w:val="en-US" w:eastAsia="zh-CN"/>
              </w:rPr>
              <w:t>1</w:t>
            </w:r>
            <w:r>
              <w:rPr>
                <w:rFonts w:hint="eastAsia" w:ascii="等线" w:hAnsi="等线" w:eastAsia="等线" w:cs="宋体"/>
                <w:color w:val="000000"/>
                <w:kern w:val="0"/>
                <w:sz w:val="20"/>
                <w:szCs w:val="20"/>
              </w:rPr>
              <w:t>年12月底</w:t>
            </w:r>
          </w:p>
        </w:tc>
        <w:tc>
          <w:tcPr>
            <w:tcW w:w="58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等线" w:hAnsi="等线" w:eastAsia="等线" w:cs="宋体"/>
                <w:color w:val="000000"/>
                <w:kern w:val="0"/>
                <w:sz w:val="20"/>
                <w:szCs w:val="20"/>
                <w:lang w:val="en-US" w:eastAsia="zh-CN" w:bidi="ar-SA"/>
              </w:rPr>
            </w:pPr>
            <w:r>
              <w:rPr>
                <w:rFonts w:hint="eastAsia" w:ascii="等线" w:hAnsi="等线" w:eastAsia="等线" w:cs="宋体"/>
                <w:color w:val="000000"/>
                <w:kern w:val="0"/>
                <w:sz w:val="20"/>
                <w:szCs w:val="20"/>
              </w:rPr>
              <w:t>202</w:t>
            </w:r>
            <w:r>
              <w:rPr>
                <w:rFonts w:hint="eastAsia" w:ascii="等线" w:hAnsi="等线" w:eastAsia="等线" w:cs="宋体"/>
                <w:color w:val="000000"/>
                <w:kern w:val="0"/>
                <w:sz w:val="20"/>
                <w:szCs w:val="20"/>
                <w:lang w:val="en-US" w:eastAsia="zh-CN"/>
              </w:rPr>
              <w:t>1</w:t>
            </w:r>
            <w:r>
              <w:rPr>
                <w:rFonts w:hint="eastAsia" w:ascii="等线" w:hAnsi="等线" w:eastAsia="等线" w:cs="宋体"/>
                <w:color w:val="000000"/>
                <w:kern w:val="0"/>
                <w:sz w:val="20"/>
                <w:szCs w:val="20"/>
              </w:rPr>
              <w:t>年12月底</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等线" w:hAnsi="等线" w:eastAsia="等线" w:cs="宋体"/>
                <w:color w:val="000000"/>
                <w:kern w:val="0"/>
                <w:sz w:val="20"/>
                <w:szCs w:val="20"/>
                <w:lang w:val="en-US" w:eastAsia="zh-CN" w:bidi="ar-SA"/>
              </w:rPr>
            </w:pPr>
            <w:r>
              <w:rPr>
                <w:rFonts w:hint="eastAsia" w:ascii="等线" w:hAnsi="等线" w:eastAsia="等线" w:cs="宋体"/>
                <w:color w:val="000000"/>
                <w:kern w:val="0"/>
                <w:sz w:val="20"/>
                <w:szCs w:val="20"/>
              </w:rPr>
              <w:t>完成建设任务</w:t>
            </w: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等线" w:hAnsi="等线" w:eastAsia="等线" w:cs="宋体"/>
                <w:color w:val="000000"/>
                <w:kern w:val="0"/>
                <w:sz w:val="20"/>
                <w:szCs w:val="20"/>
                <w:lang w:val="en-US" w:eastAsia="zh-CN" w:bidi="ar-SA"/>
              </w:rPr>
            </w:pPr>
            <w:r>
              <w:rPr>
                <w:rFonts w:hint="eastAsia" w:ascii="等线" w:hAnsi="等线" w:eastAsia="等线" w:cs="宋体"/>
                <w:color w:val="000000"/>
                <w:kern w:val="0"/>
                <w:sz w:val="20"/>
                <w:szCs w:val="20"/>
              </w:rPr>
              <w:t>202</w:t>
            </w:r>
            <w:r>
              <w:rPr>
                <w:rFonts w:hint="eastAsia" w:ascii="等线" w:hAnsi="等线" w:eastAsia="等线" w:cs="宋体"/>
                <w:color w:val="000000"/>
                <w:kern w:val="0"/>
                <w:sz w:val="20"/>
                <w:szCs w:val="20"/>
                <w:lang w:val="en-US" w:eastAsia="zh-CN"/>
              </w:rPr>
              <w:t>1</w:t>
            </w:r>
            <w:r>
              <w:rPr>
                <w:rFonts w:hint="eastAsia" w:ascii="等线" w:hAnsi="等线" w:eastAsia="等线" w:cs="宋体"/>
                <w:color w:val="000000"/>
                <w:kern w:val="0"/>
                <w:sz w:val="20"/>
                <w:szCs w:val="20"/>
              </w:rPr>
              <w:t>年12月底</w:t>
            </w:r>
          </w:p>
        </w:tc>
        <w:tc>
          <w:tcPr>
            <w:tcW w:w="58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等线" w:hAnsi="等线" w:eastAsia="等线" w:cs="宋体"/>
                <w:color w:val="000000"/>
                <w:kern w:val="0"/>
                <w:sz w:val="20"/>
                <w:szCs w:val="20"/>
                <w:lang w:val="en-US" w:eastAsia="zh-CN" w:bidi="ar-SA"/>
              </w:rPr>
            </w:pPr>
            <w:r>
              <w:rPr>
                <w:rFonts w:hint="eastAsia" w:ascii="等线" w:hAnsi="等线" w:eastAsia="等线" w:cs="宋体"/>
                <w:color w:val="000000"/>
                <w:kern w:val="0"/>
                <w:sz w:val="20"/>
                <w:szCs w:val="20"/>
              </w:rPr>
              <w:t>202</w:t>
            </w:r>
            <w:r>
              <w:rPr>
                <w:rFonts w:hint="eastAsia" w:ascii="等线" w:hAnsi="等线" w:eastAsia="等线" w:cs="宋体"/>
                <w:color w:val="000000"/>
                <w:kern w:val="0"/>
                <w:sz w:val="20"/>
                <w:szCs w:val="20"/>
                <w:lang w:val="en-US" w:eastAsia="zh-CN"/>
              </w:rPr>
              <w:t>1</w:t>
            </w:r>
            <w:r>
              <w:rPr>
                <w:rFonts w:hint="eastAsia" w:ascii="等线" w:hAnsi="等线" w:eastAsia="等线" w:cs="宋体"/>
                <w:color w:val="000000"/>
                <w:kern w:val="0"/>
                <w:sz w:val="20"/>
                <w:szCs w:val="20"/>
              </w:rPr>
              <w:t>年12月底</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9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8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成本</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等线" w:hAnsi="等线" w:eastAsia="等线" w:cs="宋体"/>
                <w:color w:val="000000"/>
                <w:kern w:val="0"/>
                <w:sz w:val="20"/>
                <w:szCs w:val="20"/>
                <w:lang w:val="en-US" w:eastAsia="zh-CN" w:bidi="ar-SA"/>
              </w:rPr>
            </w:pPr>
            <w:r>
              <w:rPr>
                <w:rFonts w:hint="eastAsia" w:ascii="等线" w:hAnsi="等线" w:eastAsia="等线" w:cs="宋体"/>
                <w:color w:val="000000"/>
                <w:kern w:val="0"/>
                <w:sz w:val="20"/>
                <w:szCs w:val="20"/>
              </w:rPr>
              <w:t>成本节约率</w:t>
            </w: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等线" w:hAnsi="等线" w:eastAsia="等线" w:cs="宋体"/>
                <w:color w:val="000000"/>
                <w:kern w:val="0"/>
                <w:sz w:val="20"/>
                <w:szCs w:val="20"/>
                <w:lang w:val="en-US" w:eastAsia="zh-CN" w:bidi="ar-SA"/>
              </w:rPr>
            </w:pPr>
            <w:r>
              <w:rPr>
                <w:rFonts w:hint="eastAsia" w:ascii="等线" w:hAnsi="等线" w:eastAsia="等线" w:cs="宋体"/>
                <w:color w:val="000000"/>
                <w:kern w:val="0"/>
                <w:sz w:val="20"/>
                <w:szCs w:val="20"/>
              </w:rPr>
              <w:t>10%</w:t>
            </w:r>
          </w:p>
        </w:tc>
        <w:tc>
          <w:tcPr>
            <w:tcW w:w="58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等线" w:hAnsi="等线" w:eastAsia="等线" w:cs="宋体"/>
                <w:color w:val="000000"/>
                <w:kern w:val="0"/>
                <w:sz w:val="20"/>
                <w:szCs w:val="20"/>
                <w:lang w:val="en-US" w:eastAsia="zh-CN" w:bidi="ar-SA"/>
              </w:rPr>
            </w:pPr>
            <w:r>
              <w:rPr>
                <w:rFonts w:hint="eastAsia" w:ascii="等线" w:hAnsi="等线" w:eastAsia="等线" w:cs="宋体"/>
                <w:color w:val="000000"/>
                <w:kern w:val="0"/>
                <w:sz w:val="20"/>
                <w:szCs w:val="20"/>
              </w:rPr>
              <w:t>15%</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248"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8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8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50</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850" w:hRule="atLeast"/>
          <w:jc w:val="center"/>
        </w:trPr>
        <w:tc>
          <w:tcPr>
            <w:tcW w:w="590"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7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58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85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（30分）</w:t>
            </w:r>
          </w:p>
        </w:tc>
        <w:tc>
          <w:tcPr>
            <w:tcW w:w="466"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等线" w:hAnsi="等线" w:eastAsia="等线" w:cs="宋体"/>
                <w:color w:val="000000"/>
                <w:kern w:val="0"/>
                <w:sz w:val="20"/>
                <w:szCs w:val="20"/>
                <w:lang w:val="en-US" w:eastAsia="zh-CN" w:bidi="ar-SA"/>
              </w:rPr>
            </w:pPr>
            <w:r>
              <w:rPr>
                <w:rFonts w:hint="eastAsia" w:ascii="等线" w:hAnsi="等线" w:eastAsia="等线" w:cs="宋体"/>
                <w:color w:val="000000"/>
                <w:kern w:val="0"/>
                <w:sz w:val="20"/>
                <w:szCs w:val="20"/>
              </w:rPr>
              <w:t>年创经济效益</w:t>
            </w: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等线" w:hAnsi="等线" w:eastAsia="等线" w:cs="宋体"/>
                <w:color w:val="000000"/>
                <w:kern w:val="0"/>
                <w:sz w:val="20"/>
                <w:szCs w:val="20"/>
                <w:lang w:val="en-US" w:eastAsia="zh-CN" w:bidi="ar-SA"/>
              </w:rPr>
            </w:pPr>
            <w:r>
              <w:rPr>
                <w:rFonts w:hint="eastAsia" w:ascii="等线" w:hAnsi="等线" w:eastAsia="等线" w:cs="宋体"/>
                <w:color w:val="000000"/>
                <w:kern w:val="0"/>
                <w:sz w:val="20"/>
                <w:szCs w:val="20"/>
                <w:lang w:val="en-US" w:eastAsia="zh-CN"/>
              </w:rPr>
              <w:t>200</w:t>
            </w:r>
            <w:r>
              <w:rPr>
                <w:rFonts w:hint="eastAsia" w:ascii="等线" w:hAnsi="等线" w:eastAsia="等线" w:cs="宋体"/>
                <w:color w:val="000000"/>
                <w:kern w:val="0"/>
                <w:sz w:val="20"/>
                <w:szCs w:val="20"/>
              </w:rPr>
              <w:t>万元</w:t>
            </w:r>
          </w:p>
        </w:tc>
        <w:tc>
          <w:tcPr>
            <w:tcW w:w="58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等线" w:hAnsi="等线" w:eastAsia="等线" w:cs="宋体"/>
                <w:color w:val="000000"/>
                <w:kern w:val="0"/>
                <w:sz w:val="20"/>
                <w:szCs w:val="20"/>
                <w:lang w:val="en-US" w:eastAsia="zh-CN" w:bidi="ar-SA"/>
              </w:rPr>
            </w:pPr>
            <w:r>
              <w:rPr>
                <w:rFonts w:hint="eastAsia" w:ascii="等线" w:hAnsi="等线" w:eastAsia="等线" w:cs="宋体"/>
                <w:color w:val="000000"/>
                <w:kern w:val="0"/>
                <w:sz w:val="20"/>
                <w:szCs w:val="20"/>
                <w:lang w:val="en-US" w:eastAsia="zh-CN"/>
              </w:rPr>
              <w:t>300</w:t>
            </w:r>
            <w:r>
              <w:rPr>
                <w:rFonts w:hint="eastAsia" w:ascii="等线" w:hAnsi="等线" w:eastAsia="等线" w:cs="宋体"/>
                <w:color w:val="000000"/>
                <w:kern w:val="0"/>
                <w:sz w:val="20"/>
                <w:szCs w:val="20"/>
              </w:rPr>
              <w:t>万元</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等线" w:hAnsi="等线" w:eastAsia="等线" w:cs="宋体"/>
                <w:color w:val="000000"/>
                <w:kern w:val="0"/>
                <w:sz w:val="20"/>
                <w:szCs w:val="20"/>
                <w:lang w:val="en-US" w:eastAsia="zh-CN" w:bidi="ar-SA"/>
              </w:rPr>
            </w:pPr>
            <w:r>
              <w:rPr>
                <w:rFonts w:hint="eastAsia" w:ascii="等线" w:hAnsi="等线" w:eastAsia="等线" w:cs="宋体"/>
                <w:color w:val="000000"/>
                <w:kern w:val="0"/>
                <w:sz w:val="20"/>
                <w:szCs w:val="20"/>
              </w:rPr>
              <w:t>损失率下降</w:t>
            </w: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等线" w:hAnsi="等线" w:eastAsia="等线" w:cs="宋体"/>
                <w:color w:val="000000"/>
                <w:kern w:val="0"/>
                <w:sz w:val="20"/>
                <w:szCs w:val="20"/>
                <w:lang w:val="en-US" w:eastAsia="zh-CN" w:bidi="ar-SA"/>
              </w:rPr>
            </w:pPr>
            <w:r>
              <w:rPr>
                <w:rFonts w:hint="eastAsia" w:ascii="等线" w:hAnsi="等线" w:eastAsia="等线" w:cs="宋体"/>
                <w:color w:val="000000"/>
                <w:kern w:val="0"/>
                <w:sz w:val="20"/>
                <w:szCs w:val="20"/>
              </w:rPr>
              <w:t>10%</w:t>
            </w:r>
          </w:p>
        </w:tc>
        <w:tc>
          <w:tcPr>
            <w:tcW w:w="58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等线" w:hAnsi="等线" w:eastAsia="等线" w:cs="宋体"/>
                <w:color w:val="000000"/>
                <w:kern w:val="0"/>
                <w:sz w:val="20"/>
                <w:szCs w:val="20"/>
                <w:lang w:val="en-US" w:eastAsia="zh-CN" w:bidi="ar-SA"/>
              </w:rPr>
            </w:pPr>
            <w:r>
              <w:rPr>
                <w:rFonts w:hint="eastAsia" w:ascii="等线" w:hAnsi="等线" w:eastAsia="等线" w:cs="宋体"/>
                <w:color w:val="000000"/>
                <w:kern w:val="0"/>
                <w:sz w:val="20"/>
                <w:szCs w:val="20"/>
              </w:rPr>
              <w:t>20%</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等线" w:hAnsi="等线" w:eastAsia="等线" w:cs="宋体"/>
                <w:color w:val="000000"/>
                <w:kern w:val="0"/>
                <w:sz w:val="20"/>
                <w:szCs w:val="20"/>
                <w:lang w:val="en-US" w:eastAsia="zh-CN" w:bidi="ar-SA"/>
              </w:rPr>
            </w:pPr>
            <w:r>
              <w:rPr>
                <w:rFonts w:hint="eastAsia" w:ascii="等线" w:hAnsi="等线" w:eastAsia="等线" w:cs="宋体"/>
                <w:color w:val="000000"/>
                <w:kern w:val="0"/>
                <w:sz w:val="20"/>
                <w:szCs w:val="20"/>
              </w:rPr>
              <w:t>溢价能力增长</w:t>
            </w:r>
          </w:p>
        </w:tc>
        <w:tc>
          <w:tcPr>
            <w:tcW w:w="594"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等线" w:hAnsi="等线" w:eastAsia="等线" w:cs="宋体"/>
                <w:color w:val="000000"/>
                <w:kern w:val="0"/>
                <w:sz w:val="20"/>
                <w:szCs w:val="20"/>
                <w:lang w:val="en-US" w:eastAsia="zh-CN" w:bidi="ar-SA"/>
              </w:rPr>
            </w:pPr>
            <w:r>
              <w:rPr>
                <w:rFonts w:hint="eastAsia" w:ascii="等线" w:hAnsi="等线" w:eastAsia="等线" w:cs="宋体"/>
                <w:color w:val="000000"/>
                <w:kern w:val="0"/>
                <w:sz w:val="20"/>
                <w:szCs w:val="20"/>
              </w:rPr>
              <w:t>5%</w:t>
            </w:r>
          </w:p>
        </w:tc>
        <w:tc>
          <w:tcPr>
            <w:tcW w:w="580"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等线" w:hAnsi="等线" w:eastAsia="等线" w:cs="宋体"/>
                <w:color w:val="000000"/>
                <w:kern w:val="0"/>
                <w:sz w:val="20"/>
                <w:szCs w:val="20"/>
                <w:lang w:val="en-US" w:eastAsia="zh-CN" w:bidi="ar-SA"/>
              </w:rPr>
            </w:pPr>
            <w:r>
              <w:rPr>
                <w:rFonts w:hint="eastAsia" w:ascii="等线" w:hAnsi="等线" w:eastAsia="等线" w:cs="宋体"/>
                <w:color w:val="000000"/>
                <w:kern w:val="0"/>
                <w:sz w:val="20"/>
                <w:szCs w:val="20"/>
              </w:rPr>
              <w:t>8%</w:t>
            </w:r>
          </w:p>
        </w:tc>
        <w:tc>
          <w:tcPr>
            <w:tcW w:w="31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等线" w:hAnsi="等线" w:eastAsia="等线" w:cs="宋体"/>
                <w:color w:val="000000"/>
                <w:kern w:val="0"/>
                <w:sz w:val="20"/>
                <w:szCs w:val="20"/>
                <w:lang w:val="en-US" w:eastAsia="zh-CN" w:bidi="ar-SA"/>
              </w:rPr>
            </w:pPr>
            <w:r>
              <w:rPr>
                <w:rFonts w:hint="eastAsia" w:ascii="等线" w:hAnsi="等线" w:eastAsia="等线" w:cs="宋体"/>
                <w:color w:val="000000"/>
                <w:kern w:val="0"/>
                <w:sz w:val="20"/>
                <w:szCs w:val="20"/>
              </w:rPr>
              <w:t>带动贫困户</w:t>
            </w:r>
          </w:p>
        </w:tc>
        <w:tc>
          <w:tcPr>
            <w:tcW w:w="594" w:type="pct"/>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等线" w:hAnsi="等线" w:eastAsia="等线" w:cs="宋体"/>
                <w:color w:val="000000"/>
                <w:kern w:val="0"/>
                <w:sz w:val="20"/>
                <w:szCs w:val="20"/>
                <w:lang w:val="en-US" w:eastAsia="zh-CN" w:bidi="ar-SA"/>
              </w:rPr>
            </w:pPr>
            <w:r>
              <w:rPr>
                <w:rFonts w:hint="eastAsia" w:ascii="等线" w:hAnsi="等线" w:eastAsia="等线" w:cs="宋体"/>
                <w:color w:val="000000"/>
                <w:kern w:val="0"/>
                <w:sz w:val="20"/>
                <w:szCs w:val="20"/>
                <w:lang w:val="en-US" w:eastAsia="zh-CN"/>
              </w:rPr>
              <w:t>3</w:t>
            </w:r>
            <w:r>
              <w:rPr>
                <w:rFonts w:hint="eastAsia" w:ascii="等线" w:hAnsi="等线" w:eastAsia="等线" w:cs="宋体"/>
                <w:color w:val="000000"/>
                <w:kern w:val="0"/>
                <w:sz w:val="20"/>
                <w:szCs w:val="20"/>
              </w:rPr>
              <w:t>00户</w:t>
            </w:r>
          </w:p>
        </w:tc>
        <w:tc>
          <w:tcPr>
            <w:tcW w:w="580" w:type="pct"/>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等线" w:hAnsi="等线" w:eastAsia="等线" w:cs="宋体"/>
                <w:color w:val="000000"/>
                <w:kern w:val="0"/>
                <w:sz w:val="20"/>
                <w:szCs w:val="20"/>
                <w:lang w:val="en-US" w:eastAsia="zh-CN" w:bidi="ar-SA"/>
              </w:rPr>
            </w:pPr>
            <w:r>
              <w:rPr>
                <w:rFonts w:hint="eastAsia" w:ascii="等线" w:hAnsi="等线" w:eastAsia="等线" w:cs="宋体"/>
                <w:color w:val="000000"/>
                <w:kern w:val="0"/>
                <w:sz w:val="20"/>
                <w:szCs w:val="20"/>
                <w:lang w:val="en-US" w:eastAsia="zh-CN"/>
              </w:rPr>
              <w:t>358</w:t>
            </w:r>
            <w:r>
              <w:rPr>
                <w:rFonts w:hint="eastAsia" w:ascii="等线" w:hAnsi="等线" w:eastAsia="等线" w:cs="宋体"/>
                <w:color w:val="000000"/>
                <w:kern w:val="0"/>
                <w:sz w:val="20"/>
                <w:szCs w:val="20"/>
              </w:rPr>
              <w:t>户</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等线" w:hAnsi="等线" w:eastAsia="等线" w:cs="宋体"/>
                <w:color w:val="000000"/>
                <w:kern w:val="0"/>
                <w:sz w:val="20"/>
                <w:szCs w:val="20"/>
                <w:lang w:val="en-US" w:eastAsia="zh-CN" w:bidi="ar-SA"/>
              </w:rPr>
            </w:pPr>
            <w:r>
              <w:rPr>
                <w:rFonts w:hint="eastAsia" w:ascii="等线" w:hAnsi="等线" w:eastAsia="等线" w:cs="宋体"/>
                <w:color w:val="000000"/>
                <w:kern w:val="0"/>
                <w:sz w:val="20"/>
                <w:szCs w:val="20"/>
              </w:rPr>
              <w:t>带动产业发展</w:t>
            </w:r>
          </w:p>
        </w:tc>
        <w:tc>
          <w:tcPr>
            <w:tcW w:w="594" w:type="pct"/>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等线" w:hAnsi="等线" w:eastAsia="等线" w:cs="宋体"/>
                <w:color w:val="000000"/>
                <w:kern w:val="0"/>
                <w:sz w:val="20"/>
                <w:szCs w:val="20"/>
                <w:lang w:val="en-US" w:eastAsia="zh-CN" w:bidi="ar-SA"/>
              </w:rPr>
            </w:pPr>
            <w:r>
              <w:rPr>
                <w:rFonts w:hint="eastAsia" w:ascii="等线" w:hAnsi="等线" w:eastAsia="等线" w:cs="宋体"/>
                <w:color w:val="000000"/>
                <w:kern w:val="0"/>
                <w:sz w:val="20"/>
                <w:szCs w:val="20"/>
                <w:lang w:val="en-US" w:eastAsia="zh-CN"/>
              </w:rPr>
              <w:t>140</w:t>
            </w:r>
            <w:r>
              <w:rPr>
                <w:rFonts w:hint="eastAsia" w:ascii="等线" w:hAnsi="等线" w:eastAsia="等线" w:cs="宋体"/>
                <w:color w:val="000000"/>
                <w:kern w:val="0"/>
                <w:sz w:val="20"/>
                <w:szCs w:val="20"/>
              </w:rPr>
              <w:t>家</w:t>
            </w:r>
          </w:p>
        </w:tc>
        <w:tc>
          <w:tcPr>
            <w:tcW w:w="580" w:type="pct"/>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等线" w:hAnsi="等线" w:eastAsia="等线" w:cs="宋体"/>
                <w:color w:val="000000"/>
                <w:kern w:val="0"/>
                <w:sz w:val="20"/>
                <w:szCs w:val="20"/>
                <w:lang w:val="en-US" w:eastAsia="zh-CN" w:bidi="ar-SA"/>
              </w:rPr>
            </w:pPr>
            <w:r>
              <w:rPr>
                <w:rFonts w:hint="eastAsia" w:ascii="等线" w:hAnsi="等线" w:eastAsia="等线" w:cs="宋体"/>
                <w:color w:val="000000"/>
                <w:kern w:val="0"/>
                <w:sz w:val="20"/>
                <w:szCs w:val="20"/>
                <w:lang w:val="en-US" w:eastAsia="zh-CN"/>
              </w:rPr>
              <w:t>160</w:t>
            </w:r>
            <w:r>
              <w:rPr>
                <w:rFonts w:hint="eastAsia" w:ascii="等线" w:hAnsi="等线" w:eastAsia="等线" w:cs="宋体"/>
                <w:color w:val="000000"/>
                <w:kern w:val="0"/>
                <w:sz w:val="20"/>
                <w:szCs w:val="20"/>
              </w:rPr>
              <w:t>家</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206"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8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5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等线" w:hAnsi="等线" w:eastAsia="等线" w:cs="宋体"/>
                <w:color w:val="000000"/>
                <w:kern w:val="0"/>
                <w:sz w:val="20"/>
                <w:szCs w:val="20"/>
                <w:lang w:val="en-US" w:eastAsia="zh-CN" w:bidi="ar-SA"/>
              </w:rPr>
            </w:pPr>
            <w:r>
              <w:rPr>
                <w:rFonts w:hint="eastAsia" w:ascii="等线" w:hAnsi="等线" w:eastAsia="等线" w:cs="宋体"/>
                <w:color w:val="000000"/>
                <w:kern w:val="0"/>
                <w:sz w:val="20"/>
                <w:szCs w:val="20"/>
              </w:rPr>
              <w:t>农产品质量标准提高</w:t>
            </w:r>
          </w:p>
        </w:tc>
        <w:tc>
          <w:tcPr>
            <w:tcW w:w="594" w:type="pct"/>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等线" w:hAnsi="等线" w:eastAsia="等线" w:cs="宋体"/>
                <w:color w:val="000000"/>
                <w:kern w:val="0"/>
                <w:sz w:val="20"/>
                <w:szCs w:val="20"/>
                <w:lang w:val="en-US" w:eastAsia="zh-CN" w:bidi="ar-SA"/>
              </w:rPr>
            </w:pPr>
            <w:r>
              <w:rPr>
                <w:rFonts w:hint="eastAsia" w:ascii="等线" w:hAnsi="等线" w:eastAsia="等线" w:cs="宋体"/>
                <w:color w:val="000000"/>
                <w:kern w:val="0"/>
                <w:sz w:val="20"/>
                <w:szCs w:val="20"/>
              </w:rPr>
              <w:t>8%</w:t>
            </w:r>
          </w:p>
        </w:tc>
        <w:tc>
          <w:tcPr>
            <w:tcW w:w="580" w:type="pct"/>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等线" w:hAnsi="等线" w:eastAsia="等线" w:cs="宋体"/>
                <w:color w:val="000000"/>
                <w:kern w:val="0"/>
                <w:sz w:val="20"/>
                <w:szCs w:val="20"/>
                <w:lang w:val="en-US" w:eastAsia="zh-CN" w:bidi="ar-SA"/>
              </w:rPr>
            </w:pPr>
            <w:r>
              <w:rPr>
                <w:rFonts w:hint="eastAsia" w:ascii="等线" w:hAnsi="等线" w:eastAsia="等线" w:cs="宋体"/>
                <w:color w:val="000000"/>
                <w:kern w:val="0"/>
                <w:sz w:val="20"/>
                <w:szCs w:val="20"/>
              </w:rPr>
              <w:t>10%</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等线" w:hAnsi="等线" w:eastAsia="等线" w:cs="宋体"/>
                <w:color w:val="000000"/>
                <w:kern w:val="0"/>
                <w:sz w:val="20"/>
                <w:szCs w:val="20"/>
                <w:lang w:val="en-US" w:eastAsia="zh-CN" w:bidi="ar-SA"/>
              </w:rPr>
            </w:pPr>
            <w:r>
              <w:rPr>
                <w:rFonts w:hint="eastAsia" w:ascii="等线" w:hAnsi="等线" w:eastAsia="等线" w:cs="宋体"/>
                <w:color w:val="000000"/>
                <w:kern w:val="0"/>
                <w:sz w:val="20"/>
                <w:szCs w:val="20"/>
              </w:rPr>
              <w:t>商品化处理能力</w:t>
            </w:r>
          </w:p>
        </w:tc>
        <w:tc>
          <w:tcPr>
            <w:tcW w:w="594" w:type="pct"/>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等线" w:hAnsi="等线" w:eastAsia="等线" w:cs="宋体"/>
                <w:color w:val="000000"/>
                <w:kern w:val="0"/>
                <w:sz w:val="20"/>
                <w:szCs w:val="20"/>
                <w:lang w:val="en-US" w:eastAsia="zh-CN" w:bidi="ar-SA"/>
              </w:rPr>
            </w:pPr>
            <w:r>
              <w:rPr>
                <w:rFonts w:hint="eastAsia" w:ascii="等线" w:hAnsi="等线" w:eastAsia="等线" w:cs="宋体"/>
                <w:color w:val="000000"/>
                <w:kern w:val="0"/>
                <w:sz w:val="20"/>
                <w:szCs w:val="20"/>
              </w:rPr>
              <w:t>5%</w:t>
            </w:r>
          </w:p>
        </w:tc>
        <w:tc>
          <w:tcPr>
            <w:tcW w:w="580" w:type="pct"/>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等线" w:hAnsi="等线" w:eastAsia="等线" w:cs="宋体"/>
                <w:color w:val="000000"/>
                <w:kern w:val="0"/>
                <w:sz w:val="20"/>
                <w:szCs w:val="20"/>
                <w:lang w:val="en-US" w:eastAsia="zh-CN" w:bidi="ar-SA"/>
              </w:rPr>
            </w:pPr>
            <w:r>
              <w:rPr>
                <w:rFonts w:hint="eastAsia" w:ascii="等线" w:hAnsi="等线" w:eastAsia="等线" w:cs="宋体"/>
                <w:color w:val="000000"/>
                <w:kern w:val="0"/>
                <w:sz w:val="20"/>
                <w:szCs w:val="20"/>
              </w:rPr>
              <w:t>8%</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170"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8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328"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可持续影响指标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8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4"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80"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10"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8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28</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（10分）</w:t>
            </w:r>
          </w:p>
        </w:tc>
        <w:tc>
          <w:tcPr>
            <w:tcW w:w="466"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服务对象满意度指标</w:t>
            </w: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等线" w:hAnsi="等线" w:eastAsia="等线" w:cs="宋体"/>
                <w:color w:val="000000"/>
                <w:kern w:val="0"/>
                <w:sz w:val="20"/>
                <w:szCs w:val="20"/>
                <w:lang w:val="en-US" w:eastAsia="zh-CN" w:bidi="ar-SA"/>
              </w:rPr>
            </w:pPr>
            <w:r>
              <w:rPr>
                <w:rFonts w:hint="eastAsia" w:ascii="等线" w:hAnsi="等线" w:eastAsia="等线" w:cs="宋体"/>
                <w:color w:val="000000"/>
                <w:kern w:val="0"/>
                <w:sz w:val="20"/>
                <w:szCs w:val="20"/>
              </w:rPr>
              <w:t>满意度　</w:t>
            </w:r>
          </w:p>
        </w:tc>
        <w:tc>
          <w:tcPr>
            <w:tcW w:w="594" w:type="pct"/>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等线" w:hAnsi="等线" w:eastAsia="等线" w:cs="宋体"/>
                <w:color w:val="000000"/>
                <w:kern w:val="0"/>
                <w:sz w:val="20"/>
                <w:szCs w:val="20"/>
                <w:lang w:val="en-US" w:eastAsia="zh-CN" w:bidi="ar-SA"/>
              </w:rPr>
            </w:pPr>
            <w:r>
              <w:rPr>
                <w:rFonts w:hint="eastAsia" w:ascii="等线" w:hAnsi="等线" w:eastAsia="等线" w:cs="宋体"/>
                <w:color w:val="000000"/>
                <w:kern w:val="0"/>
                <w:sz w:val="20"/>
                <w:szCs w:val="20"/>
              </w:rPr>
              <w:t>100%　</w:t>
            </w:r>
          </w:p>
        </w:tc>
        <w:tc>
          <w:tcPr>
            <w:tcW w:w="580" w:type="pct"/>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等线" w:hAnsi="等线" w:eastAsia="等线" w:cs="宋体"/>
                <w:color w:val="000000"/>
                <w:kern w:val="0"/>
                <w:sz w:val="20"/>
                <w:szCs w:val="20"/>
                <w:lang w:val="en-US" w:eastAsia="zh-CN" w:bidi="ar-SA"/>
              </w:rPr>
            </w:pPr>
            <w:r>
              <w:rPr>
                <w:rFonts w:hint="eastAsia" w:ascii="等线" w:hAnsi="等线" w:eastAsia="等线" w:cs="宋体"/>
                <w:color w:val="000000"/>
                <w:kern w:val="0"/>
                <w:sz w:val="20"/>
                <w:szCs w:val="20"/>
              </w:rPr>
              <w:t>100%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466"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8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536" w:hRule="atLeast"/>
          <w:jc w:val="center"/>
        </w:trPr>
        <w:tc>
          <w:tcPr>
            <w:tcW w:w="590"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466"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8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89" w:hRule="atLeast"/>
          <w:jc w:val="center"/>
        </w:trPr>
        <w:tc>
          <w:tcPr>
            <w:tcW w:w="3274" w:type="pct"/>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总分</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98</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bl>
    <w:p>
      <w:pPr>
        <w:rPr>
          <w:rFonts w:hint="eastAsia" w:eastAsia="仿宋_GB2312" w:cs="Times New Roman"/>
          <w:sz w:val="22"/>
          <w:lang w:val="en-US" w:eastAsia="zh-CN"/>
        </w:rPr>
      </w:pPr>
      <w:r>
        <w:rPr>
          <w:rFonts w:hint="default" w:ascii="Times New Roman" w:hAnsi="Times New Roman" w:eastAsia="仿宋_GB2312" w:cs="Times New Roman"/>
          <w:sz w:val="22"/>
        </w:rPr>
        <w:t>说明：</w:t>
      </w:r>
      <w:r>
        <w:rPr>
          <w:rFonts w:hint="eastAsia" w:eastAsia="仿宋_GB2312" w:cs="Times New Roman"/>
          <w:sz w:val="22"/>
          <w:lang w:eastAsia="zh-CN"/>
        </w:rPr>
        <w:t>以上数据参照</w:t>
      </w:r>
      <w:r>
        <w:rPr>
          <w:rFonts w:hint="eastAsia" w:eastAsia="仿宋_GB2312" w:cs="Times New Roman"/>
          <w:sz w:val="22"/>
          <w:lang w:val="en-US" w:eastAsia="zh-CN"/>
        </w:rPr>
        <w:t>2022年部门决算报表中的“收入支出决算总表”(财决01表)。</w:t>
      </w:r>
    </w:p>
    <w:p>
      <w:pPr>
        <w:pStyle w:val="4"/>
        <w:rPr>
          <w:rFonts w:hint="default"/>
          <w:lang w:val="en-US" w:eastAsia="zh-CN"/>
        </w:rPr>
      </w:pPr>
    </w:p>
    <w:p>
      <w:pPr>
        <w:rPr>
          <w:rFonts w:hint="eastAsia" w:ascii="黑体" w:hAnsi="黑体" w:eastAsia="黑体" w:cs="黑体"/>
          <w:sz w:val="32"/>
          <w:szCs w:val="32"/>
          <w:lang w:val="en-US" w:eastAsia="zh-CN"/>
        </w:rPr>
      </w:pPr>
      <w:r>
        <w:rPr>
          <w:rFonts w:hint="default" w:ascii="Times New Roman" w:hAnsi="Times New Roman" w:eastAsia="仿宋_GB2312" w:cs="Times New Roman"/>
          <w:sz w:val="22"/>
          <w:szCs w:val="22"/>
        </w:rPr>
        <w:t xml:space="preserve">填表人：      填报日期：         联系电话：     </w:t>
      </w:r>
      <w:r>
        <w:rPr>
          <w:rFonts w:hint="eastAsia" w:ascii="Times New Roman" w:hAnsi="Times New Roman" w:eastAsia="仿宋_GB2312" w:cs="Times New Roman"/>
          <w:sz w:val="22"/>
          <w:szCs w:val="22"/>
          <w:lang w:val="en-US" w:eastAsia="zh-CN"/>
        </w:rPr>
        <w:t xml:space="preserve">           </w:t>
      </w:r>
      <w:r>
        <w:rPr>
          <w:rFonts w:hint="default" w:ascii="Times New Roman" w:hAnsi="Times New Roman" w:eastAsia="仿宋_GB2312" w:cs="Times New Roman"/>
          <w:sz w:val="22"/>
          <w:szCs w:val="22"/>
        </w:rPr>
        <w:t>单位负责人签字：</w:t>
      </w:r>
      <w:r>
        <w:rPr>
          <w:rFonts w:hint="default" w:ascii="Times New Roman" w:hAnsi="Times New Roman" w:eastAsia="仿宋_GB2312" w:cs="Times New Roman"/>
          <w:sz w:val="22"/>
          <w:szCs w:val="22"/>
        </w:rPr>
        <w:br w:type="page"/>
      </w: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jc w:val="center"/>
        <w:rPr>
          <w:rFonts w:hint="default" w:ascii="Times New Roman" w:hAnsi="Times New Roman" w:eastAsia="方正小标宋_GBK" w:cs="Times New Roman"/>
          <w:sz w:val="52"/>
          <w:szCs w:val="52"/>
        </w:rPr>
      </w:pP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val="en-US" w:eastAsia="zh-CN"/>
        </w:rPr>
        <w:t>华容县农村经营服务中心</w:t>
      </w:r>
      <w:r>
        <w:rPr>
          <w:rFonts w:hint="eastAsia" w:ascii="方正小标宋简体" w:hAnsi="方正小标宋简体" w:eastAsia="方正小标宋简体" w:cs="方正小标宋简体"/>
          <w:sz w:val="44"/>
          <w:szCs w:val="44"/>
        </w:rPr>
        <w:t>整体支出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 xml:space="preserve">年 </w:t>
      </w:r>
      <w:r>
        <w:rPr>
          <w:rFonts w:hint="eastAsia" w:eastAsia="楷体_GB2312" w:cs="Times New Roman"/>
          <w:sz w:val="32"/>
          <w:szCs w:val="32"/>
          <w:lang w:val="en-US" w:eastAsia="zh-CN"/>
        </w:rPr>
        <w:t>07</w:t>
      </w:r>
      <w:r>
        <w:rPr>
          <w:rFonts w:hint="default" w:ascii="Times New Roman" w:hAnsi="Times New Roman" w:eastAsia="楷体_GB2312" w:cs="Times New Roman"/>
          <w:sz w:val="32"/>
          <w:szCs w:val="32"/>
        </w:rPr>
        <w:t>月</w:t>
      </w:r>
      <w:r>
        <w:rPr>
          <w:rFonts w:hint="eastAsia" w:eastAsia="楷体_GB2312" w:cs="Times New Roman"/>
          <w:sz w:val="32"/>
          <w:szCs w:val="32"/>
          <w:lang w:val="en-US" w:eastAsia="zh-CN"/>
        </w:rPr>
        <w:t>17</w:t>
      </w:r>
      <w:r>
        <w:rPr>
          <w:rFonts w:hint="default" w:ascii="Times New Roman" w:hAnsi="Times New Roman" w:eastAsia="楷体_GB2312" w:cs="Times New Roman"/>
          <w:sz w:val="32"/>
          <w:szCs w:val="32"/>
        </w:rPr>
        <w:t>日</w:t>
      </w:r>
    </w:p>
    <w:p>
      <w:pPr>
        <w:jc w:val="center"/>
        <w:rPr>
          <w:rFonts w:hint="default" w:ascii="Times New Roman" w:hAnsi="Times New Roman" w:eastAsia="仿宋_GB2312" w:cs="Times New Roman"/>
          <w:sz w:val="32"/>
          <w:szCs w:val="32"/>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r>
        <w:rPr>
          <w:rFonts w:hint="default" w:ascii="Times New Roman" w:hAnsi="Times New Roman" w:eastAsia="仿宋_GB2312" w:cs="Times New Roman"/>
          <w:sz w:val="32"/>
          <w:szCs w:val="32"/>
        </w:rPr>
        <w:t>（此页为封面）</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val="en-US" w:eastAsia="zh-CN"/>
        </w:rPr>
        <w:t>华容县农村经营服务中心</w:t>
      </w:r>
      <w:r>
        <w:rPr>
          <w:rFonts w:hint="eastAsia" w:ascii="方正小标宋简体" w:hAnsi="方正小标宋简体" w:eastAsia="方正小标宋简体" w:cs="方正小标宋简体"/>
          <w:sz w:val="44"/>
          <w:szCs w:val="44"/>
        </w:rPr>
        <w:t>整体支出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sz w:val="32"/>
          <w:szCs w:val="32"/>
        </w:rPr>
      </w:pPr>
    </w:p>
    <w:p>
      <w:pPr>
        <w:numPr>
          <w:ilvl w:val="0"/>
          <w:numId w:val="0"/>
        </w:numPr>
        <w:ind w:firstLine="647"/>
        <w:rPr>
          <w:rFonts w:hint="eastAsia" w:eastAsia="仿宋_GB2312"/>
          <w:sz w:val="30"/>
          <w:szCs w:val="30"/>
        </w:rPr>
      </w:pPr>
      <w:r>
        <w:rPr>
          <w:rFonts w:hint="eastAsia" w:eastAsia="仿宋_GB2312"/>
          <w:sz w:val="30"/>
          <w:szCs w:val="30"/>
        </w:rPr>
        <w:t>(一)项目概况。</w:t>
      </w:r>
    </w:p>
    <w:p>
      <w:pPr>
        <w:numPr>
          <w:ilvl w:val="0"/>
          <w:numId w:val="0"/>
        </w:numPr>
        <w:ind w:firstLine="647"/>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根据《湖南省财政厅关于下达2022年中央农业适度规模经营补助资金的通知》文件精神，结合我县实际综合考虑粮食产量、种粮面积、新型经营主体的适度规模等因素，</w:t>
      </w:r>
      <w:r>
        <w:rPr>
          <w:rFonts w:hint="eastAsia" w:ascii="楷体_GB2312" w:hAnsi="楷体_GB2312" w:eastAsia="楷体_GB2312" w:cs="楷体_GB2312"/>
          <w:color w:val="000000" w:themeColor="text1"/>
          <w:sz w:val="32"/>
          <w:szCs w:val="32"/>
          <w14:textFill>
            <w14:solidFill>
              <w14:schemeClr w14:val="tx1"/>
            </w14:solidFill>
          </w14:textFill>
        </w:rPr>
        <w:t>我们出台了</w:t>
      </w:r>
      <w:r>
        <w:rPr>
          <w:rFonts w:hint="eastAsia" w:ascii="楷体_GB2312" w:hAnsi="楷体_GB2312" w:eastAsia="楷体_GB2312" w:cs="楷体_GB2312"/>
          <w:color w:val="000000" w:themeColor="text1"/>
          <w:sz w:val="32"/>
          <w:szCs w:val="32"/>
          <w:lang w:eastAsia="zh-CN"/>
          <w14:textFill>
            <w14:solidFill>
              <w14:schemeClr w14:val="tx1"/>
            </w14:solidFill>
          </w14:textFill>
        </w:rPr>
        <w:t>《</w:t>
      </w:r>
      <w:r>
        <w:rPr>
          <w:rFonts w:hint="eastAsia" w:ascii="楷体_GB2312" w:hAnsi="楷体_GB2312" w:eastAsia="楷体_GB2312" w:cs="楷体_GB2312"/>
          <w:color w:val="000000" w:themeColor="text1"/>
          <w:sz w:val="32"/>
          <w:szCs w:val="32"/>
          <w14:textFill>
            <w14:solidFill>
              <w14:schemeClr w14:val="tx1"/>
            </w14:solidFill>
          </w14:textFill>
        </w:rPr>
        <w:t>华容县</w:t>
      </w:r>
      <w:r>
        <w:rPr>
          <w:rFonts w:hint="eastAsia" w:ascii="楷体_GB2312" w:hAnsi="楷体_GB2312" w:eastAsia="楷体_GB2312" w:cs="楷体_GB2312"/>
          <w:sz w:val="32"/>
          <w:szCs w:val="32"/>
          <w:lang w:val="en-US" w:eastAsia="zh-CN"/>
        </w:rPr>
        <w:t>2022年农业生产发展资金</w:t>
      </w:r>
      <w:r>
        <w:rPr>
          <w:rFonts w:hint="eastAsia" w:ascii="楷体_GB2312" w:hAnsi="楷体_GB2312" w:eastAsia="楷体_GB2312" w:cs="楷体_GB2312"/>
          <w:color w:val="000000" w:themeColor="text1"/>
          <w:sz w:val="32"/>
          <w:szCs w:val="32"/>
          <w14:textFill>
            <w14:solidFill>
              <w14:schemeClr w14:val="tx1"/>
            </w14:solidFill>
          </w14:textFill>
        </w:rPr>
        <w:t>工作实施方案</w:t>
      </w:r>
      <w:r>
        <w:rPr>
          <w:rFonts w:hint="eastAsia" w:ascii="楷体_GB2312" w:hAnsi="楷体_GB2312" w:eastAsia="楷体_GB2312" w:cs="楷体_GB2312"/>
          <w:color w:val="000000" w:themeColor="text1"/>
          <w:sz w:val="32"/>
          <w:szCs w:val="32"/>
          <w:lang w:eastAsia="zh-CN"/>
          <w14:textFill>
            <w14:solidFill>
              <w14:schemeClr w14:val="tx1"/>
            </w14:solidFill>
          </w14:textFill>
        </w:rPr>
        <w:t>》，</w:t>
      </w:r>
      <w:r>
        <w:rPr>
          <w:rFonts w:hint="eastAsia" w:ascii="楷体_GB2312" w:hAnsi="楷体_GB2312" w:eastAsia="楷体_GB2312" w:cs="楷体_GB2312"/>
          <w:color w:val="000000" w:themeColor="text1"/>
          <w:sz w:val="32"/>
          <w:szCs w:val="32"/>
          <w14:textFill>
            <w14:solidFill>
              <w14:schemeClr w14:val="tx1"/>
            </w14:solidFill>
          </w14:textFill>
        </w:rPr>
        <w:t>明确了指导思想，拟定了实施原则和目标任务</w:t>
      </w:r>
      <w:r>
        <w:rPr>
          <w:rFonts w:hint="eastAsia" w:ascii="楷体_GB2312" w:hAnsi="楷体_GB2312" w:eastAsia="楷体_GB2312" w:cs="楷体_GB2312"/>
          <w:color w:val="000000" w:themeColor="text1"/>
          <w:sz w:val="32"/>
          <w:szCs w:val="32"/>
          <w:lang w:eastAsia="zh-CN"/>
          <w14:textFill>
            <w14:solidFill>
              <w14:schemeClr w14:val="tx1"/>
            </w14:solidFill>
          </w14:textFill>
        </w:rPr>
        <w:t>。</w:t>
      </w:r>
    </w:p>
    <w:p>
      <w:pPr>
        <w:numPr>
          <w:ilvl w:val="0"/>
          <w:numId w:val="0"/>
        </w:numPr>
        <w:ind w:firstLine="647"/>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结合我县实际，以服务小农户、推进服务带动型规模经营为主，此次补贴对象倾向于社会化服务发展比较充分、工作积极性高、基础条件扎实的农民合作社、专业服务组织等，着重推进粮食生产单环节托管、多环节托管、关键环节综合托管和全程托管等多种模式。引导小农户、家庭农场等农业适度规模经营主体，广泛接受集中育插（机抛）秧、推广无人机飞防等低成本、优品质、高效益的社会化服务。我们重点对集中育插（机抛）秧、无人机飞防服务两大关键环节进行资金扶持。</w:t>
      </w:r>
    </w:p>
    <w:p>
      <w:pPr>
        <w:numPr>
          <w:ilvl w:val="0"/>
          <w:numId w:val="1"/>
        </w:numPr>
        <w:spacing w:line="560" w:lineRule="exact"/>
        <w:ind w:firstLine="600" w:firstLineChars="200"/>
        <w:rPr>
          <w:rFonts w:hint="eastAsia" w:eastAsia="仿宋_GB2312"/>
          <w:sz w:val="30"/>
          <w:szCs w:val="30"/>
        </w:rPr>
      </w:pPr>
      <w:r>
        <w:rPr>
          <w:rFonts w:hint="eastAsia" w:eastAsia="仿宋_GB2312"/>
          <w:sz w:val="30"/>
          <w:szCs w:val="30"/>
        </w:rPr>
        <w:t>项目绩效目标。</w:t>
      </w:r>
    </w:p>
    <w:p>
      <w:pPr>
        <w:pageBreakBefore w:val="0"/>
        <w:kinsoku/>
        <w:wordWrap/>
        <w:overflowPunct/>
        <w:topLinePunct w:val="0"/>
        <w:autoSpaceDE/>
        <w:autoSpaceDN/>
        <w:bidi w:val="0"/>
        <w:spacing w:line="600" w:lineRule="exact"/>
        <w:ind w:firstLine="640" w:firstLineChars="200"/>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通过项目实施，大力发展以机械作业为主的社会化服务，进一步健全服务市场、规范服务行为、创新管理运行机制，完善政策支持体系，扶持一批规模化、规范化和专业化的社会化服务组织，实现专项服务标准化、综合服务全程化，示范带动全县农业生产服务能力提升，推进服务集中型规模经营发展，实现农业增效，农民增收。</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二、绩效评价工作开展情况</w:t>
      </w:r>
    </w:p>
    <w:p>
      <w:pPr>
        <w:spacing w:line="560" w:lineRule="exact"/>
        <w:ind w:firstLine="600" w:firstLineChars="200"/>
        <w:rPr>
          <w:rFonts w:hint="eastAsia" w:eastAsia="仿宋_GB2312"/>
          <w:sz w:val="30"/>
          <w:szCs w:val="30"/>
        </w:rPr>
      </w:pPr>
      <w:r>
        <w:rPr>
          <w:rFonts w:hint="eastAsia" w:eastAsia="仿宋_GB2312"/>
          <w:sz w:val="30"/>
          <w:szCs w:val="30"/>
        </w:rPr>
        <w:t>(一)绩效评价目的、对象和范围。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sz w:val="32"/>
          <w:szCs w:val="32"/>
          <w:lang w:val="en-US" w:eastAsia="zh-CN"/>
        </w:rPr>
        <w:t>根据《湖南省财政厅关于下达2022年中央农业适度规模经营补助资金的通知》补助资金455.14万元（</w:t>
      </w:r>
      <w:r>
        <w:rPr>
          <w:rFonts w:hint="eastAsia" w:ascii="楷体_GB2312" w:hAnsi="楷体_GB2312" w:eastAsia="楷体_GB2312" w:cs="楷体_GB2312"/>
          <w:color w:val="000000" w:themeColor="text1"/>
          <w:sz w:val="32"/>
          <w:szCs w:val="32"/>
          <w14:textFill>
            <w14:solidFill>
              <w14:schemeClr w14:val="tx1"/>
            </w14:solidFill>
          </w14:textFill>
        </w:rPr>
        <w:t>目前，资金拨付已全部到位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在全县范围内通过摸底排查及现场考评，结合社会化服务体系数据，对纳入补贴对象的新型经营主体采取“先服务后补贴”方式进行补助，严格补助程序，采取自下而上申报，村场、乡镇摸底核实，上报前进行网络公示，再由主管部门汇总、连同方案和分配明细在县人民政府门户网站再次公示，经县人民政府批准后拨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eastAsia="仿宋_GB2312"/>
          <w:sz w:val="30"/>
          <w:szCs w:val="30"/>
        </w:rPr>
      </w:pPr>
      <w:r>
        <w:rPr>
          <w:rFonts w:hint="eastAsia" w:ascii="楷体_GB2312" w:hAnsi="楷体_GB2312" w:eastAsia="楷体_GB2312" w:cs="楷体_GB2312"/>
          <w:color w:val="000000" w:themeColor="text1"/>
          <w:sz w:val="32"/>
          <w:szCs w:val="32"/>
          <w14:textFill>
            <w14:solidFill>
              <w14:schemeClr w14:val="tx1"/>
            </w14:solidFill>
          </w14:textFill>
        </w:rPr>
        <w:t>县农村经营服务中心对项目资金实行专账管理、专款专用。项目资金经相关业务部门在</w:t>
      </w:r>
      <w:r>
        <w:rPr>
          <w:rFonts w:hint="eastAsia" w:ascii="楷体_GB2312" w:hAnsi="楷体_GB2312" w:eastAsia="楷体_GB2312" w:cs="楷体_GB2312"/>
          <w:color w:val="000000" w:themeColor="text1"/>
          <w:sz w:val="32"/>
          <w:szCs w:val="32"/>
          <w:lang w:eastAsia="zh-CN"/>
          <w14:textFill>
            <w14:solidFill>
              <w14:schemeClr w14:val="tx1"/>
            </w14:solidFill>
          </w14:textFill>
        </w:rPr>
        <w:t>中央</w:t>
      </w:r>
      <w:r>
        <w:rPr>
          <w:rFonts w:hint="eastAsia" w:ascii="楷体_GB2312" w:hAnsi="楷体_GB2312" w:eastAsia="楷体_GB2312" w:cs="楷体_GB2312"/>
          <w:color w:val="000000" w:themeColor="text1"/>
          <w:sz w:val="32"/>
          <w:szCs w:val="32"/>
          <w14:textFill>
            <w14:solidFill>
              <w14:schemeClr w14:val="tx1"/>
            </w14:solidFill>
          </w14:textFill>
        </w:rPr>
        <w:t>农业</w:t>
      </w:r>
      <w:r>
        <w:rPr>
          <w:rFonts w:hint="eastAsia" w:ascii="楷体_GB2312" w:hAnsi="楷体_GB2312" w:eastAsia="楷体_GB2312" w:cs="楷体_GB2312"/>
          <w:color w:val="000000" w:themeColor="text1"/>
          <w:sz w:val="32"/>
          <w:szCs w:val="32"/>
          <w:lang w:eastAsia="zh-CN"/>
          <w14:textFill>
            <w14:solidFill>
              <w14:schemeClr w14:val="tx1"/>
            </w14:solidFill>
          </w14:textFill>
        </w:rPr>
        <w:t>适度规模经营补助资金</w:t>
      </w:r>
      <w:r>
        <w:rPr>
          <w:rFonts w:hint="eastAsia" w:ascii="楷体_GB2312" w:hAnsi="楷体_GB2312" w:eastAsia="楷体_GB2312" w:cs="楷体_GB2312"/>
          <w:color w:val="000000" w:themeColor="text1"/>
          <w:sz w:val="32"/>
          <w:szCs w:val="32"/>
          <w14:textFill>
            <w14:solidFill>
              <w14:schemeClr w14:val="tx1"/>
            </w14:solidFill>
          </w14:textFill>
        </w:rPr>
        <w:t>汇总表签字确认，按完成进度及时足额拨付到服务组织银行账号，资金使用规范，确保了资金安全。</w:t>
      </w:r>
    </w:p>
    <w:p>
      <w:pPr>
        <w:numPr>
          <w:ilvl w:val="0"/>
          <w:numId w:val="1"/>
        </w:numPr>
        <w:spacing w:line="560" w:lineRule="exact"/>
        <w:ind w:left="0" w:leftChars="0" w:firstLine="600" w:firstLineChars="200"/>
        <w:rPr>
          <w:rFonts w:hint="eastAsia" w:eastAsia="仿宋_GB2312"/>
          <w:sz w:val="30"/>
          <w:szCs w:val="30"/>
        </w:rPr>
      </w:pPr>
      <w:r>
        <w:rPr>
          <w:rFonts w:hint="eastAsia" w:eastAsia="仿宋_GB2312"/>
          <w:sz w:val="30"/>
          <w:szCs w:val="30"/>
        </w:rPr>
        <w:t>绩效评价原则、评价指标体系(附表说明)、评价方法、 评价标准等。</w:t>
      </w:r>
    </w:p>
    <w:p>
      <w:pPr>
        <w:numPr>
          <w:ilvl w:val="0"/>
          <w:numId w:val="1"/>
        </w:numPr>
        <w:spacing w:line="560" w:lineRule="exact"/>
        <w:ind w:left="0" w:leftChars="0" w:firstLine="600" w:firstLineChars="200"/>
        <w:rPr>
          <w:rFonts w:hint="eastAsia" w:eastAsia="仿宋_GB2312"/>
          <w:sz w:val="30"/>
          <w:szCs w:val="30"/>
        </w:rPr>
      </w:pPr>
      <w:r>
        <w:rPr>
          <w:rFonts w:hint="eastAsia" w:eastAsia="仿宋_GB2312"/>
          <w:sz w:val="30"/>
          <w:szCs w:val="30"/>
        </w:rPr>
        <w:t>绩效评价工作过程。</w:t>
      </w:r>
    </w:p>
    <w:p>
      <w:pPr>
        <w:pageBreakBefore w:val="0"/>
        <w:kinsoku/>
        <w:wordWrap/>
        <w:overflowPunct/>
        <w:topLinePunct w:val="0"/>
        <w:autoSpaceDE/>
        <w:autoSpaceDN/>
        <w:bidi w:val="0"/>
        <w:spacing w:line="600" w:lineRule="exact"/>
        <w:ind w:firstLine="640" w:firstLineChars="200"/>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通过项目实施，大力发展以机械作业为主的社会化服务，进一步健全服务市场、规范服务行为、创新管理运行机制，完善政策支持体系，扶持一批规模化、规范化和专业化的社会化服务组织，实现专项服务标准化、综合服务全程化，示范带动全县农业生产服务能力提升，推进服务集中型规模经营发展，实现农业增效，农民增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eastAsia="仿宋_GB2312"/>
          <w:sz w:val="30"/>
          <w:szCs w:val="30"/>
        </w:rPr>
      </w:pPr>
      <w:r>
        <w:rPr>
          <w:rFonts w:hint="eastAsia" w:ascii="楷体_GB2312" w:hAnsi="楷体_GB2312" w:eastAsia="楷体_GB2312" w:cs="楷体_GB2312"/>
          <w:sz w:val="32"/>
          <w:szCs w:val="32"/>
          <w:lang w:val="en-US" w:eastAsia="zh-CN"/>
        </w:rPr>
        <w:t>结合我县实际，以服务小农户、推进服务带动型规模经营为主，此次补贴对象倾向于社会化服务发展比较充分、工作积极性高、基础条件扎实的农民合作社、专业服务组织等，着重推进粮食生产单环节托管、多环节托管、关键环节综合托管和全程托管等多种模式。引导小农户、家庭农场等农业适度规模经营主体，广泛接受集中育插（机抛）秧、推广无人机飞防等低成本、优品质、高效益的社会化服务。我们重点对集中育插（机抛）秧、无人机飞防服务两大关键环节进行资金扶持。</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三、综合评价情况及评价结论 (附相关评分表)</w:t>
      </w:r>
    </w:p>
    <w:p>
      <w:pPr>
        <w:pStyle w:val="2"/>
        <w:spacing w:afterLines="80" w:line="520" w:lineRule="atLeast"/>
        <w:ind w:firstLine="640" w:firstLineChars="200"/>
        <w:jc w:val="left"/>
        <w:rPr>
          <w:rFonts w:hint="eastAsia" w:ascii="楷体_GB2312" w:hAnsi="楷体_GB2312" w:eastAsia="楷体_GB2312" w:cs="楷体_GB2312"/>
          <w:bCs w:val="0"/>
          <w:kern w:val="2"/>
          <w:sz w:val="32"/>
          <w:szCs w:val="32"/>
          <w:lang w:val="en-US" w:eastAsia="zh-CN" w:bidi="ar-SA"/>
        </w:rPr>
      </w:pPr>
      <w:r>
        <w:rPr>
          <w:rFonts w:hint="eastAsia" w:ascii="楷体_GB2312" w:hAnsi="楷体_GB2312" w:eastAsia="楷体_GB2312" w:cs="楷体_GB2312"/>
          <w:bCs w:val="0"/>
          <w:kern w:val="2"/>
          <w:sz w:val="32"/>
          <w:szCs w:val="32"/>
          <w:lang w:val="en-US" w:eastAsia="zh-CN" w:bidi="ar-SA"/>
        </w:rPr>
        <w:t>严格按照项目实施要求和资金使用方案实施项目，项目申报阶段对拟实施项目的主体在县政府门户网站上进行公示，无异议后方可实施项目。项目完工后财政局、农业农村局相关股室联合验收合格后，核定项目奖补金额，并在县政府门户网站上公示无异议后由县财政直接补贴到实施主体，做到项目实施、验收、补贴全程公开透。</w:t>
      </w:r>
    </w:p>
    <w:p>
      <w:pPr>
        <w:pStyle w:val="2"/>
        <w:spacing w:afterLines="80" w:line="520" w:lineRule="atLeast"/>
        <w:ind w:firstLine="600" w:firstLineChars="200"/>
        <w:jc w:val="left"/>
        <w:rPr>
          <w:rFonts w:hint="eastAsia"/>
        </w:rPr>
      </w:pPr>
      <w:r>
        <w:rPr>
          <w:rFonts w:hint="eastAsia" w:ascii="黑体" w:hAnsi="黑体" w:eastAsia="黑体" w:cs="黑体"/>
          <w:sz w:val="30"/>
          <w:szCs w:val="30"/>
        </w:rPr>
        <w:t>四、绩效评价指标分析</w:t>
      </w:r>
    </w:p>
    <w:p>
      <w:pPr>
        <w:spacing w:line="560" w:lineRule="exact"/>
        <w:ind w:firstLine="600" w:firstLineChars="200"/>
        <w:rPr>
          <w:rFonts w:hint="eastAsia" w:eastAsia="仿宋_GB2312"/>
          <w:sz w:val="30"/>
          <w:szCs w:val="30"/>
        </w:rPr>
      </w:pPr>
      <w:r>
        <w:rPr>
          <w:rFonts w:hint="eastAsia" w:eastAsia="仿宋_GB2312"/>
          <w:sz w:val="30"/>
          <w:szCs w:val="30"/>
        </w:rPr>
        <w:t>(一)项目决策情况。</w:t>
      </w:r>
    </w:p>
    <w:p>
      <w:pPr>
        <w:spacing w:line="560" w:lineRule="exact"/>
        <w:ind w:firstLine="600" w:firstLineChars="200"/>
        <w:rPr>
          <w:rFonts w:hint="eastAsia" w:eastAsia="仿宋_GB2312"/>
          <w:sz w:val="30"/>
          <w:szCs w:val="30"/>
        </w:rPr>
      </w:pPr>
      <w:r>
        <w:rPr>
          <w:rFonts w:hint="eastAsia" w:eastAsia="仿宋_GB2312"/>
          <w:sz w:val="30"/>
          <w:szCs w:val="30"/>
        </w:rPr>
        <w:t>(二)项目过程情况。</w:t>
      </w:r>
    </w:p>
    <w:p>
      <w:pPr>
        <w:spacing w:line="560" w:lineRule="exact"/>
        <w:ind w:firstLine="600" w:firstLineChars="200"/>
        <w:rPr>
          <w:rFonts w:hint="eastAsia" w:eastAsia="仿宋_GB2312"/>
          <w:sz w:val="30"/>
          <w:szCs w:val="30"/>
        </w:rPr>
      </w:pPr>
      <w:r>
        <w:rPr>
          <w:rFonts w:hint="eastAsia" w:eastAsia="仿宋_GB2312"/>
          <w:sz w:val="30"/>
          <w:szCs w:val="30"/>
        </w:rPr>
        <w:t>(三)项目产出情况。</w:t>
      </w:r>
    </w:p>
    <w:p>
      <w:pPr>
        <w:spacing w:line="560" w:lineRule="exact"/>
        <w:ind w:firstLine="600" w:firstLineChars="200"/>
        <w:rPr>
          <w:rFonts w:hint="eastAsia" w:eastAsia="仿宋_GB2312"/>
          <w:sz w:val="30"/>
          <w:szCs w:val="30"/>
        </w:rPr>
      </w:pPr>
      <w:r>
        <w:rPr>
          <w:rFonts w:hint="eastAsia" w:eastAsia="仿宋_GB2312"/>
          <w:sz w:val="30"/>
          <w:szCs w:val="30"/>
        </w:rPr>
        <w:t>(四)项目效益情况。</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五、主要经验及做法、存在的问题及原因分析</w:t>
      </w:r>
    </w:p>
    <w:p>
      <w:pPr>
        <w:numPr>
          <w:ilvl w:val="0"/>
          <w:numId w:val="0"/>
        </w:numPr>
        <w:ind w:leftChars="0" w:firstLine="640" w:firstLineChars="20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由于规模经营，生产要素集聚，便于采用先进技术和优良品种，提高劳动生产率，使得从事第一产业的农民收入增加。规模经营降低了农业生产成本，包括直接生产成本和间接生产成本，减少了农民的生产支出。而那些将自己承包地流转出去的农民既可获得土地租金又可以在土地流入方务工获得工资性收入。规模经营的推进为大量剩余农村劳动力进入城市从事第二产业、第三产业提供了条件，有利于推动城乡一体化发展。第四，规模经营还促进了农业劳动者素质的提高。规模经营是生产要素集中后的综合管理，要求从业者有更高的农业生产技艺、更高的管理水平，一批农业劳动者将在规模化的现代农业发展过程中成长起来。</w:t>
      </w:r>
    </w:p>
    <w:p>
      <w:pPr>
        <w:numPr>
          <w:ilvl w:val="0"/>
          <w:numId w:val="2"/>
        </w:numPr>
        <w:ind w:leftChars="0" w:firstLine="600" w:firstLineChars="200"/>
        <w:rPr>
          <w:rFonts w:hint="eastAsia" w:ascii="黑体" w:hAnsi="黑体" w:eastAsia="黑体" w:cs="黑体"/>
          <w:sz w:val="30"/>
          <w:szCs w:val="30"/>
        </w:rPr>
      </w:pPr>
      <w:r>
        <w:rPr>
          <w:rFonts w:hint="eastAsia" w:ascii="黑体" w:hAnsi="黑体" w:eastAsia="黑体" w:cs="黑体"/>
          <w:sz w:val="30"/>
          <w:szCs w:val="30"/>
        </w:rPr>
        <w:t>有关建议</w:t>
      </w:r>
    </w:p>
    <w:p>
      <w:pPr>
        <w:pStyle w:val="5"/>
        <w:keepNext w:val="0"/>
        <w:keepLines w:val="0"/>
        <w:widowControl/>
        <w:suppressLineNumbers w:val="0"/>
        <w:wordWrap w:val="0"/>
        <w:spacing w:before="180" w:beforeAutospacing="0" w:after="180" w:afterAutospacing="0" w:line="432" w:lineRule="auto"/>
        <w:ind w:right="0" w:firstLine="640" w:firstLineChars="200"/>
        <w:jc w:val="left"/>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1、积极稳妥发展农业适度规模经营。通过农机购置、税收、信贷、教育培训等方面的政策支持，大力培育新型农业经营主体和新型职业农民，在农户自愿的基础上推进互换并地，积极发展土地流转、生产托管、股份合作等多种形式的农业适度规模经营。同时，保持历史耐心，不搞“一刀切”、不搞行政命令，防止人为垒大户、排挤小农户，确保农业现代化行稳致远。</w:t>
      </w:r>
    </w:p>
    <w:p>
      <w:pPr>
        <w:pStyle w:val="5"/>
        <w:keepNext w:val="0"/>
        <w:keepLines w:val="0"/>
        <w:widowControl/>
        <w:suppressLineNumbers w:val="0"/>
        <w:wordWrap w:val="0"/>
        <w:spacing w:before="180" w:beforeAutospacing="0" w:after="180" w:afterAutospacing="0" w:line="432" w:lineRule="auto"/>
        <w:ind w:right="0" w:firstLine="640"/>
        <w:jc w:val="left"/>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2、将优质农田和先进农业技术更好结合。深入实施“藏粮于地、藏粮于技”战略，加强高标准农田和水利设施建设，继续推进轮作休耕和结构调整。加大对乡镇农技推广工作的支持力度，构建以政府农技推广机构为主导，农业科研、教育等单位和涉农企业广泛参与的多元化农业技术推广体系，努力实现农机、农艺结合，良种、良法配套，推动农业高质量发展。</w:t>
      </w:r>
    </w:p>
    <w:p>
      <w:pPr>
        <w:numPr>
          <w:ilvl w:val="0"/>
          <w:numId w:val="2"/>
        </w:numPr>
        <w:ind w:leftChars="0" w:firstLine="640" w:firstLineChars="200"/>
        <w:rPr>
          <w:rFonts w:hint="eastAsia" w:ascii="黑体" w:hAnsi="黑体" w:eastAsia="黑体" w:cs="黑体"/>
          <w:sz w:val="30"/>
          <w:szCs w:val="30"/>
        </w:rPr>
      </w:pPr>
      <w:r>
        <w:rPr>
          <w:rFonts w:hint="eastAsia" w:ascii="楷体_GB2312" w:hAnsi="楷体_GB2312" w:eastAsia="楷体_GB2312" w:cs="楷体_GB2312"/>
          <w:kern w:val="2"/>
          <w:sz w:val="32"/>
          <w:szCs w:val="32"/>
          <w:lang w:val="en-US" w:eastAsia="zh-CN" w:bidi="ar-SA"/>
        </w:rPr>
        <w:t>3、注重维护农民利益和促进农民转移就业。完善保底产量、保底收益等合约设计，充分发挥试点示范作用，引导更多农民选择在承担一定风险的同时获取更高期望收益的、更加紧密的利益联结机制。加强对合作社等新型农业经营主体的监管，避免“空壳社”、合同违约等侵害农民利益现象发生。加强特色优势产业培育和农民职业技能培训，促进农民转移就业和增收致富。</w:t>
      </w:r>
    </w:p>
    <w:p>
      <w:pPr>
        <w:numPr>
          <w:ilvl w:val="0"/>
          <w:numId w:val="2"/>
        </w:numPr>
        <w:ind w:left="0" w:leftChars="0" w:firstLine="600" w:firstLineChars="200"/>
        <w:rPr>
          <w:rFonts w:hint="eastAsia" w:ascii="黑体" w:hAnsi="黑体" w:eastAsia="黑体" w:cs="黑体"/>
          <w:sz w:val="30"/>
          <w:szCs w:val="30"/>
        </w:rPr>
      </w:pPr>
      <w:r>
        <w:rPr>
          <w:rFonts w:hint="eastAsia" w:ascii="黑体" w:hAnsi="黑体" w:eastAsia="黑体" w:cs="黑体"/>
          <w:sz w:val="30"/>
          <w:szCs w:val="30"/>
        </w:rPr>
        <w:t>其他需要说明的问题</w:t>
      </w:r>
    </w:p>
    <w:p>
      <w:pPr>
        <w:keepNext w:val="0"/>
        <w:keepLines w:val="0"/>
        <w:pageBreakBefore w:val="0"/>
        <w:widowControl/>
        <w:kinsoku/>
        <w:wordWrap/>
        <w:overflowPunct/>
        <w:topLinePunct w:val="0"/>
        <w:autoSpaceDE/>
        <w:autoSpaceDN/>
        <w:bidi w:val="0"/>
        <w:adjustRightInd/>
        <w:snapToGrid/>
        <w:spacing w:line="560" w:lineRule="exact"/>
        <w:ind w:firstLine="600" w:firstLineChars="200"/>
        <w:jc w:val="both"/>
        <w:textAlignment w:val="auto"/>
        <w:rPr>
          <w:rFonts w:hint="default" w:ascii="Times New Roman" w:hAnsi="Times New Roman" w:eastAsia="仿宋_GB2312" w:cs="Times New Roman"/>
          <w:sz w:val="32"/>
          <w:szCs w:val="32"/>
        </w:rPr>
      </w:pPr>
      <w:r>
        <w:rPr>
          <w:rFonts w:hint="eastAsia" w:ascii="黑体" w:hAnsi="黑体" w:eastAsia="黑体" w:cs="黑体"/>
          <w:sz w:val="30"/>
          <w:szCs w:val="30"/>
          <w:lang w:eastAsia="zh-CN"/>
        </w:rPr>
        <w:t>无</w:t>
      </w:r>
    </w:p>
    <w:p>
      <w:pPr>
        <w:keepNext w:val="0"/>
        <w:keepLines w:val="0"/>
        <w:pageBreakBefore w:val="0"/>
        <w:kinsoku/>
        <w:wordWrap/>
        <w:overflowPunct/>
        <w:topLinePunct w:val="0"/>
        <w:autoSpaceDE/>
        <w:autoSpaceDN/>
        <w:bidi w:val="0"/>
        <w:adjustRightInd/>
        <w:snapToGrid/>
        <w:spacing w:line="560" w:lineRule="exact"/>
        <w:ind w:firstLine="0" w:firstLineChars="0"/>
        <w:jc w:val="left"/>
        <w:textAlignment w:val="auto"/>
        <w:outlineLvl w:val="0"/>
        <w:rPr>
          <w:rFonts w:hint="eastAsia" w:ascii="仿宋_GB2312" w:eastAsia="仿宋_GB2312"/>
          <w:sz w:val="32"/>
          <w:szCs w:val="32"/>
          <w:lang w:val="en-US" w:eastAsia="zh-CN"/>
        </w:rPr>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4</w:t>
      </w: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项目支出绩效评价</w:t>
      </w:r>
      <w:r>
        <w:rPr>
          <w:rFonts w:hint="eastAsia" w:ascii="方正小标宋简体" w:hAnsi="方正小标宋简体" w:eastAsia="方正小标宋简体" w:cs="方正小标宋简体"/>
          <w:color w:val="000000"/>
          <w:sz w:val="44"/>
          <w:szCs w:val="44"/>
          <w:lang w:eastAsia="zh-CN"/>
        </w:rPr>
        <w:t>评分表</w:t>
      </w:r>
      <w:r>
        <w:rPr>
          <w:rFonts w:hint="eastAsia" w:ascii="方正小标宋简体" w:hAnsi="方正小标宋简体" w:eastAsia="方正小标宋简体" w:cs="方正小标宋简体"/>
          <w:color w:val="000000"/>
          <w:sz w:val="44"/>
          <w:szCs w:val="44"/>
        </w:rPr>
        <w:t>（</w:t>
      </w:r>
      <w:r>
        <w:rPr>
          <w:rFonts w:hint="eastAsia" w:ascii="方正小标宋简体" w:hAnsi="方正小标宋简体" w:eastAsia="方正小标宋简体" w:cs="方正小标宋简体"/>
          <w:color w:val="000000"/>
          <w:sz w:val="44"/>
          <w:szCs w:val="44"/>
          <w:lang w:eastAsia="zh-CN"/>
        </w:rPr>
        <w:t>共性</w:t>
      </w:r>
      <w:r>
        <w:rPr>
          <w:rFonts w:hint="eastAsia" w:ascii="方正小标宋简体" w:hAnsi="方正小标宋简体" w:eastAsia="方正小标宋简体" w:cs="方正小标宋简体"/>
          <w:color w:val="000000"/>
          <w:sz w:val="44"/>
          <w:szCs w:val="44"/>
        </w:rPr>
        <w:t>）</w:t>
      </w:r>
    </w:p>
    <w:tbl>
      <w:tblPr>
        <w:tblStyle w:val="6"/>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53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6</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宋体" w:hAnsi="宋体" w:eastAsia="宋体" w:cs="宋体"/>
                <w:kern w:val="0"/>
                <w:sz w:val="24"/>
                <w:lang w:val="en-US" w:eastAsia="zh-CN"/>
              </w:rPr>
            </w:pPr>
            <w:r>
              <w:rPr>
                <w:rFonts w:hint="eastAsia" w:ascii="宋体" w:hAnsi="宋体" w:cs="宋体"/>
                <w:kern w:val="0"/>
                <w:sz w:val="24"/>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98</w:t>
            </w:r>
          </w:p>
        </w:tc>
      </w:tr>
    </w:tbl>
    <w:p>
      <w:pPr>
        <w:adjustRightInd w:val="0"/>
        <w:snapToGrid w:val="0"/>
        <w:spacing w:before="156" w:beforeLines="50"/>
        <w:ind w:left="840" w:hanging="840" w:hangingChars="400"/>
        <w:contextualSpacing/>
        <w:rPr>
          <w:rFonts w:hint="eastAsia" w:ascii="仿宋_GB2312" w:eastAsia="仿宋_GB2312"/>
        </w:rPr>
      </w:pPr>
      <w:r>
        <w:rPr>
          <w:rFonts w:hint="eastAsia" w:ascii="仿宋_GB2312" w:eastAsia="仿宋_GB2312"/>
        </w:rPr>
        <w:t>备注：</w:t>
      </w:r>
      <w:r>
        <w:rPr>
          <w:rFonts w:hint="eastAsia" w:ascii="仿宋_GB2312" w:eastAsia="仿宋_GB2312"/>
          <w:lang w:val="en-US" w:eastAsia="zh-CN"/>
        </w:rPr>
        <w:t>1、</w:t>
      </w:r>
      <w:r>
        <w:rPr>
          <w:rFonts w:hint="eastAsia" w:ascii="仿宋_GB2312" w:eastAsia="仿宋_GB2312"/>
        </w:rPr>
        <w:t>部门（单位）根据项目实际，在《项目支出绩效评价指标</w:t>
      </w:r>
      <w:r>
        <w:rPr>
          <w:rFonts w:hint="eastAsia" w:ascii="仿宋_GB2312" w:eastAsia="仿宋_GB2312"/>
          <w:lang w:eastAsia="zh-CN"/>
        </w:rPr>
        <w:t>评分表</w:t>
      </w:r>
      <w:r>
        <w:rPr>
          <w:rFonts w:hint="eastAsia" w:ascii="仿宋_GB2312" w:eastAsia="仿宋_GB2312"/>
        </w:rPr>
        <w:t>（</w:t>
      </w:r>
      <w:r>
        <w:rPr>
          <w:rFonts w:hint="eastAsia" w:ascii="仿宋_GB2312" w:eastAsia="仿宋_GB2312"/>
          <w:lang w:eastAsia="zh-CN"/>
        </w:rPr>
        <w:t>共性</w:t>
      </w:r>
      <w:r>
        <w:rPr>
          <w:rFonts w:hint="eastAsia" w:ascii="仿宋_GB2312" w:eastAsia="仿宋_GB2312"/>
        </w:rPr>
        <w:t>）》上进一步完善、量化、细化个性指标，形成本项目的指标体系。</w:t>
      </w:r>
    </w:p>
    <w:p>
      <w:pPr>
        <w:adjustRightInd w:val="0"/>
        <w:snapToGrid w:val="0"/>
        <w:spacing w:before="156" w:beforeLines="50"/>
        <w:ind w:firstLine="630" w:firstLineChars="300"/>
        <w:contextualSpacing/>
        <w:rPr>
          <w:rFonts w:hint="eastAsia" w:eastAsia="仿宋_GB2312"/>
          <w:sz w:val="32"/>
          <w:lang w:eastAsia="zh-CN"/>
        </w:rPr>
      </w:pPr>
      <w:r>
        <w:rPr>
          <w:rFonts w:hint="eastAsia" w:ascii="仿宋_GB2312" w:eastAsia="仿宋_GB2312"/>
          <w:lang w:val="en-US" w:eastAsia="zh-CN"/>
        </w:rPr>
        <w:t>2、</w:t>
      </w:r>
      <w:r>
        <w:rPr>
          <w:rFonts w:hint="eastAsia" w:ascii="仿宋_GB2312" w:eastAsia="仿宋_GB2312"/>
          <w:lang w:eastAsia="zh-CN"/>
        </w:rPr>
        <w:t>一个一级项目一张表。</w:t>
      </w:r>
    </w:p>
    <w:p/>
    <w:p>
      <w:pPr>
        <w:pStyle w:val="4"/>
        <w:rPr>
          <w:rFonts w:hint="eastAsia"/>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203" w:usb1="288F0000" w:usb2="0000000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等线">
    <w:panose1 w:val="02010600030101010101"/>
    <w:charset w:val="86"/>
    <w:family w:val="script"/>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FE952C"/>
    <w:multiLevelType w:val="singleLevel"/>
    <w:tmpl w:val="8AFE952C"/>
    <w:lvl w:ilvl="0" w:tentative="0">
      <w:start w:val="6"/>
      <w:numFmt w:val="chineseCounting"/>
      <w:suff w:val="nothing"/>
      <w:lvlText w:val="%1、"/>
      <w:lvlJc w:val="left"/>
      <w:rPr>
        <w:rFonts w:hint="eastAsia"/>
      </w:rPr>
    </w:lvl>
  </w:abstractNum>
  <w:abstractNum w:abstractNumId="1">
    <w:nsid w:val="6B212918"/>
    <w:multiLevelType w:val="singleLevel"/>
    <w:tmpl w:val="6B212918"/>
    <w:lvl w:ilvl="0" w:tentative="0">
      <w:start w:val="2"/>
      <w:numFmt w:val="chineseCounting"/>
      <w:lvlText w:val="(%1)"/>
      <w:lvlJc w:val="left"/>
      <w:pPr>
        <w:tabs>
          <w:tab w:val="left" w:pos="312"/>
        </w:tabs>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NiNTIzNjY4ODUyYTAyNDMyN2VjMjZhN2MxODgxNjkifQ=="/>
  </w:docVars>
  <w:rsids>
    <w:rsidRoot w:val="10B575DA"/>
    <w:rsid w:val="10B575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99"/>
    <w:pPr>
      <w:outlineLvl w:val="3"/>
    </w:pPr>
    <w:rPr>
      <w:bCs/>
      <w:szCs w:val="28"/>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footnote text"/>
    <w:basedOn w:val="1"/>
    <w:next w:val="1"/>
    <w:qFormat/>
    <w:uiPriority w:val="0"/>
    <w:pPr>
      <w:snapToGrid w:val="0"/>
      <w:jc w:val="left"/>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paragraph" w:styleId="8">
    <w:name w:val="List Paragraph"/>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2023-07-17T00:29:00Z</dcterms:created>
  <dc:creator>Scorpio</dc:creator>
  <cp:lastModifiedBy>Scorpio</cp:lastModifiedBy>
  <dcterms:modified xsi:type="dcterms:W3CDTF">2023-07-17T00:47:08Z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D788043F8ADB4716857EF12CDBD82128_11</vt:lpwstr>
  </property>
</Properties>
</file>